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DE" w:rsidRPr="00140388" w:rsidRDefault="004617DE" w:rsidP="004617DE">
      <w:pPr>
        <w:spacing w:line="240" w:lineRule="auto"/>
        <w:rPr>
          <w:rFonts w:ascii="Arial" w:hAnsi="Arial" w:cs="Arial"/>
          <w:b/>
        </w:rPr>
      </w:pPr>
      <w:r w:rsidRPr="00140388">
        <w:rPr>
          <w:rFonts w:ascii="Arial" w:hAnsi="Arial" w:cs="Arial"/>
          <w:b/>
        </w:rPr>
        <w:t>TAGRA Acute MLC Sub-group</w:t>
      </w:r>
    </w:p>
    <w:p w:rsidR="004617DE" w:rsidRDefault="004617DE" w:rsidP="004617DE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</w:t>
      </w:r>
      <w:r w:rsidRPr="00140388">
        <w:rPr>
          <w:rFonts w:ascii="Arial" w:hAnsi="Arial" w:cs="Arial"/>
          <w:b/>
        </w:rPr>
        <w:t xml:space="preserve"> of </w:t>
      </w:r>
      <w:r>
        <w:rPr>
          <w:rFonts w:ascii="Arial" w:hAnsi="Arial" w:cs="Arial"/>
          <w:b/>
        </w:rPr>
        <w:t>11</w:t>
      </w:r>
      <w:r w:rsidRPr="00140388">
        <w:rPr>
          <w:rFonts w:ascii="Arial" w:hAnsi="Arial" w:cs="Arial"/>
          <w:b/>
        </w:rPr>
        <w:t xml:space="preserve">th meeting – </w:t>
      </w:r>
      <w:r>
        <w:rPr>
          <w:rFonts w:ascii="Arial" w:hAnsi="Arial" w:cs="Arial"/>
          <w:b/>
        </w:rPr>
        <w:t>20</w:t>
      </w:r>
      <w:r w:rsidRPr="00E17C66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January 2016</w:t>
      </w:r>
      <w:r w:rsidRPr="00140388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Gyle</w:t>
      </w:r>
      <w:proofErr w:type="spellEnd"/>
      <w:r>
        <w:rPr>
          <w:rFonts w:ascii="Arial" w:hAnsi="Arial" w:cs="Arial"/>
          <w:b/>
        </w:rPr>
        <w:t xml:space="preserve"> Square, Edinburgh</w:t>
      </w:r>
    </w:p>
    <w:p w:rsidR="007672C5" w:rsidRDefault="007672C5"/>
    <w:p w:rsidR="00E278CF" w:rsidRDefault="004617DE" w:rsidP="004617D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Present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br/>
      </w:r>
      <w:r w:rsidRPr="00140388">
        <w:rPr>
          <w:rFonts w:ascii="Arial" w:hAnsi="Arial" w:cs="Arial"/>
        </w:rPr>
        <w:t>Sarah Barry (University of Glasgow</w:t>
      </w:r>
      <w:proofErr w:type="gramStart"/>
      <w:r w:rsidRPr="00140388"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br/>
      </w:r>
      <w:r w:rsidRPr="00140388">
        <w:rPr>
          <w:rFonts w:ascii="Arial" w:hAnsi="Arial" w:cs="Arial"/>
        </w:rPr>
        <w:t>Roger Black (NHS NSS)</w:t>
      </w:r>
      <w:r w:rsidRPr="001C6E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>Ang</w:t>
      </w:r>
      <w:r w:rsidRPr="00140388">
        <w:rPr>
          <w:rFonts w:ascii="Arial" w:hAnsi="Arial" w:cs="Arial"/>
        </w:rPr>
        <w:t>ela Campbell (Scottish Government)</w:t>
      </w:r>
      <w:r>
        <w:rPr>
          <w:rFonts w:ascii="Arial" w:hAnsi="Arial" w:cs="Arial"/>
          <w:b/>
        </w:rPr>
        <w:br/>
      </w:r>
      <w:r w:rsidRPr="00140388">
        <w:rPr>
          <w:rFonts w:ascii="Arial" w:hAnsi="Arial" w:cs="Arial"/>
        </w:rPr>
        <w:t>Pauline</w:t>
      </w:r>
      <w:r>
        <w:rPr>
          <w:rFonts w:ascii="Arial" w:hAnsi="Arial" w:cs="Arial"/>
        </w:rPr>
        <w:t xml:space="preserve"> Craig (NHS Health Scotland) </w:t>
      </w:r>
    </w:p>
    <w:p w:rsidR="001506AC" w:rsidRDefault="004617DE" w:rsidP="004617D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140388">
        <w:rPr>
          <w:rFonts w:ascii="Arial" w:hAnsi="Arial" w:cs="Arial"/>
        </w:rPr>
        <w:t>ndrew Daly (NHS GG &amp; Clyde)</w:t>
      </w:r>
      <w:r w:rsidRPr="001C6E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140388">
        <w:rPr>
          <w:rFonts w:ascii="Arial" w:hAnsi="Arial" w:cs="Arial"/>
        </w:rPr>
        <w:t>Karen Facey (Chair)</w:t>
      </w:r>
      <w:r>
        <w:rPr>
          <w:rFonts w:ascii="Arial" w:hAnsi="Arial" w:cs="Arial"/>
        </w:rPr>
        <w:br/>
        <w:t>Lynne Jarvis (NHS NSS)</w:t>
      </w:r>
      <w:r w:rsidRPr="00D04093">
        <w:rPr>
          <w:rFonts w:ascii="Arial" w:hAnsi="Arial" w:cs="Arial"/>
        </w:rPr>
        <w:t xml:space="preserve"> </w:t>
      </w:r>
      <w:r w:rsidRPr="00140388">
        <w:rPr>
          <w:rFonts w:ascii="Arial" w:hAnsi="Arial" w:cs="Arial"/>
        </w:rPr>
        <w:t>(Minutes)</w:t>
      </w:r>
      <w:r>
        <w:rPr>
          <w:rFonts w:ascii="Arial" w:hAnsi="Arial" w:cs="Arial"/>
          <w:b/>
        </w:rPr>
        <w:br/>
      </w:r>
      <w:r w:rsidRPr="00140388">
        <w:rPr>
          <w:rFonts w:ascii="Arial" w:hAnsi="Arial" w:cs="Arial"/>
        </w:rPr>
        <w:t>Alisd</w:t>
      </w:r>
      <w:r>
        <w:rPr>
          <w:rFonts w:ascii="Arial" w:hAnsi="Arial" w:cs="Arial"/>
        </w:rPr>
        <w:t xml:space="preserve">air McDonald (NHS Lothian)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Chris Mueller (NHS NSS)</w:t>
      </w:r>
      <w:r>
        <w:rPr>
          <w:rFonts w:ascii="Arial" w:hAnsi="Arial" w:cs="Arial"/>
          <w:b/>
        </w:rPr>
        <w:br/>
      </w:r>
      <w:proofErr w:type="spellStart"/>
      <w:r w:rsidRPr="00140388">
        <w:rPr>
          <w:rFonts w:ascii="Arial" w:hAnsi="Arial" w:cs="Arial"/>
        </w:rPr>
        <w:t>Paudric</w:t>
      </w:r>
      <w:proofErr w:type="spellEnd"/>
      <w:r w:rsidRPr="00140388">
        <w:rPr>
          <w:rFonts w:ascii="Arial" w:hAnsi="Arial" w:cs="Arial"/>
        </w:rPr>
        <w:t xml:space="preserve"> Osborne (Scottish Government)</w:t>
      </w:r>
      <w:r>
        <w:rPr>
          <w:rFonts w:ascii="Arial" w:hAnsi="Arial" w:cs="Arial"/>
        </w:rPr>
        <w:br/>
      </w:r>
      <w:r w:rsidRPr="00E17C66">
        <w:rPr>
          <w:rFonts w:ascii="Arial" w:hAnsi="Arial" w:cs="Arial"/>
        </w:rPr>
        <w:t>Evan Williams</w:t>
      </w:r>
      <w:r w:rsidRPr="00140388">
        <w:rPr>
          <w:rFonts w:ascii="Arial" w:hAnsi="Arial" w:cs="Arial"/>
        </w:rPr>
        <w:t xml:space="preserve"> (Scottish Government)</w:t>
      </w:r>
      <w:r>
        <w:rPr>
          <w:rFonts w:ascii="Arial" w:hAnsi="Arial" w:cs="Arial"/>
          <w:b/>
        </w:rPr>
        <w:br/>
      </w:r>
      <w:r w:rsidRPr="00140388">
        <w:rPr>
          <w:rFonts w:ascii="Arial" w:hAnsi="Arial" w:cs="Arial"/>
        </w:rPr>
        <w:t xml:space="preserve">Sarah Touati (NHS NSS) </w:t>
      </w:r>
      <w:r>
        <w:rPr>
          <w:rFonts w:ascii="Arial" w:hAnsi="Arial" w:cs="Arial"/>
        </w:rPr>
        <w:br/>
        <w:t>Fiona Ramsay (NHS Forth Valley)</w:t>
      </w:r>
      <w:r w:rsidR="001506AC">
        <w:rPr>
          <w:rFonts w:ascii="Arial" w:hAnsi="Arial" w:cs="Arial"/>
        </w:rPr>
        <w:br/>
        <w:t>Diane Skatun (NHS Borders)</w:t>
      </w:r>
      <w:r w:rsidR="001506AC">
        <w:rPr>
          <w:rFonts w:ascii="Arial" w:hAnsi="Arial" w:cs="Arial"/>
        </w:rPr>
        <w:br/>
      </w:r>
    </w:p>
    <w:p w:rsidR="004617DE" w:rsidRPr="001506AC" w:rsidRDefault="001506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4617DE" w:rsidRPr="001506AC">
        <w:rPr>
          <w:rFonts w:ascii="Arial" w:hAnsi="Arial" w:cs="Arial"/>
          <w:b/>
        </w:rPr>
        <w:t>pologies</w:t>
      </w:r>
    </w:p>
    <w:p w:rsidR="004617DE" w:rsidRDefault="004617DE">
      <w:pPr>
        <w:rPr>
          <w:rFonts w:ascii="Arial" w:hAnsi="Arial" w:cs="Arial"/>
        </w:rPr>
      </w:pPr>
      <w:r w:rsidRPr="00964E78">
        <w:rPr>
          <w:rFonts w:ascii="Arial" w:hAnsi="Arial" w:cs="Arial"/>
        </w:rPr>
        <w:t>Matt Sutton (University of Manchester)</w:t>
      </w:r>
    </w:p>
    <w:p w:rsidR="004617DE" w:rsidRDefault="004617DE">
      <w:pPr>
        <w:rPr>
          <w:rFonts w:ascii="Arial" w:hAnsi="Arial" w:cs="Arial"/>
        </w:rPr>
      </w:pPr>
      <w:r>
        <w:rPr>
          <w:rFonts w:ascii="Arial" w:hAnsi="Arial" w:cs="Arial"/>
        </w:rPr>
        <w:t>David Garden (NHS Highland)</w:t>
      </w:r>
    </w:p>
    <w:p w:rsidR="004617DE" w:rsidRDefault="004617DE">
      <w:pPr>
        <w:rPr>
          <w:rFonts w:ascii="Arial" w:hAnsi="Arial" w:cs="Arial"/>
        </w:rPr>
      </w:pPr>
      <w:r>
        <w:rPr>
          <w:rFonts w:ascii="Arial" w:hAnsi="Arial" w:cs="Arial"/>
        </w:rPr>
        <w:t>Frances E</w:t>
      </w:r>
      <w:r w:rsidR="007B2503">
        <w:rPr>
          <w:rFonts w:ascii="Arial" w:hAnsi="Arial" w:cs="Arial"/>
        </w:rPr>
        <w:t>l</w:t>
      </w:r>
      <w:r>
        <w:rPr>
          <w:rFonts w:ascii="Arial" w:hAnsi="Arial" w:cs="Arial"/>
        </w:rPr>
        <w:t>liot (</w:t>
      </w:r>
      <w:r w:rsidR="00E278CF">
        <w:rPr>
          <w:rFonts w:ascii="Arial" w:hAnsi="Arial" w:cs="Arial"/>
        </w:rPr>
        <w:t>NHS Fife</w:t>
      </w:r>
      <w:r>
        <w:rPr>
          <w:rFonts w:ascii="Arial" w:hAnsi="Arial" w:cs="Arial"/>
        </w:rPr>
        <w:t>)</w:t>
      </w:r>
    </w:p>
    <w:p w:rsidR="004617DE" w:rsidRDefault="004617DE"/>
    <w:p w:rsidR="00CA7817" w:rsidRPr="004915B1" w:rsidRDefault="00CA7817" w:rsidP="00CA7817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b/>
        </w:rPr>
      </w:pPr>
      <w:r w:rsidRPr="004915B1">
        <w:rPr>
          <w:rFonts w:ascii="Arial" w:hAnsi="Arial" w:cs="Arial"/>
          <w:b/>
        </w:rPr>
        <w:t>Welcome and apologies</w:t>
      </w:r>
    </w:p>
    <w:p w:rsidR="00CA7817" w:rsidRDefault="00CA7817" w:rsidP="00CA781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KF welcomed </w:t>
      </w:r>
      <w:r w:rsidR="00C044D6">
        <w:rPr>
          <w:rFonts w:ascii="Arial" w:hAnsi="Arial" w:cs="Arial"/>
        </w:rPr>
        <w:t>the g</w:t>
      </w:r>
      <w:r w:rsidR="00C03C7A">
        <w:rPr>
          <w:rFonts w:ascii="Arial" w:hAnsi="Arial" w:cs="Arial"/>
        </w:rPr>
        <w:t>r</w:t>
      </w:r>
      <w:r w:rsidR="00C044D6">
        <w:rPr>
          <w:rFonts w:ascii="Arial" w:hAnsi="Arial" w:cs="Arial"/>
        </w:rPr>
        <w:t>oup and in particular, two new members, Evan Williams and Peter Martin.</w:t>
      </w:r>
    </w:p>
    <w:p w:rsidR="00CA7817" w:rsidRDefault="00CA7817" w:rsidP="00CA7817">
      <w:pPr>
        <w:spacing w:after="120" w:line="240" w:lineRule="auto"/>
        <w:rPr>
          <w:rFonts w:ascii="Arial" w:hAnsi="Arial" w:cs="Arial"/>
        </w:rPr>
      </w:pPr>
    </w:p>
    <w:p w:rsidR="00CA7817" w:rsidRDefault="00CA7817" w:rsidP="00CA7817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b/>
        </w:rPr>
      </w:pPr>
      <w:r w:rsidRPr="004915B1">
        <w:rPr>
          <w:rFonts w:ascii="Arial" w:hAnsi="Arial" w:cs="Arial"/>
          <w:b/>
        </w:rPr>
        <w:t>Minutes from previous meeting</w:t>
      </w:r>
    </w:p>
    <w:p w:rsidR="00C4737C" w:rsidRDefault="00C4737C" w:rsidP="00C4737C">
      <w:pPr>
        <w:pStyle w:val="ListParagraph"/>
        <w:spacing w:after="120" w:line="240" w:lineRule="auto"/>
        <w:ind w:left="360"/>
        <w:rPr>
          <w:rFonts w:ascii="Arial" w:hAnsi="Arial" w:cs="Arial"/>
          <w:b/>
        </w:rPr>
      </w:pPr>
    </w:p>
    <w:p w:rsidR="00C03C7A" w:rsidRDefault="00C03C7A" w:rsidP="00C03C7A">
      <w:pPr>
        <w:pStyle w:val="ListParagraph"/>
        <w:spacing w:after="12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3412AE">
        <w:rPr>
          <w:rFonts w:ascii="Arial" w:hAnsi="Arial" w:cs="Arial"/>
        </w:rPr>
        <w:t xml:space="preserve"> minutes from the meeting on</w:t>
      </w:r>
      <w:r w:rsidR="00E278CF">
        <w:rPr>
          <w:rFonts w:ascii="Arial" w:hAnsi="Arial" w:cs="Arial"/>
        </w:rPr>
        <w:t xml:space="preserve"> 18th</w:t>
      </w:r>
      <w:r w:rsidR="00830E79">
        <w:rPr>
          <w:rFonts w:ascii="Arial" w:hAnsi="Arial" w:cs="Arial"/>
        </w:rPr>
        <w:t xml:space="preserve"> </w:t>
      </w:r>
      <w:r w:rsidR="003412AE">
        <w:rPr>
          <w:rFonts w:ascii="Arial" w:hAnsi="Arial" w:cs="Arial"/>
        </w:rPr>
        <w:t xml:space="preserve">August 2015 were </w:t>
      </w:r>
      <w:r w:rsidR="00E278CF">
        <w:rPr>
          <w:rFonts w:ascii="Arial" w:hAnsi="Arial" w:cs="Arial"/>
        </w:rPr>
        <w:t xml:space="preserve">provisionally </w:t>
      </w:r>
      <w:r w:rsidR="003412AE">
        <w:rPr>
          <w:rFonts w:ascii="Arial" w:hAnsi="Arial" w:cs="Arial"/>
        </w:rPr>
        <w:t>approved.</w:t>
      </w:r>
      <w:r w:rsidR="00754B65">
        <w:rPr>
          <w:rFonts w:ascii="Arial" w:hAnsi="Arial" w:cs="Arial"/>
        </w:rPr>
        <w:t xml:space="preserve">  Karen requested that the group </w:t>
      </w:r>
      <w:r w:rsidR="00E278CF">
        <w:rPr>
          <w:rFonts w:ascii="Arial" w:hAnsi="Arial" w:cs="Arial"/>
        </w:rPr>
        <w:t xml:space="preserve">check </w:t>
      </w:r>
      <w:r w:rsidR="00754B65">
        <w:rPr>
          <w:rFonts w:ascii="Arial" w:hAnsi="Arial" w:cs="Arial"/>
        </w:rPr>
        <w:t>Appendix 3 of the minutes as</w:t>
      </w:r>
      <w:r w:rsidR="00E278CF">
        <w:rPr>
          <w:rFonts w:ascii="Arial" w:hAnsi="Arial" w:cs="Arial"/>
        </w:rPr>
        <w:t xml:space="preserve"> this</w:t>
      </w:r>
      <w:r w:rsidR="00754B65">
        <w:rPr>
          <w:rFonts w:ascii="Arial" w:hAnsi="Arial" w:cs="Arial"/>
        </w:rPr>
        <w:t xml:space="preserve"> will be a formal record of the HIIA process.  Karen drew attention to the list of questions on the penultimate page, which will be particularly important at a later stage.  </w:t>
      </w:r>
      <w:proofErr w:type="gramStart"/>
      <w:r w:rsidR="00754B65">
        <w:rPr>
          <w:rFonts w:ascii="Arial" w:hAnsi="Arial" w:cs="Arial"/>
        </w:rPr>
        <w:t xml:space="preserve">Any comments to be sent to </w:t>
      </w:r>
      <w:r w:rsidR="00E278CF">
        <w:rPr>
          <w:rFonts w:ascii="Arial" w:hAnsi="Arial" w:cs="Arial"/>
        </w:rPr>
        <w:t>Lynne</w:t>
      </w:r>
      <w:r w:rsidR="00754B65">
        <w:rPr>
          <w:rFonts w:ascii="Arial" w:hAnsi="Arial" w:cs="Arial"/>
        </w:rPr>
        <w:t xml:space="preserve"> by </w:t>
      </w:r>
      <w:r w:rsidR="0051464B">
        <w:rPr>
          <w:rFonts w:ascii="Arial" w:hAnsi="Arial" w:cs="Arial"/>
        </w:rPr>
        <w:t>Friday 12</w:t>
      </w:r>
      <w:r w:rsidR="0051464B" w:rsidRPr="0051464B">
        <w:rPr>
          <w:rFonts w:ascii="Arial" w:hAnsi="Arial" w:cs="Arial"/>
          <w:vertAlign w:val="superscript"/>
        </w:rPr>
        <w:t>th</w:t>
      </w:r>
      <w:r w:rsidR="0051464B">
        <w:rPr>
          <w:rFonts w:ascii="Arial" w:hAnsi="Arial" w:cs="Arial"/>
        </w:rPr>
        <w:t xml:space="preserve"> February</w:t>
      </w:r>
      <w:r w:rsidR="00830E79">
        <w:rPr>
          <w:rFonts w:ascii="Arial" w:hAnsi="Arial" w:cs="Arial"/>
        </w:rPr>
        <w:t>.</w:t>
      </w:r>
      <w:proofErr w:type="gramEnd"/>
      <w:r w:rsidR="00830E79">
        <w:rPr>
          <w:rFonts w:ascii="Arial" w:hAnsi="Arial" w:cs="Arial"/>
        </w:rPr>
        <w:t xml:space="preserve"> </w:t>
      </w:r>
    </w:p>
    <w:p w:rsidR="00754B65" w:rsidRDefault="00754B65" w:rsidP="00C03C7A">
      <w:pPr>
        <w:pStyle w:val="ListParagraph"/>
        <w:spacing w:after="120" w:line="240" w:lineRule="auto"/>
        <w:ind w:left="0"/>
        <w:rPr>
          <w:rFonts w:ascii="Arial" w:hAnsi="Arial" w:cs="Arial"/>
        </w:rPr>
      </w:pPr>
    </w:p>
    <w:p w:rsidR="00754B65" w:rsidRPr="00754B65" w:rsidRDefault="00754B65" w:rsidP="00C03C7A">
      <w:pPr>
        <w:pStyle w:val="ListParagraph"/>
        <w:spacing w:after="120" w:line="24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</w:t>
      </w:r>
      <w:r w:rsidR="00DD69C8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 xml:space="preserve">:  Read appendix 3 of minutes of </w:t>
      </w:r>
      <w:r w:rsidR="00E278CF">
        <w:rPr>
          <w:rFonts w:ascii="Arial" w:hAnsi="Arial" w:cs="Arial"/>
          <w:b/>
        </w:rPr>
        <w:t>18</w:t>
      </w:r>
      <w:r>
        <w:rPr>
          <w:rFonts w:ascii="Arial" w:hAnsi="Arial" w:cs="Arial"/>
          <w:b/>
        </w:rPr>
        <w:t xml:space="preserve"> August meeting and </w:t>
      </w:r>
      <w:r w:rsidR="00E278CF">
        <w:rPr>
          <w:rFonts w:ascii="Arial" w:hAnsi="Arial" w:cs="Arial"/>
          <w:b/>
        </w:rPr>
        <w:t xml:space="preserve">send </w:t>
      </w:r>
      <w:r>
        <w:rPr>
          <w:rFonts w:ascii="Arial" w:hAnsi="Arial" w:cs="Arial"/>
          <w:b/>
        </w:rPr>
        <w:t xml:space="preserve">any comments to </w:t>
      </w:r>
      <w:r w:rsidR="00E278CF">
        <w:rPr>
          <w:rFonts w:ascii="Arial" w:hAnsi="Arial" w:cs="Arial"/>
          <w:b/>
        </w:rPr>
        <w:t>Lynne</w:t>
      </w:r>
      <w:r>
        <w:rPr>
          <w:rFonts w:ascii="Arial" w:hAnsi="Arial" w:cs="Arial"/>
          <w:b/>
        </w:rPr>
        <w:t xml:space="preserve"> by </w:t>
      </w:r>
      <w:r w:rsidR="00C40AE6">
        <w:rPr>
          <w:rFonts w:ascii="Arial" w:hAnsi="Arial" w:cs="Arial"/>
          <w:b/>
        </w:rPr>
        <w:t>Friday 12</w:t>
      </w:r>
      <w:r w:rsidR="00C40AE6" w:rsidRPr="00C40AE6">
        <w:rPr>
          <w:rFonts w:ascii="Arial" w:hAnsi="Arial" w:cs="Arial"/>
          <w:b/>
          <w:vertAlign w:val="superscript"/>
        </w:rPr>
        <w:t>th</w:t>
      </w:r>
      <w:r w:rsidR="00C40AE6">
        <w:rPr>
          <w:rFonts w:ascii="Arial" w:hAnsi="Arial" w:cs="Arial"/>
          <w:b/>
        </w:rPr>
        <w:t xml:space="preserve"> February</w:t>
      </w:r>
      <w:r>
        <w:rPr>
          <w:rFonts w:ascii="Arial" w:hAnsi="Arial" w:cs="Arial"/>
          <w:b/>
        </w:rPr>
        <w:t>.</w:t>
      </w:r>
    </w:p>
    <w:p w:rsidR="00CA7817" w:rsidRDefault="00CA7817" w:rsidP="00CA7817">
      <w:pPr>
        <w:spacing w:after="120" w:line="240" w:lineRule="auto"/>
        <w:jc w:val="both"/>
        <w:rPr>
          <w:rFonts w:ascii="Arial" w:hAnsi="Arial" w:cs="Arial"/>
          <w:b/>
          <w:i/>
        </w:rPr>
      </w:pPr>
    </w:p>
    <w:p w:rsidR="00CA7817" w:rsidRDefault="00CA7817" w:rsidP="00CA7817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</w:rPr>
      </w:pPr>
      <w:r w:rsidRPr="00A329D6">
        <w:rPr>
          <w:rFonts w:ascii="Arial" w:hAnsi="Arial" w:cs="Arial"/>
          <w:b/>
        </w:rPr>
        <w:t>Matters arising</w:t>
      </w:r>
    </w:p>
    <w:p w:rsidR="00CA7817" w:rsidRDefault="00CA7817" w:rsidP="00CA7817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It was agreed that all items in th</w:t>
      </w:r>
      <w:r w:rsidR="007672C5">
        <w:rPr>
          <w:rFonts w:ascii="Arial" w:hAnsi="Arial" w:cs="Arial"/>
        </w:rPr>
        <w:t>e Matters Arising paper (TAMLC3</w:t>
      </w:r>
      <w:r w:rsidR="00CE27D9">
        <w:rPr>
          <w:rFonts w:ascii="Arial" w:hAnsi="Arial" w:cs="Arial"/>
        </w:rPr>
        <w:t>7</w:t>
      </w:r>
      <w:r>
        <w:rPr>
          <w:rFonts w:ascii="Arial" w:hAnsi="Arial" w:cs="Arial"/>
        </w:rPr>
        <w:t>) were adequately addressed.</w:t>
      </w:r>
      <w:r w:rsidR="007672C5">
        <w:rPr>
          <w:rFonts w:ascii="Arial" w:hAnsi="Arial" w:cs="Arial"/>
        </w:rPr>
        <w:t xml:space="preserve">  All actions are complete other than </w:t>
      </w:r>
      <w:r w:rsidR="00D65348">
        <w:rPr>
          <w:rFonts w:ascii="Arial" w:hAnsi="Arial" w:cs="Arial"/>
        </w:rPr>
        <w:t xml:space="preserve">the ongoing </w:t>
      </w:r>
      <w:r w:rsidR="00545D51">
        <w:rPr>
          <w:rFonts w:ascii="Arial" w:hAnsi="Arial" w:cs="Arial"/>
        </w:rPr>
        <w:t>writi</w:t>
      </w:r>
      <w:r w:rsidR="00C962F5">
        <w:rPr>
          <w:rFonts w:ascii="Arial" w:hAnsi="Arial" w:cs="Arial"/>
        </w:rPr>
        <w:t>ng of the final report to TAGRA</w:t>
      </w:r>
      <w:r w:rsidR="00D65348">
        <w:rPr>
          <w:rFonts w:ascii="Arial" w:hAnsi="Arial" w:cs="Arial"/>
        </w:rPr>
        <w:t>,</w:t>
      </w:r>
      <w:r w:rsidR="00C962F5">
        <w:rPr>
          <w:rFonts w:ascii="Arial" w:hAnsi="Arial" w:cs="Arial"/>
        </w:rPr>
        <w:t xml:space="preserve"> and to check with Pauline Craig about the timing of t</w:t>
      </w:r>
      <w:r w:rsidR="00D62103">
        <w:rPr>
          <w:rFonts w:ascii="Arial" w:hAnsi="Arial" w:cs="Arial"/>
        </w:rPr>
        <w:t>h</w:t>
      </w:r>
      <w:r w:rsidR="00C962F5">
        <w:rPr>
          <w:rFonts w:ascii="Arial" w:hAnsi="Arial" w:cs="Arial"/>
        </w:rPr>
        <w:t xml:space="preserve">e next </w:t>
      </w:r>
      <w:r w:rsidR="00D62103">
        <w:rPr>
          <w:rFonts w:ascii="Arial" w:hAnsi="Arial" w:cs="Arial"/>
        </w:rPr>
        <w:t>stages</w:t>
      </w:r>
      <w:r w:rsidR="00C962F5">
        <w:rPr>
          <w:rFonts w:ascii="Arial" w:hAnsi="Arial" w:cs="Arial"/>
        </w:rPr>
        <w:t xml:space="preserve"> of th</w:t>
      </w:r>
      <w:r w:rsidR="00D65348">
        <w:rPr>
          <w:rFonts w:ascii="Arial" w:hAnsi="Arial" w:cs="Arial"/>
        </w:rPr>
        <w:t>e HIIA, which will be dealt with in a meeting over the next couple of weeks</w:t>
      </w:r>
      <w:r w:rsidR="00C962F5">
        <w:rPr>
          <w:rFonts w:ascii="Arial" w:hAnsi="Arial" w:cs="Arial"/>
        </w:rPr>
        <w:t>.</w:t>
      </w:r>
    </w:p>
    <w:p w:rsidR="00431B31" w:rsidRPr="00431B31" w:rsidRDefault="00431B31" w:rsidP="00CA7817">
      <w:pPr>
        <w:spacing w:after="120" w:line="240" w:lineRule="auto"/>
        <w:jc w:val="both"/>
        <w:rPr>
          <w:rFonts w:ascii="Arial" w:hAnsi="Arial" w:cs="Arial"/>
          <w:b/>
        </w:rPr>
      </w:pPr>
    </w:p>
    <w:p w:rsidR="00431B31" w:rsidRDefault="00431B31" w:rsidP="00431B31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</w:rPr>
      </w:pPr>
      <w:r w:rsidRPr="00431B31">
        <w:rPr>
          <w:rFonts w:ascii="Arial" w:hAnsi="Arial" w:cs="Arial"/>
          <w:b/>
        </w:rPr>
        <w:t>Mode</w:t>
      </w:r>
      <w:r w:rsidR="001A70A4">
        <w:rPr>
          <w:rFonts w:ascii="Arial" w:hAnsi="Arial" w:cs="Arial"/>
          <w:b/>
        </w:rPr>
        <w:t>l structu</w:t>
      </w:r>
      <w:r w:rsidR="003A5F34">
        <w:rPr>
          <w:rFonts w:ascii="Arial" w:hAnsi="Arial" w:cs="Arial"/>
          <w:b/>
        </w:rPr>
        <w:t>re</w:t>
      </w:r>
      <w:r w:rsidRPr="00431B31">
        <w:rPr>
          <w:rFonts w:ascii="Arial" w:hAnsi="Arial" w:cs="Arial"/>
          <w:b/>
        </w:rPr>
        <w:t xml:space="preserve"> (</w:t>
      </w:r>
      <w:r w:rsidRPr="00431B31">
        <w:rPr>
          <w:rFonts w:ascii="Arial" w:hAnsi="Arial" w:cs="Arial"/>
          <w:b/>
          <w:i/>
        </w:rPr>
        <w:t>reference model and supply model papers</w:t>
      </w:r>
      <w:r w:rsidRPr="00431B31">
        <w:rPr>
          <w:rFonts w:ascii="Arial" w:hAnsi="Arial" w:cs="Arial"/>
          <w:b/>
        </w:rPr>
        <w:t>)</w:t>
      </w:r>
    </w:p>
    <w:p w:rsidR="00431B31" w:rsidRDefault="00431B31" w:rsidP="00431B31">
      <w:pPr>
        <w:pStyle w:val="ListParagraph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CA7817" w:rsidRDefault="00431B31" w:rsidP="00431B31">
      <w:pPr>
        <w:pStyle w:val="ListParagraph"/>
        <w:spacing w:after="12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ST presented papers TAMLC38</w:t>
      </w:r>
      <w:r w:rsidR="009B69C2">
        <w:rPr>
          <w:rFonts w:ascii="Arial" w:hAnsi="Arial" w:cs="Arial"/>
        </w:rPr>
        <w:t xml:space="preserve"> which describes the work to update</w:t>
      </w:r>
      <w:r w:rsidR="00537501">
        <w:rPr>
          <w:rFonts w:ascii="Arial" w:hAnsi="Arial" w:cs="Arial"/>
        </w:rPr>
        <w:t xml:space="preserve"> the reference model using 2011 </w:t>
      </w:r>
      <w:proofErr w:type="spellStart"/>
      <w:r w:rsidR="00537501">
        <w:rPr>
          <w:rFonts w:ascii="Arial" w:hAnsi="Arial" w:cs="Arial"/>
        </w:rPr>
        <w:t>datazones</w:t>
      </w:r>
      <w:proofErr w:type="spellEnd"/>
      <w:r w:rsidR="00537501">
        <w:rPr>
          <w:rFonts w:ascii="Arial" w:hAnsi="Arial" w:cs="Arial"/>
        </w:rPr>
        <w:t>.</w:t>
      </w:r>
      <w:r w:rsidR="000A7271">
        <w:rPr>
          <w:rFonts w:ascii="Arial" w:hAnsi="Arial" w:cs="Arial"/>
        </w:rPr>
        <w:t xml:space="preserve">  She explained that the model looks similar at the updated </w:t>
      </w:r>
      <w:proofErr w:type="spellStart"/>
      <w:r w:rsidR="000A7271">
        <w:rPr>
          <w:rFonts w:ascii="Arial" w:hAnsi="Arial" w:cs="Arial"/>
        </w:rPr>
        <w:t>datazones</w:t>
      </w:r>
      <w:proofErr w:type="spellEnd"/>
      <w:r w:rsidR="000A7271">
        <w:rPr>
          <w:rFonts w:ascii="Arial" w:hAnsi="Arial" w:cs="Arial"/>
        </w:rPr>
        <w:t xml:space="preserve"> </w:t>
      </w:r>
      <w:r w:rsidR="000A7271">
        <w:rPr>
          <w:rFonts w:ascii="Arial" w:hAnsi="Arial" w:cs="Arial"/>
        </w:rPr>
        <w:lastRenderedPageBreak/>
        <w:t>and the relationship between the cos</w:t>
      </w:r>
      <w:r w:rsidR="00A037B8">
        <w:rPr>
          <w:rFonts w:ascii="Arial" w:hAnsi="Arial" w:cs="Arial"/>
        </w:rPr>
        <w:t>t ratio and the needs index does</w:t>
      </w:r>
      <w:r w:rsidR="000A7271">
        <w:rPr>
          <w:rFonts w:ascii="Arial" w:hAnsi="Arial" w:cs="Arial"/>
        </w:rPr>
        <w:t xml:space="preserve"> not change significantly.  Outlier anal</w:t>
      </w:r>
      <w:r w:rsidR="00876650">
        <w:rPr>
          <w:rFonts w:ascii="Arial" w:hAnsi="Arial" w:cs="Arial"/>
        </w:rPr>
        <w:t>ysis also shows similar results, with slightly fewer residual outliers at the new geography, suggesting the model may fit slightly better.</w:t>
      </w:r>
    </w:p>
    <w:p w:rsidR="005D7E45" w:rsidRDefault="005D7E45" w:rsidP="00431B31">
      <w:pPr>
        <w:pStyle w:val="ListParagraph"/>
        <w:spacing w:after="120" w:line="240" w:lineRule="auto"/>
        <w:ind w:left="0"/>
        <w:jc w:val="both"/>
        <w:rPr>
          <w:rFonts w:ascii="Arial" w:hAnsi="Arial" w:cs="Arial"/>
        </w:rPr>
      </w:pPr>
    </w:p>
    <w:p w:rsidR="00C6134C" w:rsidRDefault="001B6E6D" w:rsidP="00431B31">
      <w:pPr>
        <w:pStyle w:val="ListParagraph"/>
        <w:spacing w:after="12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t</w:t>
      </w:r>
      <w:r w:rsidR="005D7E45">
        <w:rPr>
          <w:rFonts w:ascii="Arial" w:hAnsi="Arial" w:cs="Arial"/>
        </w:rPr>
        <w:t>wo biggest outliers were examined and were found to include prisons.  Due to the differen</w:t>
      </w:r>
      <w:r w:rsidR="00C6134C">
        <w:rPr>
          <w:rFonts w:ascii="Arial" w:hAnsi="Arial" w:cs="Arial"/>
        </w:rPr>
        <w:t>c</w:t>
      </w:r>
      <w:r w:rsidR="005D7E45">
        <w:rPr>
          <w:rFonts w:ascii="Arial" w:hAnsi="Arial" w:cs="Arial"/>
        </w:rPr>
        <w:t xml:space="preserve">e in needs and relationships with the needs indicators in these populations, it has been suggested that the outliers which are </w:t>
      </w:r>
      <w:proofErr w:type="spellStart"/>
      <w:r w:rsidR="005D7E45">
        <w:rPr>
          <w:rFonts w:ascii="Arial" w:hAnsi="Arial" w:cs="Arial"/>
        </w:rPr>
        <w:t>datazones</w:t>
      </w:r>
      <w:proofErr w:type="spellEnd"/>
      <w:r w:rsidR="005D7E45">
        <w:rPr>
          <w:rFonts w:ascii="Arial" w:hAnsi="Arial" w:cs="Arial"/>
        </w:rPr>
        <w:t xml:space="preserve"> dominated by prison populations are excluded.  </w:t>
      </w:r>
    </w:p>
    <w:p w:rsidR="00C6134C" w:rsidRDefault="00C6134C" w:rsidP="00431B31">
      <w:pPr>
        <w:pStyle w:val="ListParagraph"/>
        <w:spacing w:after="120" w:line="240" w:lineRule="auto"/>
        <w:ind w:left="0"/>
        <w:jc w:val="both"/>
        <w:rPr>
          <w:rFonts w:ascii="Arial" w:hAnsi="Arial" w:cs="Arial"/>
        </w:rPr>
      </w:pPr>
    </w:p>
    <w:p w:rsidR="005D7E45" w:rsidRDefault="005D7E45" w:rsidP="00431B31">
      <w:pPr>
        <w:pStyle w:val="ListParagraph"/>
        <w:spacing w:after="12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was</w:t>
      </w:r>
      <w:r w:rsidR="00F71F58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further discussion </w:t>
      </w:r>
      <w:r w:rsidR="00C6134C">
        <w:rPr>
          <w:rFonts w:ascii="Arial" w:hAnsi="Arial" w:cs="Arial"/>
        </w:rPr>
        <w:t>of the issue of prisons</w:t>
      </w:r>
      <w:r w:rsidR="002A353D">
        <w:rPr>
          <w:rFonts w:ascii="Arial" w:hAnsi="Arial" w:cs="Arial"/>
        </w:rPr>
        <w:t>.  It was clarified</w:t>
      </w:r>
      <w:r>
        <w:rPr>
          <w:rFonts w:ascii="Arial" w:hAnsi="Arial" w:cs="Arial"/>
        </w:rPr>
        <w:t xml:space="preserve"> that prison funding is separate </w:t>
      </w:r>
      <w:r w:rsidR="00C6134C">
        <w:rPr>
          <w:rFonts w:ascii="Arial" w:hAnsi="Arial" w:cs="Arial"/>
        </w:rPr>
        <w:t xml:space="preserve">only in terms of primary care. </w:t>
      </w:r>
      <w:r w:rsidR="00982F5D">
        <w:rPr>
          <w:rFonts w:ascii="Arial" w:hAnsi="Arial" w:cs="Arial"/>
        </w:rPr>
        <w:t>Acute care will come under the NRAC allocation formula.</w:t>
      </w:r>
      <w:r w:rsidR="00C6134C">
        <w:rPr>
          <w:rFonts w:ascii="Arial" w:hAnsi="Arial" w:cs="Arial"/>
        </w:rPr>
        <w:t xml:space="preserve"> It was also clarified that only prisoners with a stay of longer </w:t>
      </w:r>
      <w:r w:rsidR="007B2503">
        <w:rPr>
          <w:rFonts w:ascii="Arial" w:hAnsi="Arial" w:cs="Arial"/>
        </w:rPr>
        <w:t xml:space="preserve">than </w:t>
      </w:r>
      <w:r w:rsidR="00C6134C">
        <w:rPr>
          <w:rFonts w:ascii="Arial" w:hAnsi="Arial" w:cs="Arial"/>
        </w:rPr>
        <w:t xml:space="preserve">6 months </w:t>
      </w:r>
      <w:r w:rsidR="00F74D1B">
        <w:rPr>
          <w:rFonts w:ascii="Arial" w:hAnsi="Arial" w:cs="Arial"/>
        </w:rPr>
        <w:t>(</w:t>
      </w:r>
      <w:r w:rsidR="00AC2328">
        <w:rPr>
          <w:rFonts w:ascii="Arial" w:hAnsi="Arial" w:cs="Arial"/>
        </w:rPr>
        <w:t xml:space="preserve">which represents </w:t>
      </w:r>
      <w:r w:rsidR="00F74D1B">
        <w:rPr>
          <w:rFonts w:ascii="Arial" w:hAnsi="Arial" w:cs="Arial"/>
        </w:rPr>
        <w:t xml:space="preserve">a minority of prisoners) </w:t>
      </w:r>
      <w:r w:rsidR="00C6134C">
        <w:rPr>
          <w:rFonts w:ascii="Arial" w:hAnsi="Arial" w:cs="Arial"/>
        </w:rPr>
        <w:t xml:space="preserve">will be recorded under the prisons </w:t>
      </w:r>
      <w:proofErr w:type="spellStart"/>
      <w:r w:rsidR="00C6134C">
        <w:rPr>
          <w:rFonts w:ascii="Arial" w:hAnsi="Arial" w:cs="Arial"/>
        </w:rPr>
        <w:t>datazone</w:t>
      </w:r>
      <w:proofErr w:type="spellEnd"/>
      <w:r w:rsidR="00C6134C">
        <w:rPr>
          <w:rFonts w:ascii="Arial" w:hAnsi="Arial" w:cs="Arial"/>
        </w:rPr>
        <w:t xml:space="preserve">, otherwise the home </w:t>
      </w:r>
      <w:proofErr w:type="spellStart"/>
      <w:r w:rsidR="00C6134C">
        <w:rPr>
          <w:rFonts w:ascii="Arial" w:hAnsi="Arial" w:cs="Arial"/>
        </w:rPr>
        <w:t>datazone</w:t>
      </w:r>
      <w:proofErr w:type="spellEnd"/>
      <w:r w:rsidR="00C6134C">
        <w:rPr>
          <w:rFonts w:ascii="Arial" w:hAnsi="Arial" w:cs="Arial"/>
        </w:rPr>
        <w:t xml:space="preserve"> is used.</w:t>
      </w:r>
    </w:p>
    <w:p w:rsidR="002367FF" w:rsidRDefault="002367FF" w:rsidP="00431B31">
      <w:pPr>
        <w:pStyle w:val="ListParagraph"/>
        <w:spacing w:after="120" w:line="240" w:lineRule="auto"/>
        <w:ind w:left="0"/>
        <w:jc w:val="both"/>
        <w:rPr>
          <w:rFonts w:ascii="Arial" w:hAnsi="Arial" w:cs="Arial"/>
        </w:rPr>
      </w:pPr>
    </w:p>
    <w:p w:rsidR="002367FF" w:rsidRDefault="005279B6" w:rsidP="00431B31">
      <w:pPr>
        <w:pStyle w:val="ListParagraph"/>
        <w:spacing w:after="12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was a suggestion of using</w:t>
      </w:r>
      <w:r w:rsidR="00042C77">
        <w:rPr>
          <w:rFonts w:ascii="Arial" w:hAnsi="Arial" w:cs="Arial"/>
        </w:rPr>
        <w:t xml:space="preserve"> dummy variables for </w:t>
      </w:r>
      <w:proofErr w:type="spellStart"/>
      <w:r w:rsidR="00042C77">
        <w:rPr>
          <w:rFonts w:ascii="Arial" w:hAnsi="Arial" w:cs="Arial"/>
        </w:rPr>
        <w:t>datazones</w:t>
      </w:r>
      <w:proofErr w:type="spellEnd"/>
      <w:r w:rsidR="00042C77">
        <w:rPr>
          <w:rFonts w:ascii="Arial" w:hAnsi="Arial" w:cs="Arial"/>
        </w:rPr>
        <w:t xml:space="preserve"> including a prison.  </w:t>
      </w:r>
      <w:r>
        <w:rPr>
          <w:rFonts w:ascii="Arial" w:hAnsi="Arial" w:cs="Arial"/>
        </w:rPr>
        <w:t xml:space="preserve">This would </w:t>
      </w:r>
      <w:r w:rsidR="007B2503">
        <w:rPr>
          <w:rFonts w:ascii="Arial" w:hAnsi="Arial" w:cs="Arial"/>
        </w:rPr>
        <w:t xml:space="preserve">allow </w:t>
      </w:r>
      <w:r w:rsidR="00042C77">
        <w:rPr>
          <w:rFonts w:ascii="Arial" w:hAnsi="Arial" w:cs="Arial"/>
        </w:rPr>
        <w:t>an average increase in t</w:t>
      </w:r>
      <w:r w:rsidR="00550EFF">
        <w:rPr>
          <w:rFonts w:ascii="Arial" w:hAnsi="Arial" w:cs="Arial"/>
        </w:rPr>
        <w:t>h</w:t>
      </w:r>
      <w:r w:rsidR="00042C77">
        <w:rPr>
          <w:rFonts w:ascii="Arial" w:hAnsi="Arial" w:cs="Arial"/>
        </w:rPr>
        <w:t>e</w:t>
      </w:r>
      <w:r w:rsidR="007B2503">
        <w:rPr>
          <w:rFonts w:ascii="Arial" w:hAnsi="Arial" w:cs="Arial"/>
        </w:rPr>
        <w:t xml:space="preserve"> predicted</w:t>
      </w:r>
      <w:r w:rsidR="00042C77">
        <w:rPr>
          <w:rFonts w:ascii="Arial" w:hAnsi="Arial" w:cs="Arial"/>
        </w:rPr>
        <w:t xml:space="preserve"> cost ratio for all </w:t>
      </w:r>
      <w:proofErr w:type="spellStart"/>
      <w:r w:rsidR="00042C77">
        <w:rPr>
          <w:rFonts w:ascii="Arial" w:hAnsi="Arial" w:cs="Arial"/>
        </w:rPr>
        <w:t>data</w:t>
      </w:r>
      <w:r w:rsidR="00550EFF">
        <w:rPr>
          <w:rFonts w:ascii="Arial" w:hAnsi="Arial" w:cs="Arial"/>
        </w:rPr>
        <w:t>zones</w:t>
      </w:r>
      <w:proofErr w:type="spellEnd"/>
      <w:r w:rsidR="00550EFF">
        <w:rPr>
          <w:rFonts w:ascii="Arial" w:hAnsi="Arial" w:cs="Arial"/>
        </w:rPr>
        <w:t xml:space="preserve"> with a prison</w:t>
      </w:r>
      <w:r w:rsidR="00042C7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550EFF">
        <w:rPr>
          <w:rFonts w:ascii="Arial" w:hAnsi="Arial" w:cs="Arial"/>
        </w:rPr>
        <w:t>The possibility of this will be explored.</w:t>
      </w:r>
    </w:p>
    <w:p w:rsidR="00550EFF" w:rsidRDefault="00550EFF" w:rsidP="00431B31">
      <w:pPr>
        <w:pStyle w:val="ListParagraph"/>
        <w:spacing w:after="120" w:line="240" w:lineRule="auto"/>
        <w:ind w:left="0"/>
        <w:jc w:val="both"/>
        <w:rPr>
          <w:rFonts w:ascii="Arial" w:hAnsi="Arial" w:cs="Arial"/>
        </w:rPr>
      </w:pPr>
    </w:p>
    <w:p w:rsidR="00550EFF" w:rsidRPr="00DD69C8" w:rsidRDefault="00DD69C8" w:rsidP="00431B31">
      <w:pPr>
        <w:pStyle w:val="ListParagraph"/>
        <w:spacing w:after="120"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</w:t>
      </w:r>
      <w:r w:rsidR="003046D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2: </w:t>
      </w:r>
      <w:r w:rsidR="00550EFF" w:rsidRPr="00DD69C8">
        <w:rPr>
          <w:rFonts w:ascii="Arial" w:hAnsi="Arial" w:cs="Arial"/>
          <w:b/>
        </w:rPr>
        <w:t xml:space="preserve"> AST to look into using dummy variables f</w:t>
      </w:r>
      <w:r w:rsidR="00AC7309">
        <w:rPr>
          <w:rFonts w:ascii="Arial" w:hAnsi="Arial" w:cs="Arial"/>
          <w:b/>
        </w:rPr>
        <w:t xml:space="preserve">or </w:t>
      </w:r>
      <w:proofErr w:type="spellStart"/>
      <w:r w:rsidR="00AC7309">
        <w:rPr>
          <w:rFonts w:ascii="Arial" w:hAnsi="Arial" w:cs="Arial"/>
          <w:b/>
        </w:rPr>
        <w:t>datazones</w:t>
      </w:r>
      <w:proofErr w:type="spellEnd"/>
      <w:r w:rsidR="00AC7309">
        <w:rPr>
          <w:rFonts w:ascii="Arial" w:hAnsi="Arial" w:cs="Arial"/>
          <w:b/>
        </w:rPr>
        <w:t xml:space="preserve"> including a prison.</w:t>
      </w:r>
    </w:p>
    <w:p w:rsidR="001A70A4" w:rsidRDefault="001A70A4" w:rsidP="0005723C">
      <w:pPr>
        <w:pStyle w:val="ListParagraph"/>
        <w:spacing w:after="120" w:line="240" w:lineRule="auto"/>
        <w:ind w:left="0"/>
        <w:jc w:val="right"/>
        <w:rPr>
          <w:rFonts w:ascii="Arial" w:hAnsi="Arial" w:cs="Arial"/>
        </w:rPr>
      </w:pPr>
    </w:p>
    <w:p w:rsidR="0005723C" w:rsidRDefault="00C4737C" w:rsidP="0005723C">
      <w:pPr>
        <w:pStyle w:val="ListParagraph"/>
        <w:spacing w:after="12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5723C">
        <w:rPr>
          <w:rFonts w:ascii="Arial" w:hAnsi="Arial" w:cs="Arial"/>
        </w:rPr>
        <w:t>arah also presented paper TAMCL39 which focuses on supply models, taking into account suggestions from the group following th</w:t>
      </w:r>
      <w:r w:rsidR="00D01D1E">
        <w:rPr>
          <w:rFonts w:ascii="Arial" w:hAnsi="Arial" w:cs="Arial"/>
        </w:rPr>
        <w:t>e cir</w:t>
      </w:r>
      <w:r w:rsidR="0005723C">
        <w:rPr>
          <w:rFonts w:ascii="Arial" w:hAnsi="Arial" w:cs="Arial"/>
        </w:rPr>
        <w:t>culation via email of TAMLCL36 in December</w:t>
      </w:r>
      <w:r w:rsidR="00EF6081">
        <w:rPr>
          <w:rFonts w:ascii="Arial" w:hAnsi="Arial" w:cs="Arial"/>
        </w:rPr>
        <w:t>.</w:t>
      </w:r>
      <w:r w:rsidR="00517DF6">
        <w:rPr>
          <w:rFonts w:ascii="Arial" w:hAnsi="Arial" w:cs="Arial"/>
        </w:rPr>
        <w:t xml:space="preserve">  The paper explains the purpose of supply </w:t>
      </w:r>
      <w:proofErr w:type="gramStart"/>
      <w:r w:rsidR="00517DF6">
        <w:rPr>
          <w:rFonts w:ascii="Arial" w:hAnsi="Arial" w:cs="Arial"/>
        </w:rPr>
        <w:t>variables, that</w:t>
      </w:r>
      <w:proofErr w:type="gramEnd"/>
      <w:r w:rsidR="00517DF6">
        <w:rPr>
          <w:rFonts w:ascii="Arial" w:hAnsi="Arial" w:cs="Arial"/>
        </w:rPr>
        <w:t xml:space="preserve"> is to control for the ef</w:t>
      </w:r>
      <w:r w:rsidR="005F7742">
        <w:rPr>
          <w:rFonts w:ascii="Arial" w:hAnsi="Arial" w:cs="Arial"/>
        </w:rPr>
        <w:t>fect of healthcare availability and accessibility.</w:t>
      </w:r>
      <w:r w:rsidR="00D7216E">
        <w:rPr>
          <w:rFonts w:ascii="Arial" w:hAnsi="Arial" w:cs="Arial"/>
        </w:rPr>
        <w:t xml:space="preserve">  It was agreed that the paper was very helpful in improving the </w:t>
      </w:r>
      <w:proofErr w:type="gramStart"/>
      <w:r w:rsidR="00D7216E">
        <w:rPr>
          <w:rFonts w:ascii="Arial" w:hAnsi="Arial" w:cs="Arial"/>
        </w:rPr>
        <w:t>Subgroup’s understanding</w:t>
      </w:r>
      <w:proofErr w:type="gramEnd"/>
      <w:r w:rsidR="00D7216E">
        <w:rPr>
          <w:rFonts w:ascii="Arial" w:hAnsi="Arial" w:cs="Arial"/>
        </w:rPr>
        <w:t xml:space="preserve"> of supply variables.</w:t>
      </w:r>
    </w:p>
    <w:p w:rsidR="00EE0071" w:rsidRDefault="00EE0071" w:rsidP="0005723C">
      <w:pPr>
        <w:pStyle w:val="ListParagraph"/>
        <w:spacing w:after="120" w:line="240" w:lineRule="auto"/>
        <w:ind w:left="0"/>
        <w:rPr>
          <w:rFonts w:ascii="Arial" w:hAnsi="Arial" w:cs="Arial"/>
        </w:rPr>
      </w:pPr>
    </w:p>
    <w:p w:rsidR="00EE0071" w:rsidRDefault="00EE0071" w:rsidP="0005723C">
      <w:pPr>
        <w:pStyle w:val="ListParagraph"/>
        <w:spacing w:after="12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The various options for </w:t>
      </w:r>
      <w:r w:rsidR="00F20CF0">
        <w:rPr>
          <w:rFonts w:ascii="Arial" w:hAnsi="Arial" w:cs="Arial"/>
        </w:rPr>
        <w:t>supply varia</w:t>
      </w:r>
      <w:r w:rsidR="00393D3E">
        <w:rPr>
          <w:rFonts w:ascii="Arial" w:hAnsi="Arial" w:cs="Arial"/>
        </w:rPr>
        <w:t>bles were explained, including d</w:t>
      </w:r>
      <w:r w:rsidR="00F20CF0">
        <w:rPr>
          <w:rFonts w:ascii="Arial" w:hAnsi="Arial" w:cs="Arial"/>
        </w:rPr>
        <w:t>etailed explanation of how each is con</w:t>
      </w:r>
      <w:r w:rsidR="00393D3E">
        <w:rPr>
          <w:rFonts w:ascii="Arial" w:hAnsi="Arial" w:cs="Arial"/>
        </w:rPr>
        <w:t xml:space="preserve">structed and what they represent.  </w:t>
      </w:r>
    </w:p>
    <w:p w:rsidR="00393D3E" w:rsidRDefault="00393D3E" w:rsidP="0005723C">
      <w:pPr>
        <w:pStyle w:val="ListParagraph"/>
        <w:spacing w:after="120" w:line="240" w:lineRule="auto"/>
        <w:ind w:left="0"/>
        <w:rPr>
          <w:rFonts w:ascii="Arial" w:hAnsi="Arial" w:cs="Arial"/>
        </w:rPr>
      </w:pPr>
    </w:p>
    <w:p w:rsidR="00393D3E" w:rsidRDefault="00393D3E" w:rsidP="0005723C">
      <w:pPr>
        <w:pStyle w:val="ListParagraph"/>
        <w:spacing w:after="12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gramStart"/>
      <w:r>
        <w:rPr>
          <w:rFonts w:ascii="Arial" w:hAnsi="Arial" w:cs="Arial"/>
        </w:rPr>
        <w:t>analysis of supply variables correlation with cost ratios were</w:t>
      </w:r>
      <w:proofErr w:type="gramEnd"/>
      <w:r>
        <w:rPr>
          <w:rFonts w:ascii="Arial" w:hAnsi="Arial" w:cs="Arial"/>
        </w:rPr>
        <w:t xml:space="preserve"> explained.  Each supply variable option was considered along with the TAGRA core criteria, as shown in table 8 of paper TAMLC39.  </w:t>
      </w:r>
    </w:p>
    <w:p w:rsidR="00393D3E" w:rsidRDefault="00393D3E" w:rsidP="0005723C">
      <w:pPr>
        <w:pStyle w:val="ListParagraph"/>
        <w:spacing w:after="120" w:line="240" w:lineRule="auto"/>
        <w:ind w:left="0"/>
        <w:rPr>
          <w:rFonts w:ascii="Arial" w:hAnsi="Arial" w:cs="Arial"/>
        </w:rPr>
      </w:pPr>
    </w:p>
    <w:p w:rsidR="00393D3E" w:rsidRDefault="00EF6081" w:rsidP="0005723C">
      <w:pPr>
        <w:pStyle w:val="ListParagraph"/>
        <w:spacing w:after="12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It </w:t>
      </w:r>
      <w:r w:rsidR="00E278CF">
        <w:rPr>
          <w:rFonts w:ascii="Arial" w:hAnsi="Arial" w:cs="Arial"/>
        </w:rPr>
        <w:t>was agreed</w:t>
      </w:r>
      <w:r>
        <w:rPr>
          <w:rFonts w:ascii="Arial" w:hAnsi="Arial" w:cs="Arial"/>
        </w:rPr>
        <w:t xml:space="preserve"> to use IPACX for inpatient diagnosis </w:t>
      </w:r>
      <w:r w:rsidR="00393D3E">
        <w:rPr>
          <w:rFonts w:ascii="Arial" w:hAnsi="Arial" w:cs="Arial"/>
        </w:rPr>
        <w:t xml:space="preserve">groups and OPACX for outpatients.  </w:t>
      </w:r>
      <w:r w:rsidR="0065689D">
        <w:rPr>
          <w:rFonts w:ascii="Arial" w:hAnsi="Arial" w:cs="Arial"/>
        </w:rPr>
        <w:t xml:space="preserve">For the </w:t>
      </w:r>
      <w:r>
        <w:rPr>
          <w:rFonts w:ascii="Arial" w:hAnsi="Arial" w:cs="Arial"/>
        </w:rPr>
        <w:t>‘A</w:t>
      </w:r>
      <w:r w:rsidR="0065689D">
        <w:rPr>
          <w:rFonts w:ascii="Arial" w:hAnsi="Arial" w:cs="Arial"/>
        </w:rPr>
        <w:t>ll acute</w:t>
      </w:r>
      <w:r>
        <w:rPr>
          <w:rFonts w:ascii="Arial" w:hAnsi="Arial" w:cs="Arial"/>
        </w:rPr>
        <w:t>’</w:t>
      </w:r>
      <w:r w:rsidR="0065689D">
        <w:rPr>
          <w:rFonts w:ascii="Arial" w:hAnsi="Arial" w:cs="Arial"/>
        </w:rPr>
        <w:t xml:space="preserve"> option, IPACX will be used</w:t>
      </w:r>
      <w:r>
        <w:rPr>
          <w:rFonts w:ascii="Arial" w:hAnsi="Arial" w:cs="Arial"/>
        </w:rPr>
        <w:t>,</w:t>
      </w:r>
      <w:r w:rsidR="0065689D">
        <w:rPr>
          <w:rFonts w:ascii="Arial" w:hAnsi="Arial" w:cs="Arial"/>
        </w:rPr>
        <w:t xml:space="preserve"> since inpatient data makes up the majority of this group.</w:t>
      </w:r>
    </w:p>
    <w:p w:rsidR="00164A2C" w:rsidRDefault="00164A2C" w:rsidP="0005723C">
      <w:pPr>
        <w:pStyle w:val="ListParagraph"/>
        <w:spacing w:after="120" w:line="240" w:lineRule="auto"/>
        <w:ind w:left="0"/>
        <w:rPr>
          <w:rFonts w:ascii="Arial" w:hAnsi="Arial" w:cs="Arial"/>
        </w:rPr>
      </w:pPr>
    </w:p>
    <w:p w:rsidR="00164A2C" w:rsidRDefault="00164A2C" w:rsidP="0005723C">
      <w:pPr>
        <w:pStyle w:val="ListParagraph"/>
        <w:spacing w:after="12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It was noted that </w:t>
      </w:r>
      <w:r w:rsidR="00DA294E">
        <w:rPr>
          <w:rFonts w:ascii="Arial" w:hAnsi="Arial" w:cs="Arial"/>
        </w:rPr>
        <w:t>changes to primary care services in</w:t>
      </w:r>
      <w:r>
        <w:rPr>
          <w:rFonts w:ascii="Arial" w:hAnsi="Arial" w:cs="Arial"/>
        </w:rPr>
        <w:t xml:space="preserve"> the future wil</w:t>
      </w:r>
      <w:r w:rsidR="007877F1">
        <w:rPr>
          <w:rFonts w:ascii="Arial" w:hAnsi="Arial" w:cs="Arial"/>
        </w:rPr>
        <w:t xml:space="preserve">l </w:t>
      </w:r>
      <w:r w:rsidR="00DA294E">
        <w:rPr>
          <w:rFonts w:ascii="Arial" w:hAnsi="Arial" w:cs="Arial"/>
        </w:rPr>
        <w:t xml:space="preserve">affect which </w:t>
      </w:r>
      <w:r w:rsidR="007877F1">
        <w:rPr>
          <w:rFonts w:ascii="Arial" w:hAnsi="Arial" w:cs="Arial"/>
        </w:rPr>
        <w:t>measure</w:t>
      </w:r>
      <w:r w:rsidR="00DA294E">
        <w:rPr>
          <w:rFonts w:ascii="Arial" w:hAnsi="Arial" w:cs="Arial"/>
        </w:rPr>
        <w:t>s of primary care supply are appropriate and this should be kept in mind.</w:t>
      </w:r>
    </w:p>
    <w:p w:rsidR="00393D3E" w:rsidRDefault="00393D3E" w:rsidP="0005723C">
      <w:pPr>
        <w:pStyle w:val="ListParagraph"/>
        <w:spacing w:after="120" w:line="240" w:lineRule="auto"/>
        <w:ind w:left="0"/>
        <w:rPr>
          <w:rFonts w:ascii="Arial" w:hAnsi="Arial" w:cs="Arial"/>
        </w:rPr>
      </w:pPr>
    </w:p>
    <w:p w:rsidR="0005723C" w:rsidRDefault="0005723C" w:rsidP="0005723C">
      <w:pPr>
        <w:pStyle w:val="ListParagraph"/>
        <w:spacing w:after="120" w:line="240" w:lineRule="auto"/>
        <w:ind w:left="0"/>
        <w:rPr>
          <w:rFonts w:ascii="Arial" w:hAnsi="Arial" w:cs="Arial"/>
        </w:rPr>
      </w:pPr>
    </w:p>
    <w:p w:rsidR="001A70A4" w:rsidRDefault="001A70A4" w:rsidP="003412AE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</w:rPr>
      </w:pPr>
      <w:r w:rsidRPr="001A70A4">
        <w:rPr>
          <w:rFonts w:ascii="Arial" w:hAnsi="Arial" w:cs="Arial"/>
          <w:b/>
        </w:rPr>
        <w:t>Indicator selection results</w:t>
      </w:r>
    </w:p>
    <w:p w:rsidR="00BF72F6" w:rsidRDefault="00393D3E" w:rsidP="00393D3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Lynne Jarvis presented paper TAMLC40 which gives an update of the </w:t>
      </w:r>
      <w:r w:rsidR="0098679E">
        <w:rPr>
          <w:rFonts w:ascii="Arial" w:hAnsi="Arial" w:cs="Arial"/>
        </w:rPr>
        <w:t>initial analysis on the final potential candidate variable list.</w:t>
      </w:r>
      <w:r w:rsidR="00BF72F6">
        <w:rPr>
          <w:rFonts w:ascii="Arial" w:hAnsi="Arial" w:cs="Arial"/>
        </w:rPr>
        <w:t xml:space="preserve">  </w:t>
      </w:r>
    </w:p>
    <w:p w:rsidR="00393D3E" w:rsidRDefault="00BF72F6" w:rsidP="00393D3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first part of the selection process was to r</w:t>
      </w:r>
      <w:r w:rsidR="00C9107D">
        <w:rPr>
          <w:rFonts w:ascii="Arial" w:hAnsi="Arial" w:cs="Arial"/>
        </w:rPr>
        <w:t>emove variables for which over 30</w:t>
      </w:r>
      <w:r>
        <w:rPr>
          <w:rFonts w:ascii="Arial" w:hAnsi="Arial" w:cs="Arial"/>
        </w:rPr>
        <w:t xml:space="preserve">% of </w:t>
      </w:r>
      <w:proofErr w:type="spellStart"/>
      <w:r>
        <w:rPr>
          <w:rFonts w:ascii="Arial" w:hAnsi="Arial" w:cs="Arial"/>
        </w:rPr>
        <w:t>datazones</w:t>
      </w:r>
      <w:proofErr w:type="spellEnd"/>
      <w:r>
        <w:rPr>
          <w:rFonts w:ascii="Arial" w:hAnsi="Arial" w:cs="Arial"/>
        </w:rPr>
        <w:t xml:space="preserve"> have zero values.    The two ethnicity variables (Gypsy / Traveller and Pakistani) would be excluded under this criteria which prompted concerns that some measure of ethnicity should be included in the needs index.</w:t>
      </w:r>
    </w:p>
    <w:p w:rsidR="007018C8" w:rsidRDefault="00C4737C" w:rsidP="00393D3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018C8">
        <w:rPr>
          <w:rFonts w:ascii="Arial" w:hAnsi="Arial" w:cs="Arial"/>
        </w:rPr>
        <w:t>t was agreed to further investigate the ethnicity variables, including the possibil</w:t>
      </w:r>
      <w:r w:rsidR="004F7637">
        <w:rPr>
          <w:rFonts w:ascii="Arial" w:hAnsi="Arial" w:cs="Arial"/>
        </w:rPr>
        <w:t>it</w:t>
      </w:r>
      <w:r w:rsidR="00550421">
        <w:rPr>
          <w:rFonts w:ascii="Arial" w:hAnsi="Arial" w:cs="Arial"/>
        </w:rPr>
        <w:t xml:space="preserve">y of using intermediate zone </w:t>
      </w:r>
      <w:r w:rsidR="00673E8D">
        <w:rPr>
          <w:rFonts w:ascii="Arial" w:hAnsi="Arial" w:cs="Arial"/>
        </w:rPr>
        <w:t xml:space="preserve">averages to get around the large number of zeros at data zones, </w:t>
      </w:r>
      <w:r w:rsidR="00550421">
        <w:rPr>
          <w:rFonts w:ascii="Arial" w:hAnsi="Arial" w:cs="Arial"/>
        </w:rPr>
        <w:t>and</w:t>
      </w:r>
      <w:r w:rsidR="004F7637">
        <w:rPr>
          <w:rFonts w:ascii="Arial" w:hAnsi="Arial" w:cs="Arial"/>
        </w:rPr>
        <w:t xml:space="preserve"> creating</w:t>
      </w:r>
      <w:r w:rsidR="00673E8D">
        <w:rPr>
          <w:rFonts w:ascii="Arial" w:hAnsi="Arial" w:cs="Arial"/>
        </w:rPr>
        <w:t xml:space="preserve"> variable(s) using</w:t>
      </w:r>
      <w:r w:rsidR="004F7637">
        <w:rPr>
          <w:rFonts w:ascii="Arial" w:hAnsi="Arial" w:cs="Arial"/>
        </w:rPr>
        <w:t xml:space="preserve"> broader groups.</w:t>
      </w:r>
      <w:r w:rsidR="00550421">
        <w:rPr>
          <w:rFonts w:ascii="Arial" w:hAnsi="Arial" w:cs="Arial"/>
        </w:rPr>
        <w:t xml:space="preserve">  Karen Facey, Lynne Jarvis and Pauline Craig will meet to further discuss the ethnicity variables.</w:t>
      </w:r>
    </w:p>
    <w:p w:rsidR="00C4737C" w:rsidRDefault="00C4737C" w:rsidP="00393D3E">
      <w:pPr>
        <w:spacing w:after="120" w:line="240" w:lineRule="auto"/>
        <w:jc w:val="both"/>
        <w:rPr>
          <w:rFonts w:ascii="Arial" w:hAnsi="Arial" w:cs="Arial"/>
        </w:rPr>
      </w:pPr>
    </w:p>
    <w:p w:rsidR="00550421" w:rsidRDefault="00550421" w:rsidP="00393D3E">
      <w:pPr>
        <w:spacing w:after="120" w:line="240" w:lineRule="auto"/>
        <w:jc w:val="both"/>
        <w:rPr>
          <w:rFonts w:ascii="Arial" w:hAnsi="Arial" w:cs="Arial"/>
          <w:b/>
        </w:rPr>
      </w:pPr>
      <w:r w:rsidRPr="00550421">
        <w:rPr>
          <w:rFonts w:ascii="Arial" w:hAnsi="Arial" w:cs="Arial"/>
          <w:b/>
        </w:rPr>
        <w:t>Action 3</w:t>
      </w:r>
      <w:r>
        <w:rPr>
          <w:rFonts w:ascii="Arial" w:hAnsi="Arial" w:cs="Arial"/>
          <w:b/>
        </w:rPr>
        <w:t>: AST to investigate analysing ethnicity variables at intermediate zone level and also creating broader ethnicity groupings.</w:t>
      </w:r>
    </w:p>
    <w:p w:rsidR="00550421" w:rsidRDefault="00550421" w:rsidP="00393D3E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 4: Lynne Jarvis to arrange a telephone meeting with Karen Facey and Pauline Craig to discuss ethnicity and HIIA work.</w:t>
      </w:r>
    </w:p>
    <w:p w:rsidR="003071F8" w:rsidRDefault="003071F8" w:rsidP="00393D3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next section of the paper looked at the current diagnostic groups and whether ‘outpatients’ should be split between the other 6 groups (Cancer, Heart, Digestive, Injury, Respiratory, Other) and whether there is a suitable way to do this.  </w:t>
      </w:r>
      <w:r w:rsidR="003C0E09">
        <w:rPr>
          <w:rFonts w:ascii="Arial" w:hAnsi="Arial" w:cs="Arial"/>
        </w:rPr>
        <w:t>In the absence of diagnostic</w:t>
      </w:r>
      <w:r>
        <w:rPr>
          <w:rFonts w:ascii="Arial" w:hAnsi="Arial" w:cs="Arial"/>
        </w:rPr>
        <w:t xml:space="preserve"> information on outpatient data, it was agreed to look into the possibility of applying the diagnosis / specialty mapping in SMR01 (inpatients and </w:t>
      </w:r>
      <w:proofErr w:type="spellStart"/>
      <w:r>
        <w:rPr>
          <w:rFonts w:ascii="Arial" w:hAnsi="Arial" w:cs="Arial"/>
        </w:rPr>
        <w:t>daycases</w:t>
      </w:r>
      <w:proofErr w:type="spellEnd"/>
      <w:r>
        <w:rPr>
          <w:rFonts w:ascii="Arial" w:hAnsi="Arial" w:cs="Arial"/>
        </w:rPr>
        <w:t>) to SMR00 data (outpatients).</w:t>
      </w:r>
    </w:p>
    <w:p w:rsidR="00C4737C" w:rsidRDefault="00C4737C" w:rsidP="00393D3E">
      <w:pPr>
        <w:spacing w:after="120" w:line="240" w:lineRule="auto"/>
        <w:jc w:val="both"/>
        <w:rPr>
          <w:rFonts w:ascii="Arial" w:hAnsi="Arial" w:cs="Arial"/>
        </w:rPr>
      </w:pPr>
    </w:p>
    <w:p w:rsidR="003071F8" w:rsidRDefault="003071F8" w:rsidP="00393D3E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 5: AST to look at whether there is a feasible way to assign the outpatients to the other 6 diagnostic groups.</w:t>
      </w:r>
    </w:p>
    <w:p w:rsidR="00C4737C" w:rsidRPr="003071F8" w:rsidRDefault="00C4737C" w:rsidP="00393D3E">
      <w:pPr>
        <w:spacing w:after="120" w:line="240" w:lineRule="auto"/>
        <w:jc w:val="both"/>
        <w:rPr>
          <w:rFonts w:ascii="Arial" w:hAnsi="Arial" w:cs="Arial"/>
          <w:b/>
        </w:rPr>
      </w:pPr>
    </w:p>
    <w:p w:rsidR="00F811C0" w:rsidRDefault="00A614E1" w:rsidP="00393D3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E278CF">
        <w:rPr>
          <w:rFonts w:ascii="Arial" w:hAnsi="Arial" w:cs="Arial"/>
        </w:rPr>
        <w:t xml:space="preserve"> group were reminded that the</w:t>
      </w:r>
      <w:r>
        <w:rPr>
          <w:rFonts w:ascii="Arial" w:hAnsi="Arial" w:cs="Arial"/>
        </w:rPr>
        <w:t xml:space="preserve">re has </w:t>
      </w:r>
      <w:r w:rsidR="00E278CF">
        <w:rPr>
          <w:rFonts w:ascii="Arial" w:hAnsi="Arial" w:cs="Arial"/>
        </w:rPr>
        <w:t xml:space="preserve">already </w:t>
      </w:r>
      <w:r>
        <w:rPr>
          <w:rFonts w:ascii="Arial" w:hAnsi="Arial" w:cs="Arial"/>
        </w:rPr>
        <w:t>been som</w:t>
      </w:r>
      <w:r w:rsidR="00A17D17">
        <w:rPr>
          <w:rFonts w:ascii="Arial" w:hAnsi="Arial" w:cs="Arial"/>
        </w:rPr>
        <w:t xml:space="preserve">e discussion around </w:t>
      </w:r>
      <w:r w:rsidRPr="00A614E1">
        <w:rPr>
          <w:rFonts w:ascii="Arial" w:hAnsi="Arial" w:cs="Arial"/>
        </w:rPr>
        <w:t xml:space="preserve">the </w:t>
      </w:r>
      <w:r w:rsidR="00A17D17">
        <w:rPr>
          <w:rFonts w:ascii="Arial" w:hAnsi="Arial" w:cs="Arial"/>
        </w:rPr>
        <w:t>‘Other’ diagnostic group and whether this could be improved.  I</w:t>
      </w:r>
      <w:r w:rsidRPr="00A614E1">
        <w:rPr>
          <w:rFonts w:ascii="Arial" w:hAnsi="Arial" w:cs="Arial"/>
        </w:rPr>
        <w:t xml:space="preserve">t was explained that the only code group within </w:t>
      </w:r>
      <w:r>
        <w:rPr>
          <w:rFonts w:ascii="Arial" w:hAnsi="Arial" w:cs="Arial"/>
        </w:rPr>
        <w:t>‘</w:t>
      </w:r>
      <w:r w:rsidRPr="00A614E1">
        <w:rPr>
          <w:rFonts w:ascii="Arial" w:hAnsi="Arial" w:cs="Arial"/>
        </w:rPr>
        <w:t>Other</w:t>
      </w:r>
      <w:r>
        <w:rPr>
          <w:rFonts w:ascii="Arial" w:hAnsi="Arial" w:cs="Arial"/>
        </w:rPr>
        <w:t>’</w:t>
      </w:r>
      <w:r w:rsidRPr="00A614E1">
        <w:rPr>
          <w:rFonts w:ascii="Arial" w:hAnsi="Arial" w:cs="Arial"/>
        </w:rPr>
        <w:t xml:space="preserve"> that was comparable in size to the existing diagnostic groups was ‘Symptoms, signs and abnormal clinical and laboratory findings, not elsewhere classified’, which did not seem a good candidate for a separate diagnostic group</w:t>
      </w:r>
      <w:r w:rsidR="00A17D17">
        <w:rPr>
          <w:rFonts w:ascii="Arial" w:hAnsi="Arial" w:cs="Arial"/>
        </w:rPr>
        <w:t>.</w:t>
      </w:r>
    </w:p>
    <w:p w:rsidR="00A17D17" w:rsidRPr="00A614E1" w:rsidRDefault="00C9107D" w:rsidP="00393D3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17D17">
        <w:rPr>
          <w:rFonts w:ascii="Arial" w:hAnsi="Arial" w:cs="Arial"/>
        </w:rPr>
        <w:t>t was agreed to look at the performance of the indicators using the separate diagnostic groups and also a ‘Whole acute’ group.</w:t>
      </w:r>
    </w:p>
    <w:p w:rsidR="003046DB" w:rsidRDefault="009A55AB" w:rsidP="00393D3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first stage of the indicator selection methodology and results w</w:t>
      </w:r>
      <w:r w:rsidR="00E278CF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described.</w:t>
      </w:r>
      <w:r w:rsidR="00525713">
        <w:rPr>
          <w:rFonts w:ascii="Arial" w:hAnsi="Arial" w:cs="Arial"/>
        </w:rPr>
        <w:t xml:space="preserve">  This produced an initial list of variables, whic</w:t>
      </w:r>
      <w:r w:rsidR="003C0E09">
        <w:rPr>
          <w:rFonts w:ascii="Arial" w:hAnsi="Arial" w:cs="Arial"/>
        </w:rPr>
        <w:t xml:space="preserve">h were approved by the Subgroup as being suitable to be taken forward for the next stage of analysis.  </w:t>
      </w:r>
      <w:r w:rsidR="00674E6A">
        <w:rPr>
          <w:rFonts w:ascii="Arial" w:hAnsi="Arial" w:cs="Arial"/>
        </w:rPr>
        <w:t xml:space="preserve">This includes the ethnicity variables, </w:t>
      </w:r>
      <w:r w:rsidR="00E278CF">
        <w:rPr>
          <w:rFonts w:ascii="Arial" w:hAnsi="Arial" w:cs="Arial"/>
        </w:rPr>
        <w:t xml:space="preserve">which will be determined after actions 3/4. </w:t>
      </w:r>
    </w:p>
    <w:p w:rsidR="003046DB" w:rsidRDefault="003046DB" w:rsidP="003046D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</w:rPr>
      </w:pPr>
      <w:r w:rsidRPr="003046DB">
        <w:rPr>
          <w:rFonts w:ascii="Arial" w:hAnsi="Arial" w:cs="Arial"/>
          <w:b/>
        </w:rPr>
        <w:t>Work plan</w:t>
      </w:r>
    </w:p>
    <w:p w:rsidR="009B4191" w:rsidRPr="009B4191" w:rsidRDefault="009B4191" w:rsidP="009B419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Lynne Jar</w:t>
      </w:r>
      <w:bookmarkStart w:id="0" w:name="_GoBack"/>
      <w:bookmarkEnd w:id="0"/>
      <w:r>
        <w:rPr>
          <w:rFonts w:ascii="Arial" w:hAnsi="Arial" w:cs="Arial"/>
        </w:rPr>
        <w:t>vis went over the current work plan</w:t>
      </w:r>
      <w:r w:rsidR="007B197A">
        <w:rPr>
          <w:rFonts w:ascii="Arial" w:hAnsi="Arial" w:cs="Arial"/>
        </w:rPr>
        <w:t xml:space="preserve">.  The results of the next stage of the analysis of indicators will be reported at the next Subgroup meeting in March.  A first draft of the final report to TAGRA will be available </w:t>
      </w:r>
      <w:r w:rsidR="00B35F29">
        <w:rPr>
          <w:rFonts w:ascii="Arial" w:hAnsi="Arial" w:cs="Arial"/>
        </w:rPr>
        <w:t xml:space="preserve">at </w:t>
      </w:r>
      <w:r w:rsidR="007B197A">
        <w:rPr>
          <w:rFonts w:ascii="Arial" w:hAnsi="Arial" w:cs="Arial"/>
        </w:rPr>
        <w:t>this meeting.</w:t>
      </w:r>
    </w:p>
    <w:p w:rsidR="009B4191" w:rsidRPr="009B4191" w:rsidRDefault="009B4191" w:rsidP="009B4191">
      <w:pPr>
        <w:spacing w:after="120" w:line="240" w:lineRule="auto"/>
        <w:jc w:val="both"/>
        <w:rPr>
          <w:rFonts w:ascii="Arial" w:hAnsi="Arial" w:cs="Arial"/>
          <w:b/>
        </w:rPr>
      </w:pPr>
    </w:p>
    <w:p w:rsidR="003046DB" w:rsidRDefault="003046DB" w:rsidP="003046D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Timetable of future meetings</w:t>
      </w:r>
    </w:p>
    <w:p w:rsidR="007B197A" w:rsidRDefault="007B197A" w:rsidP="007B197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 will now be in a phase of more frequent meetings</w:t>
      </w:r>
      <w:r w:rsidR="00CE0353">
        <w:rPr>
          <w:rFonts w:ascii="Arial" w:hAnsi="Arial" w:cs="Arial"/>
        </w:rPr>
        <w:t xml:space="preserve"> as </w:t>
      </w:r>
      <w:r>
        <w:rPr>
          <w:rFonts w:ascii="Arial" w:hAnsi="Arial" w:cs="Arial"/>
        </w:rPr>
        <w:t xml:space="preserve">results of the analysis and </w:t>
      </w:r>
      <w:r w:rsidR="00CE0353">
        <w:rPr>
          <w:rFonts w:ascii="Arial" w:hAnsi="Arial" w:cs="Arial"/>
        </w:rPr>
        <w:t>drafts of the report are available to</w:t>
      </w:r>
      <w:r>
        <w:rPr>
          <w:rFonts w:ascii="Arial" w:hAnsi="Arial" w:cs="Arial"/>
        </w:rPr>
        <w:t xml:space="preserve"> present.  The next meeting is planned for Tuesday 15</w:t>
      </w:r>
      <w:r w:rsidRPr="007B197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March, with further meetings to be arranged for May, June and July.</w:t>
      </w:r>
    </w:p>
    <w:p w:rsidR="00CA55C5" w:rsidRPr="007B197A" w:rsidRDefault="00CA55C5" w:rsidP="007B197A">
      <w:pPr>
        <w:spacing w:after="120" w:line="240" w:lineRule="auto"/>
        <w:jc w:val="both"/>
        <w:rPr>
          <w:rFonts w:ascii="Arial" w:hAnsi="Arial" w:cs="Arial"/>
        </w:rPr>
      </w:pPr>
    </w:p>
    <w:p w:rsidR="003046DB" w:rsidRPr="00C4737C" w:rsidRDefault="003046DB" w:rsidP="00C4737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</w:rPr>
      </w:pPr>
      <w:r w:rsidRPr="00C4737C">
        <w:rPr>
          <w:rFonts w:ascii="Arial" w:hAnsi="Arial" w:cs="Arial"/>
          <w:b/>
        </w:rPr>
        <w:t>AOB</w:t>
      </w:r>
    </w:p>
    <w:p w:rsidR="003046DB" w:rsidRDefault="00CA55C5" w:rsidP="003046DB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No-one in the group had anything further to add.</w:t>
      </w:r>
    </w:p>
    <w:p w:rsidR="00C4737C" w:rsidRDefault="00C4737C" w:rsidP="003046DB">
      <w:pPr>
        <w:spacing w:after="120" w:line="240" w:lineRule="auto"/>
        <w:jc w:val="both"/>
        <w:rPr>
          <w:rFonts w:ascii="Arial" w:hAnsi="Arial" w:cs="Arial"/>
        </w:rPr>
      </w:pPr>
    </w:p>
    <w:p w:rsidR="00C4737C" w:rsidRDefault="00C4737C" w:rsidP="00C4737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of next meeting</w:t>
      </w:r>
    </w:p>
    <w:p w:rsidR="00C4737C" w:rsidRPr="00C4737C" w:rsidRDefault="00C4737C" w:rsidP="00C4737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Tuesday 15</w:t>
      </w:r>
      <w:r w:rsidRPr="00C4737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</w:t>
      </w:r>
      <w:r w:rsidR="00B62DBE">
        <w:rPr>
          <w:rFonts w:ascii="Arial" w:hAnsi="Arial" w:cs="Arial"/>
        </w:rPr>
        <w:t xml:space="preserve">h PM.  Exact times and location </w:t>
      </w:r>
      <w:r>
        <w:rPr>
          <w:rFonts w:ascii="Arial" w:hAnsi="Arial" w:cs="Arial"/>
        </w:rPr>
        <w:t>TBA.</w:t>
      </w:r>
    </w:p>
    <w:p w:rsidR="00F811C0" w:rsidRDefault="00F811C0" w:rsidP="00393D3E">
      <w:pPr>
        <w:spacing w:after="120" w:line="240" w:lineRule="auto"/>
        <w:jc w:val="both"/>
        <w:rPr>
          <w:rFonts w:ascii="Arial" w:hAnsi="Arial" w:cs="Arial"/>
        </w:rPr>
      </w:pPr>
    </w:p>
    <w:p w:rsidR="00F811C0" w:rsidRPr="00393D3E" w:rsidRDefault="00F811C0" w:rsidP="00393D3E">
      <w:pPr>
        <w:spacing w:after="120" w:line="240" w:lineRule="auto"/>
        <w:jc w:val="both"/>
        <w:rPr>
          <w:rFonts w:ascii="Arial" w:hAnsi="Arial" w:cs="Arial"/>
        </w:rPr>
      </w:pPr>
    </w:p>
    <w:sectPr w:rsidR="00F811C0" w:rsidRPr="00393D3E" w:rsidSect="000F72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F7A4F"/>
    <w:multiLevelType w:val="hybridMultilevel"/>
    <w:tmpl w:val="3CE8E488"/>
    <w:lvl w:ilvl="0" w:tplc="CCD6D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4617DE"/>
    <w:rsid w:val="00042C77"/>
    <w:rsid w:val="0005723C"/>
    <w:rsid w:val="00067673"/>
    <w:rsid w:val="000A7271"/>
    <w:rsid w:val="000F72F8"/>
    <w:rsid w:val="00126032"/>
    <w:rsid w:val="001506AC"/>
    <w:rsid w:val="00164A2C"/>
    <w:rsid w:val="001A145E"/>
    <w:rsid w:val="001A70A4"/>
    <w:rsid w:val="001B6E6D"/>
    <w:rsid w:val="002367FF"/>
    <w:rsid w:val="002A353D"/>
    <w:rsid w:val="003046DB"/>
    <w:rsid w:val="003071F8"/>
    <w:rsid w:val="003412AE"/>
    <w:rsid w:val="00390EBD"/>
    <w:rsid w:val="00393D3E"/>
    <w:rsid w:val="003A5F34"/>
    <w:rsid w:val="003C0E09"/>
    <w:rsid w:val="00431B31"/>
    <w:rsid w:val="004617DE"/>
    <w:rsid w:val="004826F0"/>
    <w:rsid w:val="004F7637"/>
    <w:rsid w:val="0051464B"/>
    <w:rsid w:val="00517DF6"/>
    <w:rsid w:val="00525713"/>
    <w:rsid w:val="005279B6"/>
    <w:rsid w:val="00537501"/>
    <w:rsid w:val="00545D51"/>
    <w:rsid w:val="00550421"/>
    <w:rsid w:val="00550EFF"/>
    <w:rsid w:val="005D03DE"/>
    <w:rsid w:val="005D7E45"/>
    <w:rsid w:val="005F733F"/>
    <w:rsid w:val="005F7742"/>
    <w:rsid w:val="0065689D"/>
    <w:rsid w:val="00673E8D"/>
    <w:rsid w:val="00674E6A"/>
    <w:rsid w:val="006A2622"/>
    <w:rsid w:val="006C3B32"/>
    <w:rsid w:val="006E4316"/>
    <w:rsid w:val="00700088"/>
    <w:rsid w:val="007018C8"/>
    <w:rsid w:val="00754B65"/>
    <w:rsid w:val="007672C5"/>
    <w:rsid w:val="007877F1"/>
    <w:rsid w:val="007B197A"/>
    <w:rsid w:val="007B2503"/>
    <w:rsid w:val="00830E79"/>
    <w:rsid w:val="00876650"/>
    <w:rsid w:val="00982F5D"/>
    <w:rsid w:val="0098679E"/>
    <w:rsid w:val="009A55AB"/>
    <w:rsid w:val="009B4191"/>
    <w:rsid w:val="009B69C2"/>
    <w:rsid w:val="00A037B8"/>
    <w:rsid w:val="00A17D17"/>
    <w:rsid w:val="00A25AC9"/>
    <w:rsid w:val="00A614E1"/>
    <w:rsid w:val="00AA0C3C"/>
    <w:rsid w:val="00AC2328"/>
    <w:rsid w:val="00AC7309"/>
    <w:rsid w:val="00B35F29"/>
    <w:rsid w:val="00B62DBE"/>
    <w:rsid w:val="00B713B2"/>
    <w:rsid w:val="00BF72F6"/>
    <w:rsid w:val="00C03C7A"/>
    <w:rsid w:val="00C044D6"/>
    <w:rsid w:val="00C40AE6"/>
    <w:rsid w:val="00C4737C"/>
    <w:rsid w:val="00C6134C"/>
    <w:rsid w:val="00C82D9E"/>
    <w:rsid w:val="00C9107D"/>
    <w:rsid w:val="00C962F5"/>
    <w:rsid w:val="00CA55C5"/>
    <w:rsid w:val="00CA7817"/>
    <w:rsid w:val="00CE0353"/>
    <w:rsid w:val="00CE27D9"/>
    <w:rsid w:val="00CF79B9"/>
    <w:rsid w:val="00D01D1E"/>
    <w:rsid w:val="00D62103"/>
    <w:rsid w:val="00D65348"/>
    <w:rsid w:val="00D7216E"/>
    <w:rsid w:val="00D73F05"/>
    <w:rsid w:val="00DA294E"/>
    <w:rsid w:val="00DD69C8"/>
    <w:rsid w:val="00E278CF"/>
    <w:rsid w:val="00E70DB5"/>
    <w:rsid w:val="00ED4E12"/>
    <w:rsid w:val="00EE0071"/>
    <w:rsid w:val="00EF6081"/>
    <w:rsid w:val="00F20CF0"/>
    <w:rsid w:val="00F71F58"/>
    <w:rsid w:val="00F74D1B"/>
    <w:rsid w:val="00F8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8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2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5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5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5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lynnej01</dc:creator>
  <cp:lastModifiedBy>lynnej01</cp:lastModifiedBy>
  <cp:revision>3</cp:revision>
  <dcterms:created xsi:type="dcterms:W3CDTF">2016-02-03T09:43:00Z</dcterms:created>
  <dcterms:modified xsi:type="dcterms:W3CDTF">2016-02-03T09:43:00Z</dcterms:modified>
</cp:coreProperties>
</file>