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DE" w:rsidRPr="00140388" w:rsidRDefault="004617DE" w:rsidP="008B2282">
      <w:pPr>
        <w:spacing w:after="240"/>
        <w:jc w:val="both"/>
        <w:rPr>
          <w:rFonts w:ascii="Arial" w:hAnsi="Arial" w:cs="Arial"/>
          <w:b/>
        </w:rPr>
      </w:pPr>
      <w:r w:rsidRPr="00140388">
        <w:rPr>
          <w:rFonts w:ascii="Arial" w:hAnsi="Arial" w:cs="Arial"/>
          <w:b/>
        </w:rPr>
        <w:t>TAGRA Acute MLC Sub-group</w:t>
      </w:r>
    </w:p>
    <w:p w:rsidR="004617DE" w:rsidRDefault="004617DE" w:rsidP="008B2282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Pr="00140388">
        <w:rPr>
          <w:rFonts w:ascii="Arial" w:hAnsi="Arial" w:cs="Arial"/>
          <w:b/>
        </w:rPr>
        <w:t xml:space="preserve"> of </w:t>
      </w:r>
      <w:r w:rsidR="00A3381B">
        <w:rPr>
          <w:rFonts w:ascii="Arial" w:hAnsi="Arial" w:cs="Arial"/>
          <w:b/>
        </w:rPr>
        <w:t>12</w:t>
      </w:r>
      <w:r w:rsidRPr="00140388">
        <w:rPr>
          <w:rFonts w:ascii="Arial" w:hAnsi="Arial" w:cs="Arial"/>
          <w:b/>
        </w:rPr>
        <w:t xml:space="preserve">th meeting – </w:t>
      </w:r>
      <w:r w:rsidR="00A3381B">
        <w:rPr>
          <w:rFonts w:ascii="Arial" w:hAnsi="Arial" w:cs="Arial"/>
          <w:b/>
        </w:rPr>
        <w:t>15</w:t>
      </w:r>
      <w:r w:rsidR="00A3381B" w:rsidRPr="00A3381B">
        <w:rPr>
          <w:rFonts w:ascii="Arial" w:hAnsi="Arial" w:cs="Arial"/>
          <w:b/>
          <w:vertAlign w:val="superscript"/>
        </w:rPr>
        <w:t>th</w:t>
      </w:r>
      <w:r w:rsidR="00A3381B">
        <w:rPr>
          <w:rFonts w:ascii="Arial" w:hAnsi="Arial" w:cs="Arial"/>
          <w:b/>
        </w:rPr>
        <w:t xml:space="preserve"> March</w:t>
      </w:r>
      <w:r>
        <w:rPr>
          <w:rFonts w:ascii="Arial" w:hAnsi="Arial" w:cs="Arial"/>
          <w:b/>
        </w:rPr>
        <w:t xml:space="preserve"> 2016</w:t>
      </w:r>
      <w:r w:rsidRPr="00140388">
        <w:rPr>
          <w:rFonts w:ascii="Arial" w:hAnsi="Arial" w:cs="Arial"/>
          <w:b/>
        </w:rPr>
        <w:t xml:space="preserve"> –</w:t>
      </w:r>
      <w:r w:rsidR="00A3381B">
        <w:rPr>
          <w:rFonts w:ascii="Arial" w:hAnsi="Arial" w:cs="Arial"/>
          <w:b/>
        </w:rPr>
        <w:t xml:space="preserve"> Atlantic Quay, Glasgow</w:t>
      </w:r>
    </w:p>
    <w:p w:rsidR="0009436B" w:rsidRDefault="004617DE" w:rsidP="008B2282">
      <w:pPr>
        <w:rPr>
          <w:rFonts w:ascii="Arial" w:hAnsi="Arial" w:cs="Arial"/>
        </w:rPr>
      </w:pPr>
      <w:r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Sarah Barry (University of Glasgow)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Ang</w:t>
      </w:r>
      <w:r w:rsidRPr="00140388">
        <w:rPr>
          <w:rFonts w:ascii="Arial" w:hAnsi="Arial" w:cs="Arial"/>
        </w:rPr>
        <w:t>ela Campbell (Scottish Government</w:t>
      </w:r>
      <w:proofErr w:type="gramStart"/>
      <w:r w:rsidRPr="00140388"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Pauline</w:t>
      </w:r>
      <w:r>
        <w:rPr>
          <w:rFonts w:ascii="Arial" w:hAnsi="Arial" w:cs="Arial"/>
        </w:rPr>
        <w:t xml:space="preserve"> Craig (NHS Health Scotland) </w:t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>Karen Facey (Chair)</w:t>
      </w:r>
    </w:p>
    <w:p w:rsidR="00135F82" w:rsidRDefault="0009436B" w:rsidP="008B2282">
      <w:pPr>
        <w:rPr>
          <w:rFonts w:ascii="Arial" w:hAnsi="Arial" w:cs="Arial"/>
        </w:rPr>
      </w:pPr>
      <w:r>
        <w:rPr>
          <w:rFonts w:ascii="Arial" w:hAnsi="Arial" w:cs="Arial"/>
        </w:rPr>
        <w:t>David Gardner (NHS Highland</w:t>
      </w:r>
      <w:proofErr w:type="gramStart"/>
      <w:r>
        <w:rPr>
          <w:rFonts w:ascii="Arial" w:hAnsi="Arial" w:cs="Arial"/>
        </w:rPr>
        <w:t>)</w:t>
      </w:r>
      <w:proofErr w:type="gramEnd"/>
      <w:r w:rsidR="004617DE">
        <w:rPr>
          <w:rFonts w:ascii="Arial" w:hAnsi="Arial" w:cs="Arial"/>
        </w:rPr>
        <w:br/>
        <w:t>Lynne Jarvis (NHS NSS)</w:t>
      </w:r>
      <w:r w:rsidR="004617DE" w:rsidRPr="00D04093">
        <w:rPr>
          <w:rFonts w:ascii="Arial" w:hAnsi="Arial" w:cs="Arial"/>
        </w:rPr>
        <w:t xml:space="preserve"> </w:t>
      </w:r>
      <w:r w:rsidR="004617DE" w:rsidRPr="00140388">
        <w:rPr>
          <w:rFonts w:ascii="Arial" w:hAnsi="Arial" w:cs="Arial"/>
        </w:rPr>
        <w:t>(Minutes)</w:t>
      </w:r>
      <w:r w:rsidR="004617DE">
        <w:rPr>
          <w:rFonts w:ascii="Arial" w:hAnsi="Arial" w:cs="Arial"/>
          <w:b/>
        </w:rPr>
        <w:br/>
      </w:r>
      <w:r w:rsidR="004617DE" w:rsidRPr="00140388">
        <w:rPr>
          <w:rFonts w:ascii="Arial" w:hAnsi="Arial" w:cs="Arial"/>
        </w:rPr>
        <w:t>Alisd</w:t>
      </w:r>
      <w:r w:rsidR="004617DE">
        <w:rPr>
          <w:rFonts w:ascii="Arial" w:hAnsi="Arial" w:cs="Arial"/>
        </w:rPr>
        <w:t xml:space="preserve">air McDonald (NHS Lothian) </w:t>
      </w:r>
      <w:r w:rsidR="004617DE">
        <w:rPr>
          <w:rFonts w:ascii="Arial" w:hAnsi="Arial" w:cs="Arial"/>
          <w:b/>
        </w:rPr>
        <w:br/>
      </w:r>
      <w:r w:rsidR="004617DE">
        <w:rPr>
          <w:rFonts w:ascii="Arial" w:hAnsi="Arial" w:cs="Arial"/>
        </w:rPr>
        <w:t>Chris Mueller (NHS NSS)</w:t>
      </w:r>
    </w:p>
    <w:p w:rsidR="008B2282" w:rsidRDefault="00135F82" w:rsidP="008B228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Peter Martin (NHS NSS</w:t>
      </w:r>
      <w:proofErr w:type="gramStart"/>
      <w:r>
        <w:rPr>
          <w:rFonts w:ascii="Arial" w:hAnsi="Arial" w:cs="Arial"/>
        </w:rPr>
        <w:t>)</w:t>
      </w:r>
      <w:proofErr w:type="gramEnd"/>
      <w:r w:rsidR="004617DE">
        <w:rPr>
          <w:rFonts w:ascii="Arial" w:hAnsi="Arial" w:cs="Arial"/>
          <w:b/>
        </w:rPr>
        <w:br/>
      </w:r>
      <w:proofErr w:type="spellStart"/>
      <w:r w:rsidR="004617DE" w:rsidRPr="00140388">
        <w:rPr>
          <w:rFonts w:ascii="Arial" w:hAnsi="Arial" w:cs="Arial"/>
        </w:rPr>
        <w:t>Paudric</w:t>
      </w:r>
      <w:proofErr w:type="spellEnd"/>
      <w:r w:rsidR="004617DE" w:rsidRPr="00140388">
        <w:rPr>
          <w:rFonts w:ascii="Arial" w:hAnsi="Arial" w:cs="Arial"/>
        </w:rPr>
        <w:t xml:space="preserve"> Osborne (Scottish Government)</w:t>
      </w:r>
      <w:r w:rsidR="004617DE">
        <w:rPr>
          <w:rFonts w:ascii="Arial" w:hAnsi="Arial" w:cs="Arial"/>
        </w:rPr>
        <w:br/>
      </w:r>
      <w:r w:rsidR="004617DE" w:rsidRPr="00E17C66">
        <w:rPr>
          <w:rFonts w:ascii="Arial" w:hAnsi="Arial" w:cs="Arial"/>
        </w:rPr>
        <w:t>Evan Williams</w:t>
      </w:r>
      <w:r w:rsidR="004617DE" w:rsidRPr="00140388">
        <w:rPr>
          <w:rFonts w:ascii="Arial" w:hAnsi="Arial" w:cs="Arial"/>
        </w:rPr>
        <w:t xml:space="preserve"> (Scottish Government)</w:t>
      </w:r>
      <w:r w:rsidR="004617DE">
        <w:rPr>
          <w:rFonts w:ascii="Arial" w:hAnsi="Arial" w:cs="Arial"/>
          <w:b/>
        </w:rPr>
        <w:br/>
      </w:r>
      <w:r w:rsidR="004617DE" w:rsidRPr="00140388">
        <w:rPr>
          <w:rFonts w:ascii="Arial" w:hAnsi="Arial" w:cs="Arial"/>
        </w:rPr>
        <w:t xml:space="preserve">Sarah Touati (NHS NSS) </w:t>
      </w:r>
      <w:r w:rsidR="00524842">
        <w:rPr>
          <w:rFonts w:ascii="Arial" w:hAnsi="Arial" w:cs="Arial"/>
        </w:rPr>
        <w:br/>
        <w:t>Diane Skatun (HERU</w:t>
      </w:r>
      <w:r w:rsidR="001506AC">
        <w:rPr>
          <w:rFonts w:ascii="Arial" w:hAnsi="Arial" w:cs="Arial"/>
        </w:rPr>
        <w:t>)</w:t>
      </w:r>
    </w:p>
    <w:p w:rsidR="004617DE" w:rsidRPr="001506AC" w:rsidRDefault="001506AC" w:rsidP="008B22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617DE" w:rsidRPr="001506AC">
        <w:rPr>
          <w:rFonts w:ascii="Arial" w:hAnsi="Arial" w:cs="Arial"/>
          <w:b/>
        </w:rPr>
        <w:t>pologies</w:t>
      </w:r>
    </w:p>
    <w:p w:rsidR="004617DE" w:rsidRDefault="00477167" w:rsidP="008B2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Andrew Daly (NHS GG&amp;C)</w:t>
      </w:r>
    </w:p>
    <w:p w:rsidR="004617DE" w:rsidRDefault="004617DE" w:rsidP="008B2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Frances E</w:t>
      </w:r>
      <w:r w:rsidR="007B2503">
        <w:rPr>
          <w:rFonts w:ascii="Arial" w:hAnsi="Arial" w:cs="Arial"/>
        </w:rPr>
        <w:t>l</w:t>
      </w:r>
      <w:r>
        <w:rPr>
          <w:rFonts w:ascii="Arial" w:hAnsi="Arial" w:cs="Arial"/>
        </w:rPr>
        <w:t>liot (</w:t>
      </w:r>
      <w:r w:rsidR="00E278CF">
        <w:rPr>
          <w:rFonts w:ascii="Arial" w:hAnsi="Arial" w:cs="Arial"/>
        </w:rPr>
        <w:t>NHS Fife</w:t>
      </w:r>
      <w:r>
        <w:rPr>
          <w:rFonts w:ascii="Arial" w:hAnsi="Arial" w:cs="Arial"/>
        </w:rPr>
        <w:t>)</w:t>
      </w:r>
    </w:p>
    <w:p w:rsidR="00113DC9" w:rsidRDefault="00113DC9" w:rsidP="008B2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Fiona Ramsay (NHS Forth Valley)</w:t>
      </w:r>
    </w:p>
    <w:p w:rsidR="00477167" w:rsidRDefault="00477167" w:rsidP="008B2282">
      <w:pPr>
        <w:jc w:val="both"/>
        <w:rPr>
          <w:rFonts w:ascii="Arial" w:hAnsi="Arial" w:cs="Arial"/>
        </w:rPr>
      </w:pPr>
      <w:r w:rsidRPr="00964E78">
        <w:rPr>
          <w:rFonts w:ascii="Arial" w:hAnsi="Arial" w:cs="Arial"/>
        </w:rPr>
        <w:t>Matt Sutton (University of Manchester)</w:t>
      </w:r>
    </w:p>
    <w:p w:rsidR="008B2282" w:rsidRDefault="008B2282" w:rsidP="008B2282">
      <w:pPr>
        <w:spacing w:after="240"/>
        <w:jc w:val="both"/>
        <w:rPr>
          <w:rFonts w:ascii="Arial" w:hAnsi="Arial" w:cs="Arial"/>
        </w:rPr>
      </w:pPr>
    </w:p>
    <w:p w:rsidR="00CA7817" w:rsidRPr="004915B1" w:rsidRDefault="00CA7817" w:rsidP="008B228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4915B1">
        <w:rPr>
          <w:rFonts w:ascii="Arial" w:hAnsi="Arial" w:cs="Arial"/>
          <w:b/>
        </w:rPr>
        <w:t>Welcome and apologies</w:t>
      </w:r>
    </w:p>
    <w:p w:rsidR="003B21BB" w:rsidRDefault="00CA7817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KF welcomed </w:t>
      </w:r>
      <w:r w:rsidR="00C044D6">
        <w:rPr>
          <w:rFonts w:ascii="Arial" w:hAnsi="Arial" w:cs="Arial"/>
        </w:rPr>
        <w:t>the g</w:t>
      </w:r>
      <w:r w:rsidR="00C03C7A">
        <w:rPr>
          <w:rFonts w:ascii="Arial" w:hAnsi="Arial" w:cs="Arial"/>
        </w:rPr>
        <w:t>r</w:t>
      </w:r>
      <w:r w:rsidR="00C044D6">
        <w:rPr>
          <w:rFonts w:ascii="Arial" w:hAnsi="Arial" w:cs="Arial"/>
        </w:rPr>
        <w:t>oup</w:t>
      </w:r>
      <w:r w:rsidR="003B21BB">
        <w:rPr>
          <w:rFonts w:ascii="Arial" w:hAnsi="Arial" w:cs="Arial"/>
        </w:rPr>
        <w:t>.</w:t>
      </w:r>
    </w:p>
    <w:p w:rsidR="00813B27" w:rsidRPr="008B2282" w:rsidRDefault="003B21BB" w:rsidP="008B228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F63ABA">
        <w:rPr>
          <w:rFonts w:ascii="Arial" w:hAnsi="Arial" w:cs="Arial"/>
          <w:b/>
        </w:rPr>
        <w:t>Mi</w:t>
      </w:r>
      <w:r w:rsidR="00CA7817" w:rsidRPr="00F63ABA">
        <w:rPr>
          <w:rFonts w:ascii="Arial" w:hAnsi="Arial" w:cs="Arial"/>
          <w:b/>
        </w:rPr>
        <w:t>nutes from previous meeting</w:t>
      </w:r>
    </w:p>
    <w:p w:rsidR="00C03C7A" w:rsidRDefault="00C03C7A" w:rsidP="008B2282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412AE">
        <w:rPr>
          <w:rFonts w:ascii="Arial" w:hAnsi="Arial" w:cs="Arial"/>
        </w:rPr>
        <w:t xml:space="preserve"> minutes from the meeting on</w:t>
      </w:r>
      <w:r w:rsidR="00E278CF">
        <w:rPr>
          <w:rFonts w:ascii="Arial" w:hAnsi="Arial" w:cs="Arial"/>
        </w:rPr>
        <w:t xml:space="preserve"> </w:t>
      </w:r>
      <w:r w:rsidR="003B21BB">
        <w:rPr>
          <w:rFonts w:ascii="Arial" w:hAnsi="Arial" w:cs="Arial"/>
        </w:rPr>
        <w:t>20</w:t>
      </w:r>
      <w:r w:rsidR="003B21BB" w:rsidRPr="003B21BB">
        <w:rPr>
          <w:rFonts w:ascii="Arial" w:hAnsi="Arial" w:cs="Arial"/>
          <w:vertAlign w:val="superscript"/>
        </w:rPr>
        <w:t>th</w:t>
      </w:r>
      <w:r w:rsidR="003B21BB">
        <w:rPr>
          <w:rFonts w:ascii="Arial" w:hAnsi="Arial" w:cs="Arial"/>
        </w:rPr>
        <w:t xml:space="preserve"> January 2016</w:t>
      </w:r>
      <w:r w:rsidR="003412AE">
        <w:rPr>
          <w:rFonts w:ascii="Arial" w:hAnsi="Arial" w:cs="Arial"/>
        </w:rPr>
        <w:t xml:space="preserve"> were </w:t>
      </w:r>
      <w:r w:rsidR="003B21BB">
        <w:rPr>
          <w:rFonts w:ascii="Arial" w:hAnsi="Arial" w:cs="Arial"/>
        </w:rPr>
        <w:t>approved.</w:t>
      </w:r>
    </w:p>
    <w:p w:rsidR="00CA7817" w:rsidRDefault="00CA7817" w:rsidP="008B228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A329D6">
        <w:rPr>
          <w:rFonts w:ascii="Arial" w:hAnsi="Arial" w:cs="Arial"/>
          <w:b/>
        </w:rPr>
        <w:t>Matters arising</w:t>
      </w:r>
    </w:p>
    <w:p w:rsidR="00CA7817" w:rsidRDefault="00CA7817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agreed that all items in th</w:t>
      </w:r>
      <w:r w:rsidR="007672C5">
        <w:rPr>
          <w:rFonts w:ascii="Arial" w:hAnsi="Arial" w:cs="Arial"/>
        </w:rPr>
        <w:t>e Matters Arising paper (TAML</w:t>
      </w:r>
      <w:r w:rsidR="000A7B98">
        <w:rPr>
          <w:rFonts w:ascii="Arial" w:hAnsi="Arial" w:cs="Arial"/>
        </w:rPr>
        <w:t>C42</w:t>
      </w:r>
      <w:r>
        <w:rPr>
          <w:rFonts w:ascii="Arial" w:hAnsi="Arial" w:cs="Arial"/>
        </w:rPr>
        <w:t>) were adequately addressed.</w:t>
      </w:r>
      <w:r w:rsidR="007672C5">
        <w:rPr>
          <w:rFonts w:ascii="Arial" w:hAnsi="Arial" w:cs="Arial"/>
        </w:rPr>
        <w:t xml:space="preserve">  </w:t>
      </w:r>
    </w:p>
    <w:p w:rsidR="00431B31" w:rsidRDefault="00F63ABA" w:rsidP="008B228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F63ABA">
        <w:rPr>
          <w:rFonts w:ascii="Arial" w:hAnsi="Arial" w:cs="Arial"/>
          <w:b/>
        </w:rPr>
        <w:t>Indicator selection results part 2 (</w:t>
      </w:r>
      <w:r w:rsidR="00107E96">
        <w:rPr>
          <w:rFonts w:ascii="Arial" w:hAnsi="Arial" w:cs="Arial"/>
          <w:b/>
        </w:rPr>
        <w:t xml:space="preserve">paper </w:t>
      </w:r>
      <w:r w:rsidRPr="00F63ABA">
        <w:rPr>
          <w:rFonts w:ascii="Arial" w:hAnsi="Arial" w:cs="Arial"/>
          <w:b/>
        </w:rPr>
        <w:t>TAMLC43)</w:t>
      </w:r>
    </w:p>
    <w:p w:rsidR="0070407D" w:rsidRDefault="0070407D" w:rsidP="008B2282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addendum to </w:t>
      </w:r>
      <w:r w:rsidR="00BA083D">
        <w:rPr>
          <w:rFonts w:ascii="Arial" w:hAnsi="Arial" w:cs="Arial"/>
        </w:rPr>
        <w:t>TAMLC43</w:t>
      </w:r>
      <w:r>
        <w:rPr>
          <w:rFonts w:ascii="Arial" w:hAnsi="Arial" w:cs="Arial"/>
        </w:rPr>
        <w:t>, detailing very recent additional analysis</w:t>
      </w:r>
      <w:r w:rsidR="00BA08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was circulated and the group</w:t>
      </w:r>
      <w:r w:rsidR="007175AC">
        <w:rPr>
          <w:rFonts w:ascii="Arial" w:hAnsi="Arial" w:cs="Arial"/>
        </w:rPr>
        <w:t xml:space="preserve"> were</w:t>
      </w:r>
      <w:r>
        <w:rPr>
          <w:rFonts w:ascii="Arial" w:hAnsi="Arial" w:cs="Arial"/>
        </w:rPr>
        <w:t xml:space="preserve"> given time to read it.</w:t>
      </w:r>
      <w:r w:rsidR="00A96D06">
        <w:rPr>
          <w:rFonts w:ascii="Arial" w:hAnsi="Arial" w:cs="Arial"/>
        </w:rPr>
        <w:t xml:space="preserve">  This described an indicator selection process which looked for the best performing index options rather than constructing indexes from the best-performing separate variables.  These two approaches give different </w:t>
      </w:r>
      <w:r w:rsidR="00527116">
        <w:rPr>
          <w:rFonts w:ascii="Arial" w:hAnsi="Arial" w:cs="Arial"/>
        </w:rPr>
        <w:t>results.</w:t>
      </w:r>
    </w:p>
    <w:p w:rsidR="0070407D" w:rsidRDefault="00A61633" w:rsidP="008B2282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Lynne, </w:t>
      </w:r>
      <w:r w:rsidR="0070407D">
        <w:rPr>
          <w:rFonts w:ascii="Arial" w:hAnsi="Arial" w:cs="Arial"/>
        </w:rPr>
        <w:t xml:space="preserve">Sarah and Chris presented </w:t>
      </w:r>
      <w:r w:rsidR="00C554A9">
        <w:rPr>
          <w:rFonts w:ascii="Arial" w:hAnsi="Arial" w:cs="Arial"/>
        </w:rPr>
        <w:t>paper TAMLC43</w:t>
      </w:r>
      <w:r w:rsidR="00C554A9">
        <w:rPr>
          <w:rFonts w:ascii="Arial" w:hAnsi="Arial" w:cs="Arial"/>
        </w:rPr>
        <w:tab/>
      </w:r>
      <w:r w:rsidR="000C60CA">
        <w:rPr>
          <w:rFonts w:ascii="Arial" w:hAnsi="Arial" w:cs="Arial"/>
        </w:rPr>
        <w:t xml:space="preserve"> </w:t>
      </w:r>
      <w:r w:rsidR="00724CA1">
        <w:rPr>
          <w:rFonts w:ascii="Arial" w:hAnsi="Arial" w:cs="Arial"/>
        </w:rPr>
        <w:t xml:space="preserve">and the addendum, </w:t>
      </w:r>
      <w:r w:rsidR="00C554A9">
        <w:rPr>
          <w:rFonts w:ascii="Arial" w:hAnsi="Arial" w:cs="Arial"/>
        </w:rPr>
        <w:t>which described</w:t>
      </w:r>
      <w:r w:rsidR="00800D99">
        <w:rPr>
          <w:rFonts w:ascii="Arial" w:hAnsi="Arial" w:cs="Arial"/>
        </w:rPr>
        <w:t xml:space="preserve"> </w:t>
      </w:r>
      <w:r w:rsidR="0070407D">
        <w:rPr>
          <w:rFonts w:ascii="Arial" w:hAnsi="Arial" w:cs="Arial"/>
        </w:rPr>
        <w:t xml:space="preserve">the </w:t>
      </w:r>
      <w:r w:rsidR="00800D99">
        <w:rPr>
          <w:rFonts w:ascii="Arial" w:hAnsi="Arial" w:cs="Arial"/>
        </w:rPr>
        <w:t>methodology and results of the next</w:t>
      </w:r>
      <w:r w:rsidR="0070407D">
        <w:rPr>
          <w:rFonts w:ascii="Arial" w:hAnsi="Arial" w:cs="Arial"/>
        </w:rPr>
        <w:t xml:space="preserve"> stages in the indicator sel</w:t>
      </w:r>
      <w:r w:rsidR="008F0664">
        <w:rPr>
          <w:rFonts w:ascii="Arial" w:hAnsi="Arial" w:cs="Arial"/>
        </w:rPr>
        <w:t>ection pr</w:t>
      </w:r>
      <w:r w:rsidR="006C7EA7">
        <w:rPr>
          <w:rFonts w:ascii="Arial" w:hAnsi="Arial" w:cs="Arial"/>
        </w:rPr>
        <w:t>ocess, following on from TAMLC40</w:t>
      </w:r>
      <w:r w:rsidR="008F0664">
        <w:rPr>
          <w:rFonts w:ascii="Arial" w:hAnsi="Arial" w:cs="Arial"/>
        </w:rPr>
        <w:t>.</w:t>
      </w:r>
    </w:p>
    <w:p w:rsidR="00A95A8C" w:rsidRDefault="00EE44F4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first sections of the paper gave an update</w:t>
      </w:r>
      <w:r w:rsidR="000A1174">
        <w:rPr>
          <w:rFonts w:ascii="Arial" w:hAnsi="Arial" w:cs="Arial"/>
        </w:rPr>
        <w:t xml:space="preserve"> on the exploratory analysis</w:t>
      </w:r>
      <w:r w:rsidR="009F7CFA">
        <w:rPr>
          <w:rFonts w:ascii="Arial" w:hAnsi="Arial" w:cs="Arial"/>
        </w:rPr>
        <w:t xml:space="preserve"> which was carried out following discussions at the 11</w:t>
      </w:r>
      <w:r w:rsidR="009F7CFA" w:rsidRPr="009F7CFA">
        <w:rPr>
          <w:rFonts w:ascii="Arial" w:hAnsi="Arial" w:cs="Arial"/>
          <w:vertAlign w:val="superscript"/>
        </w:rPr>
        <w:t>th</w:t>
      </w:r>
      <w:r w:rsidR="009F7CFA">
        <w:rPr>
          <w:rFonts w:ascii="Arial" w:hAnsi="Arial" w:cs="Arial"/>
        </w:rPr>
        <w:t xml:space="preserve"> meeting,</w:t>
      </w:r>
      <w:r w:rsidR="000A1174">
        <w:rPr>
          <w:rFonts w:ascii="Arial" w:hAnsi="Arial" w:cs="Arial"/>
        </w:rPr>
        <w:t xml:space="preserve"> on outpatient activity, prisons and eth</w:t>
      </w:r>
      <w:r w:rsidR="00527116">
        <w:rPr>
          <w:rFonts w:ascii="Arial" w:hAnsi="Arial" w:cs="Arial"/>
        </w:rPr>
        <w:t>nicity variables, and the decisions that had been taken</w:t>
      </w:r>
      <w:r w:rsidR="005F3D27">
        <w:rPr>
          <w:rFonts w:ascii="Arial" w:hAnsi="Arial" w:cs="Arial"/>
        </w:rPr>
        <w:t>:</w:t>
      </w:r>
      <w:r w:rsidR="000A1174">
        <w:rPr>
          <w:rFonts w:ascii="Arial" w:hAnsi="Arial" w:cs="Arial"/>
        </w:rPr>
        <w:t xml:space="preserve">  </w:t>
      </w:r>
    </w:p>
    <w:p w:rsidR="00527116" w:rsidRPr="00527116" w:rsidRDefault="00527116" w:rsidP="00527116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527116">
        <w:rPr>
          <w:rFonts w:ascii="Arial" w:hAnsi="Arial" w:cs="Arial"/>
        </w:rPr>
        <w:t>to keep Outpatients as a separate group for the purposes of modelling healthcare need, rather than combining Outpatients into the diagnostic groups</w:t>
      </w:r>
      <w:r w:rsidR="000C60CA">
        <w:rPr>
          <w:rFonts w:ascii="Arial" w:hAnsi="Arial" w:cs="Arial"/>
        </w:rPr>
        <w:t xml:space="preserve"> as the coding for speciality was not sufficiently precise to allow mapping to diagnostic groups </w:t>
      </w:r>
    </w:p>
    <w:p w:rsidR="00527116" w:rsidRDefault="00527116" w:rsidP="00527116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to implement the ‘prison dummy’ variable (i.e. an indicator of a data zone containing a prison) for Outpatients only</w:t>
      </w:r>
      <w:r w:rsidR="000C60CA">
        <w:rPr>
          <w:rFonts w:ascii="Arial" w:hAnsi="Arial" w:cs="Arial"/>
        </w:rPr>
        <w:t>, as this was the only regression in which this dummy variable was significant</w:t>
      </w:r>
    </w:p>
    <w:p w:rsidR="00527116" w:rsidRPr="00527116" w:rsidRDefault="00527116" w:rsidP="00527116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proofErr w:type="gramStart"/>
      <w:r w:rsidRPr="00527116">
        <w:rPr>
          <w:rFonts w:ascii="Arial" w:hAnsi="Arial" w:cs="Arial"/>
        </w:rPr>
        <w:t>to</w:t>
      </w:r>
      <w:proofErr w:type="gramEnd"/>
      <w:r w:rsidRPr="00527116">
        <w:rPr>
          <w:rFonts w:ascii="Arial" w:hAnsi="Arial" w:cs="Arial"/>
        </w:rPr>
        <w:t xml:space="preserve"> include several ethnicity variables, of which three are retained from the near-duplicates analysis in stage 1: Gypsy/Traveller populations, Pakistani populations (both at intermediate zone level), and a count of all ethnic populations with better than average health in the </w:t>
      </w:r>
      <w:proofErr w:type="spellStart"/>
      <w:r w:rsidRPr="00527116">
        <w:rPr>
          <w:rFonts w:ascii="Arial" w:hAnsi="Arial" w:cs="Arial"/>
        </w:rPr>
        <w:t>ScotStat</w:t>
      </w:r>
      <w:proofErr w:type="spellEnd"/>
      <w:r w:rsidRPr="00527116">
        <w:rPr>
          <w:rFonts w:ascii="Arial" w:hAnsi="Arial" w:cs="Arial"/>
        </w:rPr>
        <w:t xml:space="preserve"> report</w:t>
      </w:r>
      <w:r w:rsidR="000C60CA">
        <w:rPr>
          <w:rFonts w:ascii="Arial" w:hAnsi="Arial" w:cs="Arial"/>
        </w:rPr>
        <w:t>.</w:t>
      </w:r>
    </w:p>
    <w:p w:rsidR="00EE44F4" w:rsidRDefault="00EE44F4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The discussion then focussed on the new analysis to reduce the retained variables list down to a common restricted set, and then to just a few variables that perform well as indicators.</w:t>
      </w:r>
      <w:r w:rsidR="00225DD3">
        <w:rPr>
          <w:rFonts w:ascii="Arial" w:hAnsi="Arial" w:cs="Arial"/>
        </w:rPr>
        <w:t xml:space="preserve"> The analysts presented the methods and results in a PowerPoint presentation, and the group discussed some of the questions raised.</w:t>
      </w:r>
    </w:p>
    <w:p w:rsidR="00056EE0" w:rsidRPr="007F0AE5" w:rsidRDefault="00225DD3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819D5">
        <w:rPr>
          <w:rFonts w:ascii="Arial" w:hAnsi="Arial" w:cs="Arial"/>
        </w:rPr>
        <w:t>t was</w:t>
      </w:r>
      <w:r w:rsidR="00FA6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suggested</w:t>
      </w:r>
      <w:r w:rsidR="00FA687C">
        <w:rPr>
          <w:rFonts w:ascii="Arial" w:hAnsi="Arial" w:cs="Arial"/>
        </w:rPr>
        <w:t xml:space="preserve"> </w:t>
      </w:r>
      <w:r w:rsidR="00FA687C" w:rsidRPr="00527116">
        <w:rPr>
          <w:rFonts w:ascii="Arial" w:hAnsi="Arial" w:cs="Arial"/>
        </w:rPr>
        <w:t xml:space="preserve">to </w:t>
      </w:r>
      <w:r w:rsidR="00527116">
        <w:rPr>
          <w:rFonts w:ascii="Arial" w:hAnsi="Arial" w:cs="Arial"/>
        </w:rPr>
        <w:t>“</w:t>
      </w:r>
      <w:r w:rsidR="00FA687C" w:rsidRPr="00527116">
        <w:rPr>
          <w:rFonts w:ascii="Arial" w:hAnsi="Arial" w:cs="Arial"/>
        </w:rPr>
        <w:t>invert</w:t>
      </w:r>
      <w:r w:rsidR="00527116">
        <w:rPr>
          <w:rFonts w:ascii="Arial" w:hAnsi="Arial" w:cs="Arial"/>
        </w:rPr>
        <w:t>”</w:t>
      </w:r>
      <w:r w:rsidR="00FA687C" w:rsidRPr="00527116">
        <w:rPr>
          <w:rFonts w:ascii="Arial" w:hAnsi="Arial" w:cs="Arial"/>
        </w:rPr>
        <w:t xml:space="preserve"> the ‘Ethnic populations with better than average health’ </w:t>
      </w:r>
      <w:r w:rsidR="00527116">
        <w:rPr>
          <w:rFonts w:ascii="Arial" w:hAnsi="Arial" w:cs="Arial"/>
        </w:rPr>
        <w:t xml:space="preserve">variable </w:t>
      </w:r>
      <w:r w:rsidR="00FA687C" w:rsidRPr="00527116">
        <w:rPr>
          <w:rFonts w:ascii="Arial" w:hAnsi="Arial" w:cs="Arial"/>
        </w:rPr>
        <w:t>so that the count us</w:t>
      </w:r>
      <w:r w:rsidR="00FA687C">
        <w:rPr>
          <w:rFonts w:ascii="Arial" w:hAnsi="Arial" w:cs="Arial"/>
        </w:rPr>
        <w:t>ed is the tota</w:t>
      </w:r>
      <w:r w:rsidR="00833200">
        <w:rPr>
          <w:rFonts w:ascii="Arial" w:hAnsi="Arial" w:cs="Arial"/>
        </w:rPr>
        <w:t>l</w:t>
      </w:r>
      <w:r w:rsidR="00FA687C">
        <w:rPr>
          <w:rFonts w:ascii="Arial" w:hAnsi="Arial" w:cs="Arial"/>
        </w:rPr>
        <w:t xml:space="preserve"> population minus those with better than average health (i.e. a count of the populations </w:t>
      </w:r>
      <w:r w:rsidR="00B9193C">
        <w:rPr>
          <w:rFonts w:ascii="Arial" w:hAnsi="Arial" w:cs="Arial"/>
        </w:rPr>
        <w:t xml:space="preserve">with average to poor health). </w:t>
      </w:r>
      <w:r w:rsidR="00FA687C">
        <w:rPr>
          <w:rFonts w:ascii="Arial" w:hAnsi="Arial" w:cs="Arial"/>
        </w:rPr>
        <w:t>This improves the face validity</w:t>
      </w:r>
      <w:r w:rsidR="00B9193C">
        <w:rPr>
          <w:rFonts w:ascii="Arial" w:hAnsi="Arial" w:cs="Arial"/>
        </w:rPr>
        <w:t>,</w:t>
      </w:r>
      <w:r w:rsidR="00FA687C">
        <w:rPr>
          <w:rFonts w:ascii="Arial" w:hAnsi="Arial" w:cs="Arial"/>
        </w:rPr>
        <w:t xml:space="preserve"> and </w:t>
      </w:r>
      <w:r w:rsidR="00B9193C">
        <w:rPr>
          <w:rFonts w:ascii="Arial" w:hAnsi="Arial" w:cs="Arial"/>
        </w:rPr>
        <w:t xml:space="preserve">it </w:t>
      </w:r>
      <w:r w:rsidR="002819D5">
        <w:rPr>
          <w:rFonts w:ascii="Arial" w:hAnsi="Arial" w:cs="Arial"/>
        </w:rPr>
        <w:t xml:space="preserve">may </w:t>
      </w:r>
      <w:r w:rsidR="00FA687C">
        <w:rPr>
          <w:rFonts w:ascii="Arial" w:hAnsi="Arial" w:cs="Arial"/>
        </w:rPr>
        <w:t>work better with other variables in an index since it will predict need rather than b</w:t>
      </w:r>
      <w:r>
        <w:rPr>
          <w:rFonts w:ascii="Arial" w:hAnsi="Arial" w:cs="Arial"/>
        </w:rPr>
        <w:t>eing a predictor of lower need.</w:t>
      </w:r>
    </w:p>
    <w:p w:rsidR="000C60CA" w:rsidRDefault="002819D5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</w:t>
      </w:r>
      <w:r w:rsidRPr="00527116">
        <w:rPr>
          <w:rFonts w:ascii="Arial" w:hAnsi="Arial" w:cs="Arial"/>
        </w:rPr>
        <w:t xml:space="preserve">agreed to exclude Dementia, </w:t>
      </w:r>
      <w:r w:rsidR="000C60CA">
        <w:rPr>
          <w:rFonts w:ascii="Arial" w:hAnsi="Arial" w:cs="Arial"/>
        </w:rPr>
        <w:t xml:space="preserve">as suggested </w:t>
      </w:r>
      <w:r>
        <w:rPr>
          <w:rFonts w:ascii="Arial" w:hAnsi="Arial" w:cs="Arial"/>
        </w:rPr>
        <w:t xml:space="preserve">in paper TAMLC43. </w:t>
      </w:r>
      <w:r w:rsidR="00DC57C7">
        <w:rPr>
          <w:rFonts w:ascii="Arial" w:hAnsi="Arial" w:cs="Arial"/>
        </w:rPr>
        <w:t xml:space="preserve">The indicator used is based on the prescription of </w:t>
      </w:r>
      <w:r w:rsidR="000C60CA">
        <w:rPr>
          <w:rFonts w:ascii="Arial" w:hAnsi="Arial" w:cs="Arial"/>
        </w:rPr>
        <w:t>anti-dementi</w:t>
      </w:r>
      <w:r w:rsidR="00DC57C7">
        <w:rPr>
          <w:rFonts w:ascii="Arial" w:hAnsi="Arial" w:cs="Arial"/>
        </w:rPr>
        <w:t>a medicine. However, these</w:t>
      </w:r>
      <w:r w:rsidR="000C60CA">
        <w:rPr>
          <w:rFonts w:ascii="Arial" w:hAnsi="Arial" w:cs="Arial"/>
        </w:rPr>
        <w:t xml:space="preserve"> are only licensed for mild to moderate dementia and it is likely that these patients would be treated in the community and not </w:t>
      </w:r>
      <w:proofErr w:type="gramStart"/>
      <w:r w:rsidR="000C60CA">
        <w:rPr>
          <w:rFonts w:ascii="Arial" w:hAnsi="Arial" w:cs="Arial"/>
        </w:rPr>
        <w:t>require</w:t>
      </w:r>
      <w:proofErr w:type="gramEnd"/>
      <w:r w:rsidR="000C60CA">
        <w:rPr>
          <w:rFonts w:ascii="Arial" w:hAnsi="Arial" w:cs="Arial"/>
        </w:rPr>
        <w:t xml:space="preserve"> a high level of acute services. No indicator for advanced dementia is available.</w:t>
      </w:r>
    </w:p>
    <w:p w:rsidR="008B2282" w:rsidRDefault="00225DD3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also decide</w:t>
      </w:r>
      <w:r w:rsidR="008B2282" w:rsidRPr="00527116">
        <w:rPr>
          <w:rFonts w:ascii="Arial" w:hAnsi="Arial" w:cs="Arial"/>
        </w:rPr>
        <w:t xml:space="preserve">d to exclude HRI, due to concerns that it is not independent of past costs; and </w:t>
      </w:r>
      <w:r>
        <w:rPr>
          <w:rFonts w:ascii="Arial" w:hAnsi="Arial" w:cs="Arial"/>
        </w:rPr>
        <w:t xml:space="preserve">to exclude </w:t>
      </w:r>
      <w:r w:rsidR="008B2282" w:rsidRPr="00527116">
        <w:rPr>
          <w:rFonts w:ascii="Arial" w:hAnsi="Arial" w:cs="Arial"/>
        </w:rPr>
        <w:t xml:space="preserve">General health, due to </w:t>
      </w:r>
      <w:r>
        <w:rPr>
          <w:rFonts w:ascii="Arial" w:hAnsi="Arial" w:cs="Arial"/>
        </w:rPr>
        <w:t>its</w:t>
      </w:r>
      <w:r w:rsidR="008B2282">
        <w:rPr>
          <w:rFonts w:ascii="Arial" w:hAnsi="Arial" w:cs="Arial"/>
        </w:rPr>
        <w:t xml:space="preserve"> high correlation with LLTI</w:t>
      </w:r>
      <w:r w:rsidR="00527116">
        <w:rPr>
          <w:rFonts w:ascii="Arial" w:hAnsi="Arial" w:cs="Arial"/>
        </w:rPr>
        <w:t xml:space="preserve"> (retaining </w:t>
      </w:r>
      <w:r w:rsidR="008B2282">
        <w:rPr>
          <w:rFonts w:ascii="Arial" w:hAnsi="Arial" w:cs="Arial"/>
        </w:rPr>
        <w:t xml:space="preserve">LLTI </w:t>
      </w:r>
      <w:r w:rsidR="00527116">
        <w:rPr>
          <w:rFonts w:ascii="Arial" w:hAnsi="Arial" w:cs="Arial"/>
        </w:rPr>
        <w:t xml:space="preserve">since it </w:t>
      </w:r>
      <w:r w:rsidR="008B2282">
        <w:rPr>
          <w:rFonts w:ascii="Arial" w:hAnsi="Arial" w:cs="Arial"/>
        </w:rPr>
        <w:t>performs better</w:t>
      </w:r>
      <w:r>
        <w:rPr>
          <w:rFonts w:ascii="Arial" w:hAnsi="Arial" w:cs="Arial"/>
        </w:rPr>
        <w:t xml:space="preserve"> overall</w:t>
      </w:r>
      <w:r w:rsidR="00527116">
        <w:rPr>
          <w:rFonts w:ascii="Arial" w:hAnsi="Arial" w:cs="Arial"/>
        </w:rPr>
        <w:t>)</w:t>
      </w:r>
      <w:r w:rsidR="008B2282">
        <w:rPr>
          <w:rFonts w:ascii="Arial" w:hAnsi="Arial" w:cs="Arial"/>
        </w:rPr>
        <w:t>.</w:t>
      </w:r>
    </w:p>
    <w:p w:rsidR="00527116" w:rsidRPr="00527116" w:rsidRDefault="00FA3D0B" w:rsidP="0052711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="00527116" w:rsidRPr="00527116">
        <w:rPr>
          <w:rFonts w:ascii="Arial" w:hAnsi="Arial" w:cs="Arial"/>
        </w:rPr>
        <w:t>t was agreed that the order of preference for the index options should be determined primarily by their performance as indexes</w:t>
      </w:r>
      <w:r>
        <w:rPr>
          <w:rFonts w:ascii="Arial" w:hAnsi="Arial" w:cs="Arial"/>
        </w:rPr>
        <w:t xml:space="preserve"> (rather than their performance as separate variables), since an index will be used in the Acute MLC adjustment</w:t>
      </w:r>
      <w:r w:rsidR="00527116" w:rsidRPr="00527116">
        <w:rPr>
          <w:rFonts w:ascii="Arial" w:hAnsi="Arial" w:cs="Arial"/>
        </w:rPr>
        <w:t>.</w:t>
      </w:r>
    </w:p>
    <w:p w:rsidR="00457C6E" w:rsidRDefault="00527116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Analysts were asked </w:t>
      </w:r>
      <w:r w:rsidR="00F8342D">
        <w:rPr>
          <w:rFonts w:ascii="Arial" w:hAnsi="Arial" w:cs="Arial"/>
        </w:rPr>
        <w:t xml:space="preserve">to rerun the analysis to produce </w:t>
      </w:r>
      <w:r w:rsidR="008B2282">
        <w:rPr>
          <w:rFonts w:ascii="Arial" w:hAnsi="Arial" w:cs="Arial"/>
        </w:rPr>
        <w:t>the best-performing index options for 1, 2, 3 and 4 variables</w:t>
      </w:r>
      <w:r>
        <w:rPr>
          <w:rFonts w:ascii="Arial" w:hAnsi="Arial" w:cs="Arial"/>
        </w:rPr>
        <w:t>,</w:t>
      </w:r>
      <w:r w:rsidR="00FA3D0B">
        <w:rPr>
          <w:rFonts w:ascii="Arial" w:hAnsi="Arial" w:cs="Arial"/>
        </w:rPr>
        <w:t xml:space="preserve"> taking into account the above decisions</w:t>
      </w:r>
      <w:r w:rsidR="00F8342D">
        <w:rPr>
          <w:rFonts w:ascii="Arial" w:hAnsi="Arial" w:cs="Arial"/>
        </w:rPr>
        <w:t>.</w:t>
      </w:r>
      <w:r w:rsidR="00E87EA9">
        <w:rPr>
          <w:rFonts w:ascii="Arial" w:hAnsi="Arial" w:cs="Arial"/>
        </w:rPr>
        <w:t xml:space="preserve"> </w:t>
      </w:r>
      <w:r w:rsidR="00FA3D0B">
        <w:rPr>
          <w:rFonts w:ascii="Arial" w:hAnsi="Arial" w:cs="Arial"/>
        </w:rPr>
        <w:t>This analysis will be more straightforward than that of paper TAMLC43, since all that is required is to test every possible combination of variables from the retained list</w:t>
      </w:r>
      <w:r w:rsidR="0047015A">
        <w:rPr>
          <w:rFonts w:ascii="Arial" w:hAnsi="Arial" w:cs="Arial"/>
        </w:rPr>
        <w:t>, as a combined index</w:t>
      </w:r>
      <w:r w:rsidR="00FA3D0B">
        <w:rPr>
          <w:rFonts w:ascii="Arial" w:hAnsi="Arial" w:cs="Arial"/>
        </w:rPr>
        <w:t xml:space="preserve">. </w:t>
      </w:r>
      <w:r w:rsidR="00457C6E">
        <w:rPr>
          <w:rFonts w:ascii="Arial" w:hAnsi="Arial" w:cs="Arial"/>
        </w:rPr>
        <w:t>The group agreed to an additional meeting on the 15</w:t>
      </w:r>
      <w:r w:rsidR="00457C6E" w:rsidRPr="00457C6E">
        <w:rPr>
          <w:rFonts w:ascii="Arial" w:hAnsi="Arial" w:cs="Arial"/>
          <w:vertAlign w:val="superscript"/>
        </w:rPr>
        <w:t>th</w:t>
      </w:r>
      <w:r w:rsidR="00457C6E">
        <w:rPr>
          <w:rFonts w:ascii="Arial" w:hAnsi="Arial" w:cs="Arial"/>
        </w:rPr>
        <w:t xml:space="preserve"> April to discuss the results of this further analysis</w:t>
      </w:r>
      <w:r w:rsidR="008F342C">
        <w:rPr>
          <w:rFonts w:ascii="Arial" w:hAnsi="Arial" w:cs="Arial"/>
        </w:rPr>
        <w:t xml:space="preserve"> and to agree a final index.</w:t>
      </w:r>
    </w:p>
    <w:p w:rsidR="008B2282" w:rsidRPr="00527116" w:rsidRDefault="008B2282" w:rsidP="008B2282">
      <w:pPr>
        <w:spacing w:after="240"/>
        <w:jc w:val="both"/>
        <w:rPr>
          <w:rFonts w:ascii="Arial" w:hAnsi="Arial" w:cs="Arial"/>
          <w:b/>
        </w:rPr>
      </w:pPr>
      <w:r w:rsidRPr="00527116">
        <w:rPr>
          <w:rFonts w:ascii="Arial" w:hAnsi="Arial" w:cs="Arial"/>
          <w:b/>
        </w:rPr>
        <w:t xml:space="preserve">Action – AST to </w:t>
      </w:r>
      <w:r w:rsidR="00527116" w:rsidRPr="00527116">
        <w:rPr>
          <w:rFonts w:ascii="Arial" w:hAnsi="Arial" w:cs="Arial"/>
          <w:b/>
        </w:rPr>
        <w:t xml:space="preserve">produce a </w:t>
      </w:r>
      <w:r w:rsidR="00225DD3">
        <w:rPr>
          <w:rFonts w:ascii="Arial" w:hAnsi="Arial" w:cs="Arial"/>
          <w:b/>
        </w:rPr>
        <w:t>simpler</w:t>
      </w:r>
      <w:r w:rsidR="00527116" w:rsidRPr="00527116">
        <w:rPr>
          <w:rFonts w:ascii="Arial" w:hAnsi="Arial" w:cs="Arial"/>
          <w:b/>
        </w:rPr>
        <w:t xml:space="preserve"> paper </w:t>
      </w:r>
      <w:r w:rsidR="00225DD3">
        <w:rPr>
          <w:rFonts w:ascii="Arial" w:hAnsi="Arial" w:cs="Arial"/>
          <w:b/>
        </w:rPr>
        <w:t xml:space="preserve">presenting </w:t>
      </w:r>
      <w:r w:rsidR="00527116" w:rsidRPr="00527116">
        <w:rPr>
          <w:rFonts w:ascii="Arial" w:hAnsi="Arial" w:cs="Arial"/>
          <w:b/>
        </w:rPr>
        <w:t xml:space="preserve">analysis to </w:t>
      </w:r>
      <w:r w:rsidR="00225DD3">
        <w:rPr>
          <w:rFonts w:ascii="Arial" w:hAnsi="Arial" w:cs="Arial"/>
          <w:b/>
        </w:rPr>
        <w:t>find</w:t>
      </w:r>
      <w:r w:rsidR="00527116" w:rsidRPr="00527116">
        <w:rPr>
          <w:rFonts w:ascii="Arial" w:hAnsi="Arial" w:cs="Arial"/>
          <w:b/>
        </w:rPr>
        <w:t xml:space="preserve"> the best index options, based only on their performance as indexes; </w:t>
      </w:r>
      <w:r w:rsidR="00225DD3">
        <w:rPr>
          <w:rFonts w:ascii="Arial" w:hAnsi="Arial" w:cs="Arial"/>
          <w:b/>
        </w:rPr>
        <w:t xml:space="preserve">with </w:t>
      </w:r>
      <w:r w:rsidR="00527116" w:rsidRPr="00527116">
        <w:rPr>
          <w:rFonts w:ascii="Arial" w:hAnsi="Arial" w:cs="Arial"/>
          <w:b/>
        </w:rPr>
        <w:t xml:space="preserve">Dementia, HRI and General </w:t>
      </w:r>
      <w:r w:rsidR="00527116" w:rsidRPr="00527116">
        <w:rPr>
          <w:rFonts w:ascii="Arial" w:hAnsi="Arial" w:cs="Arial"/>
          <w:b/>
        </w:rPr>
        <w:lastRenderedPageBreak/>
        <w:t>health</w:t>
      </w:r>
      <w:r w:rsidR="00527116">
        <w:rPr>
          <w:rFonts w:ascii="Arial" w:hAnsi="Arial" w:cs="Arial"/>
          <w:b/>
        </w:rPr>
        <w:t xml:space="preserve"> </w:t>
      </w:r>
      <w:r w:rsidR="00225DD3">
        <w:rPr>
          <w:rFonts w:ascii="Arial" w:hAnsi="Arial" w:cs="Arial"/>
          <w:b/>
        </w:rPr>
        <w:t xml:space="preserve">excluded </w:t>
      </w:r>
      <w:r w:rsidR="00527116">
        <w:rPr>
          <w:rFonts w:ascii="Arial" w:hAnsi="Arial" w:cs="Arial"/>
          <w:b/>
        </w:rPr>
        <w:t>from the analysis</w:t>
      </w:r>
      <w:r w:rsidR="00527116" w:rsidRPr="00527116">
        <w:rPr>
          <w:rFonts w:ascii="Arial" w:hAnsi="Arial" w:cs="Arial"/>
          <w:b/>
        </w:rPr>
        <w:t>; and with the Ethnicity variable ‘inverted’ as described above.</w:t>
      </w:r>
    </w:p>
    <w:p w:rsidR="003142C8" w:rsidRDefault="00755D9E" w:rsidP="008B228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confirmed that following this review, the new coefficients would be set for 2018/19 until 2020/21, as these are only updated every three years.</w:t>
      </w:r>
      <w:r w:rsidR="001E57F7">
        <w:rPr>
          <w:rFonts w:ascii="Arial" w:hAnsi="Arial" w:cs="Arial"/>
        </w:rPr>
        <w:t xml:space="preserve"> This emphasised the importance of selecting the best possible indicators for the needs index.</w:t>
      </w:r>
    </w:p>
    <w:p w:rsidR="003142C8" w:rsidRDefault="003142C8" w:rsidP="008B2282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0F4B9A">
        <w:rPr>
          <w:rFonts w:ascii="Arial" w:eastAsia="Calibri" w:hAnsi="Arial" w:cs="Arial"/>
          <w:b/>
        </w:rPr>
        <w:t>Draft of fi</w:t>
      </w:r>
      <w:r w:rsidR="00107E96">
        <w:rPr>
          <w:rFonts w:ascii="Arial" w:eastAsia="Calibri" w:hAnsi="Arial" w:cs="Arial"/>
          <w:b/>
        </w:rPr>
        <w:t>nal report to TAGRA (TAMLC44)</w:t>
      </w:r>
    </w:p>
    <w:p w:rsidR="006D0CB7" w:rsidRPr="006D0CB7" w:rsidRDefault="00DC57C7" w:rsidP="008B2282">
      <w:pPr>
        <w:spacing w:after="2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Drafting of the final report is underway and the first draft will be presented to TAGRA at its next meeting.  </w:t>
      </w:r>
    </w:p>
    <w:p w:rsidR="00F60A5D" w:rsidRDefault="00107E96" w:rsidP="008B228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Work plan (TAMLC45)</w:t>
      </w:r>
    </w:p>
    <w:p w:rsidR="00F60A5D" w:rsidRPr="00F60A5D" w:rsidRDefault="00F60A5D" w:rsidP="008B2282">
      <w:pPr>
        <w:pStyle w:val="ListParagraph"/>
        <w:spacing w:after="240"/>
        <w:ind w:left="0"/>
        <w:contextualSpacing w:val="0"/>
        <w:jc w:val="both"/>
        <w:rPr>
          <w:rFonts w:ascii="Arial" w:eastAsia="Calibri" w:hAnsi="Arial" w:cs="Arial"/>
        </w:rPr>
      </w:pPr>
      <w:r w:rsidRPr="00F60A5D">
        <w:rPr>
          <w:rFonts w:ascii="Arial" w:eastAsia="Calibri" w:hAnsi="Arial" w:cs="Arial"/>
        </w:rPr>
        <w:t>This</w:t>
      </w:r>
      <w:r>
        <w:rPr>
          <w:rFonts w:ascii="Arial" w:eastAsia="Calibri" w:hAnsi="Arial" w:cs="Arial"/>
        </w:rPr>
        <w:t xml:space="preserve"> will be updated to take account </w:t>
      </w:r>
      <w:r w:rsidR="00F725C2">
        <w:rPr>
          <w:rFonts w:ascii="Arial" w:eastAsia="Calibri" w:hAnsi="Arial" w:cs="Arial"/>
        </w:rPr>
        <w:t xml:space="preserve">of </w:t>
      </w:r>
      <w:r>
        <w:rPr>
          <w:rFonts w:ascii="Arial" w:eastAsia="Calibri" w:hAnsi="Arial" w:cs="Arial"/>
        </w:rPr>
        <w:t>the further indicator selection analysis described above</w:t>
      </w:r>
      <w:r w:rsidR="00DC57C7">
        <w:rPr>
          <w:rFonts w:ascii="Arial" w:eastAsia="Calibri" w:hAnsi="Arial" w:cs="Arial"/>
        </w:rPr>
        <w:t xml:space="preserve"> and clarification of the HIIA reporting.</w:t>
      </w:r>
    </w:p>
    <w:p w:rsidR="003142C8" w:rsidRPr="00485D97" w:rsidRDefault="003142C8" w:rsidP="008B228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0F4B9A">
        <w:rPr>
          <w:rFonts w:ascii="Arial" w:eastAsia="Calibri" w:hAnsi="Arial" w:cs="Arial"/>
          <w:b/>
        </w:rPr>
        <w:t>A.O.B.</w:t>
      </w:r>
    </w:p>
    <w:p w:rsidR="00485D97" w:rsidRDefault="00485D97" w:rsidP="008B2282">
      <w:pPr>
        <w:pStyle w:val="ListParagraph"/>
        <w:spacing w:after="240"/>
        <w:ind w:left="0"/>
        <w:contextualSpacing w:val="0"/>
        <w:jc w:val="both"/>
        <w:rPr>
          <w:rFonts w:ascii="Arial" w:eastAsia="Calibri" w:hAnsi="Arial" w:cs="Arial"/>
        </w:rPr>
      </w:pPr>
      <w:r w:rsidRPr="00485D97">
        <w:rPr>
          <w:rFonts w:ascii="Arial" w:eastAsia="Calibri" w:hAnsi="Arial" w:cs="Arial"/>
        </w:rPr>
        <w:t>Nothing else was raised.</w:t>
      </w:r>
    </w:p>
    <w:p w:rsidR="003142C8" w:rsidRPr="00D67736" w:rsidRDefault="00DE64E3" w:rsidP="008B228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D67736">
        <w:rPr>
          <w:rFonts w:ascii="Arial" w:hAnsi="Arial" w:cs="Arial"/>
          <w:b/>
        </w:rPr>
        <w:t>Date of n</w:t>
      </w:r>
      <w:bookmarkStart w:id="0" w:name="_GoBack"/>
      <w:bookmarkEnd w:id="0"/>
      <w:r w:rsidRPr="00D67736">
        <w:rPr>
          <w:rFonts w:ascii="Arial" w:hAnsi="Arial" w:cs="Arial"/>
          <w:b/>
        </w:rPr>
        <w:t>ext meeting:</w:t>
      </w:r>
      <w:r w:rsidR="00E17DAE" w:rsidRPr="00D67736">
        <w:rPr>
          <w:rFonts w:ascii="Arial" w:hAnsi="Arial" w:cs="Arial"/>
          <w:b/>
        </w:rPr>
        <w:t xml:space="preserve"> Friday 15</w:t>
      </w:r>
      <w:r w:rsidR="00E17DAE" w:rsidRPr="00D67736">
        <w:rPr>
          <w:rFonts w:ascii="Arial" w:hAnsi="Arial" w:cs="Arial"/>
          <w:b/>
          <w:vertAlign w:val="superscript"/>
        </w:rPr>
        <w:t>th</w:t>
      </w:r>
      <w:r w:rsidR="00E17DAE" w:rsidRPr="00D67736">
        <w:rPr>
          <w:rFonts w:ascii="Arial" w:hAnsi="Arial" w:cs="Arial"/>
          <w:b/>
        </w:rPr>
        <w:t xml:space="preserve"> April, 1pm; Atlantic Quay, Glasgow.</w:t>
      </w:r>
    </w:p>
    <w:p w:rsidR="00F811C0" w:rsidRPr="00393D3E" w:rsidRDefault="00F811C0" w:rsidP="008B2282">
      <w:pPr>
        <w:spacing w:after="240"/>
        <w:jc w:val="both"/>
        <w:rPr>
          <w:rFonts w:ascii="Arial" w:hAnsi="Arial" w:cs="Arial"/>
        </w:rPr>
      </w:pPr>
    </w:p>
    <w:sectPr w:rsidR="00F811C0" w:rsidRPr="00393D3E" w:rsidSect="000F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A5A"/>
    <w:multiLevelType w:val="hybridMultilevel"/>
    <w:tmpl w:val="3000F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A649F"/>
    <w:multiLevelType w:val="hybridMultilevel"/>
    <w:tmpl w:val="C978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F7A4F"/>
    <w:multiLevelType w:val="hybridMultilevel"/>
    <w:tmpl w:val="3CE8E488"/>
    <w:lvl w:ilvl="0" w:tplc="CCD6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trackRevisions/>
  <w:defaultTabStop w:val="720"/>
  <w:characterSpacingControl w:val="doNotCompress"/>
  <w:compat/>
  <w:rsids>
    <w:rsidRoot w:val="004617DE"/>
    <w:rsid w:val="00042C77"/>
    <w:rsid w:val="00056EE0"/>
    <w:rsid w:val="0005723C"/>
    <w:rsid w:val="00067673"/>
    <w:rsid w:val="00085254"/>
    <w:rsid w:val="00090C07"/>
    <w:rsid w:val="0009436B"/>
    <w:rsid w:val="000A1174"/>
    <w:rsid w:val="000A7271"/>
    <w:rsid w:val="000A7B98"/>
    <w:rsid w:val="000C4805"/>
    <w:rsid w:val="000C60CA"/>
    <w:rsid w:val="000F4B9A"/>
    <w:rsid w:val="000F72F8"/>
    <w:rsid w:val="00107E96"/>
    <w:rsid w:val="00113DC9"/>
    <w:rsid w:val="00126032"/>
    <w:rsid w:val="00135F82"/>
    <w:rsid w:val="001506AC"/>
    <w:rsid w:val="00164A2C"/>
    <w:rsid w:val="001A145E"/>
    <w:rsid w:val="001A70A4"/>
    <w:rsid w:val="001B5DA0"/>
    <w:rsid w:val="001B6E6D"/>
    <w:rsid w:val="001E5263"/>
    <w:rsid w:val="001E57F7"/>
    <w:rsid w:val="001F209B"/>
    <w:rsid w:val="00225DD3"/>
    <w:rsid w:val="002367FF"/>
    <w:rsid w:val="00267E2C"/>
    <w:rsid w:val="002819D5"/>
    <w:rsid w:val="00296F92"/>
    <w:rsid w:val="002A353D"/>
    <w:rsid w:val="003046DB"/>
    <w:rsid w:val="00306D7E"/>
    <w:rsid w:val="003071F8"/>
    <w:rsid w:val="003142C8"/>
    <w:rsid w:val="003275BC"/>
    <w:rsid w:val="003412AE"/>
    <w:rsid w:val="00373430"/>
    <w:rsid w:val="00390EBD"/>
    <w:rsid w:val="00393D3E"/>
    <w:rsid w:val="003A5F34"/>
    <w:rsid w:val="003B21BB"/>
    <w:rsid w:val="003C0E09"/>
    <w:rsid w:val="003D40A1"/>
    <w:rsid w:val="003F2FC5"/>
    <w:rsid w:val="003F70A8"/>
    <w:rsid w:val="00431B31"/>
    <w:rsid w:val="0043299C"/>
    <w:rsid w:val="00457C6E"/>
    <w:rsid w:val="004617DE"/>
    <w:rsid w:val="0047015A"/>
    <w:rsid w:val="00477167"/>
    <w:rsid w:val="004826F0"/>
    <w:rsid w:val="00485D97"/>
    <w:rsid w:val="004A1358"/>
    <w:rsid w:val="004B7D31"/>
    <w:rsid w:val="004F7637"/>
    <w:rsid w:val="0051464B"/>
    <w:rsid w:val="00517DF6"/>
    <w:rsid w:val="00524842"/>
    <w:rsid w:val="00525713"/>
    <w:rsid w:val="00527116"/>
    <w:rsid w:val="005279B6"/>
    <w:rsid w:val="00537501"/>
    <w:rsid w:val="00545D51"/>
    <w:rsid w:val="00550421"/>
    <w:rsid w:val="00550EFF"/>
    <w:rsid w:val="00591DCD"/>
    <w:rsid w:val="00592B66"/>
    <w:rsid w:val="00594968"/>
    <w:rsid w:val="00597638"/>
    <w:rsid w:val="005D03DE"/>
    <w:rsid w:val="005D6209"/>
    <w:rsid w:val="005D7E45"/>
    <w:rsid w:val="005F3D27"/>
    <w:rsid w:val="005F733F"/>
    <w:rsid w:val="005F7742"/>
    <w:rsid w:val="00634187"/>
    <w:rsid w:val="0065689D"/>
    <w:rsid w:val="00673E8D"/>
    <w:rsid w:val="00674E6A"/>
    <w:rsid w:val="006A2622"/>
    <w:rsid w:val="006C3B32"/>
    <w:rsid w:val="006C7EA7"/>
    <w:rsid w:val="006D0CB7"/>
    <w:rsid w:val="006D5A1E"/>
    <w:rsid w:val="006E4316"/>
    <w:rsid w:val="00700088"/>
    <w:rsid w:val="007018C8"/>
    <w:rsid w:val="007027D4"/>
    <w:rsid w:val="0070407D"/>
    <w:rsid w:val="007175AC"/>
    <w:rsid w:val="00724CA1"/>
    <w:rsid w:val="007403FA"/>
    <w:rsid w:val="00754B65"/>
    <w:rsid w:val="00755D9E"/>
    <w:rsid w:val="00762CB7"/>
    <w:rsid w:val="007672C5"/>
    <w:rsid w:val="007877F1"/>
    <w:rsid w:val="007B197A"/>
    <w:rsid w:val="007B2503"/>
    <w:rsid w:val="007D496D"/>
    <w:rsid w:val="007F6C84"/>
    <w:rsid w:val="00800D99"/>
    <w:rsid w:val="00813B27"/>
    <w:rsid w:val="00830E79"/>
    <w:rsid w:val="00833200"/>
    <w:rsid w:val="00876650"/>
    <w:rsid w:val="008A0C29"/>
    <w:rsid w:val="008B2282"/>
    <w:rsid w:val="008F0664"/>
    <w:rsid w:val="008F342C"/>
    <w:rsid w:val="00982F5D"/>
    <w:rsid w:val="0098679E"/>
    <w:rsid w:val="009A55AB"/>
    <w:rsid w:val="009B4191"/>
    <w:rsid w:val="009B69C2"/>
    <w:rsid w:val="009E2BC2"/>
    <w:rsid w:val="009E30A2"/>
    <w:rsid w:val="009F7CFA"/>
    <w:rsid w:val="00A037B8"/>
    <w:rsid w:val="00A11384"/>
    <w:rsid w:val="00A17D17"/>
    <w:rsid w:val="00A25AC9"/>
    <w:rsid w:val="00A3381B"/>
    <w:rsid w:val="00A614E1"/>
    <w:rsid w:val="00A61633"/>
    <w:rsid w:val="00A75DD2"/>
    <w:rsid w:val="00A95A8C"/>
    <w:rsid w:val="00A96D06"/>
    <w:rsid w:val="00AA0C3C"/>
    <w:rsid w:val="00AC2328"/>
    <w:rsid w:val="00AC7309"/>
    <w:rsid w:val="00B35F29"/>
    <w:rsid w:val="00B55756"/>
    <w:rsid w:val="00B62DBE"/>
    <w:rsid w:val="00B713B2"/>
    <w:rsid w:val="00B9193C"/>
    <w:rsid w:val="00BA083D"/>
    <w:rsid w:val="00BA444D"/>
    <w:rsid w:val="00BA74E2"/>
    <w:rsid w:val="00BF72F6"/>
    <w:rsid w:val="00C0219C"/>
    <w:rsid w:val="00C03C7A"/>
    <w:rsid w:val="00C044D6"/>
    <w:rsid w:val="00C32012"/>
    <w:rsid w:val="00C3220F"/>
    <w:rsid w:val="00C40AE6"/>
    <w:rsid w:val="00C4737C"/>
    <w:rsid w:val="00C5139D"/>
    <w:rsid w:val="00C554A9"/>
    <w:rsid w:val="00C6134C"/>
    <w:rsid w:val="00C82D9E"/>
    <w:rsid w:val="00C9107D"/>
    <w:rsid w:val="00C962F5"/>
    <w:rsid w:val="00CA55C5"/>
    <w:rsid w:val="00CA7817"/>
    <w:rsid w:val="00CB0129"/>
    <w:rsid w:val="00CE0353"/>
    <w:rsid w:val="00CE27D9"/>
    <w:rsid w:val="00CF79B9"/>
    <w:rsid w:val="00D01D1E"/>
    <w:rsid w:val="00D31F67"/>
    <w:rsid w:val="00D357AB"/>
    <w:rsid w:val="00D62103"/>
    <w:rsid w:val="00D65348"/>
    <w:rsid w:val="00D65B42"/>
    <w:rsid w:val="00D67736"/>
    <w:rsid w:val="00D7216E"/>
    <w:rsid w:val="00D73F05"/>
    <w:rsid w:val="00D76646"/>
    <w:rsid w:val="00DA294E"/>
    <w:rsid w:val="00DC57C7"/>
    <w:rsid w:val="00DD4290"/>
    <w:rsid w:val="00DD69C8"/>
    <w:rsid w:val="00DE64E3"/>
    <w:rsid w:val="00DE7D8E"/>
    <w:rsid w:val="00E17DAE"/>
    <w:rsid w:val="00E278CF"/>
    <w:rsid w:val="00E65418"/>
    <w:rsid w:val="00E70DB5"/>
    <w:rsid w:val="00E87EA9"/>
    <w:rsid w:val="00ED4E12"/>
    <w:rsid w:val="00EE0071"/>
    <w:rsid w:val="00EE44F4"/>
    <w:rsid w:val="00EF6081"/>
    <w:rsid w:val="00F20CF0"/>
    <w:rsid w:val="00F265E5"/>
    <w:rsid w:val="00F55512"/>
    <w:rsid w:val="00F60A5D"/>
    <w:rsid w:val="00F63ABA"/>
    <w:rsid w:val="00F648B4"/>
    <w:rsid w:val="00F71F58"/>
    <w:rsid w:val="00F725C2"/>
    <w:rsid w:val="00F74D1B"/>
    <w:rsid w:val="00F774F5"/>
    <w:rsid w:val="00F811C0"/>
    <w:rsid w:val="00F8342D"/>
    <w:rsid w:val="00FA3D0B"/>
    <w:rsid w:val="00FA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EB383-88EF-4A8D-84B4-80379CFC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lynnej01</dc:creator>
  <cp:lastModifiedBy>lynnej01</cp:lastModifiedBy>
  <cp:revision>3</cp:revision>
  <cp:lastPrinted>2016-03-22T15:24:00Z</cp:lastPrinted>
  <dcterms:created xsi:type="dcterms:W3CDTF">2016-03-30T12:52:00Z</dcterms:created>
  <dcterms:modified xsi:type="dcterms:W3CDTF">2016-03-30T12:54:00Z</dcterms:modified>
</cp:coreProperties>
</file>