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5A" w:rsidRPr="00A144DF" w:rsidRDefault="00BA4A5A" w:rsidP="00DF70FD">
      <w:pPr>
        <w:rPr>
          <w:rFonts w:ascii="Arial" w:hAnsi="Arial" w:cs="Arial"/>
          <w:b/>
        </w:rPr>
      </w:pPr>
      <w:r w:rsidRPr="00A144DF">
        <w:rPr>
          <w:rFonts w:ascii="Arial" w:hAnsi="Arial" w:cs="Arial"/>
          <w:b/>
        </w:rPr>
        <w:t>TAGRA ACUTE MLC SUBGROUP</w:t>
      </w:r>
      <w:r w:rsidRPr="00A144DF">
        <w:rPr>
          <w:rFonts w:ascii="Arial" w:hAnsi="Arial" w:cs="Arial"/>
          <w:b/>
        </w:rPr>
        <w:tab/>
      </w:r>
      <w:r w:rsidRPr="00A144DF">
        <w:rPr>
          <w:rFonts w:ascii="Arial" w:hAnsi="Arial" w:cs="Arial"/>
          <w:b/>
        </w:rPr>
        <w:tab/>
      </w:r>
      <w:r w:rsidRPr="00A144DF">
        <w:rPr>
          <w:rFonts w:ascii="Arial" w:hAnsi="Arial" w:cs="Arial"/>
          <w:b/>
        </w:rPr>
        <w:tab/>
      </w:r>
      <w:r w:rsidRPr="00A144DF">
        <w:rPr>
          <w:rFonts w:ascii="Arial" w:hAnsi="Arial" w:cs="Arial"/>
          <w:b/>
        </w:rPr>
        <w:tab/>
      </w:r>
      <w:r w:rsidR="00DB1891" w:rsidRPr="00A144DF">
        <w:rPr>
          <w:rFonts w:ascii="Arial" w:hAnsi="Arial" w:cs="Arial"/>
          <w:b/>
        </w:rPr>
        <w:t xml:space="preserve">         </w:t>
      </w:r>
      <w:r w:rsidRPr="00A144DF">
        <w:rPr>
          <w:rFonts w:ascii="Arial" w:hAnsi="Arial" w:cs="Arial"/>
          <w:b/>
        </w:rPr>
        <w:t>Tuesday 18</w:t>
      </w:r>
      <w:r w:rsidRPr="00A144DF">
        <w:rPr>
          <w:rFonts w:ascii="Arial" w:hAnsi="Arial" w:cs="Arial"/>
          <w:b/>
          <w:vertAlign w:val="superscript"/>
        </w:rPr>
        <w:t>th</w:t>
      </w:r>
      <w:r w:rsidRPr="00A144DF">
        <w:rPr>
          <w:rFonts w:ascii="Arial" w:hAnsi="Arial" w:cs="Arial"/>
          <w:b/>
        </w:rPr>
        <w:t xml:space="preserve"> August 2015</w:t>
      </w:r>
    </w:p>
    <w:p w:rsidR="00BA4A5A" w:rsidRPr="00A144DF" w:rsidRDefault="00BA4A5A" w:rsidP="00DF70FD">
      <w:pPr>
        <w:rPr>
          <w:rFonts w:ascii="Arial" w:hAnsi="Arial" w:cs="Arial"/>
          <w:b/>
        </w:rPr>
      </w:pPr>
      <w:r w:rsidRPr="00A144DF">
        <w:rPr>
          <w:rFonts w:ascii="Arial" w:hAnsi="Arial" w:cs="Arial"/>
          <w:b/>
        </w:rPr>
        <w:t>UNMET NEED ANALYSIS – METHODOLOGY</w:t>
      </w:r>
    </w:p>
    <w:p w:rsidR="00FB4C64" w:rsidRDefault="00FB4C64" w:rsidP="00C1748D">
      <w:pPr>
        <w:rPr>
          <w:rFonts w:ascii="Arial" w:hAnsi="Arial" w:cs="Arial"/>
          <w:b/>
        </w:rPr>
      </w:pPr>
    </w:p>
    <w:p w:rsidR="00BA4A5A" w:rsidRPr="00B666BF" w:rsidRDefault="00BA4A5A" w:rsidP="00C1748D">
      <w:pPr>
        <w:rPr>
          <w:rFonts w:ascii="Arial" w:hAnsi="Arial" w:cs="Arial"/>
          <w:b/>
          <w:sz w:val="24"/>
          <w:szCs w:val="24"/>
        </w:rPr>
      </w:pPr>
      <w:r w:rsidRPr="00B666BF">
        <w:rPr>
          <w:rFonts w:ascii="Arial" w:hAnsi="Arial" w:cs="Arial"/>
          <w:b/>
          <w:sz w:val="24"/>
          <w:szCs w:val="24"/>
        </w:rPr>
        <w:t>Background</w:t>
      </w:r>
    </w:p>
    <w:p w:rsidR="003E64F8" w:rsidRPr="00A144DF" w:rsidRDefault="003E64F8" w:rsidP="00C1748D">
      <w:pPr>
        <w:pStyle w:val="ListParagraph"/>
        <w:spacing w:after="200" w:line="276" w:lineRule="auto"/>
        <w:ind w:left="0"/>
        <w:contextualSpacing w:val="0"/>
        <w:rPr>
          <w:rFonts w:cs="Arial"/>
          <w:sz w:val="22"/>
          <w:szCs w:val="22"/>
        </w:rPr>
      </w:pPr>
      <w:r w:rsidRPr="00A144DF">
        <w:rPr>
          <w:rFonts w:cs="Arial"/>
          <w:sz w:val="22"/>
        </w:rPr>
        <w:t xml:space="preserve">The </w:t>
      </w:r>
      <w:proofErr w:type="spellStart"/>
      <w:r w:rsidRPr="00A144DF">
        <w:rPr>
          <w:rFonts w:cs="Arial"/>
          <w:sz w:val="22"/>
        </w:rPr>
        <w:t>NHSScotland</w:t>
      </w:r>
      <w:proofErr w:type="spellEnd"/>
      <w:r w:rsidRPr="00A144DF">
        <w:rPr>
          <w:rFonts w:cs="Arial"/>
          <w:sz w:val="22"/>
        </w:rPr>
        <w:t xml:space="preserve"> Resource Allocation Committee (NRAC) Formula relies on health service activity data as a basic proxy for the need for healthcare services.  It is therefore important to check for the existence and extent of any socio-economic inequities in healthcare utilisation </w:t>
      </w:r>
      <w:r w:rsidRPr="00A144DF">
        <w:rPr>
          <w:rFonts w:cs="Arial"/>
          <w:sz w:val="22"/>
          <w:szCs w:val="22"/>
        </w:rPr>
        <w:t>and, where appropriate, to adjust the Formula to reflect such unmet need.</w:t>
      </w:r>
    </w:p>
    <w:p w:rsidR="009652DC" w:rsidRDefault="003E64F8" w:rsidP="00C1748D">
      <w:pPr>
        <w:pStyle w:val="ListParagraph"/>
        <w:spacing w:after="200" w:line="276" w:lineRule="auto"/>
        <w:ind w:left="0"/>
        <w:contextualSpacing w:val="0"/>
        <w:rPr>
          <w:rFonts w:cs="Arial"/>
          <w:sz w:val="22"/>
          <w:szCs w:val="22"/>
        </w:rPr>
      </w:pPr>
      <w:r w:rsidRPr="00A144DF">
        <w:rPr>
          <w:rFonts w:cs="Arial"/>
          <w:sz w:val="22"/>
          <w:szCs w:val="22"/>
        </w:rPr>
        <w:t xml:space="preserve">Unmet need was discussed most recently at the June Acute MLC </w:t>
      </w:r>
      <w:r w:rsidR="009652DC">
        <w:rPr>
          <w:rFonts w:cs="Arial"/>
          <w:sz w:val="22"/>
          <w:szCs w:val="22"/>
        </w:rPr>
        <w:t>meeting (TAMLC</w:t>
      </w:r>
      <w:r w:rsidRPr="00A144DF">
        <w:rPr>
          <w:rFonts w:cs="Arial"/>
          <w:sz w:val="22"/>
          <w:szCs w:val="22"/>
        </w:rPr>
        <w:t xml:space="preserve">28). </w:t>
      </w:r>
      <w:r w:rsidR="009652DC">
        <w:rPr>
          <w:rFonts w:cs="Arial"/>
          <w:sz w:val="22"/>
          <w:szCs w:val="22"/>
        </w:rPr>
        <w:t xml:space="preserve">The results of </w:t>
      </w:r>
      <w:r w:rsidR="00664255">
        <w:rPr>
          <w:rFonts w:cs="Arial"/>
          <w:sz w:val="22"/>
          <w:szCs w:val="22"/>
        </w:rPr>
        <w:t>some</w:t>
      </w:r>
      <w:r w:rsidR="009652DC">
        <w:rPr>
          <w:rFonts w:cs="Arial"/>
          <w:sz w:val="22"/>
          <w:szCs w:val="22"/>
        </w:rPr>
        <w:t xml:space="preserve"> preliminary analysis were </w:t>
      </w:r>
      <w:r w:rsidR="00664255">
        <w:rPr>
          <w:rFonts w:cs="Arial"/>
          <w:sz w:val="22"/>
          <w:szCs w:val="22"/>
        </w:rPr>
        <w:t>examined,</w:t>
      </w:r>
      <w:r w:rsidR="009652DC">
        <w:rPr>
          <w:rFonts w:cs="Arial"/>
          <w:sz w:val="22"/>
          <w:szCs w:val="22"/>
        </w:rPr>
        <w:t xml:space="preserve"> </w:t>
      </w:r>
      <w:r w:rsidR="00664255">
        <w:rPr>
          <w:rFonts w:cs="Arial"/>
          <w:sz w:val="22"/>
          <w:szCs w:val="22"/>
        </w:rPr>
        <w:t xml:space="preserve">and the Subgroup began </w:t>
      </w:r>
      <w:r w:rsidR="009652DC">
        <w:rPr>
          <w:rFonts w:cs="Arial"/>
          <w:sz w:val="22"/>
          <w:szCs w:val="22"/>
        </w:rPr>
        <w:t xml:space="preserve">to plan the unmet need investigation, which will be carried out later in the Review, once the new Acute needs index has been developed. </w:t>
      </w:r>
    </w:p>
    <w:p w:rsidR="005241E5" w:rsidRDefault="001E2CA8" w:rsidP="00C1748D">
      <w:pPr>
        <w:pStyle w:val="ListParagraph"/>
        <w:spacing w:after="200" w:line="276" w:lineRule="auto"/>
        <w:ind w:left="0"/>
        <w:contextualSpacing w:val="0"/>
        <w:rPr>
          <w:rFonts w:cs="Arial"/>
          <w:sz w:val="22"/>
          <w:szCs w:val="22"/>
        </w:rPr>
      </w:pPr>
      <w:r>
        <w:rPr>
          <w:rFonts w:cs="Arial"/>
          <w:sz w:val="22"/>
          <w:szCs w:val="22"/>
        </w:rPr>
        <w:t>The</w:t>
      </w:r>
      <w:r w:rsidR="00FC71EC">
        <w:rPr>
          <w:rFonts w:cs="Arial"/>
          <w:sz w:val="22"/>
          <w:szCs w:val="22"/>
        </w:rPr>
        <w:t xml:space="preserve"> </w:t>
      </w:r>
      <w:r w:rsidR="00664255">
        <w:rPr>
          <w:rFonts w:cs="Arial"/>
          <w:sz w:val="22"/>
          <w:szCs w:val="22"/>
        </w:rPr>
        <w:t>investigation is based</w:t>
      </w:r>
      <w:r w:rsidR="00FC71EC">
        <w:rPr>
          <w:rFonts w:cs="Arial"/>
          <w:sz w:val="22"/>
          <w:szCs w:val="22"/>
        </w:rPr>
        <w:t xml:space="preserve"> on shortfall methods, which look for lower-than-expected healthcare utilisation in </w:t>
      </w:r>
      <w:r w:rsidR="003F1A19">
        <w:rPr>
          <w:rFonts w:cs="Arial"/>
          <w:sz w:val="22"/>
          <w:szCs w:val="22"/>
        </w:rPr>
        <w:t xml:space="preserve">small </w:t>
      </w:r>
      <w:r w:rsidR="00FC71EC">
        <w:rPr>
          <w:rFonts w:cs="Arial"/>
          <w:sz w:val="22"/>
          <w:szCs w:val="22"/>
        </w:rPr>
        <w:t xml:space="preserve">areas which fulfil certain criteria </w:t>
      </w:r>
      <w:r w:rsidR="005D7496">
        <w:rPr>
          <w:rFonts w:cs="Arial"/>
          <w:sz w:val="22"/>
          <w:szCs w:val="22"/>
        </w:rPr>
        <w:t>(</w:t>
      </w:r>
      <w:r w:rsidR="00FC71EC">
        <w:rPr>
          <w:rFonts w:cs="Arial"/>
          <w:sz w:val="22"/>
          <w:szCs w:val="22"/>
        </w:rPr>
        <w:t>relating to depri</w:t>
      </w:r>
      <w:r w:rsidR="003F1A19">
        <w:rPr>
          <w:rFonts w:cs="Arial"/>
          <w:sz w:val="22"/>
          <w:szCs w:val="22"/>
        </w:rPr>
        <w:t>vation, or other characteristics</w:t>
      </w:r>
      <w:r w:rsidR="005D7496">
        <w:rPr>
          <w:rFonts w:cs="Arial"/>
          <w:sz w:val="22"/>
          <w:szCs w:val="22"/>
        </w:rPr>
        <w:t>)</w:t>
      </w:r>
      <w:r w:rsidR="003F1A19">
        <w:rPr>
          <w:rFonts w:cs="Arial"/>
          <w:sz w:val="22"/>
          <w:szCs w:val="22"/>
        </w:rPr>
        <w:t>.</w:t>
      </w:r>
      <w:r w:rsidR="00FC71EC">
        <w:rPr>
          <w:rFonts w:cs="Arial"/>
          <w:sz w:val="22"/>
          <w:szCs w:val="22"/>
        </w:rPr>
        <w:t xml:space="preserve"> </w:t>
      </w:r>
      <w:r w:rsidR="005D7496">
        <w:rPr>
          <w:rFonts w:cs="Arial"/>
          <w:sz w:val="22"/>
          <w:szCs w:val="22"/>
        </w:rPr>
        <w:t>In particular,</w:t>
      </w:r>
      <w:r>
        <w:rPr>
          <w:rFonts w:cs="Arial"/>
          <w:sz w:val="22"/>
          <w:szCs w:val="22"/>
        </w:rPr>
        <w:t xml:space="preserve"> on Matt Sutton’s advice,</w:t>
      </w:r>
      <w:r w:rsidR="005D7496">
        <w:rPr>
          <w:rFonts w:cs="Arial"/>
          <w:sz w:val="22"/>
          <w:szCs w:val="22"/>
        </w:rPr>
        <w:t xml:space="preserve"> the two-step shortfall method of </w:t>
      </w:r>
      <w:proofErr w:type="spellStart"/>
      <w:r w:rsidR="005D7496" w:rsidRPr="00A144DF">
        <w:rPr>
          <w:rFonts w:cs="Arial"/>
          <w:sz w:val="22"/>
          <w:szCs w:val="22"/>
        </w:rPr>
        <w:t>McConnachie</w:t>
      </w:r>
      <w:proofErr w:type="spellEnd"/>
      <w:r w:rsidR="005D7496" w:rsidRPr="00A144DF">
        <w:rPr>
          <w:rFonts w:cs="Arial"/>
          <w:sz w:val="22"/>
          <w:szCs w:val="22"/>
        </w:rPr>
        <w:t xml:space="preserve"> and Sutton (2004)</w:t>
      </w:r>
      <w:r w:rsidR="005D7496" w:rsidRPr="00A144DF">
        <w:rPr>
          <w:rStyle w:val="FootnoteReference"/>
          <w:rFonts w:cs="Arial"/>
          <w:sz w:val="22"/>
          <w:szCs w:val="22"/>
        </w:rPr>
        <w:footnoteReference w:id="1"/>
      </w:r>
      <w:r w:rsidR="005D7496">
        <w:rPr>
          <w:rFonts w:cs="Arial"/>
          <w:sz w:val="22"/>
          <w:szCs w:val="22"/>
        </w:rPr>
        <w:t xml:space="preserve"> </w:t>
      </w:r>
      <w:r>
        <w:rPr>
          <w:rFonts w:cs="Arial"/>
          <w:sz w:val="22"/>
          <w:szCs w:val="22"/>
        </w:rPr>
        <w:t>had been tested</w:t>
      </w:r>
      <w:r w:rsidR="00664255">
        <w:rPr>
          <w:rFonts w:cs="Arial"/>
          <w:sz w:val="22"/>
          <w:szCs w:val="22"/>
        </w:rPr>
        <w:t xml:space="preserve"> in the preliminary analysis</w:t>
      </w:r>
      <w:r>
        <w:rPr>
          <w:rFonts w:cs="Arial"/>
          <w:sz w:val="22"/>
          <w:szCs w:val="22"/>
        </w:rPr>
        <w:t>. In this method,</w:t>
      </w:r>
      <w:r w:rsidR="005D7496">
        <w:rPr>
          <w:rFonts w:cs="Arial"/>
          <w:sz w:val="22"/>
          <w:szCs w:val="22"/>
        </w:rPr>
        <w:t xml:space="preserve"> the expected utilisation is based not </w:t>
      </w:r>
      <w:r w:rsidR="005241E5">
        <w:rPr>
          <w:rFonts w:cs="Arial"/>
          <w:sz w:val="22"/>
          <w:szCs w:val="22"/>
        </w:rPr>
        <w:t>purely on the Acute needs index but on an independent measure of morbid</w:t>
      </w:r>
      <w:r w:rsidR="00CD35F3">
        <w:rPr>
          <w:rFonts w:cs="Arial"/>
          <w:sz w:val="22"/>
          <w:szCs w:val="22"/>
        </w:rPr>
        <w:t>it</w:t>
      </w:r>
      <w:r w:rsidR="005241E5">
        <w:rPr>
          <w:rFonts w:cs="Arial"/>
          <w:sz w:val="22"/>
          <w:szCs w:val="22"/>
        </w:rPr>
        <w:t xml:space="preserve">y – in this case, data from the </w:t>
      </w:r>
      <w:r w:rsidR="005241E5" w:rsidRPr="00A144DF">
        <w:rPr>
          <w:rFonts w:cs="Arial"/>
          <w:sz w:val="22"/>
          <w:szCs w:val="22"/>
        </w:rPr>
        <w:t>Scottish Health Survey</w:t>
      </w:r>
      <w:r w:rsidR="005241E5">
        <w:rPr>
          <w:rFonts w:cs="Arial"/>
          <w:sz w:val="22"/>
          <w:szCs w:val="22"/>
        </w:rPr>
        <w:t xml:space="preserve">. </w:t>
      </w:r>
      <w:r w:rsidR="003E64F8" w:rsidRPr="00A144DF">
        <w:rPr>
          <w:rFonts w:cs="Arial"/>
          <w:sz w:val="22"/>
          <w:szCs w:val="22"/>
        </w:rPr>
        <w:t xml:space="preserve">The Subgroup </w:t>
      </w:r>
      <w:r>
        <w:rPr>
          <w:rFonts w:cs="Arial"/>
          <w:sz w:val="22"/>
          <w:szCs w:val="22"/>
        </w:rPr>
        <w:t>examined the results and concluded</w:t>
      </w:r>
      <w:r w:rsidR="003E64F8" w:rsidRPr="00A144DF">
        <w:rPr>
          <w:rFonts w:cs="Arial"/>
          <w:sz w:val="22"/>
          <w:szCs w:val="22"/>
        </w:rPr>
        <w:t xml:space="preserve"> that</w:t>
      </w:r>
      <w:r w:rsidR="005241E5">
        <w:rPr>
          <w:rFonts w:cs="Arial"/>
          <w:sz w:val="22"/>
          <w:szCs w:val="22"/>
        </w:rPr>
        <w:t xml:space="preserve"> the two-step shortfall method </w:t>
      </w:r>
      <w:r w:rsidR="003E64F8" w:rsidRPr="00A144DF">
        <w:rPr>
          <w:rFonts w:cs="Arial"/>
          <w:sz w:val="22"/>
          <w:szCs w:val="22"/>
        </w:rPr>
        <w:t>should not be pursued</w:t>
      </w:r>
      <w:r>
        <w:rPr>
          <w:rFonts w:cs="Arial"/>
          <w:sz w:val="22"/>
          <w:szCs w:val="22"/>
        </w:rPr>
        <w:t xml:space="preserve"> further</w:t>
      </w:r>
      <w:r w:rsidR="005241E5">
        <w:rPr>
          <w:rFonts w:cs="Arial"/>
          <w:sz w:val="22"/>
          <w:szCs w:val="22"/>
        </w:rPr>
        <w:t xml:space="preserve"> in the current Review, m</w:t>
      </w:r>
      <w:bookmarkStart w:id="0" w:name="_GoBack"/>
      <w:bookmarkEnd w:id="0"/>
      <w:r w:rsidR="005241E5">
        <w:rPr>
          <w:rFonts w:cs="Arial"/>
          <w:sz w:val="22"/>
          <w:szCs w:val="22"/>
        </w:rPr>
        <w:t xml:space="preserve">ainly due to the </w:t>
      </w:r>
      <w:proofErr w:type="spellStart"/>
      <w:r w:rsidR="005241E5">
        <w:rPr>
          <w:rFonts w:cs="Arial"/>
          <w:sz w:val="22"/>
          <w:szCs w:val="22"/>
        </w:rPr>
        <w:t>sparsity</w:t>
      </w:r>
      <w:proofErr w:type="spellEnd"/>
      <w:r w:rsidR="003E64F8" w:rsidRPr="00A144DF">
        <w:rPr>
          <w:rFonts w:cs="Arial"/>
          <w:sz w:val="22"/>
          <w:szCs w:val="22"/>
        </w:rPr>
        <w:t xml:space="preserve"> of the Scottish Health Survey morbidity data</w:t>
      </w:r>
      <w:r w:rsidR="00A07B7E" w:rsidRPr="00A144DF">
        <w:rPr>
          <w:rFonts w:cs="Arial"/>
          <w:sz w:val="22"/>
          <w:szCs w:val="22"/>
        </w:rPr>
        <w:t xml:space="preserve">. </w:t>
      </w:r>
    </w:p>
    <w:p w:rsidR="005241E5" w:rsidRPr="005241E5" w:rsidRDefault="00A45BC4" w:rsidP="005241E5">
      <w:pPr>
        <w:jc w:val="both"/>
        <w:rPr>
          <w:rFonts w:ascii="Arial" w:hAnsi="Arial" w:cs="Arial"/>
        </w:rPr>
      </w:pPr>
      <w:r>
        <w:rPr>
          <w:rFonts w:ascii="Arial" w:hAnsi="Arial" w:cs="Arial"/>
        </w:rPr>
        <w:t>T</w:t>
      </w:r>
      <w:r w:rsidR="00A07B7E" w:rsidRPr="005241E5">
        <w:rPr>
          <w:rFonts w:ascii="Arial" w:hAnsi="Arial" w:cs="Arial"/>
        </w:rPr>
        <w:t xml:space="preserve">he </w:t>
      </w:r>
      <w:r w:rsidR="005241E5" w:rsidRPr="005241E5">
        <w:rPr>
          <w:rFonts w:ascii="Arial" w:hAnsi="Arial" w:cs="Arial"/>
        </w:rPr>
        <w:t>“</w:t>
      </w:r>
      <w:r w:rsidR="00A07B7E" w:rsidRPr="005241E5">
        <w:rPr>
          <w:rFonts w:ascii="Arial" w:hAnsi="Arial" w:cs="Arial"/>
        </w:rPr>
        <w:t>simple</w:t>
      </w:r>
      <w:r w:rsidR="005241E5" w:rsidRPr="005241E5">
        <w:rPr>
          <w:rFonts w:ascii="Arial" w:hAnsi="Arial" w:cs="Arial"/>
        </w:rPr>
        <w:t>”</w:t>
      </w:r>
      <w:r w:rsidR="00A07B7E" w:rsidRPr="005241E5">
        <w:rPr>
          <w:rFonts w:ascii="Arial" w:hAnsi="Arial" w:cs="Arial"/>
        </w:rPr>
        <w:t xml:space="preserve"> shortfall method </w:t>
      </w:r>
      <w:r w:rsidR="005241E5" w:rsidRPr="005241E5">
        <w:rPr>
          <w:rFonts w:ascii="Arial" w:hAnsi="Arial" w:cs="Arial"/>
        </w:rPr>
        <w:t>(</w:t>
      </w:r>
      <w:proofErr w:type="spellStart"/>
      <w:r w:rsidR="005241E5" w:rsidRPr="005241E5">
        <w:rPr>
          <w:rFonts w:ascii="Arial" w:hAnsi="Arial" w:cs="Arial"/>
        </w:rPr>
        <w:t>McConnachie</w:t>
      </w:r>
      <w:proofErr w:type="spellEnd"/>
      <w:r w:rsidR="005241E5" w:rsidRPr="005241E5">
        <w:rPr>
          <w:rFonts w:ascii="Arial" w:hAnsi="Arial" w:cs="Arial"/>
        </w:rPr>
        <w:t xml:space="preserve"> and Sutton 2004)</w:t>
      </w:r>
      <w:r w:rsidR="00A07B7E" w:rsidRPr="005241E5">
        <w:rPr>
          <w:rFonts w:ascii="Arial" w:hAnsi="Arial" w:cs="Arial"/>
        </w:rPr>
        <w:t xml:space="preserve"> </w:t>
      </w:r>
      <w:r w:rsidR="001E2CA8">
        <w:rPr>
          <w:rFonts w:ascii="Arial" w:hAnsi="Arial" w:cs="Arial"/>
        </w:rPr>
        <w:t>had also been tested, for comparison</w:t>
      </w:r>
      <w:r w:rsidR="00A07B7E" w:rsidRPr="005241E5">
        <w:rPr>
          <w:rFonts w:ascii="Arial" w:hAnsi="Arial" w:cs="Arial"/>
        </w:rPr>
        <w:t xml:space="preserve">. </w:t>
      </w:r>
      <w:r w:rsidR="003F1A19" w:rsidRPr="005241E5">
        <w:rPr>
          <w:rFonts w:ascii="Arial" w:hAnsi="Arial" w:cs="Arial"/>
        </w:rPr>
        <w:t>This method looks for possible unmet need in areas with high values of the Acute needs index</w:t>
      </w:r>
      <w:r w:rsidR="005241E5">
        <w:rPr>
          <w:rFonts w:ascii="Arial" w:hAnsi="Arial" w:cs="Arial"/>
        </w:rPr>
        <w:t xml:space="preserve">, by looking for downward deviations from linearity in the </w:t>
      </w:r>
      <w:r w:rsidR="00AF00FB">
        <w:rPr>
          <w:rFonts w:ascii="Arial" w:hAnsi="Arial" w:cs="Arial"/>
        </w:rPr>
        <w:t xml:space="preserve">small-area </w:t>
      </w:r>
      <w:r w:rsidR="005241E5">
        <w:rPr>
          <w:rFonts w:ascii="Arial" w:hAnsi="Arial" w:cs="Arial"/>
        </w:rPr>
        <w:t xml:space="preserve">data – as indicated by line </w:t>
      </w:r>
      <w:proofErr w:type="gramStart"/>
      <w:r w:rsidR="005241E5">
        <w:rPr>
          <w:rFonts w:ascii="Arial" w:hAnsi="Arial" w:cs="Arial"/>
        </w:rPr>
        <w:t>A</w:t>
      </w:r>
      <w:proofErr w:type="gramEnd"/>
      <w:r w:rsidR="005241E5">
        <w:rPr>
          <w:rFonts w:ascii="Arial" w:hAnsi="Arial" w:cs="Arial"/>
        </w:rPr>
        <w:t xml:space="preserve"> in </w:t>
      </w:r>
      <w:r w:rsidR="00B4259C">
        <w:rPr>
          <w:rFonts w:ascii="Arial" w:hAnsi="Arial" w:cs="Arial"/>
        </w:rPr>
        <w:t>Figure 1.</w:t>
      </w:r>
      <w:r w:rsidR="005241E5">
        <w:rPr>
          <w:rFonts w:ascii="Arial" w:hAnsi="Arial" w:cs="Arial"/>
        </w:rPr>
        <w:t xml:space="preserve"> </w:t>
      </w:r>
      <w:r>
        <w:rPr>
          <w:rFonts w:ascii="Arial" w:hAnsi="Arial" w:cs="Arial"/>
        </w:rPr>
        <w:t>It is therefore based on an assumption that the true underlying relationship between the Acute needs index and healthcare costs is a linear one</w:t>
      </w:r>
      <w:r w:rsidR="00AF00FB">
        <w:rPr>
          <w:rFonts w:ascii="Arial" w:hAnsi="Arial" w:cs="Arial"/>
        </w:rPr>
        <w:t>, and that a shortfall at high index values is an indication of unmet need.</w:t>
      </w:r>
    </w:p>
    <w:p w:rsidR="00A45BC4" w:rsidRPr="00A144DF" w:rsidRDefault="005241E5" w:rsidP="00A45BC4">
      <w:pPr>
        <w:pStyle w:val="ListParagraph"/>
        <w:spacing w:after="200" w:line="276" w:lineRule="auto"/>
        <w:ind w:left="0"/>
        <w:contextualSpacing w:val="0"/>
        <w:rPr>
          <w:rFonts w:cs="Arial"/>
          <w:sz w:val="22"/>
          <w:szCs w:val="22"/>
        </w:rPr>
      </w:pPr>
      <w:r>
        <w:rPr>
          <w:rFonts w:cs="Arial"/>
          <w:sz w:val="22"/>
          <w:szCs w:val="22"/>
        </w:rPr>
        <w:t>T</w:t>
      </w:r>
      <w:r w:rsidRPr="00A144DF">
        <w:rPr>
          <w:rFonts w:cs="Arial"/>
          <w:sz w:val="22"/>
          <w:szCs w:val="22"/>
        </w:rPr>
        <w:t xml:space="preserve">he Subgroup agreed </w:t>
      </w:r>
      <w:r w:rsidR="009652DC">
        <w:rPr>
          <w:rFonts w:cs="Arial"/>
          <w:sz w:val="22"/>
          <w:szCs w:val="22"/>
        </w:rPr>
        <w:t>that the Review should</w:t>
      </w:r>
      <w:r w:rsidRPr="00A144DF">
        <w:rPr>
          <w:rFonts w:cs="Arial"/>
          <w:sz w:val="22"/>
          <w:szCs w:val="22"/>
        </w:rPr>
        <w:t xml:space="preserve"> </w:t>
      </w:r>
      <w:r w:rsidR="00AF00FB">
        <w:rPr>
          <w:rFonts w:cs="Arial"/>
          <w:sz w:val="22"/>
          <w:szCs w:val="22"/>
        </w:rPr>
        <w:t xml:space="preserve">use the simple shortfall method to </w:t>
      </w:r>
      <w:r w:rsidR="00A45BC4">
        <w:rPr>
          <w:rFonts w:cs="Arial"/>
          <w:sz w:val="22"/>
          <w:szCs w:val="22"/>
        </w:rPr>
        <w:t xml:space="preserve">test for unmet need related to the Acute needs index, but </w:t>
      </w:r>
      <w:r w:rsidRPr="00A144DF">
        <w:rPr>
          <w:rFonts w:cs="Arial"/>
          <w:sz w:val="22"/>
          <w:szCs w:val="22"/>
        </w:rPr>
        <w:t>also</w:t>
      </w:r>
      <w:r w:rsidR="00A45BC4">
        <w:rPr>
          <w:rFonts w:cs="Arial"/>
          <w:sz w:val="22"/>
          <w:szCs w:val="22"/>
        </w:rPr>
        <w:t xml:space="preserve">, </w:t>
      </w:r>
      <w:r w:rsidR="009652DC">
        <w:rPr>
          <w:rFonts w:cs="Arial"/>
          <w:sz w:val="22"/>
          <w:szCs w:val="22"/>
        </w:rPr>
        <w:t xml:space="preserve">that the Review should look for </w:t>
      </w:r>
      <w:r w:rsidRPr="00A144DF">
        <w:rPr>
          <w:rFonts w:cs="Arial"/>
          <w:sz w:val="22"/>
          <w:szCs w:val="22"/>
        </w:rPr>
        <w:t xml:space="preserve">any unmet need effects </w:t>
      </w:r>
      <w:r>
        <w:rPr>
          <w:rFonts w:cs="Arial"/>
          <w:sz w:val="22"/>
          <w:szCs w:val="22"/>
        </w:rPr>
        <w:t xml:space="preserve">related to </w:t>
      </w:r>
      <w:r w:rsidR="00A45BC4">
        <w:rPr>
          <w:rFonts w:cs="Arial"/>
          <w:sz w:val="22"/>
          <w:szCs w:val="22"/>
        </w:rPr>
        <w:t xml:space="preserve">certain other variables: </w:t>
      </w:r>
      <w:r w:rsidRPr="00A144DF">
        <w:rPr>
          <w:rFonts w:cs="Arial"/>
          <w:sz w:val="22"/>
          <w:szCs w:val="22"/>
        </w:rPr>
        <w:t xml:space="preserve">deprivation (SIMD), </w:t>
      </w:r>
      <w:proofErr w:type="spellStart"/>
      <w:r w:rsidRPr="00A144DF">
        <w:rPr>
          <w:rFonts w:cs="Arial"/>
          <w:sz w:val="22"/>
          <w:szCs w:val="22"/>
        </w:rPr>
        <w:t>rurality</w:t>
      </w:r>
      <w:proofErr w:type="spellEnd"/>
      <w:r>
        <w:rPr>
          <w:rFonts w:cs="Arial"/>
          <w:sz w:val="22"/>
          <w:szCs w:val="22"/>
        </w:rPr>
        <w:t>,</w:t>
      </w:r>
      <w:r w:rsidRPr="00A144DF">
        <w:rPr>
          <w:rFonts w:cs="Arial"/>
          <w:sz w:val="22"/>
          <w:szCs w:val="22"/>
        </w:rPr>
        <w:t xml:space="preserve"> and ethnicity</w:t>
      </w:r>
      <w:r w:rsidR="00EB6DF7">
        <w:rPr>
          <w:rFonts w:cs="Arial"/>
          <w:sz w:val="22"/>
          <w:szCs w:val="22"/>
        </w:rPr>
        <w:t>.</w:t>
      </w:r>
      <w:r w:rsidR="009D6151">
        <w:rPr>
          <w:rFonts w:cs="Arial"/>
          <w:sz w:val="22"/>
          <w:szCs w:val="22"/>
        </w:rPr>
        <w:t xml:space="preserve"> </w:t>
      </w:r>
      <w:r w:rsidR="00EB6DF7">
        <w:rPr>
          <w:rFonts w:cs="Arial"/>
          <w:sz w:val="22"/>
          <w:szCs w:val="22"/>
        </w:rPr>
        <w:t>Such</w:t>
      </w:r>
      <w:r w:rsidR="009D6151">
        <w:rPr>
          <w:rFonts w:cs="Arial"/>
          <w:sz w:val="22"/>
          <w:szCs w:val="22"/>
        </w:rPr>
        <w:t xml:space="preserve"> </w:t>
      </w:r>
      <w:r w:rsidR="00EB6DF7">
        <w:rPr>
          <w:rFonts w:cs="Arial"/>
          <w:sz w:val="22"/>
          <w:szCs w:val="22"/>
        </w:rPr>
        <w:t>analysis would entail</w:t>
      </w:r>
      <w:r w:rsidR="009D6151">
        <w:rPr>
          <w:rFonts w:cs="Arial"/>
          <w:sz w:val="22"/>
          <w:szCs w:val="22"/>
        </w:rPr>
        <w:t xml:space="preserve"> defining</w:t>
      </w:r>
      <w:r w:rsidR="009D6151" w:rsidRPr="009D6151">
        <w:rPr>
          <w:rFonts w:cs="Arial"/>
          <w:sz w:val="22"/>
          <w:szCs w:val="22"/>
        </w:rPr>
        <w:t xml:space="preserve"> the populations of interest </w:t>
      </w:r>
      <w:r w:rsidR="009D6151">
        <w:rPr>
          <w:rFonts w:cs="Arial"/>
          <w:sz w:val="22"/>
          <w:szCs w:val="22"/>
        </w:rPr>
        <w:t>by</w:t>
      </w:r>
      <w:r w:rsidR="009D6151" w:rsidRPr="009D6151">
        <w:rPr>
          <w:rFonts w:cs="Arial"/>
          <w:sz w:val="22"/>
          <w:szCs w:val="22"/>
        </w:rPr>
        <w:t xml:space="preserve"> </w:t>
      </w:r>
      <w:r w:rsidR="00EB6DF7">
        <w:rPr>
          <w:rFonts w:cs="Arial"/>
          <w:sz w:val="22"/>
          <w:szCs w:val="22"/>
        </w:rPr>
        <w:t xml:space="preserve">these other </w:t>
      </w:r>
      <w:r w:rsidR="009D6151" w:rsidRPr="009D6151">
        <w:rPr>
          <w:rFonts w:cs="Arial"/>
          <w:sz w:val="22"/>
          <w:szCs w:val="22"/>
        </w:rPr>
        <w:t>variables</w:t>
      </w:r>
      <w:r w:rsidR="00EB6DF7">
        <w:rPr>
          <w:rFonts w:cs="Arial"/>
          <w:sz w:val="22"/>
          <w:szCs w:val="22"/>
        </w:rPr>
        <w:t>, as opposed to the</w:t>
      </w:r>
      <w:r w:rsidR="009D6151" w:rsidRPr="009D6151">
        <w:rPr>
          <w:rFonts w:cs="Arial"/>
          <w:sz w:val="22"/>
          <w:szCs w:val="22"/>
        </w:rPr>
        <w:t xml:space="preserve"> </w:t>
      </w:r>
      <w:r w:rsidR="009D6151">
        <w:rPr>
          <w:rFonts w:cs="Arial"/>
          <w:sz w:val="22"/>
          <w:szCs w:val="22"/>
        </w:rPr>
        <w:t>A</w:t>
      </w:r>
      <w:r w:rsidR="009D6151" w:rsidRPr="009D6151">
        <w:rPr>
          <w:rFonts w:cs="Arial"/>
          <w:sz w:val="22"/>
          <w:szCs w:val="22"/>
        </w:rPr>
        <w:t xml:space="preserve">cute </w:t>
      </w:r>
      <w:r w:rsidR="009D6151">
        <w:rPr>
          <w:rFonts w:cs="Arial"/>
          <w:sz w:val="22"/>
          <w:szCs w:val="22"/>
        </w:rPr>
        <w:t xml:space="preserve">needs </w:t>
      </w:r>
      <w:r w:rsidR="009D6151" w:rsidRPr="009D6151">
        <w:rPr>
          <w:rFonts w:cs="Arial"/>
          <w:sz w:val="22"/>
          <w:szCs w:val="22"/>
        </w:rPr>
        <w:t xml:space="preserve">index. </w:t>
      </w:r>
      <w:r w:rsidR="00EB6DF7">
        <w:rPr>
          <w:rFonts w:cs="Arial"/>
          <w:sz w:val="22"/>
          <w:szCs w:val="22"/>
        </w:rPr>
        <w:t xml:space="preserve">This approach </w:t>
      </w:r>
      <w:r w:rsidR="009D3849">
        <w:rPr>
          <w:rFonts w:cs="Arial"/>
          <w:sz w:val="22"/>
          <w:szCs w:val="22"/>
        </w:rPr>
        <w:t>allows</w:t>
      </w:r>
      <w:r w:rsidR="00EB6DF7">
        <w:rPr>
          <w:rFonts w:cs="Arial"/>
          <w:sz w:val="22"/>
          <w:szCs w:val="22"/>
        </w:rPr>
        <w:t xml:space="preserve"> for</w:t>
      </w:r>
      <w:r w:rsidR="009D6151" w:rsidRPr="009D6151">
        <w:rPr>
          <w:rFonts w:cs="Arial"/>
          <w:sz w:val="22"/>
          <w:szCs w:val="22"/>
        </w:rPr>
        <w:t xml:space="preserve"> </w:t>
      </w:r>
      <w:r w:rsidR="009D3849">
        <w:rPr>
          <w:rFonts w:cs="Arial"/>
          <w:sz w:val="22"/>
          <w:szCs w:val="22"/>
        </w:rPr>
        <w:t xml:space="preserve">the possibility of finding </w:t>
      </w:r>
      <w:r w:rsidR="009D6151" w:rsidRPr="009D6151">
        <w:rPr>
          <w:rFonts w:cs="Arial"/>
          <w:sz w:val="22"/>
          <w:szCs w:val="22"/>
        </w:rPr>
        <w:t>unmet need</w:t>
      </w:r>
      <w:r w:rsidR="00EB6DF7">
        <w:rPr>
          <w:rFonts w:cs="Arial"/>
          <w:sz w:val="22"/>
          <w:szCs w:val="22"/>
        </w:rPr>
        <w:t xml:space="preserve"> along several different ‘dimensions’ where it may plausibly exist</w:t>
      </w:r>
      <w:r w:rsidR="009D3849">
        <w:rPr>
          <w:rFonts w:cs="Arial"/>
          <w:sz w:val="22"/>
          <w:szCs w:val="22"/>
        </w:rPr>
        <w:t>, and</w:t>
      </w:r>
      <w:r w:rsidR="00A45BC4">
        <w:rPr>
          <w:rFonts w:cs="Arial"/>
          <w:sz w:val="22"/>
          <w:szCs w:val="22"/>
        </w:rPr>
        <w:t xml:space="preserve"> </w:t>
      </w:r>
      <w:r w:rsidR="009652DC">
        <w:rPr>
          <w:rFonts w:cs="Arial"/>
          <w:sz w:val="22"/>
          <w:szCs w:val="22"/>
        </w:rPr>
        <w:t>will mirror</w:t>
      </w:r>
      <w:r w:rsidR="00A45BC4">
        <w:rPr>
          <w:rFonts w:cs="Arial"/>
          <w:sz w:val="22"/>
          <w:szCs w:val="22"/>
        </w:rPr>
        <w:t xml:space="preserve"> what</w:t>
      </w:r>
      <w:r>
        <w:rPr>
          <w:rFonts w:cs="Arial"/>
          <w:sz w:val="22"/>
          <w:szCs w:val="22"/>
        </w:rPr>
        <w:t xml:space="preserve"> was done </w:t>
      </w:r>
      <w:r w:rsidR="009A0C4C">
        <w:rPr>
          <w:rFonts w:cs="Arial"/>
          <w:sz w:val="22"/>
          <w:szCs w:val="22"/>
        </w:rPr>
        <w:t>following</w:t>
      </w:r>
      <w:r>
        <w:rPr>
          <w:rFonts w:cs="Arial"/>
          <w:sz w:val="22"/>
          <w:szCs w:val="22"/>
        </w:rPr>
        <w:t xml:space="preserve"> </w:t>
      </w:r>
      <w:r w:rsidR="00A45BC4">
        <w:rPr>
          <w:rFonts w:cs="Arial"/>
          <w:sz w:val="22"/>
          <w:szCs w:val="22"/>
        </w:rPr>
        <w:t xml:space="preserve">the NRAC Review – documented in </w:t>
      </w:r>
      <w:r w:rsidR="00AF00FB">
        <w:rPr>
          <w:rFonts w:cs="Arial"/>
          <w:sz w:val="22"/>
          <w:szCs w:val="22"/>
        </w:rPr>
        <w:t xml:space="preserve">Technical Addendum D (2007). </w:t>
      </w:r>
    </w:p>
    <w:p w:rsidR="005241E5" w:rsidRDefault="005241E5" w:rsidP="005241E5">
      <w:pPr>
        <w:pStyle w:val="ListParagraph"/>
        <w:spacing w:after="200" w:line="276" w:lineRule="auto"/>
        <w:ind w:left="0"/>
        <w:contextualSpacing w:val="0"/>
        <w:rPr>
          <w:rFonts w:cs="Arial"/>
          <w:sz w:val="22"/>
          <w:szCs w:val="22"/>
        </w:rPr>
      </w:pPr>
      <w:r>
        <w:rPr>
          <w:rFonts w:cs="Arial"/>
          <w:sz w:val="22"/>
          <w:szCs w:val="22"/>
        </w:rPr>
        <w:t xml:space="preserve">This </w:t>
      </w:r>
      <w:r w:rsidRPr="00A144DF">
        <w:rPr>
          <w:rFonts w:cs="Arial"/>
          <w:sz w:val="22"/>
          <w:szCs w:val="22"/>
        </w:rPr>
        <w:t>methodology paper</w:t>
      </w:r>
      <w:r>
        <w:rPr>
          <w:rFonts w:cs="Arial"/>
          <w:sz w:val="22"/>
          <w:szCs w:val="22"/>
        </w:rPr>
        <w:t xml:space="preserve"> </w:t>
      </w:r>
      <w:r w:rsidRPr="00A144DF">
        <w:rPr>
          <w:rFonts w:cs="Arial"/>
          <w:sz w:val="22"/>
          <w:szCs w:val="22"/>
        </w:rPr>
        <w:t>ou</w:t>
      </w:r>
      <w:r w:rsidR="00AF00FB">
        <w:rPr>
          <w:rFonts w:cs="Arial"/>
          <w:sz w:val="22"/>
          <w:szCs w:val="22"/>
        </w:rPr>
        <w:t>tlines in detail the analysis to be done</w:t>
      </w:r>
      <w:r w:rsidRPr="00A144DF">
        <w:rPr>
          <w:rFonts w:cs="Arial"/>
          <w:sz w:val="22"/>
          <w:szCs w:val="22"/>
        </w:rPr>
        <w:t>.</w:t>
      </w:r>
      <w:r>
        <w:rPr>
          <w:rFonts w:cs="Arial"/>
          <w:sz w:val="22"/>
          <w:szCs w:val="22"/>
        </w:rPr>
        <w:t xml:space="preserve"> Sections 1 and 2 review the methods</w:t>
      </w:r>
      <w:r w:rsidR="009652DC">
        <w:rPr>
          <w:rFonts w:cs="Arial"/>
          <w:sz w:val="22"/>
          <w:szCs w:val="22"/>
        </w:rPr>
        <w:t>, as</w:t>
      </w:r>
      <w:r>
        <w:rPr>
          <w:rFonts w:cs="Arial"/>
          <w:sz w:val="22"/>
          <w:szCs w:val="22"/>
        </w:rPr>
        <w:t xml:space="preserve"> previously used in the NRAC Review; section 3 </w:t>
      </w:r>
      <w:r w:rsidR="00D97FBA">
        <w:rPr>
          <w:rFonts w:cs="Arial"/>
          <w:sz w:val="22"/>
          <w:szCs w:val="22"/>
        </w:rPr>
        <w:t xml:space="preserve">then </w:t>
      </w:r>
      <w:r>
        <w:rPr>
          <w:rFonts w:cs="Arial"/>
          <w:sz w:val="22"/>
          <w:szCs w:val="22"/>
        </w:rPr>
        <w:t>outlines the approach f</w:t>
      </w:r>
      <w:r w:rsidR="00AF00FB">
        <w:rPr>
          <w:rFonts w:cs="Arial"/>
          <w:sz w:val="22"/>
          <w:szCs w:val="22"/>
        </w:rPr>
        <w:t>or the current Acute MLC Review</w:t>
      </w:r>
      <w:r>
        <w:rPr>
          <w:rFonts w:cs="Arial"/>
          <w:sz w:val="22"/>
          <w:szCs w:val="22"/>
        </w:rPr>
        <w:t>.</w:t>
      </w:r>
    </w:p>
    <w:p w:rsidR="00AF00FB" w:rsidRDefault="00AF00FB">
      <w:pPr>
        <w:rPr>
          <w:rFonts w:ascii="Arial" w:eastAsia="Times New Roman" w:hAnsi="Arial" w:cs="Arial"/>
        </w:rPr>
      </w:pPr>
    </w:p>
    <w:p w:rsidR="005241E5" w:rsidRDefault="005241E5" w:rsidP="00C1748D">
      <w:pPr>
        <w:pStyle w:val="ListParagraph"/>
        <w:spacing w:after="200" w:line="276" w:lineRule="auto"/>
        <w:ind w:left="0"/>
        <w:contextualSpacing w:val="0"/>
        <w:rPr>
          <w:rFonts w:cs="Arial"/>
          <w:sz w:val="22"/>
          <w:szCs w:val="22"/>
        </w:rPr>
      </w:pPr>
      <w:r>
        <w:rPr>
          <w:noProof/>
        </w:rPr>
        <w:drawing>
          <wp:inline distT="0" distB="0" distL="0" distR="0">
            <wp:extent cx="4686300" cy="3543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686300" cy="3543300"/>
                    </a:xfrm>
                    <a:prstGeom prst="rect">
                      <a:avLst/>
                    </a:prstGeom>
                    <a:noFill/>
                    <a:ln w="9525">
                      <a:noFill/>
                      <a:miter lim="800000"/>
                      <a:headEnd/>
                      <a:tailEnd/>
                    </a:ln>
                  </pic:spPr>
                </pic:pic>
              </a:graphicData>
            </a:graphic>
          </wp:inline>
        </w:drawing>
      </w:r>
    </w:p>
    <w:p w:rsidR="0033060E" w:rsidRPr="00AF00FB" w:rsidRDefault="0033060E" w:rsidP="0033060E">
      <w:pPr>
        <w:pStyle w:val="ListParagraph"/>
        <w:spacing w:after="200" w:line="276" w:lineRule="auto"/>
        <w:ind w:left="0"/>
        <w:contextualSpacing w:val="0"/>
        <w:rPr>
          <w:rFonts w:cs="Arial"/>
          <w:i/>
          <w:sz w:val="22"/>
          <w:szCs w:val="22"/>
        </w:rPr>
      </w:pPr>
      <w:proofErr w:type="gramStart"/>
      <w:r w:rsidRPr="00AF00FB">
        <w:rPr>
          <w:rFonts w:cs="Arial"/>
          <w:i/>
          <w:sz w:val="22"/>
          <w:szCs w:val="22"/>
        </w:rPr>
        <w:t>Figure 1</w:t>
      </w:r>
      <w:r>
        <w:rPr>
          <w:rFonts w:cs="Arial"/>
          <w:i/>
          <w:sz w:val="22"/>
          <w:szCs w:val="22"/>
        </w:rPr>
        <w:t>.</w:t>
      </w:r>
      <w:proofErr w:type="gramEnd"/>
      <w:r w:rsidRPr="00AF00FB">
        <w:rPr>
          <w:rFonts w:cs="Arial"/>
          <w:i/>
          <w:sz w:val="22"/>
          <w:szCs w:val="22"/>
        </w:rPr>
        <w:t xml:space="preserve"> Diagram showing </w:t>
      </w:r>
      <w:r w:rsidR="00CD7B73">
        <w:rPr>
          <w:rFonts w:cs="Arial"/>
          <w:i/>
          <w:sz w:val="22"/>
          <w:szCs w:val="22"/>
        </w:rPr>
        <w:t xml:space="preserve">a downward deviation from </w:t>
      </w:r>
      <w:r w:rsidRPr="00AF00FB">
        <w:rPr>
          <w:rFonts w:cs="Arial"/>
          <w:i/>
          <w:sz w:val="22"/>
          <w:szCs w:val="22"/>
        </w:rPr>
        <w:t xml:space="preserve">the assumed linear relationship between need and utilisation </w:t>
      </w:r>
      <w:r w:rsidR="00CD7B73">
        <w:rPr>
          <w:rFonts w:cs="Arial"/>
          <w:i/>
          <w:sz w:val="22"/>
          <w:szCs w:val="22"/>
        </w:rPr>
        <w:t xml:space="preserve">at the highest values of the needs index </w:t>
      </w:r>
      <w:r w:rsidRPr="00AF00FB">
        <w:rPr>
          <w:rFonts w:cs="Arial"/>
          <w:i/>
          <w:sz w:val="22"/>
          <w:szCs w:val="22"/>
        </w:rPr>
        <w:t xml:space="preserve">(line </w:t>
      </w:r>
      <w:r w:rsidR="00CD7B73">
        <w:rPr>
          <w:rFonts w:cs="Arial"/>
          <w:i/>
          <w:sz w:val="22"/>
          <w:szCs w:val="22"/>
        </w:rPr>
        <w:t>A</w:t>
      </w:r>
      <w:r w:rsidRPr="00AF00FB">
        <w:rPr>
          <w:rFonts w:cs="Arial"/>
          <w:i/>
          <w:sz w:val="22"/>
          <w:szCs w:val="22"/>
        </w:rPr>
        <w:t>),</w:t>
      </w:r>
      <w:r w:rsidR="00CD7B73">
        <w:rPr>
          <w:rFonts w:cs="Arial"/>
          <w:i/>
          <w:sz w:val="22"/>
          <w:szCs w:val="22"/>
        </w:rPr>
        <w:t xml:space="preserve"> the linear model that would be fitted in this case (B), and the alternative linear model that would be fitted by excluding the areas with high need and extrapolating the line into those areas (C).</w:t>
      </w:r>
      <w:r w:rsidRPr="00AF00FB">
        <w:rPr>
          <w:rFonts w:cs="Arial"/>
          <w:i/>
          <w:sz w:val="22"/>
          <w:szCs w:val="22"/>
        </w:rPr>
        <w:t xml:space="preserve"> </w:t>
      </w:r>
    </w:p>
    <w:p w:rsidR="00AF00FB" w:rsidRDefault="00AF00FB" w:rsidP="00C1748D">
      <w:pPr>
        <w:pStyle w:val="ListParagraph"/>
        <w:spacing w:after="200" w:line="276" w:lineRule="auto"/>
        <w:ind w:left="0"/>
        <w:contextualSpacing w:val="0"/>
        <w:rPr>
          <w:rFonts w:cs="Arial"/>
          <w:sz w:val="22"/>
          <w:szCs w:val="22"/>
        </w:rPr>
      </w:pPr>
    </w:p>
    <w:p w:rsidR="003F37D7" w:rsidRPr="00B666BF" w:rsidRDefault="003F37D7" w:rsidP="003F37D7">
      <w:pPr>
        <w:rPr>
          <w:rFonts w:ascii="Arial" w:hAnsi="Arial" w:cs="Arial"/>
          <w:b/>
          <w:sz w:val="24"/>
          <w:szCs w:val="24"/>
        </w:rPr>
      </w:pPr>
      <w:r w:rsidRPr="00B666BF">
        <w:rPr>
          <w:rFonts w:ascii="Arial" w:hAnsi="Arial" w:cs="Arial"/>
          <w:b/>
          <w:sz w:val="24"/>
          <w:szCs w:val="24"/>
        </w:rPr>
        <w:t>1. The simple shortfall method</w:t>
      </w:r>
    </w:p>
    <w:p w:rsidR="003F37D7" w:rsidRPr="00A144DF" w:rsidRDefault="003F37D7" w:rsidP="003F37D7">
      <w:pPr>
        <w:jc w:val="both"/>
        <w:rPr>
          <w:rFonts w:ascii="Arial" w:hAnsi="Arial" w:cs="Arial"/>
        </w:rPr>
      </w:pPr>
      <w:r w:rsidRPr="00A144DF">
        <w:rPr>
          <w:rFonts w:ascii="Arial" w:hAnsi="Arial" w:cs="Arial"/>
        </w:rPr>
        <w:t xml:space="preserve">The simple shortfall method – proposed in the first </w:t>
      </w:r>
      <w:proofErr w:type="spellStart"/>
      <w:r w:rsidRPr="00A144DF">
        <w:rPr>
          <w:rFonts w:ascii="Arial" w:hAnsi="Arial" w:cs="Arial"/>
        </w:rPr>
        <w:t>Arbuthnott</w:t>
      </w:r>
      <w:proofErr w:type="spellEnd"/>
      <w:r w:rsidRPr="00A144DF">
        <w:rPr>
          <w:rFonts w:ascii="Arial" w:hAnsi="Arial" w:cs="Arial"/>
        </w:rPr>
        <w:t xml:space="preserve"> Report in 1999</w:t>
      </w:r>
      <w:r>
        <w:rPr>
          <w:rFonts w:ascii="Arial" w:hAnsi="Arial" w:cs="Arial"/>
        </w:rPr>
        <w:t xml:space="preserve">, and used in </w:t>
      </w:r>
      <w:proofErr w:type="spellStart"/>
      <w:r w:rsidRPr="003F37D7">
        <w:rPr>
          <w:rFonts w:ascii="Arial" w:hAnsi="Arial" w:cs="Arial"/>
        </w:rPr>
        <w:t>McConnachie</w:t>
      </w:r>
      <w:proofErr w:type="spellEnd"/>
      <w:r w:rsidRPr="003F37D7">
        <w:rPr>
          <w:rFonts w:ascii="Arial" w:hAnsi="Arial" w:cs="Arial"/>
        </w:rPr>
        <w:t xml:space="preserve"> and Sutton (2004)</w:t>
      </w:r>
      <w:r w:rsidRPr="00A144DF">
        <w:rPr>
          <w:rFonts w:ascii="Arial" w:hAnsi="Arial" w:cs="Arial"/>
        </w:rPr>
        <w:t xml:space="preserve"> – is based on </w:t>
      </w:r>
      <w:r>
        <w:rPr>
          <w:rFonts w:ascii="Arial" w:hAnsi="Arial" w:cs="Arial"/>
        </w:rPr>
        <w:t xml:space="preserve">an </w:t>
      </w:r>
      <w:r w:rsidRPr="00A144DF">
        <w:rPr>
          <w:rFonts w:ascii="Arial" w:hAnsi="Arial" w:cs="Arial"/>
        </w:rPr>
        <w:t>assumption</w:t>
      </w:r>
      <w:r>
        <w:rPr>
          <w:rFonts w:ascii="Arial" w:hAnsi="Arial" w:cs="Arial"/>
        </w:rPr>
        <w:t xml:space="preserve"> of linearity</w:t>
      </w:r>
      <w:r w:rsidRPr="00A144DF">
        <w:rPr>
          <w:rFonts w:ascii="Arial" w:hAnsi="Arial" w:cs="Arial"/>
        </w:rPr>
        <w:t xml:space="preserve">. That is, it assumes that there should be a linear relationship between the cost ratio and the </w:t>
      </w:r>
      <w:r>
        <w:rPr>
          <w:rFonts w:ascii="Arial" w:hAnsi="Arial" w:cs="Arial"/>
        </w:rPr>
        <w:t>A</w:t>
      </w:r>
      <w:r w:rsidRPr="00A144DF">
        <w:rPr>
          <w:rFonts w:ascii="Arial" w:hAnsi="Arial" w:cs="Arial"/>
        </w:rPr>
        <w:t xml:space="preserve">cute </w:t>
      </w:r>
      <w:r>
        <w:rPr>
          <w:rFonts w:ascii="Arial" w:hAnsi="Arial" w:cs="Arial"/>
        </w:rPr>
        <w:t xml:space="preserve">needs </w:t>
      </w:r>
      <w:r w:rsidRPr="00A144DF">
        <w:rPr>
          <w:rFonts w:ascii="Arial" w:hAnsi="Arial" w:cs="Arial"/>
        </w:rPr>
        <w:t xml:space="preserve">index. It effectively tests whether that relationship is in fact constant, across the full range of need, or whether there is a significant change in the slope of healthcare use at high values of the </w:t>
      </w:r>
      <w:r>
        <w:rPr>
          <w:rFonts w:ascii="Arial" w:hAnsi="Arial" w:cs="Arial"/>
        </w:rPr>
        <w:t>A</w:t>
      </w:r>
      <w:r w:rsidRPr="00A144DF">
        <w:rPr>
          <w:rFonts w:ascii="Arial" w:hAnsi="Arial" w:cs="Arial"/>
        </w:rPr>
        <w:t xml:space="preserve">cute </w:t>
      </w:r>
      <w:r>
        <w:rPr>
          <w:rFonts w:ascii="Arial" w:hAnsi="Arial" w:cs="Arial"/>
        </w:rPr>
        <w:t xml:space="preserve">needs </w:t>
      </w:r>
      <w:r w:rsidRPr="00A144DF">
        <w:rPr>
          <w:rFonts w:ascii="Arial" w:hAnsi="Arial" w:cs="Arial"/>
        </w:rPr>
        <w:t xml:space="preserve">index. </w:t>
      </w:r>
      <w:r w:rsidR="004421DC">
        <w:rPr>
          <w:rFonts w:ascii="Arial" w:hAnsi="Arial" w:cs="Arial"/>
        </w:rPr>
        <w:t xml:space="preserve">A </w:t>
      </w:r>
      <w:r>
        <w:rPr>
          <w:rFonts w:ascii="Arial" w:hAnsi="Arial" w:cs="Arial"/>
        </w:rPr>
        <w:t>‘</w:t>
      </w:r>
      <w:proofErr w:type="spellStart"/>
      <w:r w:rsidR="004421DC">
        <w:rPr>
          <w:rFonts w:ascii="Arial" w:hAnsi="Arial" w:cs="Arial"/>
        </w:rPr>
        <w:t>s</w:t>
      </w:r>
      <w:r>
        <w:rPr>
          <w:rFonts w:ascii="Arial" w:hAnsi="Arial" w:cs="Arial"/>
        </w:rPr>
        <w:t>pline</w:t>
      </w:r>
      <w:proofErr w:type="spellEnd"/>
      <w:r>
        <w:rPr>
          <w:rFonts w:ascii="Arial" w:hAnsi="Arial" w:cs="Arial"/>
        </w:rPr>
        <w:t>’ term</w:t>
      </w:r>
      <w:r w:rsidR="004421DC">
        <w:rPr>
          <w:rFonts w:ascii="Arial" w:hAnsi="Arial" w:cs="Arial"/>
        </w:rPr>
        <w:t xml:space="preserve"> </w:t>
      </w:r>
      <w:r>
        <w:rPr>
          <w:rFonts w:ascii="Arial" w:hAnsi="Arial" w:cs="Arial"/>
        </w:rPr>
        <w:t xml:space="preserve">(see Annex </w:t>
      </w:r>
      <w:r w:rsidR="00BC1951">
        <w:rPr>
          <w:rFonts w:ascii="Arial" w:hAnsi="Arial" w:cs="Arial"/>
        </w:rPr>
        <w:t>A</w:t>
      </w:r>
      <w:r w:rsidR="001E2CA8">
        <w:rPr>
          <w:rFonts w:ascii="Arial" w:hAnsi="Arial" w:cs="Arial"/>
        </w:rPr>
        <w:t xml:space="preserve"> for details</w:t>
      </w:r>
      <w:r>
        <w:rPr>
          <w:rFonts w:ascii="Arial" w:hAnsi="Arial" w:cs="Arial"/>
        </w:rPr>
        <w:t xml:space="preserve">) </w:t>
      </w:r>
      <w:r w:rsidR="004421DC">
        <w:rPr>
          <w:rFonts w:ascii="Arial" w:hAnsi="Arial" w:cs="Arial"/>
        </w:rPr>
        <w:t>is</w:t>
      </w:r>
      <w:r>
        <w:rPr>
          <w:rFonts w:ascii="Arial" w:hAnsi="Arial" w:cs="Arial"/>
        </w:rPr>
        <w:t xml:space="preserve"> added to the reference model, to allow </w:t>
      </w:r>
      <w:r w:rsidR="004421DC">
        <w:rPr>
          <w:rFonts w:ascii="Arial" w:hAnsi="Arial" w:cs="Arial"/>
        </w:rPr>
        <w:t xml:space="preserve">a difference </w:t>
      </w:r>
      <w:r>
        <w:rPr>
          <w:rFonts w:ascii="Arial" w:hAnsi="Arial" w:cs="Arial"/>
        </w:rPr>
        <w:t xml:space="preserve">in the slope of the regression line </w:t>
      </w:r>
      <w:r w:rsidRPr="00A144DF">
        <w:rPr>
          <w:rFonts w:ascii="Arial" w:hAnsi="Arial" w:cs="Arial"/>
        </w:rPr>
        <w:t xml:space="preserve">for </w:t>
      </w:r>
      <w:r>
        <w:rPr>
          <w:rFonts w:ascii="Arial" w:hAnsi="Arial" w:cs="Arial"/>
        </w:rPr>
        <w:t xml:space="preserve">the </w:t>
      </w:r>
      <w:r w:rsidRPr="00A144DF">
        <w:rPr>
          <w:rFonts w:ascii="Arial" w:hAnsi="Arial" w:cs="Arial"/>
        </w:rPr>
        <w:t xml:space="preserve">areas with the highest </w:t>
      </w:r>
      <w:r>
        <w:rPr>
          <w:rFonts w:ascii="Arial" w:hAnsi="Arial" w:cs="Arial"/>
        </w:rPr>
        <w:t>A</w:t>
      </w:r>
      <w:r w:rsidRPr="00A144DF">
        <w:rPr>
          <w:rFonts w:ascii="Arial" w:hAnsi="Arial" w:cs="Arial"/>
        </w:rPr>
        <w:t>cute index values:</w:t>
      </w:r>
      <w:r w:rsidR="00BC1951">
        <w:rPr>
          <w:rFonts w:ascii="Arial" w:hAnsi="Arial" w:cs="Arial"/>
        </w:rPr>
        <w:t xml:space="preserve"> </w:t>
      </w:r>
    </w:p>
    <w:p w:rsidR="003F37D7" w:rsidRPr="00A144DF" w:rsidRDefault="003F37D7" w:rsidP="003F37D7">
      <w:pPr>
        <w:jc w:val="both"/>
        <w:rPr>
          <w:rFonts w:ascii="Arial" w:hAnsi="Arial" w:cs="Arial"/>
          <w:b/>
          <w:i/>
        </w:rPr>
      </w:pPr>
      <w:r w:rsidRPr="00A144DF">
        <w:rPr>
          <w:rFonts w:ascii="Arial" w:hAnsi="Arial" w:cs="Arial"/>
          <w:b/>
          <w:i/>
        </w:rPr>
        <w:t xml:space="preserve">Cost ratios </w:t>
      </w:r>
      <w:r>
        <w:rPr>
          <w:rFonts w:ascii="Arial" w:hAnsi="Arial" w:cs="Arial"/>
          <w:b/>
          <w:i/>
        </w:rPr>
        <w:t>~</w:t>
      </w:r>
      <w:r w:rsidRPr="00A144DF">
        <w:rPr>
          <w:rFonts w:ascii="Arial" w:hAnsi="Arial" w:cs="Arial"/>
          <w:b/>
          <w:i/>
        </w:rPr>
        <w:t xml:space="preserve"> HB dummies + Supply + Acute Index + Acute Index </w:t>
      </w:r>
      <w:proofErr w:type="spellStart"/>
      <w:r w:rsidRPr="00A144DF">
        <w:rPr>
          <w:rFonts w:ascii="Arial" w:hAnsi="Arial" w:cs="Arial"/>
          <w:b/>
          <w:i/>
        </w:rPr>
        <w:t>spline</w:t>
      </w:r>
      <w:proofErr w:type="spellEnd"/>
      <w:r w:rsidRPr="00A144DF">
        <w:rPr>
          <w:rFonts w:ascii="Arial" w:hAnsi="Arial" w:cs="Arial"/>
          <w:b/>
          <w:i/>
        </w:rPr>
        <w:t xml:space="preserve"> + errors.</w:t>
      </w:r>
    </w:p>
    <w:p w:rsidR="003F37D7" w:rsidRDefault="00A47271" w:rsidP="009D3849">
      <w:pPr>
        <w:jc w:val="both"/>
        <w:rPr>
          <w:rFonts w:ascii="Arial" w:hAnsi="Arial" w:cs="Arial"/>
          <w:b/>
        </w:rPr>
      </w:pPr>
      <w:r w:rsidRPr="00A47271">
        <w:rPr>
          <w:rFonts w:ascii="Arial" w:hAnsi="Arial" w:cs="Arial"/>
        </w:rPr>
        <w:t xml:space="preserve">If </w:t>
      </w:r>
      <w:r>
        <w:rPr>
          <w:rFonts w:ascii="Arial" w:hAnsi="Arial" w:cs="Arial"/>
        </w:rPr>
        <w:t xml:space="preserve">the </w:t>
      </w:r>
      <w:proofErr w:type="spellStart"/>
      <w:r>
        <w:rPr>
          <w:rFonts w:ascii="Arial" w:hAnsi="Arial" w:cs="Arial"/>
        </w:rPr>
        <w:t>spline</w:t>
      </w:r>
      <w:proofErr w:type="spellEnd"/>
      <w:r>
        <w:rPr>
          <w:rFonts w:ascii="Arial" w:hAnsi="Arial" w:cs="Arial"/>
        </w:rPr>
        <w:t xml:space="preserve"> term</w:t>
      </w:r>
      <w:r w:rsidRPr="00A47271">
        <w:rPr>
          <w:rFonts w:ascii="Arial" w:hAnsi="Arial" w:cs="Arial"/>
        </w:rPr>
        <w:t xml:space="preserve"> is significant, there is evidence of different utilisation rates </w:t>
      </w:r>
      <w:r>
        <w:rPr>
          <w:rFonts w:ascii="Arial" w:hAnsi="Arial" w:cs="Arial"/>
        </w:rPr>
        <w:t>at the high end of the Acute needs index</w:t>
      </w:r>
      <w:r w:rsidRPr="00A47271">
        <w:rPr>
          <w:rFonts w:ascii="Arial" w:hAnsi="Arial" w:cs="Arial"/>
        </w:rPr>
        <w:t xml:space="preserve">. </w:t>
      </w:r>
      <w:r w:rsidR="003F37D7" w:rsidRPr="00A144DF">
        <w:rPr>
          <w:rFonts w:ascii="Arial" w:hAnsi="Arial" w:cs="Arial"/>
        </w:rPr>
        <w:t xml:space="preserve">Regressions </w:t>
      </w:r>
      <w:r w:rsidR="003F37D7">
        <w:rPr>
          <w:rFonts w:ascii="Arial" w:hAnsi="Arial" w:cs="Arial"/>
        </w:rPr>
        <w:t>are carried out</w:t>
      </w:r>
      <w:r w:rsidR="003F37D7" w:rsidRPr="00A144DF">
        <w:rPr>
          <w:rFonts w:ascii="Arial" w:hAnsi="Arial" w:cs="Arial"/>
        </w:rPr>
        <w:t xml:space="preserve"> for </w:t>
      </w:r>
      <w:r>
        <w:rPr>
          <w:rFonts w:ascii="Arial" w:hAnsi="Arial" w:cs="Arial"/>
        </w:rPr>
        <w:t>a range of cut-</w:t>
      </w:r>
      <w:r w:rsidR="003F37D7" w:rsidRPr="00A144DF">
        <w:rPr>
          <w:rFonts w:ascii="Arial" w:hAnsi="Arial" w:cs="Arial"/>
        </w:rPr>
        <w:t>points</w:t>
      </w:r>
      <w:r w:rsidR="003F37D7">
        <w:rPr>
          <w:rFonts w:ascii="Arial" w:hAnsi="Arial" w:cs="Arial"/>
        </w:rPr>
        <w:t>,</w:t>
      </w:r>
      <w:r w:rsidR="004421DC">
        <w:rPr>
          <w:rFonts w:ascii="Arial" w:hAnsi="Arial" w:cs="Arial"/>
        </w:rPr>
        <w:t xml:space="preserve"> and the ‘best’ cut-point</w:t>
      </w:r>
      <w:r w:rsidR="003F37D7" w:rsidRPr="00A144DF">
        <w:rPr>
          <w:rFonts w:ascii="Arial" w:hAnsi="Arial" w:cs="Arial"/>
        </w:rPr>
        <w:t xml:space="preserve"> </w:t>
      </w:r>
      <w:r w:rsidR="004421DC">
        <w:rPr>
          <w:rFonts w:ascii="Arial" w:hAnsi="Arial" w:cs="Arial"/>
        </w:rPr>
        <w:t>is</w:t>
      </w:r>
      <w:r w:rsidR="003F37D7" w:rsidRPr="00A144DF">
        <w:rPr>
          <w:rFonts w:ascii="Arial" w:hAnsi="Arial" w:cs="Arial"/>
        </w:rPr>
        <w:t xml:space="preserve"> chosen so that the model has the highest explanatory power, i.e. the highest adjusted R</w:t>
      </w:r>
      <w:r w:rsidR="003F37D7" w:rsidRPr="00A144DF">
        <w:rPr>
          <w:rFonts w:ascii="Arial" w:hAnsi="Arial" w:cs="Arial"/>
          <w:vertAlign w:val="superscript"/>
        </w:rPr>
        <w:t>2</w:t>
      </w:r>
      <w:r w:rsidR="003F37D7" w:rsidRPr="00A144DF">
        <w:rPr>
          <w:rFonts w:ascii="Arial" w:hAnsi="Arial" w:cs="Arial"/>
        </w:rPr>
        <w:t xml:space="preserve"> value.</w:t>
      </w:r>
    </w:p>
    <w:p w:rsidR="003F37D7" w:rsidRDefault="003F37D7">
      <w:pPr>
        <w:rPr>
          <w:rFonts w:ascii="Arial" w:hAnsi="Arial" w:cs="Arial"/>
          <w:b/>
        </w:rPr>
      </w:pPr>
    </w:p>
    <w:p w:rsidR="00B55C5D" w:rsidRDefault="00B55C5D" w:rsidP="00C1748D">
      <w:pPr>
        <w:rPr>
          <w:rFonts w:ascii="Arial" w:hAnsi="Arial" w:cs="Arial"/>
          <w:b/>
          <w:sz w:val="24"/>
          <w:szCs w:val="24"/>
        </w:rPr>
      </w:pPr>
    </w:p>
    <w:p w:rsidR="00900874" w:rsidRPr="00B666BF" w:rsidRDefault="003F37D7" w:rsidP="00C1748D">
      <w:pPr>
        <w:rPr>
          <w:rFonts w:ascii="Arial" w:hAnsi="Arial" w:cs="Arial"/>
          <w:b/>
          <w:sz w:val="24"/>
          <w:szCs w:val="24"/>
        </w:rPr>
      </w:pPr>
      <w:r w:rsidRPr="00B666BF">
        <w:rPr>
          <w:rFonts w:ascii="Arial" w:hAnsi="Arial" w:cs="Arial"/>
          <w:b/>
          <w:sz w:val="24"/>
          <w:szCs w:val="24"/>
        </w:rPr>
        <w:lastRenderedPageBreak/>
        <w:t>2</w:t>
      </w:r>
      <w:r w:rsidR="00A227F0" w:rsidRPr="00B666BF">
        <w:rPr>
          <w:rFonts w:ascii="Arial" w:hAnsi="Arial" w:cs="Arial"/>
          <w:b/>
          <w:sz w:val="24"/>
          <w:szCs w:val="24"/>
        </w:rPr>
        <w:t xml:space="preserve">. </w:t>
      </w:r>
      <w:r w:rsidR="009A0C4C" w:rsidRPr="00B666BF">
        <w:rPr>
          <w:rFonts w:ascii="Arial" w:hAnsi="Arial" w:cs="Arial"/>
          <w:b/>
          <w:sz w:val="24"/>
          <w:szCs w:val="24"/>
        </w:rPr>
        <w:t>The 2007 shortfall method</w:t>
      </w:r>
      <w:r w:rsidR="00A227F0" w:rsidRPr="00B666BF">
        <w:rPr>
          <w:rFonts w:ascii="Arial" w:hAnsi="Arial" w:cs="Arial"/>
          <w:b/>
          <w:sz w:val="24"/>
          <w:szCs w:val="24"/>
        </w:rPr>
        <w:t xml:space="preserve"> </w:t>
      </w:r>
    </w:p>
    <w:p w:rsidR="00A227F0" w:rsidRDefault="009A0C4C" w:rsidP="00C1748D">
      <w:pPr>
        <w:jc w:val="both"/>
        <w:rPr>
          <w:rFonts w:ascii="Arial" w:hAnsi="Arial" w:cs="Arial"/>
        </w:rPr>
      </w:pPr>
      <w:r>
        <w:rPr>
          <w:rFonts w:ascii="Arial" w:hAnsi="Arial" w:cs="Arial"/>
        </w:rPr>
        <w:t xml:space="preserve">The NRAC Review had </w:t>
      </w:r>
      <w:r w:rsidR="00A227F0" w:rsidRPr="00A144DF">
        <w:rPr>
          <w:rFonts w:ascii="Arial" w:hAnsi="Arial" w:cs="Arial"/>
        </w:rPr>
        <w:t xml:space="preserve">suggested </w:t>
      </w:r>
      <w:r w:rsidR="00C465DF">
        <w:rPr>
          <w:rFonts w:ascii="Arial" w:hAnsi="Arial" w:cs="Arial"/>
        </w:rPr>
        <w:t xml:space="preserve">that </w:t>
      </w:r>
      <w:r w:rsidR="00A227F0" w:rsidRPr="00A144DF">
        <w:rPr>
          <w:rFonts w:ascii="Arial" w:hAnsi="Arial" w:cs="Arial"/>
        </w:rPr>
        <w:t xml:space="preserve">further work was required on </w:t>
      </w:r>
      <w:r>
        <w:rPr>
          <w:rFonts w:ascii="Arial" w:hAnsi="Arial" w:cs="Arial"/>
        </w:rPr>
        <w:t>the</w:t>
      </w:r>
      <w:r w:rsidR="00A227F0" w:rsidRPr="00A144DF">
        <w:rPr>
          <w:rFonts w:ascii="Arial" w:hAnsi="Arial" w:cs="Arial"/>
        </w:rPr>
        <w:t xml:space="preserve"> issue</w:t>
      </w:r>
      <w:r>
        <w:rPr>
          <w:rFonts w:ascii="Arial" w:hAnsi="Arial" w:cs="Arial"/>
        </w:rPr>
        <w:t xml:space="preserve"> of unmet need;</w:t>
      </w:r>
      <w:r w:rsidR="00A227F0" w:rsidRPr="00A144DF">
        <w:rPr>
          <w:rFonts w:ascii="Arial" w:hAnsi="Arial" w:cs="Arial"/>
        </w:rPr>
        <w:t xml:space="preserve"> Technical Addendum D</w:t>
      </w:r>
      <w:r w:rsidR="00D7727B" w:rsidRPr="00A144DF">
        <w:rPr>
          <w:rStyle w:val="FootnoteReference"/>
          <w:rFonts w:ascii="Arial" w:hAnsi="Arial" w:cs="Arial"/>
        </w:rPr>
        <w:footnoteReference w:id="2"/>
      </w:r>
      <w:r w:rsidR="00A227F0" w:rsidRPr="00A144DF">
        <w:rPr>
          <w:rFonts w:ascii="Arial" w:hAnsi="Arial" w:cs="Arial"/>
        </w:rPr>
        <w:t xml:space="preserve"> </w:t>
      </w:r>
      <w:r w:rsidR="00CD7551">
        <w:rPr>
          <w:rFonts w:ascii="Arial" w:hAnsi="Arial" w:cs="Arial"/>
        </w:rPr>
        <w:t xml:space="preserve">then </w:t>
      </w:r>
      <w:r w:rsidR="00A227F0" w:rsidRPr="00A144DF">
        <w:rPr>
          <w:rFonts w:ascii="Arial" w:hAnsi="Arial" w:cs="Arial"/>
        </w:rPr>
        <w:t xml:space="preserve">presented the additional analysis </w:t>
      </w:r>
      <w:r w:rsidR="00493C1B" w:rsidRPr="00A144DF">
        <w:rPr>
          <w:rFonts w:ascii="Arial" w:hAnsi="Arial" w:cs="Arial"/>
        </w:rPr>
        <w:t>performed in 2007</w:t>
      </w:r>
      <w:r w:rsidR="00A227F0" w:rsidRPr="00A144DF">
        <w:rPr>
          <w:rFonts w:ascii="Arial" w:hAnsi="Arial" w:cs="Arial"/>
        </w:rPr>
        <w:t xml:space="preserve">. </w:t>
      </w:r>
      <w:r w:rsidR="003F37D7">
        <w:rPr>
          <w:rFonts w:ascii="Arial" w:hAnsi="Arial" w:cs="Arial"/>
        </w:rPr>
        <w:t>This included the use of a</w:t>
      </w:r>
      <w:r w:rsidR="00C465DF">
        <w:rPr>
          <w:rFonts w:ascii="Arial" w:hAnsi="Arial" w:cs="Arial"/>
        </w:rPr>
        <w:t>nother</w:t>
      </w:r>
      <w:r w:rsidR="003F37D7">
        <w:rPr>
          <w:rFonts w:ascii="Arial" w:hAnsi="Arial" w:cs="Arial"/>
        </w:rPr>
        <w:t xml:space="preserve"> shortfall method, which we refer to here as the </w:t>
      </w:r>
      <w:r w:rsidR="00CB79A1">
        <w:rPr>
          <w:rFonts w:ascii="Arial" w:hAnsi="Arial" w:cs="Arial"/>
        </w:rPr>
        <w:t>“</w:t>
      </w:r>
      <w:r w:rsidR="003F37D7">
        <w:rPr>
          <w:rFonts w:ascii="Arial" w:hAnsi="Arial" w:cs="Arial"/>
        </w:rPr>
        <w:t>2007</w:t>
      </w:r>
      <w:r w:rsidR="00CB79A1">
        <w:rPr>
          <w:rFonts w:ascii="Arial" w:hAnsi="Arial" w:cs="Arial"/>
        </w:rPr>
        <w:t>”</w:t>
      </w:r>
      <w:r w:rsidR="003F37D7">
        <w:rPr>
          <w:rFonts w:ascii="Arial" w:hAnsi="Arial" w:cs="Arial"/>
        </w:rPr>
        <w:t xml:space="preserve"> shortfall method.</w:t>
      </w:r>
    </w:p>
    <w:p w:rsidR="004A49D7" w:rsidRDefault="00CB79A1" w:rsidP="00C465DF">
      <w:pPr>
        <w:pStyle w:val="ListParagraph"/>
        <w:spacing w:after="200" w:line="276" w:lineRule="auto"/>
        <w:ind w:left="0"/>
        <w:contextualSpacing w:val="0"/>
        <w:rPr>
          <w:rFonts w:cs="Arial"/>
          <w:sz w:val="22"/>
          <w:szCs w:val="22"/>
        </w:rPr>
      </w:pPr>
      <w:r>
        <w:rPr>
          <w:rFonts w:cs="Arial"/>
          <w:sz w:val="22"/>
          <w:szCs w:val="22"/>
        </w:rPr>
        <w:t>The</w:t>
      </w:r>
      <w:r w:rsidR="00C465DF">
        <w:rPr>
          <w:rFonts w:cs="Arial"/>
          <w:sz w:val="22"/>
          <w:szCs w:val="22"/>
        </w:rPr>
        <w:t xml:space="preserve"> 2007 shortfall method is </w:t>
      </w:r>
      <w:r w:rsidR="00664255">
        <w:rPr>
          <w:rFonts w:cs="Arial"/>
          <w:sz w:val="22"/>
          <w:szCs w:val="22"/>
        </w:rPr>
        <w:t xml:space="preserve">very </w:t>
      </w:r>
      <w:r w:rsidR="00C465DF">
        <w:rPr>
          <w:rFonts w:cs="Arial"/>
          <w:sz w:val="22"/>
          <w:szCs w:val="22"/>
        </w:rPr>
        <w:t xml:space="preserve">similar to the “simple” shortfall method: it looks for a change in the slope of the fitted line when certain small areas are </w:t>
      </w:r>
      <w:r>
        <w:rPr>
          <w:rFonts w:cs="Arial"/>
          <w:sz w:val="22"/>
          <w:szCs w:val="22"/>
        </w:rPr>
        <w:t>separated out</w:t>
      </w:r>
      <w:r w:rsidR="00C465DF">
        <w:rPr>
          <w:rFonts w:cs="Arial"/>
          <w:sz w:val="22"/>
          <w:szCs w:val="22"/>
        </w:rPr>
        <w:t>. However, it excludes areas on the basis of other variables (representing deprivation</w:t>
      </w:r>
      <w:r w:rsidR="00C465DF" w:rsidRPr="00A144DF">
        <w:rPr>
          <w:rFonts w:cs="Arial"/>
          <w:sz w:val="22"/>
          <w:szCs w:val="22"/>
        </w:rPr>
        <w:t xml:space="preserve">, </w:t>
      </w:r>
      <w:proofErr w:type="spellStart"/>
      <w:r w:rsidR="00C465DF" w:rsidRPr="00A144DF">
        <w:rPr>
          <w:rFonts w:cs="Arial"/>
          <w:sz w:val="22"/>
          <w:szCs w:val="22"/>
        </w:rPr>
        <w:t>rurality</w:t>
      </w:r>
      <w:proofErr w:type="spellEnd"/>
      <w:r w:rsidR="00C465DF">
        <w:rPr>
          <w:rFonts w:cs="Arial"/>
          <w:sz w:val="22"/>
          <w:szCs w:val="22"/>
        </w:rPr>
        <w:t>,</w:t>
      </w:r>
      <w:r w:rsidR="00C465DF" w:rsidRPr="00A144DF">
        <w:rPr>
          <w:rFonts w:cs="Arial"/>
          <w:sz w:val="22"/>
          <w:szCs w:val="22"/>
        </w:rPr>
        <w:t xml:space="preserve"> </w:t>
      </w:r>
      <w:r w:rsidR="00C465DF" w:rsidRPr="00C465DF">
        <w:rPr>
          <w:rFonts w:cs="Arial"/>
          <w:sz w:val="22"/>
          <w:szCs w:val="22"/>
        </w:rPr>
        <w:t xml:space="preserve">or ethnicity) besides the needs index. </w:t>
      </w:r>
      <w:r w:rsidR="00AD355B">
        <w:rPr>
          <w:rFonts w:cs="Arial"/>
          <w:sz w:val="22"/>
          <w:szCs w:val="22"/>
        </w:rPr>
        <w:t>In a sense it generalises the simple shortfall method to these other variables.</w:t>
      </w:r>
    </w:p>
    <w:p w:rsidR="004A49D7" w:rsidRPr="009D3849" w:rsidRDefault="00664255" w:rsidP="00C465DF">
      <w:pPr>
        <w:pStyle w:val="ListParagraph"/>
        <w:spacing w:after="200" w:line="276" w:lineRule="auto"/>
        <w:ind w:left="0"/>
        <w:contextualSpacing w:val="0"/>
        <w:rPr>
          <w:rFonts w:cs="Arial"/>
          <w:sz w:val="22"/>
          <w:szCs w:val="22"/>
        </w:rPr>
      </w:pPr>
      <w:r w:rsidRPr="009D3849">
        <w:rPr>
          <w:rFonts w:cs="Arial"/>
          <w:sz w:val="22"/>
          <w:szCs w:val="22"/>
        </w:rPr>
        <w:t xml:space="preserve">This requires a slightly different modelling methodology. </w:t>
      </w:r>
      <w:r w:rsidR="004A49D7" w:rsidRPr="009D3849">
        <w:rPr>
          <w:rFonts w:cs="Arial"/>
          <w:sz w:val="22"/>
          <w:szCs w:val="22"/>
        </w:rPr>
        <w:t>A binary variable indicates the areas to be excluded</w:t>
      </w:r>
      <w:r w:rsidR="00A47271">
        <w:rPr>
          <w:rFonts w:cs="Arial"/>
          <w:sz w:val="22"/>
          <w:szCs w:val="22"/>
        </w:rPr>
        <w:t xml:space="preserve"> – again, with various trial cut-points</w:t>
      </w:r>
      <w:r w:rsidR="004A49D7" w:rsidRPr="009D3849">
        <w:rPr>
          <w:rFonts w:cs="Arial"/>
          <w:sz w:val="22"/>
          <w:szCs w:val="22"/>
        </w:rPr>
        <w:t>. Two terms were added to the model</w:t>
      </w:r>
      <w:r w:rsidR="00A47271">
        <w:rPr>
          <w:rFonts w:cs="Arial"/>
          <w:sz w:val="22"/>
          <w:szCs w:val="22"/>
        </w:rPr>
        <w:t>,</w:t>
      </w:r>
      <w:r w:rsidR="004A49D7" w:rsidRPr="009D3849">
        <w:rPr>
          <w:rFonts w:cs="Arial"/>
          <w:sz w:val="22"/>
          <w:szCs w:val="22"/>
        </w:rPr>
        <w:t xml:space="preserve"> to create an </w:t>
      </w:r>
      <w:r w:rsidR="004A49D7" w:rsidRPr="00A47271">
        <w:rPr>
          <w:rFonts w:cs="Arial"/>
          <w:i/>
          <w:sz w:val="22"/>
          <w:szCs w:val="22"/>
        </w:rPr>
        <w:t>additional</w:t>
      </w:r>
      <w:r w:rsidR="004A49D7" w:rsidRPr="009D3849">
        <w:rPr>
          <w:rFonts w:cs="Arial"/>
          <w:sz w:val="22"/>
          <w:szCs w:val="22"/>
        </w:rPr>
        <w:t xml:space="preserve"> line</w:t>
      </w:r>
      <w:r w:rsidR="00A47271">
        <w:rPr>
          <w:rFonts w:cs="Arial"/>
          <w:sz w:val="22"/>
          <w:szCs w:val="22"/>
        </w:rPr>
        <w:t>ar model for the excluded areas</w:t>
      </w:r>
      <w:r w:rsidR="004A49D7" w:rsidRPr="009D3849">
        <w:rPr>
          <w:rFonts w:cs="Arial"/>
          <w:sz w:val="22"/>
          <w:szCs w:val="22"/>
        </w:rPr>
        <w:t xml:space="preserve"> which may have a different slope and intercept from the rest of the</w:t>
      </w:r>
      <w:r w:rsidR="00A47271">
        <w:rPr>
          <w:rFonts w:cs="Arial"/>
          <w:sz w:val="22"/>
          <w:szCs w:val="22"/>
        </w:rPr>
        <w:t xml:space="preserve"> country:</w:t>
      </w:r>
      <w:r w:rsidR="004A49D7" w:rsidRPr="009D3849">
        <w:rPr>
          <w:rFonts w:cs="Arial"/>
          <w:sz w:val="22"/>
          <w:szCs w:val="22"/>
        </w:rPr>
        <w:t xml:space="preserve"> </w:t>
      </w:r>
    </w:p>
    <w:p w:rsidR="004A49D7" w:rsidRPr="009D3849" w:rsidRDefault="004A49D7" w:rsidP="00C1748D">
      <w:pPr>
        <w:jc w:val="both"/>
        <w:rPr>
          <w:rFonts w:ascii="Arial" w:hAnsi="Arial" w:cs="Arial"/>
          <w:b/>
          <w:i/>
        </w:rPr>
      </w:pPr>
      <w:r w:rsidRPr="009D3849">
        <w:rPr>
          <w:rFonts w:ascii="Arial" w:hAnsi="Arial" w:cs="Arial"/>
          <w:b/>
          <w:i/>
        </w:rPr>
        <w:t xml:space="preserve">Cost ratios ~ HB dummies + Supply + Acute Index + </w:t>
      </w:r>
      <w:r w:rsidR="00A47271">
        <w:rPr>
          <w:rFonts w:ascii="Arial" w:hAnsi="Arial" w:cs="Arial"/>
          <w:b/>
          <w:i/>
        </w:rPr>
        <w:t>Binary variable + Interaction term</w:t>
      </w:r>
      <w:r w:rsidRPr="009D3849">
        <w:rPr>
          <w:rFonts w:ascii="Arial" w:hAnsi="Arial" w:cs="Arial"/>
          <w:b/>
          <w:i/>
        </w:rPr>
        <w:t xml:space="preserve"> + errors.</w:t>
      </w:r>
    </w:p>
    <w:p w:rsidR="00A47271" w:rsidRPr="00A47271" w:rsidRDefault="00A47271" w:rsidP="00C1748D">
      <w:pPr>
        <w:jc w:val="both"/>
        <w:rPr>
          <w:rFonts w:ascii="Arial" w:hAnsi="Arial" w:cs="Arial"/>
        </w:rPr>
      </w:pPr>
      <w:r w:rsidRPr="00A47271">
        <w:rPr>
          <w:rFonts w:ascii="Arial" w:hAnsi="Arial" w:cs="Arial"/>
        </w:rPr>
        <w:t xml:space="preserve">If either of these </w:t>
      </w:r>
      <w:r w:rsidR="00C709C4">
        <w:rPr>
          <w:rFonts w:ascii="Arial" w:hAnsi="Arial" w:cs="Arial"/>
        </w:rPr>
        <w:t xml:space="preserve">additional </w:t>
      </w:r>
      <w:r w:rsidRPr="00A47271">
        <w:rPr>
          <w:rFonts w:ascii="Arial" w:hAnsi="Arial" w:cs="Arial"/>
        </w:rPr>
        <w:t>terms is significant, there is evidence of different utilisation rates in the excluded areas. (See Annex A for more detail on the model.) The method was first suggested in a research paper concerning health and social care inequalities within Northern Ireland (2003)</w:t>
      </w:r>
      <w:r w:rsidRPr="00A47271">
        <w:rPr>
          <w:rStyle w:val="FootnoteReference"/>
          <w:rFonts w:ascii="Arial" w:hAnsi="Arial" w:cs="Arial"/>
        </w:rPr>
        <w:footnoteReference w:id="3"/>
      </w:r>
      <w:r w:rsidRPr="00A47271">
        <w:rPr>
          <w:rFonts w:ascii="Arial" w:hAnsi="Arial" w:cs="Arial"/>
        </w:rPr>
        <w:t xml:space="preserve">.  </w:t>
      </w:r>
    </w:p>
    <w:p w:rsidR="004A49D7" w:rsidRPr="004A49D7" w:rsidRDefault="00A47271" w:rsidP="00C1748D">
      <w:pPr>
        <w:jc w:val="both"/>
        <w:rPr>
          <w:rFonts w:ascii="Arial" w:hAnsi="Arial" w:cs="Arial"/>
        </w:rPr>
      </w:pPr>
      <w:r>
        <w:rPr>
          <w:rFonts w:ascii="Arial" w:hAnsi="Arial" w:cs="Arial"/>
        </w:rPr>
        <w:t>Unmet need was looked for using the following variables</w:t>
      </w:r>
      <w:r w:rsidR="004A49D7" w:rsidRPr="004A49D7">
        <w:rPr>
          <w:rFonts w:ascii="Arial" w:hAnsi="Arial" w:cs="Arial"/>
        </w:rPr>
        <w:t xml:space="preserve"> in the 2007 analysis:</w:t>
      </w:r>
    </w:p>
    <w:p w:rsidR="00DF70FD" w:rsidRPr="00A144DF" w:rsidRDefault="00DF70FD" w:rsidP="00C1748D">
      <w:pPr>
        <w:jc w:val="both"/>
        <w:rPr>
          <w:rFonts w:ascii="Arial" w:hAnsi="Arial" w:cs="Arial"/>
          <w:b/>
          <w:i/>
        </w:rPr>
      </w:pPr>
      <w:r w:rsidRPr="00A144DF">
        <w:rPr>
          <w:rFonts w:ascii="Arial" w:hAnsi="Arial" w:cs="Arial"/>
          <w:b/>
        </w:rPr>
        <w:t>Deprivation:</w:t>
      </w:r>
      <w:r w:rsidRPr="00A144DF">
        <w:rPr>
          <w:rFonts w:ascii="Arial" w:hAnsi="Arial" w:cs="Arial"/>
          <w:i/>
        </w:rPr>
        <w:t xml:space="preserve"> </w:t>
      </w:r>
      <w:r w:rsidRPr="00A144DF">
        <w:rPr>
          <w:rFonts w:ascii="Arial" w:hAnsi="Arial" w:cs="Arial"/>
        </w:rPr>
        <w:t>For the analysi</w:t>
      </w:r>
      <w:r w:rsidR="00493C1B" w:rsidRPr="00A144DF">
        <w:rPr>
          <w:rFonts w:ascii="Arial" w:hAnsi="Arial" w:cs="Arial"/>
        </w:rPr>
        <w:t>s</w:t>
      </w:r>
      <w:r w:rsidR="00CD7551">
        <w:rPr>
          <w:rFonts w:ascii="Arial" w:hAnsi="Arial" w:cs="Arial"/>
        </w:rPr>
        <w:t>,</w:t>
      </w:r>
      <w:r w:rsidR="00493C1B" w:rsidRPr="00A144DF">
        <w:rPr>
          <w:rFonts w:ascii="Arial" w:hAnsi="Arial" w:cs="Arial"/>
        </w:rPr>
        <w:t xml:space="preserve"> deprivation </w:t>
      </w:r>
      <w:r w:rsidRPr="00A144DF">
        <w:rPr>
          <w:rFonts w:ascii="Arial" w:hAnsi="Arial" w:cs="Arial"/>
        </w:rPr>
        <w:t>was</w:t>
      </w:r>
      <w:r w:rsidR="00493C1B" w:rsidRPr="00A144DF">
        <w:rPr>
          <w:rFonts w:ascii="Arial" w:hAnsi="Arial" w:cs="Arial"/>
        </w:rPr>
        <w:t xml:space="preserve"> measured using the Scottish Index of Multiple Deprivation (SIMD) 2006</w:t>
      </w:r>
      <w:r w:rsidR="003F37D7">
        <w:rPr>
          <w:rFonts w:ascii="Arial" w:hAnsi="Arial" w:cs="Arial"/>
        </w:rPr>
        <w:t xml:space="preserve"> income domain</w:t>
      </w:r>
      <w:r w:rsidR="00493C1B" w:rsidRPr="00A144DF">
        <w:rPr>
          <w:rFonts w:ascii="Arial" w:hAnsi="Arial" w:cs="Arial"/>
        </w:rPr>
        <w:t xml:space="preserve">. </w:t>
      </w:r>
      <w:r w:rsidR="003F37D7">
        <w:rPr>
          <w:rFonts w:ascii="Arial" w:hAnsi="Arial" w:cs="Arial"/>
        </w:rPr>
        <w:t>Areas were categorised</w:t>
      </w:r>
      <w:r w:rsidR="00493C1B" w:rsidRPr="00A144DF">
        <w:rPr>
          <w:rFonts w:ascii="Arial" w:hAnsi="Arial" w:cs="Arial"/>
        </w:rPr>
        <w:t xml:space="preserve"> </w:t>
      </w:r>
      <w:r w:rsidR="003F37D7">
        <w:rPr>
          <w:rFonts w:ascii="Arial" w:hAnsi="Arial" w:cs="Arial"/>
        </w:rPr>
        <w:t>as being in</w:t>
      </w:r>
      <w:r w:rsidR="00493C1B" w:rsidRPr="00A144DF">
        <w:rPr>
          <w:rFonts w:ascii="Arial" w:hAnsi="Arial" w:cs="Arial"/>
        </w:rPr>
        <w:t xml:space="preserve"> the </w:t>
      </w:r>
      <w:r w:rsidR="003F37D7">
        <w:rPr>
          <w:rFonts w:ascii="Arial" w:hAnsi="Arial" w:cs="Arial"/>
        </w:rPr>
        <w:t>“</w:t>
      </w:r>
      <w:r w:rsidR="00493C1B" w:rsidRPr="00A144DF">
        <w:rPr>
          <w:rFonts w:ascii="Arial" w:hAnsi="Arial" w:cs="Arial"/>
        </w:rPr>
        <w:t>most deprived</w:t>
      </w:r>
      <w:r w:rsidR="003F37D7">
        <w:rPr>
          <w:rFonts w:ascii="Arial" w:hAnsi="Arial" w:cs="Arial"/>
        </w:rPr>
        <w:t>”</w:t>
      </w:r>
      <w:r w:rsidR="00CD7551">
        <w:rPr>
          <w:rFonts w:ascii="Arial" w:hAnsi="Arial" w:cs="Arial"/>
        </w:rPr>
        <w:t xml:space="preserve"> </w:t>
      </w:r>
      <w:r w:rsidR="003F37D7">
        <w:rPr>
          <w:rFonts w:ascii="Arial" w:hAnsi="Arial" w:cs="Arial"/>
        </w:rPr>
        <w:t xml:space="preserve">group </w:t>
      </w:r>
      <w:r w:rsidR="00CD7551">
        <w:rPr>
          <w:rFonts w:ascii="Arial" w:hAnsi="Arial" w:cs="Arial"/>
        </w:rPr>
        <w:t xml:space="preserve">based on a number of </w:t>
      </w:r>
      <w:r w:rsidR="00116BD0">
        <w:rPr>
          <w:rFonts w:ascii="Arial" w:hAnsi="Arial" w:cs="Arial"/>
        </w:rPr>
        <w:t xml:space="preserve">trial </w:t>
      </w:r>
      <w:r w:rsidR="00CD7551">
        <w:rPr>
          <w:rFonts w:ascii="Arial" w:hAnsi="Arial" w:cs="Arial"/>
        </w:rPr>
        <w:t>cut-points:</w:t>
      </w:r>
      <w:r w:rsidR="00493C1B" w:rsidRPr="00A144DF">
        <w:rPr>
          <w:rFonts w:ascii="Arial" w:hAnsi="Arial" w:cs="Arial"/>
        </w:rPr>
        <w:t xml:space="preserve"> successively</w:t>
      </w:r>
      <w:r w:rsidR="00CD7551">
        <w:rPr>
          <w:rFonts w:ascii="Arial" w:hAnsi="Arial" w:cs="Arial"/>
        </w:rPr>
        <w:t>,</w:t>
      </w:r>
      <w:r w:rsidR="00493C1B" w:rsidRPr="00A144DF">
        <w:rPr>
          <w:rFonts w:ascii="Arial" w:hAnsi="Arial" w:cs="Arial"/>
        </w:rPr>
        <w:t xml:space="preserve"> the 1%, 5%, 10%, 15%, 20%, </w:t>
      </w:r>
      <w:r w:rsidR="00CD7551">
        <w:rPr>
          <w:rFonts w:ascii="Arial" w:hAnsi="Arial" w:cs="Arial"/>
        </w:rPr>
        <w:t xml:space="preserve">and </w:t>
      </w:r>
      <w:r w:rsidR="00493C1B" w:rsidRPr="00A144DF">
        <w:rPr>
          <w:rFonts w:ascii="Arial" w:hAnsi="Arial" w:cs="Arial"/>
        </w:rPr>
        <w:t>25% most deprived populations</w:t>
      </w:r>
      <w:r w:rsidR="00493C1B" w:rsidRPr="003F37D7">
        <w:rPr>
          <w:rFonts w:ascii="Arial" w:hAnsi="Arial" w:cs="Arial"/>
        </w:rPr>
        <w:t>.</w:t>
      </w:r>
      <w:r w:rsidRPr="003F37D7">
        <w:rPr>
          <w:rFonts w:ascii="Arial" w:hAnsi="Arial" w:cs="Arial"/>
        </w:rPr>
        <w:t xml:space="preserve"> </w:t>
      </w:r>
    </w:p>
    <w:p w:rsidR="00DF70FD" w:rsidRPr="003F37D7" w:rsidRDefault="008377D2" w:rsidP="00C1748D">
      <w:pPr>
        <w:jc w:val="both"/>
        <w:rPr>
          <w:rFonts w:ascii="Arial" w:hAnsi="Arial" w:cs="Arial"/>
        </w:rPr>
      </w:pPr>
      <w:proofErr w:type="spellStart"/>
      <w:r w:rsidRPr="00A144DF">
        <w:rPr>
          <w:rFonts w:ascii="Arial" w:hAnsi="Arial" w:cs="Arial"/>
          <w:b/>
        </w:rPr>
        <w:t>Rurality</w:t>
      </w:r>
      <w:proofErr w:type="spellEnd"/>
      <w:r w:rsidRPr="00A144DF">
        <w:rPr>
          <w:rFonts w:ascii="Arial" w:hAnsi="Arial" w:cs="Arial"/>
          <w:b/>
        </w:rPr>
        <w:t>:</w:t>
      </w:r>
      <w:r w:rsidRPr="00A144DF">
        <w:rPr>
          <w:rFonts w:ascii="Arial" w:hAnsi="Arial" w:cs="Arial"/>
        </w:rPr>
        <w:t xml:space="preserve"> </w:t>
      </w:r>
      <w:r w:rsidR="00DF70FD" w:rsidRPr="00A144DF">
        <w:rPr>
          <w:rFonts w:ascii="Arial" w:hAnsi="Arial" w:cs="Arial"/>
        </w:rPr>
        <w:t xml:space="preserve">Remoteness and </w:t>
      </w:r>
      <w:proofErr w:type="spellStart"/>
      <w:r w:rsidR="00DF70FD" w:rsidRPr="00A144DF">
        <w:rPr>
          <w:rFonts w:ascii="Arial" w:hAnsi="Arial" w:cs="Arial"/>
        </w:rPr>
        <w:t>rurality</w:t>
      </w:r>
      <w:proofErr w:type="spellEnd"/>
      <w:r w:rsidR="00DF70FD" w:rsidRPr="00A144DF">
        <w:rPr>
          <w:rFonts w:ascii="Arial" w:hAnsi="Arial" w:cs="Arial"/>
        </w:rPr>
        <w:t xml:space="preserve"> </w:t>
      </w:r>
      <w:r w:rsidR="00CD7551">
        <w:rPr>
          <w:rFonts w:ascii="Arial" w:hAnsi="Arial" w:cs="Arial"/>
        </w:rPr>
        <w:t>was</w:t>
      </w:r>
      <w:r w:rsidR="00DF70FD" w:rsidRPr="00A144DF">
        <w:rPr>
          <w:rFonts w:ascii="Arial" w:hAnsi="Arial" w:cs="Arial"/>
        </w:rPr>
        <w:t xml:space="preserve"> measured using the Scottish </w:t>
      </w:r>
      <w:r w:rsidR="009518DA" w:rsidRPr="00A144DF">
        <w:rPr>
          <w:rFonts w:ascii="Arial" w:hAnsi="Arial" w:cs="Arial"/>
        </w:rPr>
        <w:t>Government Urban Rural Classification</w:t>
      </w:r>
      <w:r w:rsidR="00DF70FD" w:rsidRPr="00A144DF">
        <w:rPr>
          <w:rFonts w:ascii="Arial" w:hAnsi="Arial" w:cs="Arial"/>
        </w:rPr>
        <w:t xml:space="preserve"> which categories areas into 6 categories (Annex </w:t>
      </w:r>
      <w:r w:rsidR="00BC1951">
        <w:rPr>
          <w:rFonts w:ascii="Arial" w:hAnsi="Arial" w:cs="Arial"/>
        </w:rPr>
        <w:t>B</w:t>
      </w:r>
      <w:r w:rsidR="00DF70FD" w:rsidRPr="00A144DF">
        <w:rPr>
          <w:rFonts w:ascii="Arial" w:hAnsi="Arial" w:cs="Arial"/>
        </w:rPr>
        <w:t xml:space="preserve"> </w:t>
      </w:r>
      <w:r w:rsidR="00CB79A1">
        <w:rPr>
          <w:rFonts w:ascii="Arial" w:hAnsi="Arial" w:cs="Arial"/>
        </w:rPr>
        <w:t>describes</w:t>
      </w:r>
      <w:r w:rsidR="009518DA" w:rsidRPr="00A144DF">
        <w:rPr>
          <w:rFonts w:ascii="Arial" w:hAnsi="Arial" w:cs="Arial"/>
        </w:rPr>
        <w:t xml:space="preserve"> the 6-fold and 8-fold </w:t>
      </w:r>
      <w:r w:rsidR="00DF70FD" w:rsidRPr="00A144DF">
        <w:rPr>
          <w:rFonts w:ascii="Arial" w:hAnsi="Arial" w:cs="Arial"/>
        </w:rPr>
        <w:t>Urban-Rural classifications). For ease of analysis this was converted into an approximately ordinal classification by grouping categories as follows: categories 1 &amp; 2 (Urban), category 6 (Remote and Rural) and between them the remainin</w:t>
      </w:r>
      <w:r w:rsidR="00CD7551">
        <w:rPr>
          <w:rFonts w:ascii="Arial" w:hAnsi="Arial" w:cs="Arial"/>
        </w:rPr>
        <w:t xml:space="preserve">g categories 3, 4 &amp; 5 (Other). </w:t>
      </w:r>
      <w:r w:rsidR="00DF70FD" w:rsidRPr="00A144DF">
        <w:rPr>
          <w:rFonts w:ascii="Arial" w:hAnsi="Arial" w:cs="Arial"/>
        </w:rPr>
        <w:t>Two distinct comparisons were carried out. Firstly, remote and rural areas were compared to all other areas, and then all non-urban categories were compared to urban areas.</w:t>
      </w:r>
    </w:p>
    <w:p w:rsidR="00DF70FD" w:rsidRPr="00116BD0" w:rsidRDefault="008377D2" w:rsidP="00C1748D">
      <w:pPr>
        <w:jc w:val="both"/>
        <w:rPr>
          <w:rFonts w:ascii="Arial" w:hAnsi="Arial" w:cs="Arial"/>
        </w:rPr>
      </w:pPr>
      <w:r w:rsidRPr="00A144DF">
        <w:rPr>
          <w:rFonts w:ascii="Arial" w:hAnsi="Arial" w:cs="Arial"/>
          <w:b/>
        </w:rPr>
        <w:t>Ethnicity:</w:t>
      </w:r>
      <w:r w:rsidRPr="00A144DF">
        <w:rPr>
          <w:rFonts w:ascii="Arial" w:hAnsi="Arial" w:cs="Arial"/>
        </w:rPr>
        <w:t xml:space="preserve"> </w:t>
      </w:r>
      <w:r w:rsidR="00CD7551">
        <w:rPr>
          <w:rFonts w:ascii="Arial" w:hAnsi="Arial" w:cs="Arial"/>
        </w:rPr>
        <w:t>The</w:t>
      </w:r>
      <w:r w:rsidR="00DF70FD" w:rsidRPr="00A144DF">
        <w:rPr>
          <w:rFonts w:ascii="Arial" w:hAnsi="Arial" w:cs="Arial"/>
        </w:rPr>
        <w:t xml:space="preserve"> black and minority ethnic population</w:t>
      </w:r>
      <w:r w:rsidR="00CB79A1">
        <w:rPr>
          <w:rFonts w:ascii="Arial" w:hAnsi="Arial" w:cs="Arial"/>
        </w:rPr>
        <w:t>,</w:t>
      </w:r>
      <w:r w:rsidR="00DF70FD" w:rsidRPr="00A144DF">
        <w:rPr>
          <w:rFonts w:ascii="Arial" w:hAnsi="Arial" w:cs="Arial"/>
        </w:rPr>
        <w:t xml:space="preserve"> </w:t>
      </w:r>
      <w:r w:rsidR="00CD7551">
        <w:rPr>
          <w:rFonts w:ascii="Arial" w:hAnsi="Arial" w:cs="Arial"/>
        </w:rPr>
        <w:t>as a percentage of the total</w:t>
      </w:r>
      <w:r w:rsidR="00CD7551" w:rsidRPr="00CD7551">
        <w:rPr>
          <w:rFonts w:ascii="Arial" w:hAnsi="Arial" w:cs="Arial"/>
        </w:rPr>
        <w:t xml:space="preserve"> </w:t>
      </w:r>
      <w:r w:rsidR="00CD7551" w:rsidRPr="00A144DF">
        <w:rPr>
          <w:rFonts w:ascii="Arial" w:hAnsi="Arial" w:cs="Arial"/>
        </w:rPr>
        <w:t xml:space="preserve">for each </w:t>
      </w:r>
      <w:r w:rsidR="00C465DF">
        <w:rPr>
          <w:rFonts w:ascii="Arial" w:hAnsi="Arial" w:cs="Arial"/>
        </w:rPr>
        <w:t>intermediate zone</w:t>
      </w:r>
      <w:r w:rsidR="00CD7551">
        <w:rPr>
          <w:rFonts w:ascii="Arial" w:hAnsi="Arial" w:cs="Arial"/>
        </w:rPr>
        <w:t xml:space="preserve">, </w:t>
      </w:r>
      <w:r w:rsidR="00DF70FD" w:rsidRPr="00A144DF">
        <w:rPr>
          <w:rFonts w:ascii="Arial" w:hAnsi="Arial" w:cs="Arial"/>
        </w:rPr>
        <w:t>from the 2001 ce</w:t>
      </w:r>
      <w:r w:rsidRPr="00A144DF">
        <w:rPr>
          <w:rFonts w:ascii="Arial" w:hAnsi="Arial" w:cs="Arial"/>
        </w:rPr>
        <w:t>nsus</w:t>
      </w:r>
      <w:r w:rsidR="00CD7551">
        <w:rPr>
          <w:rFonts w:ascii="Arial" w:hAnsi="Arial" w:cs="Arial"/>
        </w:rPr>
        <w:t>,</w:t>
      </w:r>
      <w:r w:rsidRPr="00A144DF">
        <w:rPr>
          <w:rFonts w:ascii="Arial" w:hAnsi="Arial" w:cs="Arial"/>
        </w:rPr>
        <w:t xml:space="preserve"> </w:t>
      </w:r>
      <w:r w:rsidR="00CD7551">
        <w:rPr>
          <w:rFonts w:ascii="Arial" w:hAnsi="Arial" w:cs="Arial"/>
        </w:rPr>
        <w:t>was</w:t>
      </w:r>
      <w:r w:rsidRPr="00A144DF">
        <w:rPr>
          <w:rFonts w:ascii="Arial" w:hAnsi="Arial" w:cs="Arial"/>
        </w:rPr>
        <w:t xml:space="preserve"> categorised into </w:t>
      </w:r>
      <w:r w:rsidR="00DF70FD" w:rsidRPr="00A144DF">
        <w:rPr>
          <w:rFonts w:ascii="Arial" w:hAnsi="Arial" w:cs="Arial"/>
        </w:rPr>
        <w:t xml:space="preserve">five </w:t>
      </w:r>
      <w:r w:rsidR="00116BD0">
        <w:rPr>
          <w:rFonts w:ascii="Arial" w:hAnsi="Arial" w:cs="Arial"/>
        </w:rPr>
        <w:t>trial ‘</w:t>
      </w:r>
      <w:r w:rsidR="00ED0EA8">
        <w:rPr>
          <w:rFonts w:ascii="Arial" w:hAnsi="Arial" w:cs="Arial"/>
        </w:rPr>
        <w:t>levels</w:t>
      </w:r>
      <w:r w:rsidR="00116BD0">
        <w:rPr>
          <w:rFonts w:ascii="Arial" w:hAnsi="Arial" w:cs="Arial"/>
        </w:rPr>
        <w:t>’</w:t>
      </w:r>
      <w:r w:rsidR="00DF70FD" w:rsidRPr="00A144DF">
        <w:rPr>
          <w:rFonts w:ascii="Arial" w:hAnsi="Arial" w:cs="Arial"/>
        </w:rPr>
        <w:t xml:space="preserve"> </w:t>
      </w:r>
      <w:r w:rsidRPr="00A144DF">
        <w:rPr>
          <w:rFonts w:ascii="Arial" w:hAnsi="Arial" w:cs="Arial"/>
        </w:rPr>
        <w:t>(&lt;</w:t>
      </w:r>
      <w:r w:rsidR="00116BD0">
        <w:rPr>
          <w:rFonts w:ascii="Arial" w:hAnsi="Arial" w:cs="Arial"/>
        </w:rPr>
        <w:t>0.5%, 0.5-1%, 1-2%, 2-4%, ≥4%).</w:t>
      </w:r>
    </w:p>
    <w:p w:rsidR="00635E4A" w:rsidRPr="00A144DF" w:rsidRDefault="00635E4A" w:rsidP="00C1748D">
      <w:pPr>
        <w:jc w:val="both"/>
        <w:rPr>
          <w:rFonts w:ascii="Arial" w:hAnsi="Arial" w:cs="Arial"/>
        </w:rPr>
      </w:pPr>
      <w:r w:rsidRPr="00A144DF">
        <w:rPr>
          <w:rFonts w:ascii="Arial" w:hAnsi="Arial" w:cs="Arial"/>
        </w:rPr>
        <w:t xml:space="preserve">The results are summarised in the following paragraphs from the </w:t>
      </w:r>
      <w:r w:rsidRPr="00A144DF">
        <w:rPr>
          <w:rFonts w:ascii="Arial" w:eastAsia="Times New Roman" w:hAnsi="Arial" w:cs="Arial"/>
        </w:rPr>
        <w:t>Discussion section 6.3 of the Technical Addendum D to Technical Report D:</w:t>
      </w:r>
    </w:p>
    <w:p w:rsidR="00635E4A" w:rsidRPr="00A144DF" w:rsidRDefault="00824E0C" w:rsidP="00C1748D">
      <w:pPr>
        <w:jc w:val="both"/>
        <w:rPr>
          <w:rFonts w:ascii="Arial" w:hAnsi="Arial" w:cs="Arial"/>
          <w:b/>
          <w:i/>
        </w:rPr>
      </w:pPr>
      <w:r>
        <w:rPr>
          <w:rFonts w:ascii="Arial" w:hAnsi="Arial" w:cs="Arial"/>
          <w:i/>
        </w:rPr>
        <w:lastRenderedPageBreak/>
        <w:t>“</w:t>
      </w:r>
      <w:r w:rsidR="00635E4A" w:rsidRPr="00A144DF">
        <w:rPr>
          <w:rFonts w:ascii="Arial" w:hAnsi="Arial" w:cs="Arial"/>
          <w:i/>
        </w:rPr>
        <w:t>Consistent evidence of a shortfall was detected only for circulatory disease when using the acute circulatory index. For other diagnostic groups there was either no evidence of a change in gradient of utilisation, or, in fact, an increase in the gradient in the most deprived areas, e.g. injuries, digestive. Using the shortfall method in these cases would result in the formula predicting lower needs for the most deprived areas.</w:t>
      </w:r>
    </w:p>
    <w:p w:rsidR="00635E4A" w:rsidRPr="00A144DF" w:rsidRDefault="00635E4A" w:rsidP="00C1748D">
      <w:pPr>
        <w:jc w:val="both"/>
        <w:rPr>
          <w:rFonts w:ascii="Arial" w:eastAsia="Times New Roman" w:hAnsi="Arial" w:cs="Arial"/>
        </w:rPr>
      </w:pPr>
      <w:r w:rsidRPr="00A144DF">
        <w:rPr>
          <w:rFonts w:ascii="Arial" w:eastAsia="Times New Roman" w:hAnsi="Arial" w:cs="Arial"/>
        </w:rPr>
        <w:t>(…)</w:t>
      </w:r>
    </w:p>
    <w:p w:rsidR="008C11A6" w:rsidRPr="00A144DF" w:rsidRDefault="008C11A6" w:rsidP="00C1748D">
      <w:pPr>
        <w:jc w:val="both"/>
        <w:rPr>
          <w:rFonts w:ascii="Arial" w:hAnsi="Arial" w:cs="Arial"/>
          <w:i/>
        </w:rPr>
      </w:pPr>
      <w:r w:rsidRPr="00A144DF">
        <w:rPr>
          <w:rFonts w:ascii="Arial" w:eastAsia="Times New Roman" w:hAnsi="Arial" w:cs="Arial"/>
          <w:i/>
        </w:rPr>
        <w:t>In summary, the analyses reported here cannot demonstrate conclusively that either unmet need does or does not exist within the services covered by the formula.  In many ways they were designed to produce a technical adjustment to the formula on the assumption that unmet need does exist in some areas, in particu</w:t>
      </w:r>
      <w:r w:rsidRPr="00A144DF">
        <w:rPr>
          <w:rFonts w:ascii="Arial" w:hAnsi="Arial" w:cs="Arial"/>
          <w:i/>
        </w:rPr>
        <w:t>lar</w:t>
      </w:r>
      <w:r w:rsidR="002859A7" w:rsidRPr="00A144DF">
        <w:rPr>
          <w:rFonts w:ascii="Arial" w:hAnsi="Arial" w:cs="Arial"/>
          <w:i/>
        </w:rPr>
        <w:t xml:space="preserve"> in relation to deprivation. </w:t>
      </w:r>
      <w:proofErr w:type="gramStart"/>
      <w:r w:rsidR="002859A7" w:rsidRPr="00A144DF">
        <w:rPr>
          <w:rFonts w:ascii="Arial" w:hAnsi="Arial" w:cs="Arial"/>
          <w:i/>
        </w:rPr>
        <w:t>That</w:t>
      </w:r>
      <w:r w:rsidRPr="00A144DF">
        <w:rPr>
          <w:rFonts w:ascii="Arial" w:eastAsia="Times New Roman" w:hAnsi="Arial" w:cs="Arial"/>
          <w:i/>
        </w:rPr>
        <w:t xml:space="preserve"> adjustment is limited to altering the gradient of a needs index</w:t>
      </w:r>
      <w:r w:rsidRPr="00A144DF">
        <w:rPr>
          <w:rFonts w:ascii="Arial" w:hAnsi="Arial" w:cs="Arial"/>
          <w:i/>
        </w:rPr>
        <w:t>,</w:t>
      </w:r>
      <w:r w:rsidRPr="00A144DF">
        <w:rPr>
          <w:rFonts w:ascii="Arial" w:eastAsia="Times New Roman" w:hAnsi="Arial" w:cs="Arial"/>
          <w:i/>
        </w:rPr>
        <w:t xml:space="preserve"> which could be viewed as a blunt solu</w:t>
      </w:r>
      <w:r w:rsidRPr="00A144DF">
        <w:rPr>
          <w:rFonts w:ascii="Arial" w:hAnsi="Arial" w:cs="Arial"/>
          <w:i/>
        </w:rPr>
        <w:t>tion to a very complex problem.</w:t>
      </w:r>
      <w:proofErr w:type="gramEnd"/>
    </w:p>
    <w:p w:rsidR="008C11A6" w:rsidRPr="00A144DF" w:rsidRDefault="008C11A6" w:rsidP="00C1748D">
      <w:pPr>
        <w:jc w:val="both"/>
        <w:rPr>
          <w:rFonts w:ascii="Arial" w:eastAsia="Times New Roman" w:hAnsi="Arial" w:cs="Arial"/>
          <w:i/>
        </w:rPr>
      </w:pPr>
      <w:r w:rsidRPr="00A144DF">
        <w:rPr>
          <w:rFonts w:ascii="Arial" w:eastAsia="Times New Roman" w:hAnsi="Arial" w:cs="Arial"/>
          <w:i/>
        </w:rPr>
        <w:t>NRAC have been keen throughout however to make an allowance for unmet where this could be justified. Of the two methods used, the shortfall method would appear to be the most defensible and a better fit to the NRAC core c</w:t>
      </w:r>
      <w:r w:rsidR="00BC610A" w:rsidRPr="00A144DF">
        <w:rPr>
          <w:rFonts w:ascii="Arial" w:eastAsia="Times New Roman" w:hAnsi="Arial" w:cs="Arial"/>
          <w:i/>
        </w:rPr>
        <w:t xml:space="preserve">riteria such as objectivity. </w:t>
      </w:r>
      <w:r w:rsidRPr="00A144DF">
        <w:rPr>
          <w:rFonts w:ascii="Arial" w:eastAsia="Times New Roman" w:hAnsi="Arial" w:cs="Arial"/>
          <w:i/>
        </w:rPr>
        <w:t xml:space="preserve">It is only possible to justify using this approach for circulatory disease to avoid redistribution of resources from high to low deprived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8C11A6" w:rsidRPr="00A144DF" w:rsidTr="002859A7">
        <w:trPr>
          <w:trHeight w:val="928"/>
        </w:trPr>
        <w:tc>
          <w:tcPr>
            <w:tcW w:w="9242" w:type="dxa"/>
          </w:tcPr>
          <w:p w:rsidR="008C11A6" w:rsidRPr="00A144DF" w:rsidRDefault="008C11A6" w:rsidP="00116BD0">
            <w:pPr>
              <w:spacing w:before="200"/>
              <w:jc w:val="both"/>
              <w:rPr>
                <w:rFonts w:ascii="Arial" w:eastAsia="Times New Roman" w:hAnsi="Arial" w:cs="Arial"/>
                <w:i/>
              </w:rPr>
            </w:pPr>
            <w:r w:rsidRPr="00A144DF">
              <w:rPr>
                <w:rFonts w:ascii="Arial" w:eastAsia="Times New Roman" w:hAnsi="Arial" w:cs="Arial"/>
                <w:i/>
              </w:rPr>
              <w:t>Recommendation – that a shortfall adjustment is made for the acute circulatory diagnostic group based on the extrapolating the needs index gradient fro</w:t>
            </w:r>
            <w:r w:rsidRPr="00A144DF">
              <w:rPr>
                <w:rFonts w:ascii="Arial" w:hAnsi="Arial" w:cs="Arial"/>
                <w:i/>
              </w:rPr>
              <w:t xml:space="preserve">m the population that excludes </w:t>
            </w:r>
            <w:r w:rsidRPr="00A144DF">
              <w:rPr>
                <w:rFonts w:ascii="Arial" w:eastAsia="Times New Roman" w:hAnsi="Arial" w:cs="Arial"/>
                <w:i/>
              </w:rPr>
              <w:t>25% of the population in the most deprived areas.</w:t>
            </w:r>
            <w:r w:rsidR="00824E0C">
              <w:rPr>
                <w:rFonts w:ascii="Arial" w:eastAsia="Times New Roman" w:hAnsi="Arial" w:cs="Arial"/>
                <w:i/>
              </w:rPr>
              <w:t>”</w:t>
            </w:r>
          </w:p>
        </w:tc>
      </w:tr>
    </w:tbl>
    <w:p w:rsidR="002859A7" w:rsidRPr="003F37D7" w:rsidRDefault="002859A7" w:rsidP="00C1748D">
      <w:pPr>
        <w:jc w:val="both"/>
        <w:rPr>
          <w:rFonts w:ascii="Arial" w:hAnsi="Arial" w:cs="Arial"/>
          <w:b/>
        </w:rPr>
      </w:pPr>
    </w:p>
    <w:p w:rsidR="00A45BC4" w:rsidRPr="003F37D7" w:rsidRDefault="007A2025" w:rsidP="00A45BC4">
      <w:pPr>
        <w:pStyle w:val="ListParagraph"/>
        <w:spacing w:after="200" w:line="276" w:lineRule="auto"/>
        <w:ind w:left="0"/>
        <w:contextualSpacing w:val="0"/>
        <w:rPr>
          <w:rFonts w:cs="Arial"/>
          <w:sz w:val="22"/>
          <w:szCs w:val="22"/>
        </w:rPr>
      </w:pPr>
      <w:r w:rsidRPr="003F37D7">
        <w:rPr>
          <w:rFonts w:cs="Arial"/>
          <w:sz w:val="22"/>
          <w:szCs w:val="22"/>
        </w:rPr>
        <w:t xml:space="preserve">The unmet need adjustment </w:t>
      </w:r>
      <w:r w:rsidR="00824E0C" w:rsidRPr="003F37D7">
        <w:rPr>
          <w:rFonts w:cs="Arial"/>
          <w:sz w:val="22"/>
          <w:szCs w:val="22"/>
        </w:rPr>
        <w:t xml:space="preserve">currently </w:t>
      </w:r>
      <w:r w:rsidRPr="003F37D7">
        <w:rPr>
          <w:rFonts w:cs="Arial"/>
          <w:sz w:val="22"/>
          <w:szCs w:val="22"/>
        </w:rPr>
        <w:t xml:space="preserve">implemented in the NRAC Formula </w:t>
      </w:r>
      <w:r w:rsidR="00824E0C" w:rsidRPr="003F37D7">
        <w:rPr>
          <w:rFonts w:cs="Arial"/>
          <w:sz w:val="22"/>
          <w:szCs w:val="22"/>
        </w:rPr>
        <w:t xml:space="preserve">follows </w:t>
      </w:r>
      <w:r w:rsidRPr="003F37D7">
        <w:rPr>
          <w:rFonts w:cs="Arial"/>
          <w:sz w:val="22"/>
          <w:szCs w:val="22"/>
        </w:rPr>
        <w:t>the</w:t>
      </w:r>
      <w:r w:rsidR="00116BD0">
        <w:rPr>
          <w:rFonts w:cs="Arial"/>
          <w:sz w:val="22"/>
          <w:szCs w:val="22"/>
        </w:rPr>
        <w:t xml:space="preserve"> recommendation outlined above.</w:t>
      </w:r>
    </w:p>
    <w:p w:rsidR="00FF6D1A" w:rsidRPr="00190D63" w:rsidRDefault="00FF6D1A" w:rsidP="00F4329F">
      <w:pPr>
        <w:jc w:val="both"/>
        <w:rPr>
          <w:rFonts w:ascii="Arial" w:hAnsi="Arial" w:cs="Arial"/>
        </w:rPr>
      </w:pPr>
    </w:p>
    <w:p w:rsidR="00F4329F" w:rsidRPr="00B666BF" w:rsidRDefault="008B5D58" w:rsidP="00C1748D">
      <w:pPr>
        <w:jc w:val="both"/>
        <w:rPr>
          <w:rFonts w:ascii="Arial" w:hAnsi="Arial" w:cs="Arial"/>
          <w:b/>
          <w:sz w:val="24"/>
          <w:szCs w:val="24"/>
        </w:rPr>
      </w:pPr>
      <w:r w:rsidRPr="00B666BF">
        <w:rPr>
          <w:rFonts w:ascii="Arial" w:hAnsi="Arial" w:cs="Arial"/>
          <w:b/>
          <w:sz w:val="24"/>
          <w:szCs w:val="24"/>
        </w:rPr>
        <w:t>3</w:t>
      </w:r>
      <w:r w:rsidR="00F4329F" w:rsidRPr="00B666BF">
        <w:rPr>
          <w:rFonts w:ascii="Arial" w:hAnsi="Arial" w:cs="Arial"/>
          <w:b/>
          <w:sz w:val="24"/>
          <w:szCs w:val="24"/>
        </w:rPr>
        <w:t>. Proposed methodology for Acute MLC Review</w:t>
      </w:r>
    </w:p>
    <w:p w:rsidR="00F4329F" w:rsidRDefault="004A1AA0" w:rsidP="00C1748D">
      <w:pPr>
        <w:jc w:val="both"/>
        <w:rPr>
          <w:rFonts w:ascii="Arial" w:hAnsi="Arial" w:cs="Arial"/>
        </w:rPr>
      </w:pPr>
      <w:r w:rsidRPr="00A144DF">
        <w:rPr>
          <w:rFonts w:ascii="Arial" w:hAnsi="Arial" w:cs="Arial"/>
        </w:rPr>
        <w:t>The Subgroup agreed that the unmet need investigation should</w:t>
      </w:r>
      <w:r w:rsidR="001F0C37">
        <w:rPr>
          <w:rFonts w:ascii="Arial" w:hAnsi="Arial" w:cs="Arial"/>
        </w:rPr>
        <w:t xml:space="preserve"> include testing for unmet need</w:t>
      </w:r>
      <w:r w:rsidR="001F0C37" w:rsidRPr="00A144DF">
        <w:rPr>
          <w:rFonts w:ascii="Arial" w:hAnsi="Arial" w:cs="Arial"/>
        </w:rPr>
        <w:t xml:space="preserve"> </w:t>
      </w:r>
      <w:r w:rsidRPr="00A144DF">
        <w:rPr>
          <w:rFonts w:ascii="Arial" w:hAnsi="Arial" w:cs="Arial"/>
        </w:rPr>
        <w:t xml:space="preserve">as a function of </w:t>
      </w:r>
      <w:r w:rsidR="001F0C37">
        <w:rPr>
          <w:rFonts w:ascii="Arial" w:hAnsi="Arial" w:cs="Arial"/>
        </w:rPr>
        <w:t xml:space="preserve">the </w:t>
      </w:r>
      <w:r w:rsidR="00FB4C64">
        <w:rPr>
          <w:rFonts w:ascii="Arial" w:hAnsi="Arial" w:cs="Arial"/>
        </w:rPr>
        <w:t>A</w:t>
      </w:r>
      <w:r w:rsidR="001F0C37">
        <w:rPr>
          <w:rFonts w:ascii="Arial" w:hAnsi="Arial" w:cs="Arial"/>
        </w:rPr>
        <w:t>cute needs index</w:t>
      </w:r>
      <w:r w:rsidR="00FB4C64">
        <w:rPr>
          <w:rFonts w:ascii="Arial" w:hAnsi="Arial" w:cs="Arial"/>
        </w:rPr>
        <w:t>,</w:t>
      </w:r>
      <w:r w:rsidR="001F0C37">
        <w:rPr>
          <w:rFonts w:ascii="Arial" w:hAnsi="Arial" w:cs="Arial"/>
        </w:rPr>
        <w:t xml:space="preserve"> as well as of </w:t>
      </w:r>
      <w:r w:rsidRPr="00A144DF">
        <w:rPr>
          <w:rFonts w:ascii="Arial" w:hAnsi="Arial" w:cs="Arial"/>
        </w:rPr>
        <w:t>deprivation (SIMD</w:t>
      </w:r>
      <w:r w:rsidR="00E6051B" w:rsidRPr="00A144DF">
        <w:rPr>
          <w:rFonts w:ascii="Arial" w:hAnsi="Arial" w:cs="Arial"/>
        </w:rPr>
        <w:t xml:space="preserve"> Income domain ranking</w:t>
      </w:r>
      <w:r w:rsidRPr="00A144DF">
        <w:rPr>
          <w:rFonts w:ascii="Arial" w:hAnsi="Arial" w:cs="Arial"/>
        </w:rPr>
        <w:t xml:space="preserve">), </w:t>
      </w:r>
      <w:proofErr w:type="spellStart"/>
      <w:r w:rsidRPr="00A144DF">
        <w:rPr>
          <w:rFonts w:ascii="Arial" w:hAnsi="Arial" w:cs="Arial"/>
        </w:rPr>
        <w:t>rurality</w:t>
      </w:r>
      <w:proofErr w:type="spellEnd"/>
      <w:r w:rsidR="00E6051B" w:rsidRPr="00A144DF">
        <w:rPr>
          <w:rFonts w:ascii="Arial" w:hAnsi="Arial" w:cs="Arial"/>
        </w:rPr>
        <w:t xml:space="preserve">, </w:t>
      </w:r>
      <w:r w:rsidR="001F0C37">
        <w:rPr>
          <w:rFonts w:ascii="Arial" w:hAnsi="Arial" w:cs="Arial"/>
        </w:rPr>
        <w:t xml:space="preserve">and </w:t>
      </w:r>
      <w:r w:rsidRPr="00A144DF">
        <w:rPr>
          <w:rFonts w:ascii="Arial" w:hAnsi="Arial" w:cs="Arial"/>
        </w:rPr>
        <w:t>ethnicity. This section outlines the proposed methodology for each of these tests.</w:t>
      </w:r>
    </w:p>
    <w:p w:rsidR="00725D05" w:rsidRPr="00A144DF" w:rsidDel="00CA1BDD" w:rsidRDefault="008B5D58" w:rsidP="00C1748D">
      <w:pPr>
        <w:rPr>
          <w:rFonts w:ascii="Arial" w:hAnsi="Arial" w:cs="Arial"/>
          <w:b/>
        </w:rPr>
      </w:pPr>
      <w:r>
        <w:rPr>
          <w:rFonts w:ascii="Arial" w:hAnsi="Arial" w:cs="Arial"/>
          <w:b/>
        </w:rPr>
        <w:t>3</w:t>
      </w:r>
      <w:r w:rsidR="00725D05">
        <w:rPr>
          <w:rFonts w:ascii="Arial" w:hAnsi="Arial" w:cs="Arial"/>
          <w:b/>
        </w:rPr>
        <w:t>.1</w:t>
      </w:r>
      <w:r w:rsidR="00725D05" w:rsidRPr="00A144DF">
        <w:rPr>
          <w:rFonts w:ascii="Arial" w:hAnsi="Arial" w:cs="Arial"/>
          <w:b/>
        </w:rPr>
        <w:t xml:space="preserve"> Testing for unmet need using the </w:t>
      </w:r>
      <w:r w:rsidR="00BC1951">
        <w:rPr>
          <w:rFonts w:ascii="Arial" w:hAnsi="Arial" w:cs="Arial"/>
          <w:b/>
        </w:rPr>
        <w:t xml:space="preserve">Acute </w:t>
      </w:r>
      <w:r w:rsidR="00FB4C64">
        <w:rPr>
          <w:rFonts w:ascii="Arial" w:hAnsi="Arial" w:cs="Arial"/>
          <w:b/>
        </w:rPr>
        <w:t>needs i</w:t>
      </w:r>
      <w:r w:rsidR="00725D05" w:rsidRPr="00A144DF">
        <w:rPr>
          <w:rFonts w:ascii="Arial" w:hAnsi="Arial" w:cs="Arial"/>
          <w:b/>
        </w:rPr>
        <w:t>ndex</w:t>
      </w:r>
    </w:p>
    <w:p w:rsidR="00725D05" w:rsidRPr="00A144DF" w:rsidRDefault="00725D05" w:rsidP="00C1748D">
      <w:pPr>
        <w:jc w:val="both"/>
        <w:rPr>
          <w:rFonts w:ascii="Arial" w:hAnsi="Arial" w:cs="Arial"/>
        </w:rPr>
      </w:pPr>
      <w:r w:rsidRPr="00A144DF">
        <w:rPr>
          <w:rFonts w:ascii="Arial" w:hAnsi="Arial" w:cs="Arial"/>
          <w:u w:val="single"/>
        </w:rPr>
        <w:t>Method</w:t>
      </w:r>
      <w:r w:rsidRPr="00A144DF">
        <w:rPr>
          <w:rFonts w:ascii="Arial" w:hAnsi="Arial" w:cs="Arial"/>
        </w:rPr>
        <w:t>: In order to test for unmet n</w:t>
      </w:r>
      <w:r w:rsidR="00F1680A">
        <w:rPr>
          <w:rFonts w:ascii="Arial" w:hAnsi="Arial" w:cs="Arial"/>
        </w:rPr>
        <w:t xml:space="preserve">eed at the </w:t>
      </w:r>
      <w:r w:rsidR="00BC1951">
        <w:rPr>
          <w:rFonts w:ascii="Arial" w:hAnsi="Arial" w:cs="Arial"/>
        </w:rPr>
        <w:t>high end</w:t>
      </w:r>
      <w:r w:rsidR="00F1680A">
        <w:rPr>
          <w:rFonts w:ascii="Arial" w:hAnsi="Arial" w:cs="Arial"/>
        </w:rPr>
        <w:t xml:space="preserve"> of the </w:t>
      </w:r>
      <w:r w:rsidR="00FB4C64">
        <w:rPr>
          <w:rFonts w:ascii="Arial" w:hAnsi="Arial" w:cs="Arial"/>
        </w:rPr>
        <w:t>A</w:t>
      </w:r>
      <w:r w:rsidR="00F1680A">
        <w:rPr>
          <w:rFonts w:ascii="Arial" w:hAnsi="Arial" w:cs="Arial"/>
        </w:rPr>
        <w:t>cute needs i</w:t>
      </w:r>
      <w:r w:rsidRPr="00A144DF">
        <w:rPr>
          <w:rFonts w:ascii="Arial" w:hAnsi="Arial" w:cs="Arial"/>
        </w:rPr>
        <w:t xml:space="preserve">ndex, the simple shortfall method described in section </w:t>
      </w:r>
      <w:r w:rsidR="004F324D">
        <w:rPr>
          <w:rFonts w:ascii="Arial" w:hAnsi="Arial" w:cs="Arial"/>
        </w:rPr>
        <w:t>1</w:t>
      </w:r>
      <w:r w:rsidRPr="00A144DF">
        <w:rPr>
          <w:rFonts w:ascii="Arial" w:hAnsi="Arial" w:cs="Arial"/>
        </w:rPr>
        <w:t xml:space="preserve"> should be adopted.</w:t>
      </w:r>
    </w:p>
    <w:p w:rsidR="00725D05" w:rsidRPr="00A144DF" w:rsidDel="00CA1BDD" w:rsidRDefault="00725D05" w:rsidP="00C1748D">
      <w:pPr>
        <w:jc w:val="both"/>
        <w:rPr>
          <w:rFonts w:ascii="Arial" w:hAnsi="Arial" w:cs="Arial"/>
        </w:rPr>
      </w:pPr>
      <w:r w:rsidRPr="00A144DF">
        <w:rPr>
          <w:rFonts w:ascii="Arial" w:hAnsi="Arial" w:cs="Arial"/>
          <w:u w:val="single"/>
        </w:rPr>
        <w:t>Data</w:t>
      </w:r>
      <w:r w:rsidRPr="00A144DF">
        <w:rPr>
          <w:rFonts w:ascii="Arial" w:hAnsi="Arial" w:cs="Arial"/>
        </w:rPr>
        <w:t xml:space="preserve">: </w:t>
      </w:r>
      <w:r w:rsidRPr="00A144DF" w:rsidDel="00CA1BDD">
        <w:rPr>
          <w:rFonts w:ascii="Arial" w:hAnsi="Arial" w:cs="Arial"/>
        </w:rPr>
        <w:t>The data needed for the implementation of the simple shortfall method includes all the data used in the reference model</w:t>
      </w:r>
      <w:r w:rsidR="00ED0EA8">
        <w:rPr>
          <w:rFonts w:ascii="Arial" w:hAnsi="Arial" w:cs="Arial"/>
        </w:rPr>
        <w:t>:</w:t>
      </w:r>
      <w:r w:rsidRPr="00A144DF" w:rsidDel="00CA1BDD">
        <w:rPr>
          <w:rFonts w:ascii="Arial" w:hAnsi="Arial" w:cs="Arial"/>
        </w:rPr>
        <w:t xml:space="preserve"> the control variables (inpatient and outpatient hospital supply; health board dummies)</w:t>
      </w:r>
      <w:r w:rsidR="00ED0EA8">
        <w:rPr>
          <w:rFonts w:ascii="Arial" w:hAnsi="Arial" w:cs="Arial"/>
        </w:rPr>
        <w:t>,</w:t>
      </w:r>
      <w:r w:rsidRPr="00A144DF" w:rsidDel="00CA1BDD">
        <w:rPr>
          <w:rFonts w:ascii="Arial" w:hAnsi="Arial" w:cs="Arial"/>
        </w:rPr>
        <w:t xml:space="preserve"> the </w:t>
      </w:r>
      <w:r w:rsidR="00FB4C64">
        <w:rPr>
          <w:rFonts w:ascii="Arial" w:hAnsi="Arial" w:cs="Arial"/>
        </w:rPr>
        <w:t>A</w:t>
      </w:r>
      <w:r w:rsidRPr="00A144DF" w:rsidDel="00CA1BDD">
        <w:rPr>
          <w:rFonts w:ascii="Arial" w:hAnsi="Arial" w:cs="Arial"/>
        </w:rPr>
        <w:t xml:space="preserve">cute </w:t>
      </w:r>
      <w:r w:rsidR="00AD355B">
        <w:rPr>
          <w:rFonts w:ascii="Arial" w:hAnsi="Arial" w:cs="Arial"/>
        </w:rPr>
        <w:t>needs</w:t>
      </w:r>
      <w:r w:rsidRPr="00A144DF" w:rsidDel="00CA1BDD">
        <w:rPr>
          <w:rFonts w:ascii="Arial" w:hAnsi="Arial" w:cs="Arial"/>
        </w:rPr>
        <w:t xml:space="preserve"> index</w:t>
      </w:r>
      <w:r w:rsidR="00ED0EA8">
        <w:rPr>
          <w:rFonts w:ascii="Arial" w:hAnsi="Arial" w:cs="Arial"/>
        </w:rPr>
        <w:t>, and the</w:t>
      </w:r>
      <w:r w:rsidRPr="00A144DF" w:rsidDel="00CA1BDD">
        <w:rPr>
          <w:rFonts w:ascii="Arial" w:hAnsi="Arial" w:cs="Arial"/>
        </w:rPr>
        <w:t xml:space="preserve"> cost ratios.</w:t>
      </w:r>
    </w:p>
    <w:p w:rsidR="00725D05" w:rsidRPr="00A144DF" w:rsidDel="00CA1BDD" w:rsidRDefault="00725D05" w:rsidP="00C1748D">
      <w:pPr>
        <w:jc w:val="both"/>
        <w:rPr>
          <w:rFonts w:ascii="Arial" w:hAnsi="Arial" w:cs="Arial"/>
          <w:i/>
        </w:rPr>
      </w:pPr>
      <w:r w:rsidRPr="00A144DF">
        <w:rPr>
          <w:rFonts w:ascii="Arial" w:hAnsi="Arial" w:cs="Arial"/>
          <w:i/>
        </w:rPr>
        <w:t xml:space="preserve">All data </w:t>
      </w:r>
      <w:r w:rsidR="00ED0EA8">
        <w:rPr>
          <w:rFonts w:ascii="Arial" w:hAnsi="Arial" w:cs="Arial"/>
          <w:i/>
        </w:rPr>
        <w:t>is</w:t>
      </w:r>
      <w:r w:rsidRPr="00A144DF" w:rsidDel="00CA1BDD">
        <w:rPr>
          <w:rFonts w:ascii="Arial" w:hAnsi="Arial" w:cs="Arial"/>
          <w:i/>
        </w:rPr>
        <w:t xml:space="preserve"> required at </w:t>
      </w:r>
      <w:r w:rsidR="00C465DF">
        <w:rPr>
          <w:rFonts w:ascii="Arial" w:hAnsi="Arial" w:cs="Arial"/>
          <w:i/>
        </w:rPr>
        <w:t>data zone</w:t>
      </w:r>
      <w:r w:rsidRPr="00A144DF" w:rsidDel="00CA1BDD">
        <w:rPr>
          <w:rFonts w:ascii="Arial" w:hAnsi="Arial" w:cs="Arial"/>
          <w:i/>
        </w:rPr>
        <w:t xml:space="preserve"> level, 2011 boundaries</w:t>
      </w:r>
      <w:r w:rsidR="00ED0EA8">
        <w:rPr>
          <w:rFonts w:ascii="Arial" w:hAnsi="Arial" w:cs="Arial"/>
          <w:i/>
        </w:rPr>
        <w:t>:</w:t>
      </w:r>
      <w:r w:rsidRPr="00A144DF" w:rsidDel="00CA1BDD">
        <w:rPr>
          <w:rFonts w:ascii="Arial" w:hAnsi="Arial" w:cs="Arial"/>
          <w:i/>
        </w:rPr>
        <w:t xml:space="preserve"> average cost ratios for 3 years (2011/12, 2012/13, 2013/14)</w:t>
      </w:r>
      <w:r w:rsidR="00FB4C64">
        <w:rPr>
          <w:rFonts w:ascii="Arial" w:hAnsi="Arial" w:cs="Arial"/>
          <w:i/>
        </w:rPr>
        <w:t>;</w:t>
      </w:r>
      <w:r w:rsidRPr="00A144DF" w:rsidDel="00CA1BDD">
        <w:rPr>
          <w:rFonts w:ascii="Arial" w:hAnsi="Arial" w:cs="Arial"/>
          <w:i/>
        </w:rPr>
        <w:t xml:space="preserve"> supply variables for 2013/14; new </w:t>
      </w:r>
      <w:r w:rsidR="00FB4C64">
        <w:rPr>
          <w:rFonts w:ascii="Arial" w:hAnsi="Arial" w:cs="Arial"/>
          <w:i/>
        </w:rPr>
        <w:t>A</w:t>
      </w:r>
      <w:r w:rsidRPr="00A144DF" w:rsidDel="00CA1BDD">
        <w:rPr>
          <w:rFonts w:ascii="Arial" w:hAnsi="Arial" w:cs="Arial"/>
          <w:i/>
        </w:rPr>
        <w:t xml:space="preserve">cute </w:t>
      </w:r>
      <w:r w:rsidR="00AD355B">
        <w:rPr>
          <w:rFonts w:ascii="Arial" w:hAnsi="Arial" w:cs="Arial"/>
          <w:i/>
        </w:rPr>
        <w:t>needs</w:t>
      </w:r>
      <w:r w:rsidRPr="00A144DF" w:rsidDel="00CA1BDD">
        <w:rPr>
          <w:rFonts w:ascii="Arial" w:hAnsi="Arial" w:cs="Arial"/>
          <w:i/>
        </w:rPr>
        <w:t xml:space="preserve"> index. </w:t>
      </w:r>
    </w:p>
    <w:p w:rsidR="00725D05" w:rsidRPr="00A144DF" w:rsidRDefault="00725D05" w:rsidP="00C1748D">
      <w:pPr>
        <w:jc w:val="both"/>
        <w:rPr>
          <w:rFonts w:ascii="Arial" w:hAnsi="Arial" w:cs="Arial"/>
        </w:rPr>
      </w:pPr>
      <w:r w:rsidRPr="00A144DF">
        <w:rPr>
          <w:rFonts w:ascii="Arial" w:hAnsi="Arial" w:cs="Arial"/>
          <w:u w:val="single"/>
        </w:rPr>
        <w:lastRenderedPageBreak/>
        <w:t>Implementation</w:t>
      </w:r>
      <w:r w:rsidRPr="00A144DF">
        <w:rPr>
          <w:rFonts w:ascii="Arial" w:hAnsi="Arial" w:cs="Arial"/>
        </w:rPr>
        <w:t xml:space="preserve">: </w:t>
      </w:r>
      <w:r w:rsidR="00BC1951">
        <w:rPr>
          <w:rFonts w:ascii="Arial" w:hAnsi="Arial" w:cs="Arial"/>
        </w:rPr>
        <w:t>U</w:t>
      </w:r>
      <w:r w:rsidR="00C1748D">
        <w:rPr>
          <w:rFonts w:ascii="Arial" w:hAnsi="Arial" w:cs="Arial"/>
        </w:rPr>
        <w:t>nmet</w:t>
      </w:r>
      <w:r w:rsidRPr="00A144DF">
        <w:rPr>
          <w:rFonts w:ascii="Arial" w:hAnsi="Arial" w:cs="Arial"/>
        </w:rPr>
        <w:t xml:space="preserve"> need would be </w:t>
      </w:r>
      <w:r w:rsidR="00BC1951">
        <w:rPr>
          <w:rFonts w:ascii="Arial" w:hAnsi="Arial" w:cs="Arial"/>
        </w:rPr>
        <w:t>corrected for by extrapolating</w:t>
      </w:r>
      <w:r w:rsidRPr="00A144DF">
        <w:rPr>
          <w:rFonts w:ascii="Arial" w:hAnsi="Arial" w:cs="Arial"/>
        </w:rPr>
        <w:t xml:space="preserve"> </w:t>
      </w:r>
      <w:r w:rsidR="00BC1951">
        <w:rPr>
          <w:rFonts w:ascii="Arial" w:hAnsi="Arial" w:cs="Arial"/>
        </w:rPr>
        <w:t>the</w:t>
      </w:r>
      <w:r w:rsidRPr="00A144DF">
        <w:rPr>
          <w:rFonts w:ascii="Arial" w:hAnsi="Arial" w:cs="Arial"/>
        </w:rPr>
        <w:t xml:space="preserve"> regression line </w:t>
      </w:r>
      <w:r w:rsidR="00FB4C64">
        <w:rPr>
          <w:rFonts w:ascii="Arial" w:hAnsi="Arial" w:cs="Arial"/>
        </w:rPr>
        <w:t>derived from</w:t>
      </w:r>
      <w:r w:rsidRPr="00A144DF">
        <w:rPr>
          <w:rFonts w:ascii="Arial" w:hAnsi="Arial" w:cs="Arial"/>
        </w:rPr>
        <w:t xml:space="preserve"> the areas thought </w:t>
      </w:r>
      <w:r w:rsidR="00FB4C64" w:rsidRPr="00A144DF">
        <w:rPr>
          <w:rFonts w:ascii="Arial" w:hAnsi="Arial" w:cs="Arial"/>
        </w:rPr>
        <w:t xml:space="preserve">not </w:t>
      </w:r>
      <w:r w:rsidRPr="00A144DF">
        <w:rPr>
          <w:rFonts w:ascii="Arial" w:hAnsi="Arial" w:cs="Arial"/>
        </w:rPr>
        <w:t xml:space="preserve">to be affected </w:t>
      </w:r>
      <w:r w:rsidR="00FB4C64">
        <w:rPr>
          <w:rFonts w:ascii="Arial" w:hAnsi="Arial" w:cs="Arial"/>
        </w:rPr>
        <w:t>into all other areas.</w:t>
      </w:r>
    </w:p>
    <w:p w:rsidR="00725D05" w:rsidRDefault="008B5D58" w:rsidP="00C1748D">
      <w:pPr>
        <w:rPr>
          <w:rFonts w:ascii="Arial" w:hAnsi="Arial" w:cs="Arial"/>
          <w:b/>
        </w:rPr>
      </w:pPr>
      <w:r>
        <w:rPr>
          <w:rFonts w:ascii="Arial" w:hAnsi="Arial" w:cs="Arial"/>
          <w:b/>
        </w:rPr>
        <w:t>3</w:t>
      </w:r>
      <w:r w:rsidR="001B4C29" w:rsidRPr="00A144DF">
        <w:rPr>
          <w:rFonts w:ascii="Arial" w:hAnsi="Arial" w:cs="Arial"/>
          <w:b/>
        </w:rPr>
        <w:t>.</w:t>
      </w:r>
      <w:r w:rsidR="00725D05">
        <w:rPr>
          <w:rFonts w:ascii="Arial" w:hAnsi="Arial" w:cs="Arial"/>
          <w:b/>
        </w:rPr>
        <w:t xml:space="preserve">2 Testing for unmet need using </w:t>
      </w:r>
      <w:r w:rsidR="00FB4C64">
        <w:rPr>
          <w:rFonts w:ascii="Arial" w:hAnsi="Arial" w:cs="Arial"/>
          <w:b/>
        </w:rPr>
        <w:t>other</w:t>
      </w:r>
      <w:r w:rsidR="00725D05">
        <w:rPr>
          <w:rFonts w:ascii="Arial" w:hAnsi="Arial" w:cs="Arial"/>
          <w:b/>
        </w:rPr>
        <w:t xml:space="preserve"> variables</w:t>
      </w:r>
    </w:p>
    <w:p w:rsidR="001B4C29" w:rsidRPr="00A144DF" w:rsidRDefault="008B5D58" w:rsidP="00C1748D">
      <w:pPr>
        <w:rPr>
          <w:rFonts w:ascii="Arial" w:hAnsi="Arial" w:cs="Arial"/>
          <w:b/>
        </w:rPr>
      </w:pPr>
      <w:r>
        <w:rPr>
          <w:rFonts w:ascii="Arial" w:hAnsi="Arial" w:cs="Arial"/>
          <w:b/>
        </w:rPr>
        <w:t>3</w:t>
      </w:r>
      <w:r w:rsidR="00725D05">
        <w:rPr>
          <w:rFonts w:ascii="Arial" w:hAnsi="Arial" w:cs="Arial"/>
          <w:b/>
        </w:rPr>
        <w:t xml:space="preserve">.2.1 </w:t>
      </w:r>
      <w:r w:rsidR="00CF2ED4">
        <w:rPr>
          <w:rFonts w:ascii="Arial" w:hAnsi="Arial" w:cs="Arial"/>
          <w:b/>
        </w:rPr>
        <w:t>Deprivation</w:t>
      </w:r>
    </w:p>
    <w:p w:rsidR="001B4C29" w:rsidRPr="00A144DF" w:rsidRDefault="00A60723" w:rsidP="00C1748D">
      <w:pPr>
        <w:jc w:val="both"/>
        <w:rPr>
          <w:rFonts w:ascii="Arial" w:hAnsi="Arial" w:cs="Arial"/>
        </w:rPr>
      </w:pPr>
      <w:r w:rsidRPr="00A144DF">
        <w:rPr>
          <w:rFonts w:ascii="Arial" w:hAnsi="Arial" w:cs="Arial"/>
          <w:u w:val="single"/>
        </w:rPr>
        <w:t>Method</w:t>
      </w:r>
      <w:r w:rsidRPr="00FB4C64">
        <w:rPr>
          <w:rFonts w:ascii="Arial" w:hAnsi="Arial" w:cs="Arial"/>
        </w:rPr>
        <w:t>:</w:t>
      </w:r>
      <w:r w:rsidR="00D71742" w:rsidRPr="00FB4C64">
        <w:rPr>
          <w:rFonts w:ascii="Arial" w:hAnsi="Arial" w:cs="Arial"/>
        </w:rPr>
        <w:t xml:space="preserve"> </w:t>
      </w:r>
      <w:r w:rsidR="00D71742" w:rsidRPr="00A144DF">
        <w:rPr>
          <w:rFonts w:ascii="Arial" w:hAnsi="Arial" w:cs="Arial"/>
        </w:rPr>
        <w:t xml:space="preserve">The </w:t>
      </w:r>
      <w:r w:rsidR="00BC1951">
        <w:rPr>
          <w:rFonts w:ascii="Arial" w:hAnsi="Arial" w:cs="Arial"/>
        </w:rPr>
        <w:t xml:space="preserve">2007 shortfall method </w:t>
      </w:r>
      <w:r w:rsidR="00D71742" w:rsidRPr="00A144DF">
        <w:rPr>
          <w:rFonts w:ascii="Arial" w:hAnsi="Arial" w:cs="Arial"/>
        </w:rPr>
        <w:t xml:space="preserve">described in section </w:t>
      </w:r>
      <w:r w:rsidR="004F324D">
        <w:rPr>
          <w:rFonts w:ascii="Arial" w:hAnsi="Arial" w:cs="Arial"/>
        </w:rPr>
        <w:t>2</w:t>
      </w:r>
      <w:r w:rsidR="00D71742" w:rsidRPr="00A144DF">
        <w:rPr>
          <w:rFonts w:ascii="Arial" w:hAnsi="Arial" w:cs="Arial"/>
        </w:rPr>
        <w:t>.1 should be used to test for</w:t>
      </w:r>
      <w:r w:rsidR="00ED0EA8">
        <w:rPr>
          <w:rFonts w:ascii="Arial" w:hAnsi="Arial" w:cs="Arial"/>
        </w:rPr>
        <w:t xml:space="preserve"> unmet need related to</w:t>
      </w:r>
      <w:r w:rsidR="00D71742" w:rsidRPr="00A144DF">
        <w:rPr>
          <w:rFonts w:ascii="Arial" w:hAnsi="Arial" w:cs="Arial"/>
        </w:rPr>
        <w:t xml:space="preserve"> deprivation.</w:t>
      </w:r>
    </w:p>
    <w:p w:rsidR="00D71742" w:rsidRPr="009D3849" w:rsidRDefault="00A60723" w:rsidP="00C1748D">
      <w:pPr>
        <w:jc w:val="both"/>
        <w:rPr>
          <w:rFonts w:ascii="Arial" w:hAnsi="Arial" w:cs="Arial"/>
        </w:rPr>
      </w:pPr>
      <w:r w:rsidRPr="00A144DF">
        <w:rPr>
          <w:rFonts w:ascii="Arial" w:hAnsi="Arial" w:cs="Arial"/>
          <w:u w:val="single"/>
        </w:rPr>
        <w:t>Data</w:t>
      </w:r>
      <w:r w:rsidRPr="00FB4C64">
        <w:rPr>
          <w:rFonts w:ascii="Arial" w:hAnsi="Arial" w:cs="Arial"/>
        </w:rPr>
        <w:t>:</w:t>
      </w:r>
      <w:r w:rsidR="00D71742" w:rsidRPr="00A144DF">
        <w:rPr>
          <w:rFonts w:ascii="Arial" w:hAnsi="Arial" w:cs="Arial"/>
        </w:rPr>
        <w:t xml:space="preserve"> The data needed includes all the data used in the reference model,</w:t>
      </w:r>
      <w:r w:rsidR="00ED0EA8">
        <w:rPr>
          <w:rFonts w:ascii="Arial" w:hAnsi="Arial" w:cs="Arial"/>
        </w:rPr>
        <w:t xml:space="preserve"> plus</w:t>
      </w:r>
      <w:r w:rsidR="00D71742" w:rsidRPr="00A144DF">
        <w:rPr>
          <w:rFonts w:ascii="Arial" w:hAnsi="Arial" w:cs="Arial"/>
        </w:rPr>
        <w:t xml:space="preserve"> </w:t>
      </w:r>
      <w:r w:rsidR="00982D63" w:rsidRPr="00A144DF">
        <w:rPr>
          <w:rFonts w:ascii="Arial" w:hAnsi="Arial" w:cs="Arial"/>
        </w:rPr>
        <w:t>the SIMD Income domain ranking</w:t>
      </w:r>
      <w:r w:rsidR="00D71742" w:rsidRPr="00A144DF">
        <w:rPr>
          <w:rFonts w:ascii="Arial" w:hAnsi="Arial" w:cs="Arial"/>
        </w:rPr>
        <w:t xml:space="preserve">. However, </w:t>
      </w:r>
      <w:r w:rsidR="00ED0EA8">
        <w:rPr>
          <w:rFonts w:ascii="Arial" w:hAnsi="Arial" w:cs="Arial"/>
        </w:rPr>
        <w:t xml:space="preserve">SIMD will not be available </w:t>
      </w:r>
      <w:r w:rsidR="00ED0EA8" w:rsidRPr="00A144DF">
        <w:rPr>
          <w:rFonts w:ascii="Arial" w:hAnsi="Arial" w:cs="Arial"/>
        </w:rPr>
        <w:t xml:space="preserve">at the redrawn </w:t>
      </w:r>
      <w:r w:rsidR="00ED0EA8">
        <w:rPr>
          <w:rFonts w:ascii="Arial" w:hAnsi="Arial" w:cs="Arial"/>
        </w:rPr>
        <w:t xml:space="preserve">2011 </w:t>
      </w:r>
      <w:r w:rsidR="00C465DF">
        <w:rPr>
          <w:rFonts w:ascii="Arial" w:hAnsi="Arial" w:cs="Arial"/>
        </w:rPr>
        <w:t>data zone</w:t>
      </w:r>
      <w:r w:rsidR="00ED0EA8">
        <w:rPr>
          <w:rFonts w:ascii="Arial" w:hAnsi="Arial" w:cs="Arial"/>
        </w:rPr>
        <w:t>s</w:t>
      </w:r>
      <w:r w:rsidR="00ED0EA8" w:rsidRPr="00A144DF">
        <w:rPr>
          <w:rFonts w:ascii="Arial" w:hAnsi="Arial" w:cs="Arial"/>
        </w:rPr>
        <w:t xml:space="preserve"> </w:t>
      </w:r>
      <w:r w:rsidR="00ED0EA8">
        <w:rPr>
          <w:rFonts w:ascii="Arial" w:hAnsi="Arial" w:cs="Arial"/>
        </w:rPr>
        <w:t xml:space="preserve">until </w:t>
      </w:r>
      <w:r w:rsidR="00CB3A95" w:rsidRPr="00A144DF">
        <w:rPr>
          <w:rFonts w:ascii="Arial" w:hAnsi="Arial" w:cs="Arial"/>
        </w:rPr>
        <w:t>after August</w:t>
      </w:r>
      <w:r w:rsidR="00D71742" w:rsidRPr="00A144DF">
        <w:rPr>
          <w:rFonts w:ascii="Arial" w:hAnsi="Arial" w:cs="Arial"/>
        </w:rPr>
        <w:t xml:space="preserve"> 2016</w:t>
      </w:r>
      <w:r w:rsidR="00D71742" w:rsidRPr="009D3849">
        <w:rPr>
          <w:rFonts w:ascii="Arial" w:hAnsi="Arial" w:cs="Arial"/>
        </w:rPr>
        <w:t>.</w:t>
      </w:r>
      <w:r w:rsidR="00704EBB" w:rsidRPr="009D3849">
        <w:rPr>
          <w:rFonts w:ascii="Arial" w:hAnsi="Arial" w:cs="Arial"/>
        </w:rPr>
        <w:t xml:space="preserve"> </w:t>
      </w:r>
      <w:r w:rsidR="00241B00" w:rsidRPr="009D3849">
        <w:rPr>
          <w:rFonts w:ascii="Arial" w:hAnsi="Arial" w:cs="Arial"/>
        </w:rPr>
        <w:t xml:space="preserve">The Subgroup has already decided to not delay the Review until such data is available, such that it will not be possible to undertake this analysis within the scope of the present review. </w:t>
      </w:r>
      <w:r w:rsidR="00704EBB" w:rsidRPr="009D3849">
        <w:rPr>
          <w:rFonts w:ascii="Arial" w:hAnsi="Arial" w:cs="Arial"/>
        </w:rPr>
        <w:t>D</w:t>
      </w:r>
      <w:r w:rsidR="00241B00" w:rsidRPr="009D3849">
        <w:rPr>
          <w:rFonts w:ascii="Arial" w:hAnsi="Arial" w:cs="Arial"/>
        </w:rPr>
        <w:t>eprivation</w:t>
      </w:r>
      <w:r w:rsidR="009D3849" w:rsidRPr="009D3849">
        <w:rPr>
          <w:rFonts w:ascii="Arial" w:hAnsi="Arial" w:cs="Arial"/>
        </w:rPr>
        <w:t>-related unmet need</w:t>
      </w:r>
      <w:r w:rsidR="00241B00" w:rsidRPr="009D3849">
        <w:rPr>
          <w:rFonts w:ascii="Arial" w:hAnsi="Arial" w:cs="Arial"/>
        </w:rPr>
        <w:t xml:space="preserve"> can, however, </w:t>
      </w:r>
      <w:r w:rsidR="00D71742" w:rsidRPr="009D3849">
        <w:rPr>
          <w:rFonts w:ascii="Arial" w:hAnsi="Arial" w:cs="Arial"/>
        </w:rPr>
        <w:t xml:space="preserve">be </w:t>
      </w:r>
      <w:r w:rsidR="00241B00" w:rsidRPr="009D3849">
        <w:rPr>
          <w:rFonts w:ascii="Arial" w:hAnsi="Arial" w:cs="Arial"/>
        </w:rPr>
        <w:t>explored</w:t>
      </w:r>
      <w:r w:rsidR="00D71742" w:rsidRPr="009D3849">
        <w:rPr>
          <w:rFonts w:ascii="Arial" w:hAnsi="Arial" w:cs="Arial"/>
        </w:rPr>
        <w:t xml:space="preserve"> </w:t>
      </w:r>
      <w:r w:rsidR="00ED0EA8" w:rsidRPr="009D3849">
        <w:rPr>
          <w:rFonts w:ascii="Arial" w:hAnsi="Arial" w:cs="Arial"/>
        </w:rPr>
        <w:t>at the</w:t>
      </w:r>
      <w:r w:rsidR="00D71742" w:rsidRPr="009D3849">
        <w:rPr>
          <w:rFonts w:ascii="Arial" w:hAnsi="Arial" w:cs="Arial"/>
        </w:rPr>
        <w:t xml:space="preserve"> old 2001 </w:t>
      </w:r>
      <w:r w:rsidR="00C465DF" w:rsidRPr="009D3849">
        <w:rPr>
          <w:rFonts w:ascii="Arial" w:hAnsi="Arial" w:cs="Arial"/>
        </w:rPr>
        <w:t>data zone</w:t>
      </w:r>
      <w:r w:rsidR="00D71742" w:rsidRPr="009D3849">
        <w:rPr>
          <w:rFonts w:ascii="Arial" w:hAnsi="Arial" w:cs="Arial"/>
        </w:rPr>
        <w:t xml:space="preserve">s </w:t>
      </w:r>
      <w:r w:rsidR="00ED0EA8" w:rsidRPr="009D3849">
        <w:rPr>
          <w:rFonts w:ascii="Arial" w:hAnsi="Arial" w:cs="Arial"/>
        </w:rPr>
        <w:t xml:space="preserve">using </w:t>
      </w:r>
      <w:r w:rsidR="00D71742" w:rsidRPr="009D3849">
        <w:rPr>
          <w:rFonts w:ascii="Arial" w:hAnsi="Arial" w:cs="Arial"/>
        </w:rPr>
        <w:t>SIMD 2012</w:t>
      </w:r>
      <w:r w:rsidR="00241B00" w:rsidRPr="009D3849">
        <w:rPr>
          <w:rFonts w:ascii="Arial" w:hAnsi="Arial" w:cs="Arial"/>
        </w:rPr>
        <w:t xml:space="preserve">. </w:t>
      </w:r>
    </w:p>
    <w:p w:rsidR="00D71742" w:rsidRPr="00A144DF" w:rsidRDefault="00D71742" w:rsidP="00C1748D">
      <w:pPr>
        <w:jc w:val="both"/>
        <w:rPr>
          <w:rFonts w:ascii="Arial" w:hAnsi="Arial" w:cs="Arial"/>
          <w:i/>
        </w:rPr>
      </w:pPr>
      <w:r w:rsidRPr="00A144DF">
        <w:rPr>
          <w:rFonts w:ascii="Arial" w:hAnsi="Arial" w:cs="Arial"/>
          <w:i/>
        </w:rPr>
        <w:t xml:space="preserve">All data is required at </w:t>
      </w:r>
      <w:r w:rsidR="00C465DF">
        <w:rPr>
          <w:rFonts w:ascii="Arial" w:hAnsi="Arial" w:cs="Arial"/>
          <w:i/>
        </w:rPr>
        <w:t>data zone</w:t>
      </w:r>
      <w:r w:rsidRPr="00A144DF">
        <w:rPr>
          <w:rFonts w:ascii="Arial" w:hAnsi="Arial" w:cs="Arial"/>
          <w:i/>
        </w:rPr>
        <w:t xml:space="preserve"> level, 2001 boundaries</w:t>
      </w:r>
      <w:r w:rsidR="00ED0EA8">
        <w:rPr>
          <w:rFonts w:ascii="Arial" w:hAnsi="Arial" w:cs="Arial"/>
          <w:i/>
        </w:rPr>
        <w:t>:</w:t>
      </w:r>
      <w:r w:rsidRPr="00A144DF">
        <w:rPr>
          <w:rFonts w:ascii="Arial" w:hAnsi="Arial" w:cs="Arial"/>
          <w:i/>
        </w:rPr>
        <w:t xml:space="preserve"> average cost ratios for 3 years (2011/12, 2012/13, 2013/14); supply variables for 2008/09; current </w:t>
      </w:r>
      <w:r w:rsidR="00FB4C64">
        <w:rPr>
          <w:rFonts w:ascii="Arial" w:hAnsi="Arial" w:cs="Arial"/>
          <w:i/>
        </w:rPr>
        <w:t>A</w:t>
      </w:r>
      <w:r w:rsidRPr="00A144DF">
        <w:rPr>
          <w:rFonts w:ascii="Arial" w:hAnsi="Arial" w:cs="Arial"/>
          <w:i/>
        </w:rPr>
        <w:t xml:space="preserve">cute </w:t>
      </w:r>
      <w:r w:rsidR="00AD355B">
        <w:rPr>
          <w:rFonts w:ascii="Arial" w:hAnsi="Arial" w:cs="Arial"/>
          <w:i/>
        </w:rPr>
        <w:t>needs</w:t>
      </w:r>
      <w:r w:rsidRPr="00A144DF">
        <w:rPr>
          <w:rFonts w:ascii="Arial" w:hAnsi="Arial" w:cs="Arial"/>
          <w:i/>
        </w:rPr>
        <w:t xml:space="preserve"> index; SIMD 2012 Income domain ranking at </w:t>
      </w:r>
      <w:r w:rsidR="00C465DF">
        <w:rPr>
          <w:rFonts w:ascii="Arial" w:hAnsi="Arial" w:cs="Arial"/>
          <w:i/>
        </w:rPr>
        <w:t>data zone</w:t>
      </w:r>
      <w:r w:rsidRPr="00A144DF">
        <w:rPr>
          <w:rFonts w:ascii="Arial" w:hAnsi="Arial" w:cs="Arial"/>
          <w:i/>
        </w:rPr>
        <w:t xml:space="preserve"> level. </w:t>
      </w:r>
    </w:p>
    <w:p w:rsidR="00A60723" w:rsidRPr="009D3849" w:rsidRDefault="00A60723" w:rsidP="00C1748D">
      <w:pPr>
        <w:jc w:val="both"/>
        <w:rPr>
          <w:rFonts w:ascii="Arial" w:hAnsi="Arial" w:cs="Arial"/>
        </w:rPr>
      </w:pPr>
      <w:r w:rsidRPr="00A144DF">
        <w:rPr>
          <w:rFonts w:ascii="Arial" w:hAnsi="Arial" w:cs="Arial"/>
          <w:u w:val="single"/>
        </w:rPr>
        <w:t>Implementation</w:t>
      </w:r>
      <w:r w:rsidRPr="00FB4C64">
        <w:rPr>
          <w:rFonts w:ascii="Arial" w:hAnsi="Arial" w:cs="Arial"/>
        </w:rPr>
        <w:t>:</w:t>
      </w:r>
      <w:r w:rsidR="0037514C" w:rsidRPr="00A144DF">
        <w:rPr>
          <w:rFonts w:ascii="Arial" w:hAnsi="Arial" w:cs="Arial"/>
        </w:rPr>
        <w:t xml:space="preserve"> </w:t>
      </w:r>
      <w:r w:rsidR="00704EBB">
        <w:rPr>
          <w:rFonts w:ascii="Arial" w:hAnsi="Arial" w:cs="Arial"/>
        </w:rPr>
        <w:t>A check for deprivation-related unmet need at the 2001 data zones would be</w:t>
      </w:r>
      <w:r w:rsidR="0037514C" w:rsidRPr="00A144DF">
        <w:rPr>
          <w:rFonts w:ascii="Arial" w:hAnsi="Arial" w:cs="Arial"/>
        </w:rPr>
        <w:t xml:space="preserve"> </w:t>
      </w:r>
      <w:r w:rsidR="00ED0EA8">
        <w:rPr>
          <w:rFonts w:ascii="Arial" w:hAnsi="Arial" w:cs="Arial"/>
        </w:rPr>
        <w:t>purely</w:t>
      </w:r>
      <w:r w:rsidR="0037514C" w:rsidRPr="00A144DF">
        <w:rPr>
          <w:rFonts w:ascii="Arial" w:hAnsi="Arial" w:cs="Arial"/>
        </w:rPr>
        <w:t xml:space="preserve"> for future reference as it would not be possible to incorporate any results in the </w:t>
      </w:r>
      <w:r w:rsidR="00ED0EA8">
        <w:rPr>
          <w:rFonts w:ascii="Arial" w:hAnsi="Arial" w:cs="Arial"/>
        </w:rPr>
        <w:t>updated Acute MLC adjustment</w:t>
      </w:r>
      <w:r w:rsidR="00241B00">
        <w:rPr>
          <w:rFonts w:ascii="Arial" w:hAnsi="Arial" w:cs="Arial"/>
        </w:rPr>
        <w:t xml:space="preserve"> </w:t>
      </w:r>
      <w:r w:rsidR="00241B00" w:rsidRPr="009D3849">
        <w:rPr>
          <w:rFonts w:ascii="Arial" w:hAnsi="Arial" w:cs="Arial"/>
        </w:rPr>
        <w:t>(as this will be based on 2011 data zones)</w:t>
      </w:r>
      <w:r w:rsidR="0037514C" w:rsidRPr="009D3849">
        <w:rPr>
          <w:rFonts w:ascii="Arial" w:hAnsi="Arial" w:cs="Arial"/>
        </w:rPr>
        <w:t xml:space="preserve">. </w:t>
      </w:r>
      <w:r w:rsidR="00241B00" w:rsidRPr="009D3849">
        <w:rPr>
          <w:rFonts w:ascii="Arial" w:hAnsi="Arial" w:cs="Arial"/>
        </w:rPr>
        <w:t>It should be noted that the results from the simple shortfall method analysis (see section 3.1) will reflect unmet need due to deprivation</w:t>
      </w:r>
      <w:r w:rsidR="009D3849">
        <w:rPr>
          <w:rFonts w:ascii="Arial" w:hAnsi="Arial" w:cs="Arial"/>
        </w:rPr>
        <w:t xml:space="preserve"> anyway</w:t>
      </w:r>
      <w:r w:rsidR="00241B00" w:rsidRPr="009D3849">
        <w:rPr>
          <w:rFonts w:ascii="Arial" w:hAnsi="Arial" w:cs="Arial"/>
        </w:rPr>
        <w:t xml:space="preserve">, insofar as the </w:t>
      </w:r>
      <w:r w:rsidR="009D3849">
        <w:rPr>
          <w:rFonts w:ascii="Arial" w:hAnsi="Arial" w:cs="Arial"/>
        </w:rPr>
        <w:t>A</w:t>
      </w:r>
      <w:r w:rsidR="00241B00" w:rsidRPr="009D3849">
        <w:rPr>
          <w:rFonts w:ascii="Arial" w:hAnsi="Arial" w:cs="Arial"/>
        </w:rPr>
        <w:t xml:space="preserve">cute </w:t>
      </w:r>
      <w:r w:rsidR="009D3849">
        <w:rPr>
          <w:rFonts w:ascii="Arial" w:hAnsi="Arial" w:cs="Arial"/>
        </w:rPr>
        <w:t xml:space="preserve">needs </w:t>
      </w:r>
      <w:r w:rsidR="00241B00" w:rsidRPr="009D3849">
        <w:rPr>
          <w:rFonts w:ascii="Arial" w:hAnsi="Arial" w:cs="Arial"/>
        </w:rPr>
        <w:t xml:space="preserve">index captures “deprivation”. </w:t>
      </w:r>
    </w:p>
    <w:p w:rsidR="00241B00" w:rsidRPr="009D3849" w:rsidRDefault="00241B00" w:rsidP="00C1748D">
      <w:pPr>
        <w:jc w:val="both"/>
        <w:rPr>
          <w:rFonts w:ascii="Arial" w:hAnsi="Arial" w:cs="Arial"/>
          <w:b/>
        </w:rPr>
      </w:pPr>
      <w:r w:rsidRPr="009D3849">
        <w:rPr>
          <w:rFonts w:ascii="Arial" w:hAnsi="Arial" w:cs="Arial"/>
          <w:b/>
        </w:rPr>
        <w:t xml:space="preserve">Is the Subgroup content with this approach to </w:t>
      </w:r>
      <w:r w:rsidR="00D97FBA">
        <w:rPr>
          <w:rFonts w:ascii="Arial" w:hAnsi="Arial" w:cs="Arial"/>
          <w:b/>
        </w:rPr>
        <w:t>checking</w:t>
      </w:r>
      <w:r w:rsidRPr="009D3849">
        <w:rPr>
          <w:rFonts w:ascii="Arial" w:hAnsi="Arial" w:cs="Arial"/>
          <w:b/>
        </w:rPr>
        <w:t xml:space="preserve"> for unmet need as a function of deprivation?</w:t>
      </w:r>
    </w:p>
    <w:p w:rsidR="00BA4A5A" w:rsidRPr="00A144DF" w:rsidRDefault="008B5D58" w:rsidP="00C1748D">
      <w:pPr>
        <w:rPr>
          <w:rFonts w:ascii="Arial" w:hAnsi="Arial" w:cs="Arial"/>
          <w:b/>
        </w:rPr>
      </w:pPr>
      <w:r>
        <w:rPr>
          <w:rFonts w:ascii="Arial" w:hAnsi="Arial" w:cs="Arial"/>
          <w:b/>
        </w:rPr>
        <w:t>3</w:t>
      </w:r>
      <w:r w:rsidR="00BA4A5A" w:rsidRPr="00A144DF">
        <w:rPr>
          <w:rFonts w:ascii="Arial" w:hAnsi="Arial" w:cs="Arial"/>
          <w:b/>
        </w:rPr>
        <w:t>.</w:t>
      </w:r>
      <w:r w:rsidR="00E6051B" w:rsidRPr="00A144DF">
        <w:rPr>
          <w:rFonts w:ascii="Arial" w:hAnsi="Arial" w:cs="Arial"/>
          <w:b/>
        </w:rPr>
        <w:t>2</w:t>
      </w:r>
      <w:r w:rsidR="00725D05">
        <w:rPr>
          <w:rFonts w:ascii="Arial" w:hAnsi="Arial" w:cs="Arial"/>
          <w:b/>
        </w:rPr>
        <w:t>.2</w:t>
      </w:r>
      <w:r w:rsidR="00E6051B" w:rsidRPr="00A144DF">
        <w:rPr>
          <w:rFonts w:ascii="Arial" w:hAnsi="Arial" w:cs="Arial"/>
          <w:b/>
        </w:rPr>
        <w:t xml:space="preserve"> </w:t>
      </w:r>
      <w:r w:rsidR="00CF2ED4">
        <w:rPr>
          <w:rFonts w:ascii="Arial" w:hAnsi="Arial" w:cs="Arial"/>
          <w:b/>
        </w:rPr>
        <w:t>Ethnicity</w:t>
      </w:r>
    </w:p>
    <w:p w:rsidR="00072C9B" w:rsidRPr="00A144DF" w:rsidRDefault="00F4329F" w:rsidP="00C1748D">
      <w:pPr>
        <w:jc w:val="both"/>
        <w:rPr>
          <w:rFonts w:ascii="Arial" w:hAnsi="Arial" w:cs="Arial"/>
        </w:rPr>
      </w:pPr>
      <w:r w:rsidRPr="00A144DF">
        <w:rPr>
          <w:rFonts w:ascii="Arial" w:hAnsi="Arial" w:cs="Arial"/>
          <w:u w:val="single"/>
        </w:rPr>
        <w:t>Method</w:t>
      </w:r>
      <w:r w:rsidRPr="00A144DF">
        <w:rPr>
          <w:rFonts w:ascii="Arial" w:hAnsi="Arial" w:cs="Arial"/>
        </w:rPr>
        <w:t xml:space="preserve">: </w:t>
      </w:r>
      <w:r w:rsidR="00072C9B" w:rsidRPr="00A144DF">
        <w:rPr>
          <w:rFonts w:ascii="Arial" w:hAnsi="Arial" w:cs="Arial"/>
        </w:rPr>
        <w:t xml:space="preserve">In order to test for </w:t>
      </w:r>
      <w:r w:rsidR="00ED0EA8">
        <w:rPr>
          <w:rFonts w:ascii="Arial" w:hAnsi="Arial" w:cs="Arial"/>
        </w:rPr>
        <w:t xml:space="preserve">unmet need relating to </w:t>
      </w:r>
      <w:r w:rsidR="00072C9B" w:rsidRPr="00A144DF">
        <w:rPr>
          <w:rFonts w:ascii="Arial" w:hAnsi="Arial" w:cs="Arial"/>
        </w:rPr>
        <w:t xml:space="preserve">ethnicity, the </w:t>
      </w:r>
      <w:r w:rsidR="00BC1951">
        <w:rPr>
          <w:rFonts w:ascii="Arial" w:hAnsi="Arial" w:cs="Arial"/>
        </w:rPr>
        <w:t xml:space="preserve">2007 shortfall method </w:t>
      </w:r>
      <w:r w:rsidR="00072C9B" w:rsidRPr="00A144DF">
        <w:rPr>
          <w:rFonts w:ascii="Arial" w:hAnsi="Arial" w:cs="Arial"/>
        </w:rPr>
        <w:t xml:space="preserve">described in section </w:t>
      </w:r>
      <w:r w:rsidR="004F324D">
        <w:rPr>
          <w:rFonts w:ascii="Arial" w:hAnsi="Arial" w:cs="Arial"/>
        </w:rPr>
        <w:t>2</w:t>
      </w:r>
      <w:r w:rsidRPr="00A144DF">
        <w:rPr>
          <w:rFonts w:ascii="Arial" w:hAnsi="Arial" w:cs="Arial"/>
        </w:rPr>
        <w:t>.1</w:t>
      </w:r>
      <w:r w:rsidR="00072C9B" w:rsidRPr="00A144DF">
        <w:rPr>
          <w:rFonts w:ascii="Arial" w:hAnsi="Arial" w:cs="Arial"/>
        </w:rPr>
        <w:t xml:space="preserve"> should be adopted.</w:t>
      </w:r>
    </w:p>
    <w:p w:rsidR="00072C9B" w:rsidRPr="00A144DF" w:rsidRDefault="00BA4A5A" w:rsidP="00C1748D">
      <w:pPr>
        <w:jc w:val="both"/>
        <w:rPr>
          <w:rFonts w:ascii="Arial" w:hAnsi="Arial" w:cs="Arial"/>
        </w:rPr>
      </w:pPr>
      <w:r w:rsidRPr="00A144DF">
        <w:rPr>
          <w:rFonts w:ascii="Arial" w:hAnsi="Arial" w:cs="Arial"/>
          <w:u w:val="single"/>
        </w:rPr>
        <w:t>Data</w:t>
      </w:r>
      <w:r w:rsidR="00F4329F" w:rsidRPr="00A144DF">
        <w:rPr>
          <w:rFonts w:ascii="Arial" w:hAnsi="Arial" w:cs="Arial"/>
        </w:rPr>
        <w:t xml:space="preserve">: </w:t>
      </w:r>
      <w:r w:rsidR="00072C9B" w:rsidRPr="00A144DF">
        <w:rPr>
          <w:rFonts w:ascii="Arial" w:hAnsi="Arial" w:cs="Arial"/>
        </w:rPr>
        <w:t>The data needed for the investigation of ethnicity effects on need includes all the data used in the reference model</w:t>
      </w:r>
      <w:r w:rsidR="00ED0EA8">
        <w:rPr>
          <w:rFonts w:ascii="Arial" w:hAnsi="Arial" w:cs="Arial"/>
        </w:rPr>
        <w:t>, plus</w:t>
      </w:r>
      <w:r w:rsidR="00B53F21" w:rsidRPr="00A144DF">
        <w:rPr>
          <w:rFonts w:ascii="Arial" w:hAnsi="Arial" w:cs="Arial"/>
        </w:rPr>
        <w:t xml:space="preserve"> ethnicity data</w:t>
      </w:r>
      <w:r w:rsidR="00072C9B" w:rsidRPr="00A144DF">
        <w:rPr>
          <w:rFonts w:ascii="Arial" w:hAnsi="Arial" w:cs="Arial"/>
        </w:rPr>
        <w:t>. The ethnicity data from</w:t>
      </w:r>
      <w:r w:rsidR="00CB79A1">
        <w:rPr>
          <w:rFonts w:ascii="Arial" w:hAnsi="Arial" w:cs="Arial"/>
        </w:rPr>
        <w:t xml:space="preserve"> the</w:t>
      </w:r>
      <w:r w:rsidR="00072C9B" w:rsidRPr="00A144DF">
        <w:rPr>
          <w:rFonts w:ascii="Arial" w:hAnsi="Arial" w:cs="Arial"/>
        </w:rPr>
        <w:t xml:space="preserve"> 2011 Census is readily available at the redrawn 2011 </w:t>
      </w:r>
      <w:r w:rsidR="00C465DF">
        <w:rPr>
          <w:rFonts w:ascii="Arial" w:hAnsi="Arial" w:cs="Arial"/>
        </w:rPr>
        <w:t>data zone</w:t>
      </w:r>
      <w:r w:rsidR="00072C9B" w:rsidRPr="00A144DF">
        <w:rPr>
          <w:rFonts w:ascii="Arial" w:hAnsi="Arial" w:cs="Arial"/>
        </w:rPr>
        <w:t>s</w:t>
      </w:r>
      <w:r w:rsidR="00ED0EA8">
        <w:rPr>
          <w:rFonts w:ascii="Arial" w:hAnsi="Arial" w:cs="Arial"/>
        </w:rPr>
        <w:t xml:space="preserve"> (see paper TAMLC34)</w:t>
      </w:r>
      <w:r w:rsidR="00072C9B" w:rsidRPr="00A144DF">
        <w:rPr>
          <w:rFonts w:ascii="Arial" w:hAnsi="Arial" w:cs="Arial"/>
        </w:rPr>
        <w:t xml:space="preserve">. </w:t>
      </w:r>
      <w:r w:rsidR="00ED0EA8">
        <w:rPr>
          <w:rFonts w:ascii="Arial" w:hAnsi="Arial" w:cs="Arial"/>
        </w:rPr>
        <w:t xml:space="preserve">The total non-white population </w:t>
      </w:r>
      <w:r w:rsidR="00CB2DC1" w:rsidRPr="00A144DF">
        <w:rPr>
          <w:rFonts w:ascii="Arial" w:hAnsi="Arial" w:cs="Arial"/>
        </w:rPr>
        <w:t xml:space="preserve">should be expressed as a percentage of the total population of each </w:t>
      </w:r>
      <w:r w:rsidR="00C465DF">
        <w:rPr>
          <w:rFonts w:ascii="Arial" w:hAnsi="Arial" w:cs="Arial"/>
        </w:rPr>
        <w:t>data zone</w:t>
      </w:r>
      <w:r w:rsidR="00CB2DC1" w:rsidRPr="00A144DF">
        <w:rPr>
          <w:rFonts w:ascii="Arial" w:hAnsi="Arial" w:cs="Arial"/>
        </w:rPr>
        <w:t xml:space="preserve">. </w:t>
      </w:r>
    </w:p>
    <w:p w:rsidR="00072C9B" w:rsidRPr="00A144DF" w:rsidRDefault="00072C9B" w:rsidP="00C1748D">
      <w:pPr>
        <w:jc w:val="both"/>
        <w:rPr>
          <w:rFonts w:ascii="Arial" w:hAnsi="Arial" w:cs="Arial"/>
          <w:i/>
        </w:rPr>
      </w:pPr>
      <w:r w:rsidRPr="00A144DF">
        <w:rPr>
          <w:rFonts w:ascii="Arial" w:hAnsi="Arial" w:cs="Arial"/>
          <w:i/>
        </w:rPr>
        <w:t xml:space="preserve">All data is required at </w:t>
      </w:r>
      <w:r w:rsidR="00C465DF">
        <w:rPr>
          <w:rFonts w:ascii="Arial" w:hAnsi="Arial" w:cs="Arial"/>
          <w:i/>
        </w:rPr>
        <w:t>data zone</w:t>
      </w:r>
      <w:r w:rsidRPr="00A144DF">
        <w:rPr>
          <w:rFonts w:ascii="Arial" w:hAnsi="Arial" w:cs="Arial"/>
          <w:i/>
        </w:rPr>
        <w:t xml:space="preserve"> level, 2011 boundaries</w:t>
      </w:r>
      <w:r w:rsidR="00ED0EA8">
        <w:rPr>
          <w:rFonts w:ascii="Arial" w:hAnsi="Arial" w:cs="Arial"/>
          <w:i/>
        </w:rPr>
        <w:t>:</w:t>
      </w:r>
      <w:r w:rsidRPr="00A144DF">
        <w:rPr>
          <w:rFonts w:ascii="Arial" w:hAnsi="Arial" w:cs="Arial"/>
          <w:i/>
        </w:rPr>
        <w:t xml:space="preserve"> average cost ratios for 3 ye</w:t>
      </w:r>
      <w:r w:rsidR="00CB2DC1" w:rsidRPr="00A144DF">
        <w:rPr>
          <w:rFonts w:ascii="Arial" w:hAnsi="Arial" w:cs="Arial"/>
          <w:i/>
        </w:rPr>
        <w:t>ars (2011/12, 2012/13, 2013/14);</w:t>
      </w:r>
      <w:r w:rsidRPr="00A144DF">
        <w:rPr>
          <w:rFonts w:ascii="Arial" w:hAnsi="Arial" w:cs="Arial"/>
          <w:i/>
        </w:rPr>
        <w:t xml:space="preserve"> supply variables for 2013/14; new </w:t>
      </w:r>
      <w:r w:rsidR="00ED0EA8">
        <w:rPr>
          <w:rFonts w:ascii="Arial" w:hAnsi="Arial" w:cs="Arial"/>
          <w:i/>
        </w:rPr>
        <w:t>A</w:t>
      </w:r>
      <w:r w:rsidRPr="00A144DF">
        <w:rPr>
          <w:rFonts w:ascii="Arial" w:hAnsi="Arial" w:cs="Arial"/>
          <w:i/>
        </w:rPr>
        <w:t xml:space="preserve">cute </w:t>
      </w:r>
      <w:r w:rsidR="00AD355B">
        <w:rPr>
          <w:rFonts w:ascii="Arial" w:hAnsi="Arial" w:cs="Arial"/>
          <w:i/>
        </w:rPr>
        <w:t>needs</w:t>
      </w:r>
      <w:r w:rsidRPr="00A144DF">
        <w:rPr>
          <w:rFonts w:ascii="Arial" w:hAnsi="Arial" w:cs="Arial"/>
          <w:i/>
        </w:rPr>
        <w:t xml:space="preserve"> index</w:t>
      </w:r>
      <w:r w:rsidR="00CB2DC1" w:rsidRPr="00A144DF">
        <w:rPr>
          <w:rFonts w:ascii="Arial" w:hAnsi="Arial" w:cs="Arial"/>
          <w:i/>
        </w:rPr>
        <w:t>; ethnicity data from 2011 Census</w:t>
      </w:r>
      <w:r w:rsidRPr="00A144DF">
        <w:rPr>
          <w:rFonts w:ascii="Arial" w:hAnsi="Arial" w:cs="Arial"/>
          <w:i/>
        </w:rPr>
        <w:t xml:space="preserve">. </w:t>
      </w:r>
    </w:p>
    <w:p w:rsidR="00D578B1" w:rsidRPr="00A144DF" w:rsidRDefault="00BA4A5A" w:rsidP="00C1748D">
      <w:pPr>
        <w:jc w:val="both"/>
        <w:rPr>
          <w:rFonts w:ascii="Arial" w:hAnsi="Arial" w:cs="Arial"/>
        </w:rPr>
      </w:pPr>
      <w:r w:rsidRPr="00A144DF">
        <w:rPr>
          <w:rFonts w:ascii="Arial" w:hAnsi="Arial" w:cs="Arial"/>
          <w:u w:val="single"/>
        </w:rPr>
        <w:t>Implementation</w:t>
      </w:r>
      <w:r w:rsidR="00F4329F" w:rsidRPr="00A144DF">
        <w:rPr>
          <w:rFonts w:ascii="Arial" w:hAnsi="Arial" w:cs="Arial"/>
        </w:rPr>
        <w:t xml:space="preserve">: </w:t>
      </w:r>
      <w:r w:rsidR="00BC1951">
        <w:rPr>
          <w:rFonts w:ascii="Arial" w:hAnsi="Arial" w:cs="Arial"/>
        </w:rPr>
        <w:t>Unmet</w:t>
      </w:r>
      <w:r w:rsidR="00BC1951" w:rsidRPr="00A144DF">
        <w:rPr>
          <w:rFonts w:ascii="Arial" w:hAnsi="Arial" w:cs="Arial"/>
        </w:rPr>
        <w:t xml:space="preserve"> need would be </w:t>
      </w:r>
      <w:r w:rsidR="00BC1951">
        <w:rPr>
          <w:rFonts w:ascii="Arial" w:hAnsi="Arial" w:cs="Arial"/>
        </w:rPr>
        <w:t>corrected for by extrapolating</w:t>
      </w:r>
      <w:r w:rsidR="00BC1951" w:rsidRPr="00A144DF">
        <w:rPr>
          <w:rFonts w:ascii="Arial" w:hAnsi="Arial" w:cs="Arial"/>
        </w:rPr>
        <w:t xml:space="preserve"> </w:t>
      </w:r>
      <w:r w:rsidR="00BC1951">
        <w:rPr>
          <w:rFonts w:ascii="Arial" w:hAnsi="Arial" w:cs="Arial"/>
        </w:rPr>
        <w:t>the</w:t>
      </w:r>
      <w:r w:rsidR="00BC1951" w:rsidRPr="00A144DF">
        <w:rPr>
          <w:rFonts w:ascii="Arial" w:hAnsi="Arial" w:cs="Arial"/>
        </w:rPr>
        <w:t xml:space="preserve"> regression line </w:t>
      </w:r>
      <w:r w:rsidR="00BC1951">
        <w:rPr>
          <w:rFonts w:ascii="Arial" w:hAnsi="Arial" w:cs="Arial"/>
        </w:rPr>
        <w:t>derived from</w:t>
      </w:r>
      <w:r w:rsidR="00BC1951" w:rsidRPr="00A144DF">
        <w:rPr>
          <w:rFonts w:ascii="Arial" w:hAnsi="Arial" w:cs="Arial"/>
        </w:rPr>
        <w:t xml:space="preserve"> the areas thought not to be affected </w:t>
      </w:r>
      <w:r w:rsidR="00BC1951">
        <w:rPr>
          <w:rFonts w:ascii="Arial" w:hAnsi="Arial" w:cs="Arial"/>
        </w:rPr>
        <w:t>into all other areas</w:t>
      </w:r>
      <w:r w:rsidR="00ED0EA8">
        <w:rPr>
          <w:rFonts w:ascii="Arial" w:hAnsi="Arial" w:cs="Arial"/>
        </w:rPr>
        <w:t>.</w:t>
      </w:r>
    </w:p>
    <w:p w:rsidR="00BA4A5A" w:rsidRPr="00A144DF" w:rsidRDefault="008B5D58" w:rsidP="00C1748D">
      <w:pPr>
        <w:rPr>
          <w:rFonts w:ascii="Arial" w:hAnsi="Arial" w:cs="Arial"/>
          <w:b/>
        </w:rPr>
      </w:pPr>
      <w:r>
        <w:rPr>
          <w:rFonts w:ascii="Arial" w:hAnsi="Arial" w:cs="Arial"/>
          <w:b/>
        </w:rPr>
        <w:t>3</w:t>
      </w:r>
      <w:r w:rsidR="00BA4A5A" w:rsidRPr="00A144DF">
        <w:rPr>
          <w:rFonts w:ascii="Arial" w:hAnsi="Arial" w:cs="Arial"/>
          <w:b/>
        </w:rPr>
        <w:t>.</w:t>
      </w:r>
      <w:r w:rsidR="00725D05">
        <w:rPr>
          <w:rFonts w:ascii="Arial" w:hAnsi="Arial" w:cs="Arial"/>
          <w:b/>
        </w:rPr>
        <w:t>2.3</w:t>
      </w:r>
      <w:r w:rsidR="00BA4A5A" w:rsidRPr="00A144DF">
        <w:rPr>
          <w:rFonts w:ascii="Arial" w:hAnsi="Arial" w:cs="Arial"/>
          <w:b/>
        </w:rPr>
        <w:t xml:space="preserve"> </w:t>
      </w:r>
      <w:proofErr w:type="spellStart"/>
      <w:r w:rsidR="00CF2ED4">
        <w:rPr>
          <w:rFonts w:ascii="Arial" w:hAnsi="Arial" w:cs="Arial"/>
          <w:b/>
        </w:rPr>
        <w:t>R</w:t>
      </w:r>
      <w:r w:rsidR="00BA4A5A" w:rsidRPr="00A144DF">
        <w:rPr>
          <w:rFonts w:ascii="Arial" w:hAnsi="Arial" w:cs="Arial"/>
          <w:b/>
        </w:rPr>
        <w:t>ural</w:t>
      </w:r>
      <w:r w:rsidR="00CF2ED4">
        <w:rPr>
          <w:rFonts w:ascii="Arial" w:hAnsi="Arial" w:cs="Arial"/>
          <w:b/>
        </w:rPr>
        <w:t>ity</w:t>
      </w:r>
      <w:proofErr w:type="spellEnd"/>
    </w:p>
    <w:p w:rsidR="00F4329F" w:rsidRPr="00A144DF" w:rsidRDefault="00F4329F" w:rsidP="00C1748D">
      <w:pPr>
        <w:jc w:val="both"/>
        <w:rPr>
          <w:rFonts w:ascii="Arial" w:hAnsi="Arial" w:cs="Arial"/>
        </w:rPr>
      </w:pPr>
      <w:r w:rsidRPr="00A144DF">
        <w:rPr>
          <w:rFonts w:ascii="Arial" w:hAnsi="Arial" w:cs="Arial"/>
          <w:u w:val="single"/>
        </w:rPr>
        <w:t>Method</w:t>
      </w:r>
      <w:r w:rsidRPr="00A144DF">
        <w:rPr>
          <w:rFonts w:ascii="Arial" w:hAnsi="Arial" w:cs="Arial"/>
        </w:rPr>
        <w:t xml:space="preserve">: The </w:t>
      </w:r>
      <w:r w:rsidR="00BC1951">
        <w:rPr>
          <w:rFonts w:ascii="Arial" w:hAnsi="Arial" w:cs="Arial"/>
        </w:rPr>
        <w:t xml:space="preserve">2007 shortfall method </w:t>
      </w:r>
      <w:r w:rsidRPr="00A144DF">
        <w:rPr>
          <w:rFonts w:ascii="Arial" w:hAnsi="Arial" w:cs="Arial"/>
        </w:rPr>
        <w:t xml:space="preserve">described in section </w:t>
      </w:r>
      <w:r w:rsidR="004F324D">
        <w:rPr>
          <w:rFonts w:ascii="Arial" w:hAnsi="Arial" w:cs="Arial"/>
        </w:rPr>
        <w:t>2</w:t>
      </w:r>
      <w:r w:rsidRPr="00A144DF">
        <w:rPr>
          <w:rFonts w:ascii="Arial" w:hAnsi="Arial" w:cs="Arial"/>
        </w:rPr>
        <w:t xml:space="preserve">.1 should be used to test for </w:t>
      </w:r>
      <w:r w:rsidR="00ED0EA8">
        <w:rPr>
          <w:rFonts w:ascii="Arial" w:hAnsi="Arial" w:cs="Arial"/>
        </w:rPr>
        <w:t>unmet need related to u</w:t>
      </w:r>
      <w:r w:rsidRPr="00A144DF">
        <w:rPr>
          <w:rFonts w:ascii="Arial" w:hAnsi="Arial" w:cs="Arial"/>
        </w:rPr>
        <w:t>rban-</w:t>
      </w:r>
      <w:r w:rsidR="00ED0EA8">
        <w:rPr>
          <w:rFonts w:ascii="Arial" w:hAnsi="Arial" w:cs="Arial"/>
        </w:rPr>
        <w:t>r</w:t>
      </w:r>
      <w:r w:rsidRPr="00A144DF">
        <w:rPr>
          <w:rFonts w:ascii="Arial" w:hAnsi="Arial" w:cs="Arial"/>
        </w:rPr>
        <w:t>ural</w:t>
      </w:r>
      <w:r w:rsidR="00ED0EA8">
        <w:rPr>
          <w:rFonts w:ascii="Arial" w:hAnsi="Arial" w:cs="Arial"/>
        </w:rPr>
        <w:t xml:space="preserve"> classification</w:t>
      </w:r>
      <w:r w:rsidRPr="00A144DF">
        <w:rPr>
          <w:rFonts w:ascii="Arial" w:hAnsi="Arial" w:cs="Arial"/>
        </w:rPr>
        <w:t xml:space="preserve">. </w:t>
      </w:r>
    </w:p>
    <w:p w:rsidR="00CB79A1" w:rsidRDefault="00BA4A5A" w:rsidP="00C1748D">
      <w:pPr>
        <w:jc w:val="both"/>
        <w:rPr>
          <w:rFonts w:ascii="Arial" w:hAnsi="Arial" w:cs="Arial"/>
        </w:rPr>
      </w:pPr>
      <w:r w:rsidRPr="00A144DF">
        <w:rPr>
          <w:rFonts w:ascii="Arial" w:hAnsi="Arial" w:cs="Arial"/>
          <w:u w:val="single"/>
        </w:rPr>
        <w:lastRenderedPageBreak/>
        <w:t>Data</w:t>
      </w:r>
      <w:r w:rsidR="00F4329F" w:rsidRPr="00A144DF">
        <w:rPr>
          <w:rFonts w:ascii="Arial" w:hAnsi="Arial" w:cs="Arial"/>
        </w:rPr>
        <w:t xml:space="preserve">: </w:t>
      </w:r>
      <w:r w:rsidR="00CA3FA0" w:rsidRPr="00A144DF">
        <w:rPr>
          <w:rFonts w:ascii="Arial" w:hAnsi="Arial" w:cs="Arial"/>
        </w:rPr>
        <w:t xml:space="preserve">The data needed for the investigation of urban-rural effects on need includes all the data used in the reference model, </w:t>
      </w:r>
      <w:r w:rsidR="00ED0EA8">
        <w:rPr>
          <w:rFonts w:ascii="Arial" w:hAnsi="Arial" w:cs="Arial"/>
        </w:rPr>
        <w:t>plus the</w:t>
      </w:r>
      <w:r w:rsidR="00B53F21" w:rsidRPr="00A144DF">
        <w:rPr>
          <w:rFonts w:ascii="Arial" w:hAnsi="Arial" w:cs="Arial"/>
        </w:rPr>
        <w:t xml:space="preserve"> </w:t>
      </w:r>
      <w:proofErr w:type="spellStart"/>
      <w:r w:rsidR="00B53F21" w:rsidRPr="00A144DF">
        <w:rPr>
          <w:rFonts w:ascii="Arial" w:hAnsi="Arial" w:cs="Arial"/>
        </w:rPr>
        <w:t>rurality</w:t>
      </w:r>
      <w:proofErr w:type="spellEnd"/>
      <w:r w:rsidR="00B53F21" w:rsidRPr="00A144DF">
        <w:rPr>
          <w:rFonts w:ascii="Arial" w:hAnsi="Arial" w:cs="Arial"/>
        </w:rPr>
        <w:t xml:space="preserve"> classification</w:t>
      </w:r>
      <w:r w:rsidR="00CA3FA0" w:rsidRPr="00A144DF">
        <w:rPr>
          <w:rFonts w:ascii="Arial" w:hAnsi="Arial" w:cs="Arial"/>
        </w:rPr>
        <w:t xml:space="preserve">. The Urban-Rural classification 2013/14 is readily available at the redrawn 2011 </w:t>
      </w:r>
      <w:r w:rsidR="00C465DF">
        <w:rPr>
          <w:rFonts w:ascii="Arial" w:hAnsi="Arial" w:cs="Arial"/>
        </w:rPr>
        <w:t>data zone</w:t>
      </w:r>
      <w:r w:rsidR="00CA3FA0" w:rsidRPr="00A144DF">
        <w:rPr>
          <w:rFonts w:ascii="Arial" w:hAnsi="Arial" w:cs="Arial"/>
        </w:rPr>
        <w:t xml:space="preserve">s. The data is provided at the 6-fold and 8-fold Urban-Rural classifications (Annex </w:t>
      </w:r>
      <w:r w:rsidR="00BC1951">
        <w:rPr>
          <w:rFonts w:ascii="Arial" w:hAnsi="Arial" w:cs="Arial"/>
        </w:rPr>
        <w:t>B</w:t>
      </w:r>
      <w:r w:rsidR="00CA3FA0" w:rsidRPr="00A144DF">
        <w:rPr>
          <w:rFonts w:ascii="Arial" w:hAnsi="Arial" w:cs="Arial"/>
        </w:rPr>
        <w:t xml:space="preserve">). </w:t>
      </w:r>
    </w:p>
    <w:p w:rsidR="00CA3FA0" w:rsidRPr="00A144DF" w:rsidRDefault="00CA3FA0" w:rsidP="00C1748D">
      <w:pPr>
        <w:jc w:val="both"/>
        <w:rPr>
          <w:rFonts w:ascii="Arial" w:hAnsi="Arial" w:cs="Arial"/>
          <w:i/>
        </w:rPr>
      </w:pPr>
      <w:r w:rsidRPr="00A144DF">
        <w:rPr>
          <w:rFonts w:ascii="Arial" w:hAnsi="Arial" w:cs="Arial"/>
          <w:i/>
        </w:rPr>
        <w:t xml:space="preserve">All data is required at </w:t>
      </w:r>
      <w:r w:rsidR="00C465DF">
        <w:rPr>
          <w:rFonts w:ascii="Arial" w:hAnsi="Arial" w:cs="Arial"/>
          <w:i/>
        </w:rPr>
        <w:t>data zone</w:t>
      </w:r>
      <w:r w:rsidRPr="00A144DF">
        <w:rPr>
          <w:rFonts w:ascii="Arial" w:hAnsi="Arial" w:cs="Arial"/>
          <w:i/>
        </w:rPr>
        <w:t xml:space="preserve"> level, 2011 boundaries</w:t>
      </w:r>
      <w:r w:rsidR="00176DB3">
        <w:rPr>
          <w:rFonts w:ascii="Arial" w:hAnsi="Arial" w:cs="Arial"/>
          <w:i/>
        </w:rPr>
        <w:t>:</w:t>
      </w:r>
      <w:r w:rsidRPr="00A144DF">
        <w:rPr>
          <w:rFonts w:ascii="Arial" w:hAnsi="Arial" w:cs="Arial"/>
          <w:i/>
        </w:rPr>
        <w:t xml:space="preserve"> average cost ratios for 3 years (2011/12, 2012/13, 2013/14); supply variables for 2013/14; new </w:t>
      </w:r>
      <w:r w:rsidR="00176DB3">
        <w:rPr>
          <w:rFonts w:ascii="Arial" w:hAnsi="Arial" w:cs="Arial"/>
          <w:i/>
        </w:rPr>
        <w:t>A</w:t>
      </w:r>
      <w:r w:rsidRPr="00A144DF">
        <w:rPr>
          <w:rFonts w:ascii="Arial" w:hAnsi="Arial" w:cs="Arial"/>
          <w:i/>
        </w:rPr>
        <w:t xml:space="preserve">cute </w:t>
      </w:r>
      <w:r w:rsidR="00AD355B">
        <w:rPr>
          <w:rFonts w:ascii="Arial" w:hAnsi="Arial" w:cs="Arial"/>
          <w:i/>
        </w:rPr>
        <w:t>needs</w:t>
      </w:r>
      <w:r w:rsidRPr="00A144DF">
        <w:rPr>
          <w:rFonts w:ascii="Arial" w:hAnsi="Arial" w:cs="Arial"/>
          <w:i/>
        </w:rPr>
        <w:t xml:space="preserve"> index; 2013/14 Urban-Rural classification. </w:t>
      </w:r>
    </w:p>
    <w:p w:rsidR="00834E47" w:rsidRDefault="00CA3FA0" w:rsidP="00C1748D">
      <w:pPr>
        <w:jc w:val="both"/>
        <w:rPr>
          <w:rFonts w:ascii="Arial" w:hAnsi="Arial" w:cs="Arial"/>
        </w:rPr>
      </w:pPr>
      <w:r w:rsidRPr="00A144DF">
        <w:rPr>
          <w:rFonts w:ascii="Arial" w:hAnsi="Arial" w:cs="Arial"/>
          <w:u w:val="single"/>
        </w:rPr>
        <w:t>Implementation</w:t>
      </w:r>
      <w:r w:rsidR="00F4329F" w:rsidRPr="00A144DF">
        <w:rPr>
          <w:rFonts w:ascii="Arial" w:hAnsi="Arial" w:cs="Arial"/>
        </w:rPr>
        <w:t xml:space="preserve">: </w:t>
      </w:r>
      <w:r w:rsidR="00BC1951">
        <w:rPr>
          <w:rFonts w:ascii="Arial" w:hAnsi="Arial" w:cs="Arial"/>
        </w:rPr>
        <w:t>Unmet</w:t>
      </w:r>
      <w:r w:rsidR="00BC1951" w:rsidRPr="00A144DF">
        <w:rPr>
          <w:rFonts w:ascii="Arial" w:hAnsi="Arial" w:cs="Arial"/>
        </w:rPr>
        <w:t xml:space="preserve"> need would be </w:t>
      </w:r>
      <w:r w:rsidR="00BC1951">
        <w:rPr>
          <w:rFonts w:ascii="Arial" w:hAnsi="Arial" w:cs="Arial"/>
        </w:rPr>
        <w:t>corrected for by extrapolating</w:t>
      </w:r>
      <w:r w:rsidR="00BC1951" w:rsidRPr="00A144DF">
        <w:rPr>
          <w:rFonts w:ascii="Arial" w:hAnsi="Arial" w:cs="Arial"/>
        </w:rPr>
        <w:t xml:space="preserve"> </w:t>
      </w:r>
      <w:r w:rsidR="00BC1951">
        <w:rPr>
          <w:rFonts w:ascii="Arial" w:hAnsi="Arial" w:cs="Arial"/>
        </w:rPr>
        <w:t>the</w:t>
      </w:r>
      <w:r w:rsidR="00BC1951" w:rsidRPr="00A144DF">
        <w:rPr>
          <w:rFonts w:ascii="Arial" w:hAnsi="Arial" w:cs="Arial"/>
        </w:rPr>
        <w:t xml:space="preserve"> regression line </w:t>
      </w:r>
      <w:r w:rsidR="00BC1951">
        <w:rPr>
          <w:rFonts w:ascii="Arial" w:hAnsi="Arial" w:cs="Arial"/>
        </w:rPr>
        <w:t>derived from</w:t>
      </w:r>
      <w:r w:rsidR="00BC1951" w:rsidRPr="00A144DF">
        <w:rPr>
          <w:rFonts w:ascii="Arial" w:hAnsi="Arial" w:cs="Arial"/>
        </w:rPr>
        <w:t xml:space="preserve"> the areas thought not to be affected </w:t>
      </w:r>
      <w:r w:rsidR="00BC1951">
        <w:rPr>
          <w:rFonts w:ascii="Arial" w:hAnsi="Arial" w:cs="Arial"/>
        </w:rPr>
        <w:t>into all other areas</w:t>
      </w:r>
      <w:r w:rsidR="00176DB3">
        <w:rPr>
          <w:rFonts w:ascii="Arial" w:hAnsi="Arial" w:cs="Arial"/>
        </w:rPr>
        <w:t>.</w:t>
      </w:r>
    </w:p>
    <w:p w:rsidR="00393007" w:rsidRPr="00393007" w:rsidRDefault="008B5D58" w:rsidP="00C1748D">
      <w:pPr>
        <w:jc w:val="both"/>
        <w:rPr>
          <w:rFonts w:ascii="Arial" w:hAnsi="Arial" w:cs="Arial"/>
          <w:b/>
        </w:rPr>
      </w:pPr>
      <w:r>
        <w:rPr>
          <w:rFonts w:ascii="Arial" w:hAnsi="Arial" w:cs="Arial"/>
          <w:b/>
        </w:rPr>
        <w:t>3</w:t>
      </w:r>
      <w:r w:rsidR="00393007" w:rsidRPr="00393007">
        <w:rPr>
          <w:rFonts w:ascii="Arial" w:hAnsi="Arial" w:cs="Arial"/>
          <w:b/>
        </w:rPr>
        <w:t xml:space="preserve">.3 </w:t>
      </w:r>
      <w:r w:rsidR="008E1BB0">
        <w:rPr>
          <w:rFonts w:ascii="Arial" w:hAnsi="Arial" w:cs="Arial"/>
          <w:b/>
        </w:rPr>
        <w:t>Implementing</w:t>
      </w:r>
      <w:r w:rsidR="00393007" w:rsidRPr="00393007">
        <w:rPr>
          <w:rFonts w:ascii="Arial" w:hAnsi="Arial" w:cs="Arial"/>
          <w:b/>
        </w:rPr>
        <w:t xml:space="preserve"> the results</w:t>
      </w:r>
    </w:p>
    <w:p w:rsidR="009D3849" w:rsidRDefault="004F6F88" w:rsidP="008E1BB0">
      <w:pPr>
        <w:jc w:val="both"/>
        <w:rPr>
          <w:rFonts w:ascii="Arial" w:hAnsi="Arial" w:cs="Arial"/>
        </w:rPr>
      </w:pPr>
      <w:r>
        <w:rPr>
          <w:rFonts w:ascii="Arial" w:hAnsi="Arial" w:cs="Arial"/>
        </w:rPr>
        <w:t xml:space="preserve">It is proposed that only the </w:t>
      </w:r>
      <w:r w:rsidRPr="008E094C">
        <w:rPr>
          <w:rFonts w:ascii="Arial" w:hAnsi="Arial" w:cs="Arial"/>
          <w:i/>
        </w:rPr>
        <w:t>mo</w:t>
      </w:r>
      <w:r>
        <w:rPr>
          <w:rFonts w:ascii="Arial" w:hAnsi="Arial" w:cs="Arial"/>
          <w:i/>
        </w:rPr>
        <w:t>st</w:t>
      </w:r>
      <w:r w:rsidRPr="008E094C">
        <w:rPr>
          <w:rFonts w:ascii="Arial" w:hAnsi="Arial" w:cs="Arial"/>
          <w:i/>
        </w:rPr>
        <w:t xml:space="preserve"> deprived</w:t>
      </w:r>
      <w:r>
        <w:rPr>
          <w:rFonts w:ascii="Arial" w:hAnsi="Arial" w:cs="Arial"/>
        </w:rPr>
        <w:t xml:space="preserve"> end of SIMD (and similarly for the other variables) is examined for </w:t>
      </w:r>
      <w:r w:rsidR="009D3849">
        <w:rPr>
          <w:rFonts w:ascii="Arial" w:hAnsi="Arial" w:cs="Arial"/>
        </w:rPr>
        <w:t>utilisation differences</w:t>
      </w:r>
      <w:r>
        <w:rPr>
          <w:rFonts w:ascii="Arial" w:hAnsi="Arial" w:cs="Arial"/>
        </w:rPr>
        <w:t xml:space="preserve">. </w:t>
      </w:r>
    </w:p>
    <w:p w:rsidR="008E1BB0" w:rsidRPr="004F6F88" w:rsidRDefault="008E1BB0" w:rsidP="008E1BB0">
      <w:pPr>
        <w:jc w:val="both"/>
        <w:rPr>
          <w:rFonts w:ascii="Arial" w:hAnsi="Arial" w:cs="Arial"/>
        </w:rPr>
      </w:pPr>
      <w:r w:rsidRPr="00A144DF">
        <w:rPr>
          <w:rFonts w:ascii="Arial" w:hAnsi="Arial" w:cs="Arial"/>
        </w:rPr>
        <w:t xml:space="preserve">It is worth </w:t>
      </w:r>
      <w:r>
        <w:rPr>
          <w:rFonts w:ascii="Arial" w:hAnsi="Arial" w:cs="Arial"/>
        </w:rPr>
        <w:t>pointing out</w:t>
      </w:r>
      <w:r w:rsidRPr="00A144DF">
        <w:rPr>
          <w:rFonts w:ascii="Arial" w:hAnsi="Arial" w:cs="Arial"/>
        </w:rPr>
        <w:t xml:space="preserve"> that significant </w:t>
      </w:r>
      <w:r>
        <w:rPr>
          <w:rFonts w:ascii="Arial" w:hAnsi="Arial" w:cs="Arial"/>
        </w:rPr>
        <w:t>“</w:t>
      </w:r>
      <w:proofErr w:type="spellStart"/>
      <w:r w:rsidRPr="00A144DF">
        <w:rPr>
          <w:rFonts w:ascii="Arial" w:hAnsi="Arial" w:cs="Arial"/>
        </w:rPr>
        <w:t>overmet</w:t>
      </w:r>
      <w:proofErr w:type="spellEnd"/>
      <w:r w:rsidRPr="00A144DF">
        <w:rPr>
          <w:rFonts w:ascii="Arial" w:hAnsi="Arial" w:cs="Arial"/>
        </w:rPr>
        <w:t xml:space="preserve"> need</w:t>
      </w:r>
      <w:r>
        <w:rPr>
          <w:rFonts w:ascii="Arial" w:hAnsi="Arial" w:cs="Arial"/>
        </w:rPr>
        <w:t>”</w:t>
      </w:r>
      <w:r w:rsidRPr="00A144DF">
        <w:rPr>
          <w:rFonts w:ascii="Arial" w:hAnsi="Arial" w:cs="Arial"/>
        </w:rPr>
        <w:t xml:space="preserve"> </w:t>
      </w:r>
      <w:r w:rsidRPr="009D3849">
        <w:rPr>
          <w:rFonts w:ascii="Arial" w:hAnsi="Arial" w:cs="Arial"/>
        </w:rPr>
        <w:t>effects</w:t>
      </w:r>
      <w:r w:rsidR="00241B00" w:rsidRPr="009D3849">
        <w:rPr>
          <w:rFonts w:ascii="Arial" w:hAnsi="Arial" w:cs="Arial"/>
        </w:rPr>
        <w:t>, in the most deprived areas,</w:t>
      </w:r>
      <w:r w:rsidRPr="009D3849">
        <w:rPr>
          <w:rFonts w:ascii="Arial" w:hAnsi="Arial" w:cs="Arial"/>
        </w:rPr>
        <w:t xml:space="preserve"> were identified for the </w:t>
      </w:r>
      <w:proofErr w:type="gramStart"/>
      <w:r w:rsidRPr="009D3849">
        <w:rPr>
          <w:rFonts w:ascii="Arial" w:hAnsi="Arial" w:cs="Arial"/>
        </w:rPr>
        <w:t>Acute</w:t>
      </w:r>
      <w:proofErr w:type="gramEnd"/>
      <w:r w:rsidRPr="009D3849">
        <w:rPr>
          <w:rFonts w:ascii="Arial" w:hAnsi="Arial" w:cs="Arial"/>
        </w:rPr>
        <w:t xml:space="preserve"> diagnostic groups Injury and Digestive</w:t>
      </w:r>
      <w:r w:rsidR="004421DC" w:rsidRPr="009D3849">
        <w:rPr>
          <w:rFonts w:ascii="Arial" w:hAnsi="Arial" w:cs="Arial"/>
        </w:rPr>
        <w:t xml:space="preserve"> in the </w:t>
      </w:r>
      <w:r w:rsidR="00241B00" w:rsidRPr="009D3849">
        <w:rPr>
          <w:rFonts w:ascii="Arial" w:hAnsi="Arial" w:cs="Arial"/>
        </w:rPr>
        <w:t xml:space="preserve">2007 </w:t>
      </w:r>
      <w:r w:rsidR="004421DC" w:rsidRPr="009D3849">
        <w:rPr>
          <w:rFonts w:ascii="Arial" w:hAnsi="Arial" w:cs="Arial"/>
        </w:rPr>
        <w:t>NRAC</w:t>
      </w:r>
      <w:r w:rsidR="004421DC">
        <w:rPr>
          <w:rFonts w:ascii="Arial" w:hAnsi="Arial" w:cs="Arial"/>
        </w:rPr>
        <w:t xml:space="preserve"> analysis</w:t>
      </w:r>
      <w:r w:rsidR="004F6F88">
        <w:rPr>
          <w:rFonts w:ascii="Arial" w:hAnsi="Arial" w:cs="Arial"/>
        </w:rPr>
        <w:t xml:space="preserve">, </w:t>
      </w:r>
      <w:r w:rsidR="009D3849">
        <w:rPr>
          <w:rFonts w:ascii="Arial" w:hAnsi="Arial" w:cs="Arial"/>
        </w:rPr>
        <w:t>but</w:t>
      </w:r>
      <w:r w:rsidR="004F6F88">
        <w:rPr>
          <w:rFonts w:ascii="Arial" w:hAnsi="Arial" w:cs="Arial"/>
        </w:rPr>
        <w:t xml:space="preserve"> no adjustments were incorporated into the formula</w:t>
      </w:r>
      <w:r>
        <w:rPr>
          <w:rFonts w:ascii="Arial" w:hAnsi="Arial" w:cs="Arial"/>
        </w:rPr>
        <w:t xml:space="preserve">. </w:t>
      </w:r>
      <w:r w:rsidR="004F6F88" w:rsidRPr="009D3849">
        <w:rPr>
          <w:rFonts w:ascii="Arial" w:hAnsi="Arial" w:cs="Arial"/>
        </w:rPr>
        <w:t>It is considered likely that such effects reflect deficiencies in the underlying assumption of a linear model form, ra</w:t>
      </w:r>
      <w:r w:rsidR="009D3849">
        <w:rPr>
          <w:rFonts w:ascii="Arial" w:hAnsi="Arial" w:cs="Arial"/>
        </w:rPr>
        <w:t xml:space="preserve">ther than genuine instances of </w:t>
      </w:r>
      <w:proofErr w:type="spellStart"/>
      <w:r w:rsidR="009D3849">
        <w:rPr>
          <w:rFonts w:ascii="Arial" w:hAnsi="Arial" w:cs="Arial"/>
        </w:rPr>
        <w:t>overmet</w:t>
      </w:r>
      <w:proofErr w:type="spellEnd"/>
      <w:r w:rsidR="009D3849">
        <w:rPr>
          <w:rFonts w:ascii="Arial" w:hAnsi="Arial" w:cs="Arial"/>
        </w:rPr>
        <w:t xml:space="preserve"> need</w:t>
      </w:r>
      <w:r w:rsidR="004F6F88" w:rsidRPr="009D3849">
        <w:rPr>
          <w:rFonts w:ascii="Arial" w:hAnsi="Arial" w:cs="Arial"/>
        </w:rPr>
        <w:t>.</w:t>
      </w:r>
      <w:r w:rsidR="004F6F88">
        <w:rPr>
          <w:rFonts w:ascii="Arial" w:hAnsi="Arial" w:cs="Arial"/>
          <w:color w:val="FF0000"/>
        </w:rPr>
        <w:t xml:space="preserve"> </w:t>
      </w:r>
      <w:r>
        <w:rPr>
          <w:rFonts w:ascii="Arial" w:hAnsi="Arial" w:cs="Arial"/>
        </w:rPr>
        <w:t>It is proposed that the current Review follows the same principle</w:t>
      </w:r>
      <w:r w:rsidR="004F6F88">
        <w:rPr>
          <w:rFonts w:ascii="Arial" w:hAnsi="Arial" w:cs="Arial"/>
        </w:rPr>
        <w:t xml:space="preserve"> as the 2007 review</w:t>
      </w:r>
      <w:r>
        <w:rPr>
          <w:rFonts w:ascii="Arial" w:hAnsi="Arial" w:cs="Arial"/>
        </w:rPr>
        <w:t>: that higher-than-expected utilisation</w:t>
      </w:r>
      <w:r w:rsidR="00241B00">
        <w:rPr>
          <w:rFonts w:ascii="Arial" w:hAnsi="Arial" w:cs="Arial"/>
        </w:rPr>
        <w:t xml:space="preserve"> in the most deprived</w:t>
      </w:r>
      <w:r>
        <w:rPr>
          <w:rFonts w:ascii="Arial" w:hAnsi="Arial" w:cs="Arial"/>
        </w:rPr>
        <w:t xml:space="preserve"> </w:t>
      </w:r>
      <w:r w:rsidR="00241B00">
        <w:rPr>
          <w:rFonts w:ascii="Arial" w:hAnsi="Arial" w:cs="Arial"/>
        </w:rPr>
        <w:t xml:space="preserve">areas </w:t>
      </w:r>
      <w:r>
        <w:rPr>
          <w:rFonts w:ascii="Arial" w:hAnsi="Arial" w:cs="Arial"/>
        </w:rPr>
        <w:t xml:space="preserve">is not adjusted for, if discovered. </w:t>
      </w:r>
    </w:p>
    <w:p w:rsidR="00F9449F" w:rsidRDefault="00AA136B" w:rsidP="00AA136B">
      <w:pPr>
        <w:jc w:val="both"/>
        <w:rPr>
          <w:rFonts w:ascii="Arial" w:hAnsi="Arial" w:cs="Arial"/>
        </w:rPr>
      </w:pPr>
      <w:r w:rsidRPr="00AA136B">
        <w:rPr>
          <w:rFonts w:ascii="Arial" w:hAnsi="Arial" w:cs="Arial"/>
        </w:rPr>
        <w:t xml:space="preserve">The implementation </w:t>
      </w:r>
      <w:r w:rsidR="00757242">
        <w:rPr>
          <w:rFonts w:ascii="Arial" w:hAnsi="Arial" w:cs="Arial"/>
        </w:rPr>
        <w:t>of</w:t>
      </w:r>
      <w:r w:rsidRPr="00AA136B">
        <w:rPr>
          <w:rFonts w:ascii="Arial" w:hAnsi="Arial" w:cs="Arial"/>
        </w:rPr>
        <w:t xml:space="preserve"> </w:t>
      </w:r>
      <w:r w:rsidR="00757242">
        <w:rPr>
          <w:rFonts w:ascii="Arial" w:hAnsi="Arial" w:cs="Arial"/>
        </w:rPr>
        <w:t>both</w:t>
      </w:r>
      <w:r w:rsidRPr="00AA136B">
        <w:rPr>
          <w:rFonts w:ascii="Arial" w:hAnsi="Arial" w:cs="Arial"/>
        </w:rPr>
        <w:t xml:space="preserve"> methods </w:t>
      </w:r>
      <w:r w:rsidR="004F6F88">
        <w:rPr>
          <w:rFonts w:ascii="Arial" w:hAnsi="Arial" w:cs="Arial"/>
        </w:rPr>
        <w:t xml:space="preserve">(simple shortfall and 2007 shortfall) </w:t>
      </w:r>
      <w:r w:rsidRPr="00AA136B">
        <w:rPr>
          <w:rFonts w:ascii="Arial" w:hAnsi="Arial" w:cs="Arial"/>
        </w:rPr>
        <w:t xml:space="preserve">would </w:t>
      </w:r>
      <w:r w:rsidR="00757242">
        <w:rPr>
          <w:rFonts w:ascii="Arial" w:hAnsi="Arial" w:cs="Arial"/>
        </w:rPr>
        <w:t xml:space="preserve">take </w:t>
      </w:r>
      <w:r w:rsidRPr="00AA136B">
        <w:rPr>
          <w:rFonts w:ascii="Arial" w:hAnsi="Arial" w:cs="Arial"/>
        </w:rPr>
        <w:t>the same</w:t>
      </w:r>
      <w:r w:rsidR="00757242">
        <w:rPr>
          <w:rFonts w:ascii="Arial" w:hAnsi="Arial" w:cs="Arial"/>
        </w:rPr>
        <w:t xml:space="preserve"> form</w:t>
      </w:r>
      <w:r w:rsidRPr="00AA136B">
        <w:rPr>
          <w:rFonts w:ascii="Arial" w:hAnsi="Arial" w:cs="Arial"/>
        </w:rPr>
        <w:t>: extrapolation of a regression line based on the areas thought not to be affected. It is</w:t>
      </w:r>
      <w:r w:rsidR="004F6F88">
        <w:rPr>
          <w:rFonts w:ascii="Arial" w:hAnsi="Arial" w:cs="Arial"/>
        </w:rPr>
        <w:t>, however,</w:t>
      </w:r>
      <w:r w:rsidRPr="00AA136B">
        <w:rPr>
          <w:rFonts w:ascii="Arial" w:hAnsi="Arial" w:cs="Arial"/>
        </w:rPr>
        <w:t xml:space="preserve"> not clear which </w:t>
      </w:r>
      <w:r w:rsidR="009D3849">
        <w:rPr>
          <w:rFonts w:ascii="Arial" w:hAnsi="Arial" w:cs="Arial"/>
        </w:rPr>
        <w:t>data zones</w:t>
      </w:r>
      <w:r w:rsidRPr="00AA136B">
        <w:rPr>
          <w:rFonts w:ascii="Arial" w:hAnsi="Arial" w:cs="Arial"/>
        </w:rPr>
        <w:t xml:space="preserve"> should be excluded </w:t>
      </w:r>
      <w:r w:rsidR="009D3849" w:rsidRPr="00AA136B">
        <w:rPr>
          <w:rFonts w:ascii="Arial" w:hAnsi="Arial" w:cs="Arial"/>
        </w:rPr>
        <w:t xml:space="preserve">from the regression </w:t>
      </w:r>
      <w:r w:rsidRPr="00AA136B">
        <w:rPr>
          <w:rFonts w:ascii="Arial" w:hAnsi="Arial" w:cs="Arial"/>
        </w:rPr>
        <w:t xml:space="preserve">if more than one basis is </w:t>
      </w:r>
      <w:r w:rsidR="008E1BB0">
        <w:rPr>
          <w:rFonts w:ascii="Arial" w:hAnsi="Arial" w:cs="Arial"/>
        </w:rPr>
        <w:t>found</w:t>
      </w:r>
      <w:r w:rsidRPr="00AA136B">
        <w:rPr>
          <w:rFonts w:ascii="Arial" w:hAnsi="Arial" w:cs="Arial"/>
        </w:rPr>
        <w:t xml:space="preserve"> for exclusion. The authors of </w:t>
      </w:r>
      <w:r w:rsidR="004421DC">
        <w:rPr>
          <w:rFonts w:ascii="Arial" w:hAnsi="Arial" w:cs="Arial"/>
        </w:rPr>
        <w:t xml:space="preserve">NRAC </w:t>
      </w:r>
      <w:r w:rsidRPr="00AA136B">
        <w:rPr>
          <w:rFonts w:ascii="Arial" w:hAnsi="Arial" w:cs="Arial"/>
        </w:rPr>
        <w:t xml:space="preserve">Technical Addendum D indicate that they handled this by prioritising one </w:t>
      </w:r>
      <w:r w:rsidR="008E1BB0">
        <w:rPr>
          <w:rFonts w:ascii="Arial" w:hAnsi="Arial" w:cs="Arial"/>
        </w:rPr>
        <w:t xml:space="preserve">particular </w:t>
      </w:r>
      <w:r w:rsidRPr="00AA136B">
        <w:rPr>
          <w:rFonts w:ascii="Arial" w:hAnsi="Arial" w:cs="Arial"/>
        </w:rPr>
        <w:t xml:space="preserve">area of unmet need: </w:t>
      </w:r>
      <w:r w:rsidRPr="00AA136B">
        <w:rPr>
          <w:rFonts w:ascii="Arial" w:hAnsi="Arial" w:cs="Arial"/>
          <w:i/>
        </w:rPr>
        <w:t xml:space="preserve">“While results for the shortfall method were presented in relation to deprivation, ethnic minority populations and </w:t>
      </w:r>
      <w:proofErr w:type="spellStart"/>
      <w:r w:rsidRPr="00AA136B">
        <w:rPr>
          <w:rFonts w:ascii="Arial" w:hAnsi="Arial" w:cs="Arial"/>
          <w:i/>
        </w:rPr>
        <w:t>rurality</w:t>
      </w:r>
      <w:proofErr w:type="spellEnd"/>
      <w:r w:rsidRPr="00AA136B">
        <w:rPr>
          <w:rFonts w:ascii="Arial" w:hAnsi="Arial" w:cs="Arial"/>
          <w:i/>
        </w:rPr>
        <w:t>, the Committee were most interested in the deprivation results since this is what earlier work had concentrated on</w:t>
      </w:r>
      <w:r w:rsidRPr="00D97FBA">
        <w:rPr>
          <w:rFonts w:ascii="Arial" w:hAnsi="Arial" w:cs="Arial"/>
          <w:i/>
        </w:rPr>
        <w:t>”</w:t>
      </w:r>
      <w:r w:rsidRPr="00D97FBA">
        <w:rPr>
          <w:rFonts w:ascii="Arial" w:hAnsi="Arial" w:cs="Arial"/>
        </w:rPr>
        <w:t>.</w:t>
      </w:r>
      <w:r w:rsidR="00AD39D5" w:rsidRPr="00D97FBA">
        <w:rPr>
          <w:rFonts w:ascii="Arial" w:hAnsi="Arial" w:cs="Arial"/>
        </w:rPr>
        <w:t xml:space="preserve"> </w:t>
      </w:r>
    </w:p>
    <w:p w:rsidR="005F6EFB" w:rsidRPr="00D97FBA" w:rsidRDefault="00F9449F" w:rsidP="00AA136B">
      <w:pPr>
        <w:jc w:val="both"/>
        <w:rPr>
          <w:rFonts w:ascii="Arial" w:hAnsi="Arial" w:cs="Arial"/>
        </w:rPr>
      </w:pPr>
      <w:r>
        <w:rPr>
          <w:rFonts w:ascii="Arial" w:hAnsi="Arial" w:cs="Arial"/>
        </w:rPr>
        <w:t xml:space="preserve">Further exploratory </w:t>
      </w:r>
      <w:r w:rsidR="004F6F88" w:rsidRPr="00D97FBA">
        <w:rPr>
          <w:rFonts w:ascii="Arial" w:hAnsi="Arial" w:cs="Arial"/>
        </w:rPr>
        <w:t xml:space="preserve">analysis for the present </w:t>
      </w:r>
      <w:r>
        <w:rPr>
          <w:rFonts w:ascii="Arial" w:hAnsi="Arial" w:cs="Arial"/>
        </w:rPr>
        <w:t>R</w:t>
      </w:r>
      <w:r w:rsidR="004F6F88" w:rsidRPr="00D97FBA">
        <w:rPr>
          <w:rFonts w:ascii="Arial" w:hAnsi="Arial" w:cs="Arial"/>
        </w:rPr>
        <w:t xml:space="preserve">eview (see Annex </w:t>
      </w:r>
      <w:r w:rsidR="00742BF1">
        <w:rPr>
          <w:rFonts w:ascii="Arial" w:hAnsi="Arial" w:cs="Arial"/>
        </w:rPr>
        <w:t>C</w:t>
      </w:r>
      <w:r w:rsidR="004F6F88" w:rsidRPr="00D97FBA">
        <w:rPr>
          <w:rFonts w:ascii="Arial" w:hAnsi="Arial" w:cs="Arial"/>
        </w:rPr>
        <w:t>)</w:t>
      </w:r>
      <w:r>
        <w:rPr>
          <w:rFonts w:ascii="Arial" w:hAnsi="Arial" w:cs="Arial"/>
        </w:rPr>
        <w:t xml:space="preserve"> has been carried </w:t>
      </w:r>
      <w:proofErr w:type="gramStart"/>
      <w:r>
        <w:rPr>
          <w:rFonts w:ascii="Arial" w:hAnsi="Arial" w:cs="Arial"/>
        </w:rPr>
        <w:t>out,</w:t>
      </w:r>
      <w:proofErr w:type="gramEnd"/>
      <w:r>
        <w:rPr>
          <w:rFonts w:ascii="Arial" w:hAnsi="Arial" w:cs="Arial"/>
        </w:rPr>
        <w:t xml:space="preserve"> comparing the</w:t>
      </w:r>
      <w:r w:rsidR="004F6F88" w:rsidRPr="00D97FBA">
        <w:rPr>
          <w:rFonts w:ascii="Arial" w:hAnsi="Arial" w:cs="Arial"/>
        </w:rPr>
        <w:t xml:space="preserve"> results </w:t>
      </w:r>
      <w:r w:rsidR="00757242" w:rsidRPr="00D97FBA">
        <w:rPr>
          <w:rFonts w:ascii="Arial" w:hAnsi="Arial" w:cs="Arial"/>
        </w:rPr>
        <w:t>using</w:t>
      </w:r>
      <w:r w:rsidR="004F6F88" w:rsidRPr="00D97FBA">
        <w:rPr>
          <w:rFonts w:ascii="Arial" w:hAnsi="Arial" w:cs="Arial"/>
        </w:rPr>
        <w:t xml:space="preserve"> the existing </w:t>
      </w:r>
      <w:r w:rsidR="00757242" w:rsidRPr="00D97FBA">
        <w:rPr>
          <w:rFonts w:ascii="Arial" w:hAnsi="Arial" w:cs="Arial"/>
        </w:rPr>
        <w:t>A</w:t>
      </w:r>
      <w:r w:rsidR="004F6F88" w:rsidRPr="00D97FBA">
        <w:rPr>
          <w:rFonts w:ascii="Arial" w:hAnsi="Arial" w:cs="Arial"/>
        </w:rPr>
        <w:t xml:space="preserve">cute </w:t>
      </w:r>
      <w:r w:rsidR="00757242" w:rsidRPr="00D97FBA">
        <w:rPr>
          <w:rFonts w:ascii="Arial" w:hAnsi="Arial" w:cs="Arial"/>
        </w:rPr>
        <w:t xml:space="preserve">needs </w:t>
      </w:r>
      <w:r w:rsidR="004F6F88" w:rsidRPr="00D97FBA">
        <w:rPr>
          <w:rFonts w:ascii="Arial" w:hAnsi="Arial" w:cs="Arial"/>
        </w:rPr>
        <w:t xml:space="preserve">index (simple shortfall method) </w:t>
      </w:r>
      <w:r>
        <w:rPr>
          <w:rFonts w:ascii="Arial" w:hAnsi="Arial" w:cs="Arial"/>
        </w:rPr>
        <w:t xml:space="preserve">with those using </w:t>
      </w:r>
      <w:r w:rsidR="004F6F88" w:rsidRPr="00D97FBA">
        <w:rPr>
          <w:rFonts w:ascii="Arial" w:hAnsi="Arial" w:cs="Arial"/>
        </w:rPr>
        <w:t>the SIMD domain score (2007 shortfall method)</w:t>
      </w:r>
      <w:r>
        <w:rPr>
          <w:rFonts w:ascii="Arial" w:hAnsi="Arial" w:cs="Arial"/>
        </w:rPr>
        <w:t>.</w:t>
      </w:r>
      <w:r w:rsidR="004F6F88" w:rsidRPr="00D97FBA">
        <w:rPr>
          <w:rFonts w:ascii="Arial" w:hAnsi="Arial" w:cs="Arial"/>
        </w:rPr>
        <w:t xml:space="preserve"> </w:t>
      </w:r>
      <w:r>
        <w:rPr>
          <w:rFonts w:ascii="Arial" w:hAnsi="Arial" w:cs="Arial"/>
        </w:rPr>
        <w:t xml:space="preserve">This analysis </w:t>
      </w:r>
      <w:r w:rsidR="00742BF1">
        <w:rPr>
          <w:rFonts w:ascii="Arial" w:hAnsi="Arial" w:cs="Arial"/>
        </w:rPr>
        <w:t xml:space="preserve">suggests </w:t>
      </w:r>
      <w:r>
        <w:rPr>
          <w:rFonts w:ascii="Arial" w:hAnsi="Arial" w:cs="Arial"/>
        </w:rPr>
        <w:t xml:space="preserve">that the slope of the extrapolated regression line – used ultimately to predict relative healthcare costs between all data zones in the process of calculating target allocation shares – </w:t>
      </w:r>
      <w:r w:rsidR="00742BF1">
        <w:rPr>
          <w:rFonts w:ascii="Arial" w:hAnsi="Arial" w:cs="Arial"/>
        </w:rPr>
        <w:t>may</w:t>
      </w:r>
      <w:r>
        <w:rPr>
          <w:rFonts w:ascii="Arial" w:hAnsi="Arial" w:cs="Arial"/>
        </w:rPr>
        <w:t xml:space="preserve"> depend </w:t>
      </w:r>
      <w:r w:rsidR="00742BF1">
        <w:rPr>
          <w:rFonts w:ascii="Arial" w:hAnsi="Arial" w:cs="Arial"/>
        </w:rPr>
        <w:t xml:space="preserve">substantially </w:t>
      </w:r>
      <w:r>
        <w:rPr>
          <w:rFonts w:ascii="Arial" w:hAnsi="Arial" w:cs="Arial"/>
        </w:rPr>
        <w:t>on which variable was used to exclude data zones from the regression.</w:t>
      </w:r>
      <w:r w:rsidR="004F6F88" w:rsidRPr="00D97FBA">
        <w:rPr>
          <w:rFonts w:ascii="Arial" w:hAnsi="Arial" w:cs="Arial"/>
        </w:rPr>
        <w:t xml:space="preserve"> </w:t>
      </w:r>
    </w:p>
    <w:p w:rsidR="00176DB3" w:rsidRPr="00D97FBA" w:rsidRDefault="004F6F88" w:rsidP="00AA136B">
      <w:pPr>
        <w:jc w:val="both"/>
        <w:rPr>
          <w:rFonts w:ascii="Arial" w:hAnsi="Arial" w:cs="Arial"/>
        </w:rPr>
      </w:pPr>
      <w:r w:rsidRPr="00D97FBA">
        <w:rPr>
          <w:rFonts w:ascii="Arial" w:hAnsi="Arial" w:cs="Arial"/>
        </w:rPr>
        <w:t xml:space="preserve">There is no </w:t>
      </w:r>
      <w:r w:rsidR="00AD355B">
        <w:rPr>
          <w:rFonts w:ascii="Arial" w:hAnsi="Arial" w:cs="Arial"/>
        </w:rPr>
        <w:t xml:space="preserve">clear </w:t>
      </w:r>
      <w:r w:rsidRPr="00D97FBA">
        <w:rPr>
          <w:rFonts w:ascii="Arial" w:hAnsi="Arial" w:cs="Arial"/>
        </w:rPr>
        <w:t xml:space="preserve">analytical basis </w:t>
      </w:r>
      <w:r w:rsidR="005F6EFB" w:rsidRPr="00D97FBA">
        <w:rPr>
          <w:rFonts w:ascii="Arial" w:hAnsi="Arial" w:cs="Arial"/>
        </w:rPr>
        <w:t xml:space="preserve">upon which to decide which </w:t>
      </w:r>
      <w:r w:rsidR="00A47271">
        <w:rPr>
          <w:rFonts w:ascii="Arial" w:hAnsi="Arial" w:cs="Arial"/>
        </w:rPr>
        <w:t>‘</w:t>
      </w:r>
      <w:r w:rsidR="005F6EFB" w:rsidRPr="00D97FBA">
        <w:rPr>
          <w:rFonts w:ascii="Arial" w:hAnsi="Arial" w:cs="Arial"/>
        </w:rPr>
        <w:t>exclusion</w:t>
      </w:r>
      <w:r w:rsidR="00A47271">
        <w:rPr>
          <w:rFonts w:ascii="Arial" w:hAnsi="Arial" w:cs="Arial"/>
        </w:rPr>
        <w:t>’</w:t>
      </w:r>
      <w:r w:rsidR="005F6EFB" w:rsidRPr="00D97FBA">
        <w:rPr>
          <w:rFonts w:ascii="Arial" w:hAnsi="Arial" w:cs="Arial"/>
        </w:rPr>
        <w:t xml:space="preserve"> variable to use in preference to any other. </w:t>
      </w:r>
      <w:r w:rsidR="00CD35F3" w:rsidRPr="00AD355B">
        <w:rPr>
          <w:rFonts w:ascii="Arial" w:hAnsi="Arial" w:cs="Arial"/>
        </w:rPr>
        <w:t>One option would be for</w:t>
      </w:r>
      <w:r w:rsidR="008E1BB0" w:rsidRPr="00AD355B">
        <w:rPr>
          <w:rFonts w:ascii="Arial" w:hAnsi="Arial" w:cs="Arial"/>
        </w:rPr>
        <w:t xml:space="preserve"> the</w:t>
      </w:r>
      <w:r w:rsidR="008E1BB0" w:rsidRPr="00D97FBA">
        <w:rPr>
          <w:rFonts w:ascii="Arial" w:hAnsi="Arial" w:cs="Arial"/>
        </w:rPr>
        <w:t xml:space="preserve"> Subgroup </w:t>
      </w:r>
      <w:r w:rsidR="00AD355B">
        <w:rPr>
          <w:rFonts w:ascii="Arial" w:hAnsi="Arial" w:cs="Arial"/>
        </w:rPr>
        <w:t xml:space="preserve">to </w:t>
      </w:r>
      <w:r w:rsidR="008E1BB0" w:rsidRPr="00D97FBA">
        <w:rPr>
          <w:rFonts w:ascii="Arial" w:hAnsi="Arial" w:cs="Arial"/>
        </w:rPr>
        <w:t>establish a h</w:t>
      </w:r>
      <w:r w:rsidR="008E094C" w:rsidRPr="00D97FBA">
        <w:rPr>
          <w:rFonts w:ascii="Arial" w:hAnsi="Arial" w:cs="Arial"/>
        </w:rPr>
        <w:t>ierarchy of</w:t>
      </w:r>
      <w:r w:rsidR="008E094C">
        <w:rPr>
          <w:rFonts w:ascii="Arial" w:hAnsi="Arial" w:cs="Arial"/>
        </w:rPr>
        <w:t xml:space="preserve"> priority for implementation </w:t>
      </w:r>
      <w:r w:rsidR="008E1BB0">
        <w:rPr>
          <w:rFonts w:ascii="Arial" w:hAnsi="Arial" w:cs="Arial"/>
        </w:rPr>
        <w:t xml:space="preserve">in advance, to make clear which </w:t>
      </w:r>
      <w:r w:rsidR="00A47271">
        <w:rPr>
          <w:rFonts w:ascii="Arial" w:hAnsi="Arial" w:cs="Arial"/>
        </w:rPr>
        <w:t xml:space="preserve">variable is to be used to excluded data zones from the regression, </w:t>
      </w:r>
      <w:r w:rsidR="008E1BB0">
        <w:rPr>
          <w:rFonts w:ascii="Arial" w:hAnsi="Arial" w:cs="Arial"/>
        </w:rPr>
        <w:t>in the event that</w:t>
      </w:r>
      <w:r w:rsidR="008E094C">
        <w:rPr>
          <w:rFonts w:ascii="Arial" w:hAnsi="Arial" w:cs="Arial"/>
        </w:rPr>
        <w:t xml:space="preserve"> more than one</w:t>
      </w:r>
      <w:r w:rsidR="008E1BB0">
        <w:rPr>
          <w:rFonts w:ascii="Arial" w:hAnsi="Arial" w:cs="Arial"/>
        </w:rPr>
        <w:t xml:space="preserve"> is found</w:t>
      </w:r>
      <w:r w:rsidR="00A47271">
        <w:rPr>
          <w:rFonts w:ascii="Arial" w:hAnsi="Arial" w:cs="Arial"/>
        </w:rPr>
        <w:t xml:space="preserve"> to be associated with unmet need</w:t>
      </w:r>
      <w:r w:rsidR="008E1BB0" w:rsidRPr="00D97FBA">
        <w:rPr>
          <w:rFonts w:ascii="Arial" w:hAnsi="Arial" w:cs="Arial"/>
        </w:rPr>
        <w:t>.</w:t>
      </w:r>
      <w:r w:rsidRPr="00D97FBA">
        <w:rPr>
          <w:rFonts w:ascii="Arial" w:hAnsi="Arial" w:cs="Arial"/>
        </w:rPr>
        <w:t xml:space="preserve"> The variables to be ranked would be: deprivation and other factors as measured by the </w:t>
      </w:r>
      <w:r w:rsidR="00D97FBA" w:rsidRPr="00D97FBA">
        <w:rPr>
          <w:rFonts w:ascii="Arial" w:hAnsi="Arial" w:cs="Arial"/>
        </w:rPr>
        <w:t>A</w:t>
      </w:r>
      <w:r w:rsidRPr="00D97FBA">
        <w:rPr>
          <w:rFonts w:ascii="Arial" w:hAnsi="Arial" w:cs="Arial"/>
        </w:rPr>
        <w:t xml:space="preserve">cute </w:t>
      </w:r>
      <w:r w:rsidR="00D97FBA" w:rsidRPr="00D97FBA">
        <w:rPr>
          <w:rFonts w:ascii="Arial" w:hAnsi="Arial" w:cs="Arial"/>
        </w:rPr>
        <w:t xml:space="preserve">needs </w:t>
      </w:r>
      <w:r w:rsidRPr="00D97FBA">
        <w:rPr>
          <w:rFonts w:ascii="Arial" w:hAnsi="Arial" w:cs="Arial"/>
        </w:rPr>
        <w:t xml:space="preserve">index (the nature of which remains TBC), deprivation as measured by SIMD income score, ethnicity (as defined above) and </w:t>
      </w:r>
      <w:proofErr w:type="spellStart"/>
      <w:r w:rsidRPr="00D97FBA">
        <w:rPr>
          <w:rFonts w:ascii="Arial" w:hAnsi="Arial" w:cs="Arial"/>
        </w:rPr>
        <w:t>rurality</w:t>
      </w:r>
      <w:proofErr w:type="spellEnd"/>
      <w:r w:rsidRPr="00D97FBA">
        <w:rPr>
          <w:rFonts w:ascii="Arial" w:hAnsi="Arial" w:cs="Arial"/>
        </w:rPr>
        <w:t xml:space="preserve"> (as defined above).</w:t>
      </w:r>
    </w:p>
    <w:p w:rsidR="00742BF1" w:rsidRPr="00AD355B" w:rsidRDefault="008E1BB0" w:rsidP="00C533F8">
      <w:pPr>
        <w:jc w:val="both"/>
        <w:rPr>
          <w:rFonts w:ascii="Arial" w:hAnsi="Arial" w:cs="Arial"/>
          <w:b/>
          <w:sz w:val="24"/>
          <w:szCs w:val="24"/>
        </w:rPr>
      </w:pPr>
      <w:r w:rsidRPr="00AD355B">
        <w:rPr>
          <w:rFonts w:ascii="Arial" w:hAnsi="Arial" w:cs="Arial"/>
          <w:b/>
        </w:rPr>
        <w:lastRenderedPageBreak/>
        <w:t xml:space="preserve">The Subgroup is asked to </w:t>
      </w:r>
      <w:r w:rsidR="00AD355B" w:rsidRPr="00AD355B">
        <w:rPr>
          <w:rFonts w:ascii="Arial" w:hAnsi="Arial" w:cs="Arial"/>
          <w:b/>
        </w:rPr>
        <w:t>consider the above proposals and to decide on how adjustments should be implemented in cases when multiple variables are found to be significant</w:t>
      </w:r>
      <w:r w:rsidRPr="00AD355B">
        <w:rPr>
          <w:rFonts w:ascii="Arial" w:hAnsi="Arial" w:cs="Arial"/>
          <w:b/>
        </w:rPr>
        <w:t>.</w:t>
      </w:r>
      <w:r w:rsidR="00742BF1" w:rsidRPr="00AD355B">
        <w:rPr>
          <w:rFonts w:ascii="Arial" w:hAnsi="Arial" w:cs="Arial"/>
          <w:b/>
          <w:sz w:val="24"/>
          <w:szCs w:val="24"/>
        </w:rPr>
        <w:br w:type="page"/>
      </w:r>
    </w:p>
    <w:p w:rsidR="00BC1951" w:rsidRPr="00B666BF" w:rsidRDefault="00BC1951" w:rsidP="00BC1951">
      <w:pPr>
        <w:rPr>
          <w:rFonts w:ascii="Arial" w:hAnsi="Arial" w:cs="Arial"/>
          <w:b/>
          <w:caps/>
          <w:sz w:val="24"/>
          <w:szCs w:val="24"/>
        </w:rPr>
      </w:pPr>
      <w:r w:rsidRPr="00B666BF">
        <w:rPr>
          <w:rFonts w:ascii="Arial" w:hAnsi="Arial" w:cs="Arial"/>
          <w:b/>
          <w:sz w:val="24"/>
          <w:szCs w:val="24"/>
        </w:rPr>
        <w:lastRenderedPageBreak/>
        <w:t>Annex A: Model details</w:t>
      </w:r>
    </w:p>
    <w:p w:rsidR="00BC1951" w:rsidRPr="00C1748D" w:rsidRDefault="00BC1951" w:rsidP="00BC1951">
      <w:pPr>
        <w:rPr>
          <w:rFonts w:ascii="Arial" w:hAnsi="Arial" w:cs="Arial"/>
          <w:b/>
        </w:rPr>
      </w:pPr>
      <w:r>
        <w:rPr>
          <w:rFonts w:ascii="Arial" w:hAnsi="Arial" w:cs="Arial"/>
          <w:b/>
        </w:rPr>
        <w:t>A.1 The simple shortfall method</w:t>
      </w:r>
    </w:p>
    <w:p w:rsidR="00BC1951" w:rsidRPr="00A144DF" w:rsidRDefault="009A06BE" w:rsidP="00BC1951">
      <w:pPr>
        <w:jc w:val="both"/>
        <w:rPr>
          <w:rFonts w:ascii="Arial" w:hAnsi="Arial" w:cs="Arial"/>
        </w:rPr>
      </w:pPr>
      <w:r>
        <w:rPr>
          <w:rFonts w:ascii="Arial" w:hAnsi="Arial" w:cs="Arial"/>
        </w:rPr>
        <w:t xml:space="preserve">A </w:t>
      </w:r>
      <w:proofErr w:type="spellStart"/>
      <w:r>
        <w:rPr>
          <w:rFonts w:ascii="Arial" w:hAnsi="Arial" w:cs="Arial"/>
        </w:rPr>
        <w:t>s</w:t>
      </w:r>
      <w:r w:rsidR="00BC1951" w:rsidRPr="00A144DF">
        <w:rPr>
          <w:rFonts w:ascii="Arial" w:hAnsi="Arial" w:cs="Arial"/>
        </w:rPr>
        <w:t>pline</w:t>
      </w:r>
      <w:proofErr w:type="spellEnd"/>
      <w:r w:rsidR="00BC1951" w:rsidRPr="00A144DF">
        <w:rPr>
          <w:rFonts w:ascii="Arial" w:hAnsi="Arial" w:cs="Arial"/>
        </w:rPr>
        <w:t xml:space="preserve"> variable</w:t>
      </w:r>
      <w:r>
        <w:rPr>
          <w:rFonts w:ascii="Arial" w:hAnsi="Arial" w:cs="Arial"/>
        </w:rPr>
        <w:t xml:space="preserve"> is</w:t>
      </w:r>
      <w:r w:rsidR="00BC1951" w:rsidRPr="00A144DF">
        <w:rPr>
          <w:rFonts w:ascii="Arial" w:hAnsi="Arial" w:cs="Arial"/>
        </w:rPr>
        <w:t xml:space="preserve"> included in the</w:t>
      </w:r>
      <w:r>
        <w:rPr>
          <w:rFonts w:ascii="Arial" w:hAnsi="Arial" w:cs="Arial"/>
        </w:rPr>
        <w:t xml:space="preserve"> </w:t>
      </w:r>
      <w:r w:rsidRPr="00A144DF">
        <w:rPr>
          <w:rFonts w:ascii="Arial" w:hAnsi="Arial" w:cs="Arial"/>
        </w:rPr>
        <w:t xml:space="preserve">linear regression model in addition to the supply variables, Health Board dummies and the </w:t>
      </w:r>
      <w:r>
        <w:rPr>
          <w:rFonts w:ascii="Arial" w:hAnsi="Arial" w:cs="Arial"/>
        </w:rPr>
        <w:t>A</w:t>
      </w:r>
      <w:r w:rsidRPr="00A144DF">
        <w:rPr>
          <w:rFonts w:ascii="Arial" w:hAnsi="Arial" w:cs="Arial"/>
        </w:rPr>
        <w:t xml:space="preserve">cute </w:t>
      </w:r>
      <w:r>
        <w:rPr>
          <w:rFonts w:ascii="Arial" w:hAnsi="Arial" w:cs="Arial"/>
        </w:rPr>
        <w:t xml:space="preserve">needs </w:t>
      </w:r>
      <w:r w:rsidRPr="00A144DF">
        <w:rPr>
          <w:rFonts w:ascii="Arial" w:hAnsi="Arial" w:cs="Arial"/>
        </w:rPr>
        <w:t>index</w:t>
      </w:r>
      <w:r>
        <w:rPr>
          <w:rFonts w:ascii="Arial" w:hAnsi="Arial" w:cs="Arial"/>
        </w:rPr>
        <w:t>. T</w:t>
      </w:r>
      <w:r w:rsidR="00BC1951" w:rsidRPr="00A144DF">
        <w:rPr>
          <w:rFonts w:ascii="Arial" w:hAnsi="Arial" w:cs="Arial"/>
        </w:rPr>
        <w:t xml:space="preserve">he </w:t>
      </w:r>
      <w:proofErr w:type="spellStart"/>
      <w:r w:rsidR="00BC1951" w:rsidRPr="00A144DF">
        <w:rPr>
          <w:rFonts w:ascii="Arial" w:hAnsi="Arial" w:cs="Arial"/>
        </w:rPr>
        <w:t>spline</w:t>
      </w:r>
      <w:proofErr w:type="spellEnd"/>
      <w:r>
        <w:rPr>
          <w:rFonts w:ascii="Arial" w:hAnsi="Arial" w:cs="Arial"/>
        </w:rPr>
        <w:t xml:space="preserve"> is</w:t>
      </w:r>
      <w:r w:rsidR="00BC1951" w:rsidRPr="00A144DF">
        <w:rPr>
          <w:rFonts w:ascii="Arial" w:hAnsi="Arial" w:cs="Arial"/>
        </w:rPr>
        <w:t xml:space="preserve"> defined as:</w:t>
      </w:r>
    </w:p>
    <w:p w:rsidR="00BC1951" w:rsidRPr="00A144DF" w:rsidRDefault="00BC1951" w:rsidP="00BC1951">
      <w:pPr>
        <w:jc w:val="both"/>
        <w:rPr>
          <w:rFonts w:ascii="Arial" w:hAnsi="Arial" w:cs="Arial"/>
        </w:rPr>
      </w:pPr>
      <w:proofErr w:type="spellStart"/>
      <w:proofErr w:type="gramStart"/>
      <w:r w:rsidRPr="009A06BE">
        <w:rPr>
          <w:rFonts w:ascii="Arial" w:hAnsi="Arial" w:cs="Arial"/>
          <w:i/>
        </w:rPr>
        <w:t>x</w:t>
      </w:r>
      <w:r w:rsidRPr="009A06BE">
        <w:rPr>
          <w:rFonts w:ascii="Arial" w:hAnsi="Arial" w:cs="Arial"/>
          <w:i/>
          <w:vertAlign w:val="subscript"/>
        </w:rPr>
        <w:t>i</w:t>
      </w:r>
      <w:r w:rsidRPr="009A06BE">
        <w:rPr>
          <w:rFonts w:ascii="Arial" w:hAnsi="Arial" w:cs="Arial"/>
          <w:i/>
          <w:vertAlign w:val="superscript"/>
        </w:rPr>
        <w:t>H</w:t>
      </w:r>
      <w:proofErr w:type="spellEnd"/>
      <w:proofErr w:type="gramEnd"/>
      <w:r w:rsidRPr="00A144DF">
        <w:rPr>
          <w:rFonts w:ascii="Arial" w:hAnsi="Arial" w:cs="Arial"/>
          <w:vertAlign w:val="superscript"/>
        </w:rPr>
        <w:t xml:space="preserve"> </w:t>
      </w:r>
      <w:r w:rsidRPr="00A144DF">
        <w:rPr>
          <w:rFonts w:ascii="Arial" w:hAnsi="Arial" w:cs="Arial"/>
          <w:vertAlign w:val="superscript"/>
        </w:rPr>
        <w:tab/>
      </w:r>
      <w:r w:rsidRPr="00A144DF">
        <w:rPr>
          <w:rFonts w:ascii="Arial" w:hAnsi="Arial" w:cs="Arial"/>
        </w:rPr>
        <w:t xml:space="preserve">= </w:t>
      </w:r>
      <w:r w:rsidRPr="009A06BE">
        <w:rPr>
          <w:rFonts w:ascii="Arial" w:hAnsi="Arial" w:cs="Arial"/>
          <w:i/>
        </w:rPr>
        <w:t>x</w:t>
      </w:r>
      <w:r w:rsidRPr="009A06BE">
        <w:rPr>
          <w:rFonts w:ascii="Arial" w:hAnsi="Arial" w:cs="Arial"/>
          <w:i/>
          <w:vertAlign w:val="subscript"/>
        </w:rPr>
        <w:t xml:space="preserve">i </w:t>
      </w:r>
      <w:r w:rsidRPr="00A144DF">
        <w:rPr>
          <w:rFonts w:ascii="Arial" w:hAnsi="Arial" w:cs="Arial"/>
        </w:rPr>
        <w:t xml:space="preserve">– </w:t>
      </w:r>
      <w:proofErr w:type="spellStart"/>
      <w:r w:rsidR="00E5250C">
        <w:rPr>
          <w:rFonts w:ascii="Arial" w:hAnsi="Arial" w:cs="Arial"/>
          <w:i/>
        </w:rPr>
        <w:t>c</w:t>
      </w:r>
      <w:r w:rsidRPr="009A06BE">
        <w:rPr>
          <w:rFonts w:ascii="Arial" w:hAnsi="Arial" w:cs="Arial"/>
          <w:i/>
          <w:vertAlign w:val="superscript"/>
        </w:rPr>
        <w:t>H</w:t>
      </w:r>
      <w:proofErr w:type="spellEnd"/>
      <w:r w:rsidRPr="00A144DF">
        <w:rPr>
          <w:rFonts w:ascii="Arial" w:hAnsi="Arial" w:cs="Arial"/>
        </w:rPr>
        <w:tab/>
        <w:t xml:space="preserve">if </w:t>
      </w:r>
      <w:r w:rsidRPr="009A06BE">
        <w:rPr>
          <w:rFonts w:ascii="Arial" w:hAnsi="Arial" w:cs="Arial"/>
          <w:i/>
        </w:rPr>
        <w:t>x</w:t>
      </w:r>
      <w:r w:rsidRPr="009A06BE">
        <w:rPr>
          <w:rFonts w:ascii="Arial" w:hAnsi="Arial" w:cs="Arial"/>
          <w:i/>
          <w:vertAlign w:val="subscript"/>
        </w:rPr>
        <w:t>i</w:t>
      </w:r>
      <w:r w:rsidRPr="00A144DF">
        <w:rPr>
          <w:rFonts w:ascii="Arial" w:hAnsi="Arial" w:cs="Arial"/>
        </w:rPr>
        <w:t xml:space="preserve"> &gt; </w:t>
      </w:r>
      <w:proofErr w:type="spellStart"/>
      <w:r w:rsidR="00E5250C">
        <w:rPr>
          <w:rFonts w:ascii="Arial" w:hAnsi="Arial" w:cs="Arial"/>
          <w:i/>
        </w:rPr>
        <w:t>c</w:t>
      </w:r>
      <w:r w:rsidRPr="009A06BE">
        <w:rPr>
          <w:rFonts w:ascii="Arial" w:hAnsi="Arial" w:cs="Arial"/>
          <w:i/>
          <w:vertAlign w:val="superscript"/>
        </w:rPr>
        <w:t>H</w:t>
      </w:r>
      <w:proofErr w:type="spellEnd"/>
    </w:p>
    <w:p w:rsidR="00BC1951" w:rsidRPr="00A144DF" w:rsidRDefault="00BC1951" w:rsidP="00BC1951">
      <w:pPr>
        <w:ind w:firstLine="720"/>
        <w:jc w:val="both"/>
        <w:rPr>
          <w:rFonts w:ascii="Arial" w:hAnsi="Arial" w:cs="Arial"/>
        </w:rPr>
      </w:pPr>
      <w:r w:rsidRPr="00A144DF">
        <w:rPr>
          <w:rFonts w:ascii="Arial" w:hAnsi="Arial" w:cs="Arial"/>
        </w:rPr>
        <w:t>=</w:t>
      </w:r>
      <w:r w:rsidRPr="00A144DF">
        <w:rPr>
          <w:rFonts w:ascii="Arial" w:hAnsi="Arial" w:cs="Arial"/>
          <w:vertAlign w:val="subscript"/>
        </w:rPr>
        <w:t xml:space="preserve"> </w:t>
      </w:r>
      <w:r w:rsidRPr="00A144DF">
        <w:rPr>
          <w:rFonts w:ascii="Arial" w:hAnsi="Arial" w:cs="Arial"/>
        </w:rPr>
        <w:t>0</w:t>
      </w:r>
      <w:r w:rsidRPr="00A144DF">
        <w:rPr>
          <w:rFonts w:ascii="Arial" w:hAnsi="Arial" w:cs="Arial"/>
        </w:rPr>
        <w:tab/>
      </w:r>
      <w:r w:rsidRPr="00A144DF">
        <w:rPr>
          <w:rFonts w:ascii="Arial" w:hAnsi="Arial" w:cs="Arial"/>
        </w:rPr>
        <w:tab/>
        <w:t xml:space="preserve">if </w:t>
      </w:r>
      <w:r w:rsidRPr="009A06BE">
        <w:rPr>
          <w:rFonts w:ascii="Arial" w:hAnsi="Arial" w:cs="Arial"/>
          <w:i/>
        </w:rPr>
        <w:t>x</w:t>
      </w:r>
      <w:r w:rsidRPr="009A06BE">
        <w:rPr>
          <w:rFonts w:ascii="Arial" w:hAnsi="Arial" w:cs="Arial"/>
          <w:i/>
          <w:vertAlign w:val="subscript"/>
        </w:rPr>
        <w:t>i</w:t>
      </w:r>
      <w:r w:rsidRPr="00A144DF">
        <w:rPr>
          <w:rFonts w:ascii="Arial" w:hAnsi="Arial" w:cs="Arial"/>
        </w:rPr>
        <w:t xml:space="preserve"> ≤ </w:t>
      </w:r>
      <w:proofErr w:type="spellStart"/>
      <w:r w:rsidR="00E5250C">
        <w:rPr>
          <w:rFonts w:ascii="Arial" w:hAnsi="Arial" w:cs="Arial"/>
          <w:i/>
        </w:rPr>
        <w:t>c</w:t>
      </w:r>
      <w:r w:rsidRPr="009A06BE">
        <w:rPr>
          <w:rFonts w:ascii="Arial" w:hAnsi="Arial" w:cs="Arial"/>
          <w:i/>
          <w:vertAlign w:val="superscript"/>
        </w:rPr>
        <w:t>H</w:t>
      </w:r>
      <w:proofErr w:type="spellEnd"/>
    </w:p>
    <w:p w:rsidR="009A06BE" w:rsidRDefault="009A06BE" w:rsidP="00BC1951">
      <w:pPr>
        <w:jc w:val="both"/>
        <w:rPr>
          <w:rFonts w:ascii="Arial" w:hAnsi="Arial" w:cs="Arial"/>
        </w:rPr>
      </w:pPr>
      <w:proofErr w:type="gramStart"/>
      <w:r>
        <w:rPr>
          <w:rFonts w:ascii="Arial" w:hAnsi="Arial" w:cs="Arial"/>
        </w:rPr>
        <w:t>where</w:t>
      </w:r>
      <w:proofErr w:type="gramEnd"/>
      <w:r>
        <w:rPr>
          <w:rFonts w:ascii="Arial" w:hAnsi="Arial" w:cs="Arial"/>
        </w:rPr>
        <w:t xml:space="preserve"> </w:t>
      </w:r>
      <w:r w:rsidRPr="009A06BE">
        <w:rPr>
          <w:rFonts w:ascii="Arial" w:hAnsi="Arial" w:cs="Arial"/>
          <w:i/>
        </w:rPr>
        <w:t>x</w:t>
      </w:r>
      <w:r w:rsidRPr="009A06BE">
        <w:rPr>
          <w:rFonts w:ascii="Arial" w:hAnsi="Arial" w:cs="Arial"/>
          <w:i/>
          <w:vertAlign w:val="subscript"/>
        </w:rPr>
        <w:t>i</w:t>
      </w:r>
      <w:r>
        <w:rPr>
          <w:rFonts w:ascii="Arial" w:hAnsi="Arial" w:cs="Arial"/>
        </w:rPr>
        <w:t xml:space="preserve"> is the Acute needs index value, the subscript</w:t>
      </w:r>
      <w:r w:rsidRPr="00A144DF">
        <w:rPr>
          <w:rFonts w:ascii="Arial" w:hAnsi="Arial" w:cs="Arial"/>
        </w:rPr>
        <w:t xml:space="preserve"> </w:t>
      </w:r>
      <w:proofErr w:type="spellStart"/>
      <w:r w:rsidRPr="009A06BE">
        <w:rPr>
          <w:rFonts w:ascii="Arial" w:hAnsi="Arial" w:cs="Arial"/>
          <w:i/>
        </w:rPr>
        <w:t>i</w:t>
      </w:r>
      <w:proofErr w:type="spellEnd"/>
      <w:r w:rsidRPr="00A144DF">
        <w:rPr>
          <w:rFonts w:ascii="Arial" w:hAnsi="Arial" w:cs="Arial"/>
        </w:rPr>
        <w:t xml:space="preserve"> </w:t>
      </w:r>
      <w:r>
        <w:rPr>
          <w:rFonts w:ascii="Arial" w:hAnsi="Arial" w:cs="Arial"/>
        </w:rPr>
        <w:t>referring to the data zone, and</w:t>
      </w:r>
      <w:r w:rsidRPr="009A06BE">
        <w:rPr>
          <w:rFonts w:ascii="Arial" w:hAnsi="Arial" w:cs="Arial"/>
          <w:i/>
        </w:rPr>
        <w:t xml:space="preserve"> </w:t>
      </w:r>
      <w:proofErr w:type="spellStart"/>
      <w:r w:rsidR="00E5250C">
        <w:rPr>
          <w:rFonts w:ascii="Arial" w:hAnsi="Arial" w:cs="Arial"/>
          <w:i/>
        </w:rPr>
        <w:t>c</w:t>
      </w:r>
      <w:r w:rsidRPr="009A06BE">
        <w:rPr>
          <w:rFonts w:ascii="Arial" w:hAnsi="Arial" w:cs="Arial"/>
          <w:i/>
          <w:vertAlign w:val="superscript"/>
        </w:rPr>
        <w:t>H</w:t>
      </w:r>
      <w:proofErr w:type="spellEnd"/>
      <w:r>
        <w:rPr>
          <w:rFonts w:ascii="Arial" w:hAnsi="Arial" w:cs="Arial"/>
        </w:rPr>
        <w:t xml:space="preserve"> is the cut-point being used. </w:t>
      </w:r>
    </w:p>
    <w:p w:rsidR="00E5250C" w:rsidRDefault="00BC1951" w:rsidP="00E5250C">
      <w:pPr>
        <w:jc w:val="both"/>
        <w:rPr>
          <w:rFonts w:ascii="Arial" w:hAnsi="Arial" w:cs="Arial"/>
        </w:rPr>
      </w:pPr>
      <w:r w:rsidRPr="00A144DF">
        <w:rPr>
          <w:rFonts w:ascii="Arial" w:hAnsi="Arial" w:cs="Arial"/>
        </w:rPr>
        <w:t xml:space="preserve">If the regression coefficient of </w:t>
      </w:r>
      <w:r w:rsidR="009A06BE">
        <w:rPr>
          <w:rFonts w:ascii="Arial" w:hAnsi="Arial" w:cs="Arial"/>
        </w:rPr>
        <w:t xml:space="preserve">the </w:t>
      </w:r>
      <w:proofErr w:type="spellStart"/>
      <w:r w:rsidR="009A06BE">
        <w:rPr>
          <w:rFonts w:ascii="Arial" w:hAnsi="Arial" w:cs="Arial"/>
        </w:rPr>
        <w:t>spline</w:t>
      </w:r>
      <w:proofErr w:type="spellEnd"/>
      <w:r w:rsidR="009A06BE">
        <w:rPr>
          <w:rFonts w:ascii="Arial" w:hAnsi="Arial" w:cs="Arial"/>
        </w:rPr>
        <w:t xml:space="preserve"> variable is</w:t>
      </w:r>
      <w:r w:rsidRPr="00A144DF">
        <w:rPr>
          <w:rFonts w:ascii="Arial" w:hAnsi="Arial" w:cs="Arial"/>
        </w:rPr>
        <w:t xml:space="preserve"> not significantly different from 0, then there is no evidence of </w:t>
      </w:r>
      <w:r w:rsidR="00E5250C">
        <w:rPr>
          <w:rFonts w:ascii="Arial" w:hAnsi="Arial" w:cs="Arial"/>
        </w:rPr>
        <w:t>deviation from linearity</w:t>
      </w:r>
      <w:r w:rsidRPr="00A144DF">
        <w:rPr>
          <w:rFonts w:ascii="Arial" w:hAnsi="Arial" w:cs="Arial"/>
        </w:rPr>
        <w:t xml:space="preserve">. </w:t>
      </w:r>
      <w:r w:rsidR="00E5250C">
        <w:rPr>
          <w:rFonts w:ascii="Arial" w:hAnsi="Arial" w:cs="Arial"/>
        </w:rPr>
        <w:t xml:space="preserve">A significant negative </w:t>
      </w:r>
      <w:r w:rsidRPr="00A144DF">
        <w:rPr>
          <w:rFonts w:ascii="Arial" w:hAnsi="Arial" w:cs="Arial"/>
        </w:rPr>
        <w:t xml:space="preserve">coefficient </w:t>
      </w:r>
      <w:r w:rsidR="00E5250C">
        <w:rPr>
          <w:rFonts w:ascii="Arial" w:hAnsi="Arial" w:cs="Arial"/>
        </w:rPr>
        <w:t xml:space="preserve">value </w:t>
      </w:r>
      <w:r w:rsidRPr="00A144DF">
        <w:rPr>
          <w:rFonts w:ascii="Arial" w:hAnsi="Arial" w:cs="Arial"/>
        </w:rPr>
        <w:t>(</w:t>
      </w:r>
      <w:r w:rsidR="00E5250C">
        <w:rPr>
          <w:rFonts w:ascii="Arial" w:hAnsi="Arial" w:cs="Arial"/>
        </w:rPr>
        <w:t xml:space="preserve">with </w:t>
      </w:r>
      <w:r w:rsidRPr="00A144DF">
        <w:rPr>
          <w:rFonts w:ascii="Arial" w:hAnsi="Arial" w:cs="Arial"/>
        </w:rPr>
        <w:t xml:space="preserve">p-value less than 0.05), then there is </w:t>
      </w:r>
      <w:r w:rsidR="00E5250C" w:rsidRPr="00A144DF">
        <w:rPr>
          <w:rFonts w:ascii="Arial" w:hAnsi="Arial" w:cs="Arial"/>
        </w:rPr>
        <w:t xml:space="preserve">evidence of </w:t>
      </w:r>
      <w:r w:rsidR="00E5250C">
        <w:rPr>
          <w:rFonts w:ascii="Arial" w:hAnsi="Arial" w:cs="Arial"/>
        </w:rPr>
        <w:t>a shortfall</w:t>
      </w:r>
      <w:r w:rsidR="00E5250C" w:rsidRPr="00A144DF">
        <w:rPr>
          <w:rFonts w:ascii="Arial" w:hAnsi="Arial" w:cs="Arial"/>
        </w:rPr>
        <w:t xml:space="preserve"> in health care use</w:t>
      </w:r>
      <w:r w:rsidR="00E5250C">
        <w:rPr>
          <w:rFonts w:ascii="Arial" w:hAnsi="Arial" w:cs="Arial"/>
        </w:rPr>
        <w:t xml:space="preserve"> below the expected level</w:t>
      </w:r>
      <w:r w:rsidRPr="00A144DF">
        <w:rPr>
          <w:rFonts w:ascii="Arial" w:hAnsi="Arial" w:cs="Arial"/>
        </w:rPr>
        <w:t>.</w:t>
      </w:r>
    </w:p>
    <w:p w:rsidR="00BC1951" w:rsidRPr="00BC1951" w:rsidRDefault="00BC1951" w:rsidP="00E5250C">
      <w:pPr>
        <w:jc w:val="both"/>
        <w:rPr>
          <w:rFonts w:ascii="Arial" w:hAnsi="Arial" w:cs="Arial"/>
          <w:b/>
        </w:rPr>
      </w:pPr>
      <w:r w:rsidRPr="00BC1951">
        <w:rPr>
          <w:rFonts w:ascii="Arial" w:hAnsi="Arial" w:cs="Arial"/>
          <w:b/>
        </w:rPr>
        <w:t>A.2 The 2007 shortfall method</w:t>
      </w:r>
    </w:p>
    <w:p w:rsidR="00BC1951" w:rsidRPr="00BF4F40" w:rsidRDefault="00BC1951" w:rsidP="00BC1951">
      <w:pPr>
        <w:jc w:val="both"/>
        <w:rPr>
          <w:rFonts w:ascii="Arial" w:hAnsi="Arial" w:cs="Arial"/>
        </w:rPr>
      </w:pPr>
      <w:r w:rsidRPr="00BF4F40">
        <w:rPr>
          <w:rFonts w:ascii="Arial" w:hAnsi="Arial" w:cs="Arial"/>
        </w:rPr>
        <w:t>The model fitted can be represented algebraically as</w:t>
      </w:r>
    </w:p>
    <w:p w:rsidR="00BC1951" w:rsidRPr="00BF4F40" w:rsidRDefault="00E72D75" w:rsidP="00BC1951">
      <w:pPr>
        <w:jc w:val="both"/>
        <w:rPr>
          <w:rFonts w:ascii="Arial" w:hAnsi="Arial" w:cs="Arial"/>
        </w:rPr>
      </w:pPr>
      <m:oMathPara>
        <m:oMath>
          <m:sSub>
            <m:sSubPr>
              <m:ctrlPr>
                <w:rPr>
                  <w:rFonts w:ascii="Cambria Math" w:hAnsi="Arial" w:cs="Arial"/>
                  <w:i/>
                </w:rPr>
              </m:ctrlPr>
            </m:sSubPr>
            <m:e>
              <m:r>
                <m:rPr>
                  <m:nor/>
                </m:rPr>
                <w:rPr>
                  <w:rFonts w:ascii="Cambria Math" w:hAnsi="Cambria Math" w:cs="Arial"/>
                </w:rPr>
                <m:t>cost</m:t>
              </m:r>
              <m:r>
                <m:rPr>
                  <m:nor/>
                </m:rPr>
                <w:rPr>
                  <w:rFonts w:ascii="Cambria Math" w:hAnsi="Arial" w:cs="Arial"/>
                </w:rPr>
                <m:t xml:space="preserve"> </m:t>
              </m:r>
              <m:r>
                <m:rPr>
                  <m:nor/>
                </m:rPr>
                <w:rPr>
                  <w:rFonts w:ascii="Cambria Math" w:hAnsi="Cambria Math" w:cs="Arial"/>
                </w:rPr>
                <m:t>ratio</m:t>
              </m:r>
            </m:e>
            <m:sub>
              <m:r>
                <w:rPr>
                  <w:rFonts w:ascii="Cambria Math" w:hAnsi="Cambria Math" w:cs="Arial"/>
                </w:rPr>
                <m:t>i</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0</m:t>
              </m:r>
            </m:sub>
          </m:sSub>
          <m:r>
            <w:rPr>
              <w:rFonts w:ascii="Cambria Math" w:hAnsi="Arial" w:cs="Arial"/>
            </w:rPr>
            <m:t>+</m:t>
          </m:r>
          <m:sSub>
            <m:sSubPr>
              <m:ctrlPr>
                <w:rPr>
                  <w:rFonts w:ascii="Cambria Math" w:hAnsi="Arial" w:cs="Arial"/>
                  <w:i/>
                </w:rPr>
              </m:ctrlPr>
            </m:sSubPr>
            <m:e>
              <m:nary>
                <m:naryPr>
                  <m:chr m:val="∑"/>
                  <m:limLoc m:val="undOvr"/>
                  <m:supHide m:val="on"/>
                  <m:ctrlPr>
                    <w:rPr>
                      <w:rFonts w:ascii="Cambria Math" w:hAnsi="Cambria Math" w:cs="Arial"/>
                      <w:i/>
                    </w:rPr>
                  </m:ctrlPr>
                </m:naryPr>
                <m:sub>
                  <m:r>
                    <w:rPr>
                      <w:rFonts w:ascii="Cambria Math" w:hAnsi="Cambria Math" w:cs="Arial"/>
                    </w:rPr>
                    <m:t>k</m:t>
                  </m:r>
                </m:sub>
                <m:sup/>
                <m:e>
                  <m:sSub>
                    <m:sSubPr>
                      <m:ctrlPr>
                        <w:rPr>
                          <w:rFonts w:ascii="Cambria Math" w:hAnsi="Cambria Math" w:cs="Arial"/>
                          <w:i/>
                        </w:rPr>
                      </m:ctrlPr>
                    </m:sSubPr>
                    <m:e>
                      <m:r>
                        <w:rPr>
                          <w:rFonts w:ascii="Cambria Math" w:hAnsi="Cambria Math" w:cs="Arial"/>
                        </w:rPr>
                        <m:t>β</m:t>
                      </m:r>
                    </m:e>
                    <m:sub>
                      <m:r>
                        <w:rPr>
                          <w:rFonts w:ascii="Cambria Math" w:hAnsi="Cambria Math" w:cs="Arial"/>
                        </w:rPr>
                        <m:t>k</m:t>
                      </m:r>
                    </m:sub>
                  </m:sSub>
                </m:e>
              </m:nary>
              <m:r>
                <m:rPr>
                  <m:nor/>
                </m:rPr>
                <w:rPr>
                  <w:rFonts w:ascii="Cambria Math" w:hAnsi="Cambria Math" w:cs="Arial"/>
                </w:rPr>
                <m:t>HB</m:t>
              </m:r>
              <m:r>
                <m:rPr>
                  <m:nor/>
                </m:rPr>
                <w:rPr>
                  <w:rFonts w:ascii="Cambria Math" w:hAnsi="Arial" w:cs="Arial"/>
                </w:rPr>
                <m:t xml:space="preserve"> </m:t>
              </m:r>
              <m:r>
                <m:rPr>
                  <m:nor/>
                </m:rPr>
                <w:rPr>
                  <w:rFonts w:ascii="Cambria Math" w:hAnsi="Cambria Math" w:cs="Arial"/>
                </w:rPr>
                <m:t>dummy</m:t>
              </m:r>
            </m:e>
            <m:sub>
              <m:r>
                <w:rPr>
                  <w:rFonts w:ascii="Cambria Math" w:hAnsi="Arial" w:cs="Arial"/>
                </w:rPr>
                <m:t>ik</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14</m:t>
              </m:r>
            </m:sub>
          </m:sSub>
          <m:sSub>
            <m:sSubPr>
              <m:ctrlPr>
                <w:rPr>
                  <w:rFonts w:ascii="Cambria Math" w:hAnsi="Arial" w:cs="Arial"/>
                  <w:i/>
                </w:rPr>
              </m:ctrlPr>
            </m:sSubPr>
            <m:e>
              <m:r>
                <m:rPr>
                  <m:nor/>
                </m:rPr>
                <w:rPr>
                  <w:rFonts w:ascii="Cambria Math" w:hAnsi="Cambria Math" w:cs="Arial"/>
                </w:rPr>
                <m:t>IPACX</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15</m:t>
              </m:r>
            </m:sub>
          </m:sSub>
          <m:sSub>
            <m:sSubPr>
              <m:ctrlPr>
                <w:rPr>
                  <w:rFonts w:ascii="Cambria Math" w:hAnsi="Arial" w:cs="Arial"/>
                  <w:i/>
                </w:rPr>
              </m:ctrlPr>
            </m:sSubPr>
            <m:e>
              <m:r>
                <m:rPr>
                  <m:nor/>
                </m:rPr>
                <w:rPr>
                  <w:rFonts w:ascii="Cambria Math" w:hAnsi="Cambria Math" w:cs="Arial"/>
                </w:rPr>
                <m:t>OPACX</m:t>
              </m:r>
            </m:e>
            <m:sub>
              <m:r>
                <w:rPr>
                  <w:rFonts w:ascii="Cambria Math" w:hAnsi="Cambria Math" w:cs="Arial"/>
                </w:rPr>
                <m:t>i</m:t>
              </m:r>
            </m:sub>
          </m:sSub>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16</m:t>
              </m:r>
            </m:sub>
          </m:sSub>
          <m:sSub>
            <m:sSubPr>
              <m:ctrlPr>
                <w:rPr>
                  <w:rFonts w:ascii="Cambria Math" w:hAnsi="Arial" w:cs="Arial"/>
                  <w:i/>
                </w:rPr>
              </m:ctrlPr>
            </m:sSubPr>
            <m:e>
              <m:r>
                <m:rPr>
                  <m:nor/>
                </m:rPr>
                <w:rPr>
                  <w:rFonts w:ascii="Cambria Math" w:hAnsi="Cambria Math" w:cs="Arial"/>
                </w:rPr>
                <m:t>acute</m:t>
              </m:r>
              <m:r>
                <m:rPr>
                  <m:nor/>
                </m:rPr>
                <w:rPr>
                  <w:rFonts w:ascii="Cambria Math" w:hAnsi="Arial" w:cs="Arial"/>
                </w:rPr>
                <m:t xml:space="preserve"> </m:t>
              </m:r>
              <m:r>
                <m:rPr>
                  <m:nor/>
                </m:rPr>
                <w:rPr>
                  <w:rFonts w:ascii="Cambria Math" w:hAnsi="Cambria Math" w:cs="Arial"/>
                </w:rPr>
                <m:t>index</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17</m:t>
              </m:r>
            </m:sub>
          </m:sSub>
          <m:sSub>
            <m:sSubPr>
              <m:ctrlPr>
                <w:rPr>
                  <w:rFonts w:ascii="Cambria Math" w:hAnsi="Arial" w:cs="Arial"/>
                  <w:i/>
                </w:rPr>
              </m:ctrlPr>
            </m:sSubPr>
            <m:e>
              <m:r>
                <m:rPr>
                  <m:nor/>
                </m:rPr>
                <w:rPr>
                  <w:rFonts w:ascii="Cambria Math" w:hAnsi="Cambria Math" w:cs="Arial"/>
                </w:rPr>
                <m:t>deprived</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18</m:t>
              </m:r>
              <m:r>
                <w:rPr>
                  <w:rFonts w:ascii="Cambria Math" w:hAnsi="Arial" w:cs="Arial"/>
                  <w:vanish/>
                </w:rPr>
                <m:t>2219</m:t>
              </m:r>
              <m:r>
                <w:rPr>
                  <w:rFonts w:ascii="Cambria Math" w:hAnsi="Cambria Math" w:cs="Arial"/>
                  <w:vanish/>
                </w:rPr>
                <m:t>riese</m:t>
              </m:r>
              <m:r>
                <w:rPr>
                  <w:rFonts w:ascii="Cambria Math" w:hAnsi="Arial" w:cs="Arial"/>
                  <w:vanish/>
                </w:rPr>
                <m:t xml:space="preserve">, </m:t>
              </m:r>
              <m:r>
                <w:rPr>
                  <w:rFonts w:ascii="Cambria Math" w:hAnsi="Cambria Math" w:cs="Arial"/>
                  <w:vanish/>
                </w:rPr>
                <m:t>and</m:t>
              </m:r>
              <m:r>
                <w:rPr>
                  <w:rFonts w:ascii="Cambria Math" w:hAnsi="Arial" w:cs="Arial"/>
                  <w:vanish/>
                </w:rPr>
                <m:t xml:space="preserve"> </m:t>
              </m:r>
              <m:r>
                <w:rPr>
                  <w:rFonts w:ascii="Cambria Math" w:hAnsi="Cambria Math" w:cs="Arial"/>
                  <w:vanish/>
                </w:rPr>
                <m:t>respectively</m:t>
              </m:r>
              <m:r>
                <w:rPr>
                  <w:rFonts w:ascii="Cambria Math" w:hAnsi="Arial" w:cs="Arial"/>
                  <w:vanish/>
                </w:rPr>
                <m:t xml:space="preserve"> </m:t>
              </m:r>
              <m:r>
                <w:rPr>
                  <w:rFonts w:ascii="Cambria Math" w:hAnsi="Cambria Math" w:cs="Arial"/>
                  <w:vanish/>
                </w:rPr>
                <m:t>for</m:t>
              </m:r>
              <m:r>
                <w:rPr>
                  <w:rFonts w:ascii="Cambria Math" w:hAnsi="Arial" w:cs="Arial"/>
                  <w:vanish/>
                </w:rPr>
                <m:t xml:space="preserve"> </m:t>
              </m:r>
              <m:r>
                <w:rPr>
                  <w:rFonts w:ascii="Cambria Math" w:hAnsi="Cambria Math" w:cs="Arial"/>
                  <w:vanish/>
                </w:rPr>
                <m:t>ion</m:t>
              </m:r>
              <m:r>
                <w:rPr>
                  <w:rFonts w:ascii="Cambria Math" w:hAnsi="Arial" w:cs="Arial"/>
                  <w:vanish/>
                </w:rPr>
                <m:t xml:space="preserve"> </m:t>
              </m:r>
              <m:r>
                <w:rPr>
                  <w:rFonts w:ascii="Cambria Math" w:hAnsi="Cambria Math" w:cs="Arial"/>
                  <w:vanish/>
                </w:rPr>
                <m:t>and</m:t>
              </m:r>
              <m:r>
                <w:rPr>
                  <w:rFonts w:ascii="Cambria Math" w:hAnsi="Arial" w:cs="Arial"/>
                  <w:vanish/>
                </w:rPr>
                <m:t xml:space="preserve"> </m:t>
              </m:r>
              <m:r>
                <w:rPr>
                  <w:rFonts w:ascii="Cambria Math" w:hAnsi="Cambria Math" w:cs="Arial"/>
                  <w:vanish/>
                </w:rPr>
                <m:t>rurality</m:t>
              </m:r>
              <m:r>
                <w:rPr>
                  <w:rFonts w:ascii="Cambria Math" w:hAnsi="Arial" w:cs="Arial"/>
                  <w:vanish/>
                </w:rPr>
                <m:t xml:space="preserve"> </m:t>
              </m:r>
              <m:r>
                <w:rPr>
                  <w:rFonts w:ascii="Cambria Math" w:hAnsi="Cambria Math" w:cs="Arial"/>
                  <w:vanish/>
                </w:rPr>
                <m:t>effects</m:t>
              </m:r>
              <m:r>
                <w:rPr>
                  <w:rFonts w:ascii="Cambria Math" w:hAnsi="Arial" w:cs="Arial"/>
                  <w:vanish/>
                </w:rPr>
                <m:t xml:space="preserve"> </m:t>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r>
                <m:rPr>
                  <m:sty m:val="p"/>
                </m:rPr>
                <w:rPr>
                  <w:rFonts w:ascii="Cambria Math" w:hAnsi="Arial" w:cs="Arial"/>
                  <w:vanish/>
                </w:rPr>
                <w:pgNum/>
              </m:r>
            </m:sub>
          </m:sSub>
          <m:sSub>
            <m:sSubPr>
              <m:ctrlPr>
                <w:rPr>
                  <w:rFonts w:ascii="Cambria Math" w:hAnsi="Arial" w:cs="Arial"/>
                  <w:i/>
                </w:rPr>
              </m:ctrlPr>
            </m:sSubPr>
            <m:e>
              <m:r>
                <m:rPr>
                  <m:nor/>
                </m:rPr>
                <w:rPr>
                  <w:rFonts w:ascii="Cambria Math" w:hAnsi="Cambria Math" w:cs="Arial"/>
                </w:rPr>
                <m:t>acute</m:t>
              </m:r>
              <m:r>
                <m:rPr>
                  <m:nor/>
                </m:rPr>
                <w:rPr>
                  <w:rFonts w:ascii="Cambria Math" w:hAnsi="Arial" w:cs="Arial"/>
                </w:rPr>
                <m:t xml:space="preserve"> </m:t>
              </m:r>
              <m:r>
                <m:rPr>
                  <m:nor/>
                </m:rPr>
                <w:rPr>
                  <w:rFonts w:ascii="Cambria Math" w:hAnsi="Cambria Math" w:cs="Arial"/>
                </w:rPr>
                <m:t>index</m:t>
              </m:r>
            </m:e>
            <m:sub>
              <m:r>
                <w:rPr>
                  <w:rFonts w:ascii="Cambria Math" w:hAnsi="Cambria Math" w:cs="Arial"/>
                </w:rPr>
                <m:t>i</m:t>
              </m:r>
            </m:sub>
          </m:sSub>
          <m:r>
            <w:rPr>
              <w:rFonts w:ascii="Cambria Math" w:hAnsi="Cambria Math" w:cs="Arial"/>
            </w:rPr>
            <m:t>×</m:t>
          </m:r>
          <m:sSub>
            <m:sSubPr>
              <m:ctrlPr>
                <w:rPr>
                  <w:rFonts w:ascii="Cambria Math" w:hAnsi="Arial" w:cs="Arial"/>
                  <w:i/>
                </w:rPr>
              </m:ctrlPr>
            </m:sSubPr>
            <m:e>
              <m:r>
                <m:rPr>
                  <m:nor/>
                </m:rPr>
                <w:rPr>
                  <w:rFonts w:ascii="Cambria Math" w:hAnsi="Cambria Math" w:cs="Arial"/>
                </w:rPr>
                <m:t>deprived</m:t>
              </m:r>
            </m:e>
            <m:sub>
              <m:r>
                <w:rPr>
                  <w:rFonts w:ascii="Cambria Math" w:hAnsi="Cambria Math" w:cs="Arial"/>
                </w:rPr>
                <m:t>i</m:t>
              </m:r>
            </m:sub>
          </m:sSub>
          <m:r>
            <w:rPr>
              <w:rFonts w:ascii="Cambria Math" w:hAnsi="Arial" w:cs="Arial"/>
            </w:rPr>
            <m:t>+</m:t>
          </m:r>
          <m:sSub>
            <m:sSubPr>
              <m:ctrlPr>
                <w:rPr>
                  <w:rFonts w:ascii="Cambria Math" w:hAnsi="Arial" w:cs="Arial"/>
                  <w:i/>
                </w:rPr>
              </m:ctrlPr>
            </m:sSubPr>
            <m:e>
              <m:r>
                <m:rPr>
                  <m:nor/>
                </m:rPr>
                <w:rPr>
                  <w:rFonts w:ascii="Cambria Math" w:hAnsi="Cambria Math" w:cs="Arial"/>
                </w:rPr>
                <m:t>error</m:t>
              </m:r>
            </m:e>
            <m:sub>
              <m:r>
                <w:rPr>
                  <w:rFonts w:ascii="Cambria Math" w:hAnsi="Cambria Math" w:cs="Arial"/>
                </w:rPr>
                <m:t>i</m:t>
              </m:r>
            </m:sub>
          </m:sSub>
        </m:oMath>
      </m:oMathPara>
    </w:p>
    <w:p w:rsidR="00BC1951" w:rsidRPr="00BF4F40" w:rsidRDefault="00BC1951" w:rsidP="00BC1951">
      <w:pPr>
        <w:jc w:val="both"/>
        <w:rPr>
          <w:rFonts w:ascii="Arial" w:hAnsi="Arial" w:cs="Arial"/>
        </w:rPr>
      </w:pPr>
      <w:proofErr w:type="gramStart"/>
      <w:r w:rsidRPr="00BF4F40">
        <w:rPr>
          <w:rFonts w:ascii="Arial" w:hAnsi="Arial" w:cs="Arial"/>
        </w:rPr>
        <w:t>for</w:t>
      </w:r>
      <w:proofErr w:type="gramEnd"/>
      <w:r w:rsidRPr="00BF4F40">
        <w:rPr>
          <w:rFonts w:ascii="Arial" w:hAnsi="Arial" w:cs="Arial"/>
        </w:rPr>
        <w:t xml:space="preserve"> </w:t>
      </w:r>
      <w:r w:rsidRPr="0079523B">
        <w:rPr>
          <w:rFonts w:ascii="Arial" w:hAnsi="Arial" w:cs="Arial"/>
          <w:i/>
        </w:rPr>
        <w:t>k</w:t>
      </w:r>
      <w:r w:rsidR="00E5250C">
        <w:rPr>
          <w:rFonts w:ascii="Arial" w:hAnsi="Arial" w:cs="Arial"/>
          <w:i/>
        </w:rPr>
        <w:t xml:space="preserve"> </w:t>
      </w:r>
      <w:r w:rsidR="00E5250C">
        <w:rPr>
          <w:rFonts w:ascii="Arial" w:hAnsi="Arial" w:cs="Arial"/>
        </w:rPr>
        <w:t>= 1…</w:t>
      </w:r>
      <w:r w:rsidRPr="00BF4F40">
        <w:rPr>
          <w:rFonts w:ascii="Arial" w:hAnsi="Arial" w:cs="Arial"/>
        </w:rPr>
        <w:t>13,</w:t>
      </w:r>
      <w:r w:rsidR="00E5250C">
        <w:rPr>
          <w:rFonts w:ascii="Arial" w:hAnsi="Arial" w:cs="Arial"/>
        </w:rPr>
        <w:t xml:space="preserve"> with the subscript</w:t>
      </w:r>
      <w:r w:rsidR="00E5250C" w:rsidRPr="00A144DF">
        <w:rPr>
          <w:rFonts w:ascii="Arial" w:hAnsi="Arial" w:cs="Arial"/>
        </w:rPr>
        <w:t xml:space="preserve"> </w:t>
      </w:r>
      <w:proofErr w:type="spellStart"/>
      <w:r w:rsidR="00E5250C" w:rsidRPr="009A06BE">
        <w:rPr>
          <w:rFonts w:ascii="Arial" w:hAnsi="Arial" w:cs="Arial"/>
          <w:i/>
        </w:rPr>
        <w:t>i</w:t>
      </w:r>
      <w:proofErr w:type="spellEnd"/>
      <w:r w:rsidR="00E5250C" w:rsidRPr="00A144DF">
        <w:rPr>
          <w:rFonts w:ascii="Arial" w:hAnsi="Arial" w:cs="Arial"/>
        </w:rPr>
        <w:t xml:space="preserve"> </w:t>
      </w:r>
      <w:r w:rsidR="00E5250C">
        <w:rPr>
          <w:rFonts w:ascii="Arial" w:hAnsi="Arial" w:cs="Arial"/>
        </w:rPr>
        <w:t>referring to the data zone</w:t>
      </w:r>
      <w:r w:rsidRPr="00BF4F40">
        <w:rPr>
          <w:rFonts w:ascii="Arial" w:hAnsi="Arial" w:cs="Arial"/>
        </w:rPr>
        <w:t xml:space="preserve">. </w:t>
      </w:r>
      <w:r w:rsidR="00E5250C">
        <w:rPr>
          <w:rFonts w:ascii="Arial" w:hAnsi="Arial" w:cs="Arial"/>
        </w:rPr>
        <w:t>(</w:t>
      </w:r>
      <w:r w:rsidRPr="00BF4F40">
        <w:rPr>
          <w:rFonts w:ascii="Arial" w:hAnsi="Arial" w:cs="Arial"/>
        </w:rPr>
        <w:t xml:space="preserve">There are fourteen HB variables, but one is excluded because </w:t>
      </w:r>
      <w:r>
        <w:rPr>
          <w:rFonts w:ascii="Arial" w:hAnsi="Arial" w:cs="Arial"/>
        </w:rPr>
        <w:t>only thirteen are mutually independent</w:t>
      </w:r>
      <w:r w:rsidRPr="00BF4F40">
        <w:rPr>
          <w:rFonts w:ascii="Arial" w:hAnsi="Arial" w:cs="Arial"/>
        </w:rPr>
        <w:t>.</w:t>
      </w:r>
      <w:r w:rsidR="00E5250C">
        <w:rPr>
          <w:rFonts w:ascii="Arial" w:hAnsi="Arial" w:cs="Arial"/>
        </w:rPr>
        <w:t>)</w:t>
      </w:r>
      <w:r w:rsidRPr="00BF4F40">
        <w:rPr>
          <w:rFonts w:ascii="Arial" w:hAnsi="Arial" w:cs="Arial"/>
        </w:rPr>
        <w:t xml:space="preserve"> The variable </w:t>
      </w:r>
      <w:r w:rsidRPr="009A7678">
        <w:rPr>
          <w:rFonts w:ascii="Arial" w:hAnsi="Arial" w:cs="Arial"/>
          <w:i/>
        </w:rPr>
        <w:t>deprived</w:t>
      </w:r>
      <w:r w:rsidRPr="00BF4F40">
        <w:rPr>
          <w:rFonts w:ascii="Arial" w:hAnsi="Arial" w:cs="Arial"/>
        </w:rPr>
        <w:t xml:space="preserve"> is a </w:t>
      </w:r>
      <w:r>
        <w:rPr>
          <w:rFonts w:ascii="Arial" w:hAnsi="Arial" w:cs="Arial"/>
        </w:rPr>
        <w:t xml:space="preserve">two </w:t>
      </w:r>
      <w:r w:rsidRPr="00BF4F40">
        <w:rPr>
          <w:rFonts w:ascii="Arial" w:hAnsi="Arial" w:cs="Arial"/>
        </w:rPr>
        <w:t xml:space="preserve">level categorical variable – </w:t>
      </w:r>
      <w:r w:rsidR="00E5250C">
        <w:rPr>
          <w:rFonts w:ascii="Arial" w:hAnsi="Arial" w:cs="Arial"/>
        </w:rPr>
        <w:t xml:space="preserve">with value </w:t>
      </w:r>
      <w:r w:rsidRPr="00BF4F40">
        <w:rPr>
          <w:rFonts w:ascii="Arial" w:hAnsi="Arial" w:cs="Arial"/>
        </w:rPr>
        <w:t>0 (</w:t>
      </w:r>
      <w:r w:rsidR="00E5250C">
        <w:rPr>
          <w:rFonts w:ascii="Arial" w:hAnsi="Arial" w:cs="Arial"/>
        </w:rPr>
        <w:t>not in most</w:t>
      </w:r>
      <w:r>
        <w:rPr>
          <w:rFonts w:ascii="Arial" w:hAnsi="Arial" w:cs="Arial"/>
        </w:rPr>
        <w:t xml:space="preserve"> deprived</w:t>
      </w:r>
      <w:r w:rsidR="00E5250C">
        <w:rPr>
          <w:rFonts w:ascii="Arial" w:hAnsi="Arial" w:cs="Arial"/>
        </w:rPr>
        <w:t xml:space="preserve"> group</w:t>
      </w:r>
      <w:r>
        <w:rPr>
          <w:rFonts w:ascii="Arial" w:hAnsi="Arial" w:cs="Arial"/>
        </w:rPr>
        <w:t xml:space="preserve">) </w:t>
      </w:r>
      <w:r w:rsidR="00E5250C">
        <w:rPr>
          <w:rFonts w:ascii="Arial" w:hAnsi="Arial" w:cs="Arial"/>
        </w:rPr>
        <w:t>or</w:t>
      </w:r>
      <w:r w:rsidRPr="00BF4F40">
        <w:rPr>
          <w:rFonts w:ascii="Arial" w:hAnsi="Arial" w:cs="Arial"/>
        </w:rPr>
        <w:t xml:space="preserve"> 1 (</w:t>
      </w:r>
      <w:r w:rsidR="00E5250C">
        <w:rPr>
          <w:rFonts w:ascii="Arial" w:hAnsi="Arial" w:cs="Arial"/>
        </w:rPr>
        <w:t xml:space="preserve">in </w:t>
      </w:r>
      <w:r w:rsidRPr="00BF4F40">
        <w:rPr>
          <w:rFonts w:ascii="Arial" w:hAnsi="Arial" w:cs="Arial"/>
        </w:rPr>
        <w:t>most deprived</w:t>
      </w:r>
      <w:r w:rsidR="00E5250C">
        <w:rPr>
          <w:rFonts w:ascii="Arial" w:hAnsi="Arial" w:cs="Arial"/>
        </w:rPr>
        <w:t xml:space="preserve"> group</w:t>
      </w:r>
      <w:r w:rsidRPr="00BF4F40">
        <w:rPr>
          <w:rFonts w:ascii="Arial" w:hAnsi="Arial" w:cs="Arial"/>
        </w:rPr>
        <w:t>) – depending on the SIMD ra</w:t>
      </w:r>
      <w:r>
        <w:rPr>
          <w:rFonts w:ascii="Arial" w:hAnsi="Arial" w:cs="Arial"/>
        </w:rPr>
        <w:t>nks and the cut-point chosen (5%, 15% and 25</w:t>
      </w:r>
      <w:r w:rsidRPr="00BF4F40">
        <w:rPr>
          <w:rFonts w:ascii="Arial" w:hAnsi="Arial" w:cs="Arial"/>
        </w:rPr>
        <w:t>% are tested in the present analysis).</w:t>
      </w:r>
      <w:r>
        <w:rPr>
          <w:rFonts w:ascii="Arial" w:hAnsi="Arial" w:cs="Arial"/>
        </w:rPr>
        <w:t xml:space="preserve"> </w:t>
      </w:r>
    </w:p>
    <w:p w:rsidR="00BC1951" w:rsidRDefault="00E5250C" w:rsidP="00BC1951">
      <w:pPr>
        <w:rPr>
          <w:rFonts w:ascii="Arial" w:hAnsi="Arial" w:cs="Arial"/>
        </w:rPr>
      </w:pPr>
      <w:r>
        <w:rPr>
          <w:rFonts w:ascii="Arial" w:hAnsi="Arial" w:cs="Arial"/>
        </w:rPr>
        <w:t xml:space="preserve">With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17</m:t>
            </m:r>
          </m:sub>
        </m:sSub>
      </m:oMath>
      <w:r w:rsidR="00BC1951" w:rsidRPr="00BF4F40">
        <w:rPr>
          <w:rFonts w:ascii="Arial" w:hAnsi="Arial" w:cs="Arial"/>
        </w:rPr>
        <w:t xml:space="preserve"> </w:t>
      </w:r>
      <w:r>
        <w:rPr>
          <w:rFonts w:ascii="Arial" w:hAnsi="Arial" w:cs="Arial"/>
        </w:rPr>
        <w:t xml:space="preserve">equal to </w:t>
      </w:r>
      <m:oMath>
        <m:sSub>
          <m:sSubPr>
            <m:ctrlPr>
              <w:rPr>
                <w:rFonts w:ascii="Cambria Math" w:hAnsi="Arial" w:cs="Arial"/>
                <w:i/>
              </w:rPr>
            </m:ctrlPr>
          </m:sSubPr>
          <m:e>
            <m:r>
              <w:rPr>
                <w:rFonts w:ascii="Cambria Math" w:hAnsi="Cambria Math" w:cs="Arial"/>
              </w:rPr>
              <m:t>β</m:t>
            </m:r>
          </m:e>
          <m:sub>
            <m:r>
              <w:rPr>
                <w:rFonts w:ascii="Cambria Math" w:hAnsi="Arial" w:cs="Arial"/>
              </w:rPr>
              <m:t>0</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18</m:t>
            </m:r>
          </m:sub>
        </m:sSub>
      </m:oMath>
      <w:r>
        <w:rPr>
          <w:rFonts w:ascii="Arial" w:hAnsi="Arial" w:cs="Arial"/>
        </w:rPr>
        <w:t xml:space="preserve"> </w:t>
      </w:r>
      <w:r w:rsidR="00BC1951" w:rsidRPr="00BF4F40">
        <w:rPr>
          <w:rFonts w:ascii="Arial" w:hAnsi="Arial" w:cs="Arial"/>
        </w:rPr>
        <w:t xml:space="preserve">equal </w:t>
      </w:r>
      <w:proofErr w:type="gramStart"/>
      <w:r w:rsidR="00BC1951" w:rsidRPr="00BF4F40">
        <w:rPr>
          <w:rFonts w:ascii="Arial" w:hAnsi="Arial" w:cs="Arial"/>
        </w:rPr>
        <w:t xml:space="preserve">to </w:t>
      </w:r>
      <m:oMath>
        <w:proofErr w:type="gramEnd"/>
        <m:sSub>
          <m:sSubPr>
            <m:ctrlPr>
              <w:rPr>
                <w:rFonts w:ascii="Cambria Math" w:hAnsi="Arial" w:cs="Arial"/>
                <w:i/>
              </w:rPr>
            </m:ctrlPr>
          </m:sSubPr>
          <m:e>
            <m:r>
              <w:rPr>
                <w:rFonts w:ascii="Cambria Math" w:hAnsi="Cambria Math" w:cs="Arial"/>
              </w:rPr>
              <m:t>β</m:t>
            </m:r>
          </m:e>
          <m:sub>
            <m:r>
              <w:rPr>
                <w:rFonts w:ascii="Cambria Math" w:hAnsi="Arial" w:cs="Arial"/>
              </w:rPr>
              <m:t>16</m:t>
            </m:r>
          </m:sub>
        </m:sSub>
      </m:oMath>
      <w:r w:rsidR="00BC1951" w:rsidRPr="00BF4F40">
        <w:rPr>
          <w:rFonts w:ascii="Arial" w:hAnsi="Arial" w:cs="Arial"/>
        </w:rPr>
        <w:t xml:space="preserve">, </w:t>
      </w:r>
      <w:r>
        <w:rPr>
          <w:rFonts w:ascii="Arial" w:hAnsi="Arial" w:cs="Arial"/>
        </w:rPr>
        <w:t>the model reverts to the reference model</w:t>
      </w:r>
      <w:r w:rsidR="00BC1951" w:rsidRPr="00BF4F40">
        <w:rPr>
          <w:rFonts w:ascii="Arial" w:hAnsi="Arial" w:cs="Arial"/>
        </w:rPr>
        <w:t xml:space="preserve">. If </w:t>
      </w:r>
      <m:oMath>
        <m:sSub>
          <m:sSubPr>
            <m:ctrlPr>
              <w:rPr>
                <w:rFonts w:ascii="Cambria Math" w:hAnsi="Arial" w:cs="Arial"/>
                <w:i/>
              </w:rPr>
            </m:ctrlPr>
          </m:sSubPr>
          <m:e>
            <m:r>
              <w:rPr>
                <w:rFonts w:ascii="Cambria Math" w:hAnsi="Cambria Math" w:cs="Arial"/>
              </w:rPr>
              <m:t>β</m:t>
            </m:r>
          </m:e>
          <m:sub>
            <m:r>
              <w:rPr>
                <w:rFonts w:ascii="Cambria Math" w:hAnsi="Arial" w:cs="Arial"/>
              </w:rPr>
              <m:t>17</m:t>
            </m:r>
          </m:sub>
        </m:sSub>
      </m:oMath>
      <w:r w:rsidR="00BC1951" w:rsidRPr="00BF4F40">
        <w:rPr>
          <w:rFonts w:ascii="Arial" w:hAnsi="Arial" w:cs="Arial"/>
        </w:rPr>
        <w:t xml:space="preserve"> is significantly different from </w:t>
      </w:r>
      <m:oMath>
        <m:sSub>
          <m:sSubPr>
            <m:ctrlPr>
              <w:rPr>
                <w:rFonts w:ascii="Cambria Math" w:hAnsi="Arial" w:cs="Arial"/>
                <w:i/>
              </w:rPr>
            </m:ctrlPr>
          </m:sSubPr>
          <m:e>
            <m:r>
              <w:rPr>
                <w:rFonts w:ascii="Cambria Math" w:hAnsi="Cambria Math" w:cs="Arial"/>
              </w:rPr>
              <m:t>β</m:t>
            </m:r>
          </m:e>
          <m:sub>
            <m:r>
              <w:rPr>
                <w:rFonts w:ascii="Cambria Math" w:hAnsi="Arial" w:cs="Arial"/>
              </w:rPr>
              <m:t>0</m:t>
            </m:r>
          </m:sub>
        </m:sSub>
      </m:oMath>
      <w:r w:rsidR="00BC1951" w:rsidRPr="00BF4F40">
        <w:rPr>
          <w:rFonts w:ascii="Arial" w:hAnsi="Arial" w:cs="Arial"/>
        </w:rPr>
        <w:t xml:space="preserve"> (p-value less than 0.05), then the </w:t>
      </w:r>
      <w:r w:rsidR="00BC1951" w:rsidRPr="007941AA">
        <w:rPr>
          <w:rFonts w:ascii="Arial" w:hAnsi="Arial" w:cs="Arial"/>
          <w:i/>
        </w:rPr>
        <w:t>intercept</w:t>
      </w:r>
      <w:r w:rsidR="00BC1951" w:rsidRPr="00BF4F40">
        <w:rPr>
          <w:rFonts w:ascii="Arial" w:hAnsi="Arial" w:cs="Arial"/>
        </w:rPr>
        <w:t xml:space="preserve"> of the regression line is differe</w:t>
      </w:r>
      <w:r w:rsidR="007941AA">
        <w:rPr>
          <w:rFonts w:ascii="Arial" w:hAnsi="Arial" w:cs="Arial"/>
        </w:rPr>
        <w:t xml:space="preserve">nt for the most deprived areas </w:t>
      </w:r>
      <w:r w:rsidR="00BC1951" w:rsidRPr="00BF4F40">
        <w:rPr>
          <w:rFonts w:ascii="Arial" w:hAnsi="Arial" w:cs="Arial"/>
        </w:rPr>
        <w:t>compared to the no</w:t>
      </w:r>
      <w:r w:rsidR="007941AA">
        <w:rPr>
          <w:rFonts w:ascii="Arial" w:hAnsi="Arial" w:cs="Arial"/>
        </w:rPr>
        <w:t>n-</w:t>
      </w:r>
      <w:r w:rsidR="00BC1951" w:rsidRPr="00BF4F40">
        <w:rPr>
          <w:rFonts w:ascii="Arial" w:hAnsi="Arial" w:cs="Arial"/>
        </w:rPr>
        <w:t>affected areas</w:t>
      </w:r>
      <w:r w:rsidR="00BC1951">
        <w:rPr>
          <w:rFonts w:ascii="Arial" w:hAnsi="Arial" w:cs="Arial"/>
        </w:rPr>
        <w:t>.</w:t>
      </w:r>
      <w:r w:rsidR="00BC1951" w:rsidRPr="00BF4F40">
        <w:rPr>
          <w:rFonts w:ascii="Arial" w:hAnsi="Arial" w:cs="Arial"/>
        </w:rPr>
        <w:t xml:space="preserve"> However, if </w:t>
      </w:r>
      <m:oMath>
        <m:sSub>
          <m:sSubPr>
            <m:ctrlPr>
              <w:rPr>
                <w:rFonts w:ascii="Cambria Math" w:hAnsi="Arial" w:cs="Arial"/>
                <w:i/>
              </w:rPr>
            </m:ctrlPr>
          </m:sSubPr>
          <m:e>
            <m:r>
              <w:rPr>
                <w:rFonts w:ascii="Cambria Math" w:hAnsi="Cambria Math" w:cs="Arial"/>
              </w:rPr>
              <m:t>β</m:t>
            </m:r>
          </m:e>
          <m:sub>
            <m:r>
              <w:rPr>
                <w:rFonts w:ascii="Cambria Math" w:hAnsi="Arial" w:cs="Arial"/>
              </w:rPr>
              <m:t>18</m:t>
            </m:r>
          </m:sub>
        </m:sSub>
      </m:oMath>
      <w:r w:rsidR="00BC1951" w:rsidRPr="00BF4F40">
        <w:rPr>
          <w:rFonts w:ascii="Arial" w:hAnsi="Arial" w:cs="Arial"/>
        </w:rPr>
        <w:t xml:space="preserve"> is significantly different </w:t>
      </w:r>
      <w:proofErr w:type="gramStart"/>
      <w:r w:rsidR="00BC1951" w:rsidRPr="00BF4F40">
        <w:rPr>
          <w:rFonts w:ascii="Arial" w:hAnsi="Arial" w:cs="Arial"/>
        </w:rPr>
        <w:t xml:space="preserve">from </w:t>
      </w:r>
      <m:oMath>
        <w:proofErr w:type="gramEnd"/>
        <m:sSub>
          <m:sSubPr>
            <m:ctrlPr>
              <w:rPr>
                <w:rFonts w:ascii="Cambria Math" w:hAnsi="Arial" w:cs="Arial"/>
                <w:i/>
              </w:rPr>
            </m:ctrlPr>
          </m:sSubPr>
          <m:e>
            <m:r>
              <w:rPr>
                <w:rFonts w:ascii="Cambria Math" w:hAnsi="Cambria Math" w:cs="Arial"/>
              </w:rPr>
              <m:t>β</m:t>
            </m:r>
          </m:e>
          <m:sub>
            <m:r>
              <w:rPr>
                <w:rFonts w:ascii="Cambria Math" w:hAnsi="Arial" w:cs="Arial"/>
              </w:rPr>
              <m:t>16</m:t>
            </m:r>
          </m:sub>
        </m:sSub>
      </m:oMath>
      <w:r w:rsidR="00BC1951" w:rsidRPr="00BF4F40">
        <w:rPr>
          <w:rFonts w:ascii="Arial" w:hAnsi="Arial" w:cs="Arial"/>
        </w:rPr>
        <w:t xml:space="preserve">, then the </w:t>
      </w:r>
      <w:r w:rsidR="00BC1951" w:rsidRPr="007941AA">
        <w:rPr>
          <w:rFonts w:ascii="Arial" w:hAnsi="Arial" w:cs="Arial"/>
          <w:i/>
        </w:rPr>
        <w:t>slope</w:t>
      </w:r>
      <w:r w:rsidR="00BC1951" w:rsidRPr="00BF4F40">
        <w:rPr>
          <w:rFonts w:ascii="Arial" w:hAnsi="Arial" w:cs="Arial"/>
        </w:rPr>
        <w:t xml:space="preserve"> of the regression line is different for the most deprived areas</w:t>
      </w:r>
      <w:r w:rsidR="00BC1951">
        <w:rPr>
          <w:rFonts w:ascii="Arial" w:hAnsi="Arial" w:cs="Arial"/>
        </w:rPr>
        <w:t>.</w:t>
      </w:r>
      <w:r w:rsidR="00BC1951" w:rsidRPr="00BF4F40">
        <w:rPr>
          <w:rFonts w:ascii="Arial" w:hAnsi="Arial" w:cs="Arial"/>
        </w:rPr>
        <w:t xml:space="preserve"> </w:t>
      </w:r>
      <w:r w:rsidR="00BC1951">
        <w:rPr>
          <w:rFonts w:ascii="Arial" w:hAnsi="Arial" w:cs="Arial"/>
        </w:rPr>
        <w:br w:type="page"/>
      </w:r>
    </w:p>
    <w:p w:rsidR="00AF6E6B" w:rsidRPr="00B666BF" w:rsidRDefault="00AF6E6B" w:rsidP="00AF6E6B">
      <w:pPr>
        <w:rPr>
          <w:rFonts w:ascii="Arial" w:hAnsi="Arial" w:cs="Arial"/>
          <w:b/>
          <w:sz w:val="24"/>
          <w:szCs w:val="24"/>
        </w:rPr>
      </w:pPr>
      <w:r w:rsidRPr="00B666BF">
        <w:rPr>
          <w:rFonts w:ascii="Arial" w:hAnsi="Arial" w:cs="Arial"/>
          <w:b/>
          <w:sz w:val="24"/>
          <w:szCs w:val="24"/>
        </w:rPr>
        <w:lastRenderedPageBreak/>
        <w:t xml:space="preserve">Annex </w:t>
      </w:r>
      <w:r w:rsidR="00BC1951" w:rsidRPr="00B666BF">
        <w:rPr>
          <w:rFonts w:ascii="Arial" w:hAnsi="Arial" w:cs="Arial"/>
          <w:b/>
          <w:sz w:val="24"/>
          <w:szCs w:val="24"/>
        </w:rPr>
        <w:t>B</w:t>
      </w:r>
      <w:r w:rsidRPr="00B666BF">
        <w:rPr>
          <w:rFonts w:ascii="Arial" w:hAnsi="Arial" w:cs="Arial"/>
          <w:b/>
          <w:sz w:val="24"/>
          <w:szCs w:val="24"/>
        </w:rPr>
        <w:t>: Scottish Government Urban-Rural Classification</w:t>
      </w:r>
    </w:p>
    <w:p w:rsidR="00AF6E6B" w:rsidRPr="00A144DF" w:rsidRDefault="00D37B8E" w:rsidP="00AF6E6B">
      <w:pPr>
        <w:spacing w:after="0"/>
        <w:rPr>
          <w:rFonts w:ascii="Arial" w:hAnsi="Arial" w:cs="Arial"/>
          <w:i/>
        </w:rPr>
      </w:pPr>
      <w:r>
        <w:rPr>
          <w:rFonts w:ascii="Arial" w:hAnsi="Arial" w:cs="Arial"/>
          <w:i/>
        </w:rPr>
        <w:t>Table B-</w:t>
      </w:r>
      <w:r w:rsidR="00AF6E6B" w:rsidRPr="00A144DF">
        <w:rPr>
          <w:rFonts w:ascii="Arial" w:hAnsi="Arial" w:cs="Arial"/>
          <w:i/>
        </w:rPr>
        <w:t>1</w:t>
      </w:r>
      <w:r>
        <w:rPr>
          <w:rFonts w:ascii="Arial" w:hAnsi="Arial" w:cs="Arial"/>
          <w:i/>
        </w:rPr>
        <w:t>:</w:t>
      </w:r>
      <w:r w:rsidR="00AF6E6B" w:rsidRPr="00A144DF">
        <w:rPr>
          <w:rFonts w:ascii="Arial" w:hAnsi="Arial" w:cs="Arial"/>
          <w:i/>
        </w:rPr>
        <w:t xml:space="preserve"> Scottish Government 6-fold Urban-Rural Classification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101"/>
        <w:gridCol w:w="7045"/>
      </w:tblGrid>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1 Large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125,000 or more people.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2 Other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10,000 to 124,999 people.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3 Accessible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to 9,999 people and within 30 minutes drive of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4 Remote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to 9,999 people and with a drive time of over 30 minutes to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5 Accessible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within a 30 minute drive time of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6 Remote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 a drive time of over 30 minutes to a settlement of 10,000 or more.</w:t>
            </w:r>
          </w:p>
        </w:tc>
      </w:tr>
    </w:tbl>
    <w:p w:rsidR="00AF6E6B" w:rsidRPr="00A144DF" w:rsidRDefault="00AF6E6B" w:rsidP="00AF6E6B">
      <w:pPr>
        <w:rPr>
          <w:rFonts w:ascii="Arial" w:hAnsi="Arial" w:cs="Arial"/>
        </w:rPr>
      </w:pPr>
    </w:p>
    <w:p w:rsidR="00AF6E6B" w:rsidRPr="00A144DF" w:rsidRDefault="00AF6E6B" w:rsidP="00AF6E6B">
      <w:pPr>
        <w:spacing w:after="0"/>
        <w:rPr>
          <w:rFonts w:ascii="Arial" w:hAnsi="Arial" w:cs="Arial"/>
          <w:i/>
        </w:rPr>
      </w:pPr>
      <w:r w:rsidRPr="00A144DF">
        <w:rPr>
          <w:rFonts w:ascii="Arial" w:hAnsi="Arial" w:cs="Arial"/>
          <w:i/>
        </w:rPr>
        <w:t xml:space="preserve">Table </w:t>
      </w:r>
      <w:r w:rsidR="00D37B8E">
        <w:rPr>
          <w:rFonts w:ascii="Arial" w:hAnsi="Arial" w:cs="Arial"/>
          <w:i/>
        </w:rPr>
        <w:t>B-</w:t>
      </w:r>
      <w:r w:rsidRPr="00A144DF">
        <w:rPr>
          <w:rFonts w:ascii="Arial" w:hAnsi="Arial" w:cs="Arial"/>
          <w:i/>
        </w:rPr>
        <w:t>2</w:t>
      </w:r>
      <w:r w:rsidR="00D37B8E">
        <w:rPr>
          <w:rFonts w:ascii="Arial" w:hAnsi="Arial" w:cs="Arial"/>
          <w:i/>
        </w:rPr>
        <w:t>:</w:t>
      </w:r>
      <w:r w:rsidRPr="00A144DF">
        <w:rPr>
          <w:rFonts w:ascii="Arial" w:hAnsi="Arial" w:cs="Arial"/>
          <w:i/>
        </w:rPr>
        <w:t xml:space="preserve"> Scottish Government 8-fold Urban-Rural Classification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042"/>
        <w:gridCol w:w="7104"/>
      </w:tblGrid>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1 Large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125,000 or more people.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2 Other Urban Areas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10,000 to 124,999 people.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3 Accessible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and 9,999 people and within 30 minutes drive of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4 Remote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between 3,000 and 9,999 people and with a drive time of over 30 minutes to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5 Very Remote Small Towns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Settlements of 3,000 and 9,999 people and with a drive time of over 60 minutes to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6 Accessible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within a 30 minute drive time of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7 Remote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 a drive time of over 30 minutes but less than 60 minutes to a settlement of 10,000 or more.</w:t>
            </w:r>
          </w:p>
        </w:tc>
      </w:tr>
      <w:tr w:rsidR="00AF6E6B" w:rsidRPr="00A144DF" w:rsidTr="00AF6E6B">
        <w:tc>
          <w:tcPr>
            <w:tcW w:w="0" w:type="auto"/>
            <w:tcBorders>
              <w:top w:val="single" w:sz="6" w:space="0" w:color="AAAAAA"/>
              <w:left w:val="single" w:sz="6" w:space="0" w:color="AAAAAA"/>
              <w:bottom w:val="single" w:sz="6" w:space="0" w:color="AAAAAA"/>
              <w:right w:val="single" w:sz="6" w:space="0" w:color="AAAAAA"/>
            </w:tcBorders>
            <w:shd w:val="clear" w:color="auto" w:fill="CCD4E0"/>
            <w:tcMar>
              <w:top w:w="60" w:type="dxa"/>
              <w:left w:w="60" w:type="dxa"/>
              <w:bottom w:w="60" w:type="dxa"/>
              <w:right w:w="60" w:type="dxa"/>
            </w:tcMar>
            <w:hideMark/>
          </w:tcPr>
          <w:p w:rsidR="00CB3A95" w:rsidRPr="00A144DF" w:rsidRDefault="00AF6E6B" w:rsidP="00CB3A95">
            <w:pPr>
              <w:spacing w:after="96" w:line="240" w:lineRule="auto"/>
              <w:outlineLvl w:val="4"/>
              <w:rPr>
                <w:rFonts w:ascii="Arial" w:eastAsia="Times New Roman" w:hAnsi="Arial" w:cs="Arial"/>
                <w:b/>
                <w:bCs/>
                <w:color w:val="335183"/>
              </w:rPr>
            </w:pPr>
            <w:r w:rsidRPr="00A144DF">
              <w:rPr>
                <w:rFonts w:ascii="Arial" w:eastAsia="Times New Roman" w:hAnsi="Arial" w:cs="Arial"/>
                <w:b/>
                <w:bCs/>
                <w:color w:val="335183"/>
              </w:rPr>
              <w:t>8 Very Remote Rural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hideMark/>
          </w:tcPr>
          <w:p w:rsidR="00CB3A95" w:rsidRPr="00A144DF" w:rsidRDefault="00AF6E6B" w:rsidP="00AF6E6B">
            <w:pPr>
              <w:spacing w:after="240" w:line="240" w:lineRule="auto"/>
              <w:jc w:val="both"/>
              <w:rPr>
                <w:rFonts w:ascii="Arial" w:eastAsia="Times New Roman" w:hAnsi="Arial" w:cs="Arial"/>
                <w:color w:val="000000"/>
              </w:rPr>
            </w:pPr>
            <w:r w:rsidRPr="00A144DF">
              <w:rPr>
                <w:rFonts w:ascii="Arial" w:eastAsia="Times New Roman" w:hAnsi="Arial" w:cs="Arial"/>
                <w:color w:val="000000"/>
              </w:rPr>
              <w:t>Areas with a population of less than 3,000 people, and with a drive time of over 60 minutes to a settlement of 10,000 or more.</w:t>
            </w:r>
          </w:p>
        </w:tc>
      </w:tr>
    </w:tbl>
    <w:p w:rsidR="001B09EF" w:rsidRPr="00A144DF" w:rsidRDefault="001B09EF" w:rsidP="00CA3FA0">
      <w:pPr>
        <w:rPr>
          <w:rFonts w:ascii="Arial" w:hAnsi="Arial" w:cs="Arial"/>
        </w:rPr>
      </w:pPr>
    </w:p>
    <w:p w:rsidR="00742BF1" w:rsidRPr="00B666BF" w:rsidRDefault="001B09EF" w:rsidP="00742BF1">
      <w:pPr>
        <w:jc w:val="both"/>
        <w:rPr>
          <w:rFonts w:ascii="Arial" w:hAnsi="Arial" w:cs="Arial"/>
          <w:b/>
          <w:sz w:val="24"/>
          <w:szCs w:val="24"/>
        </w:rPr>
      </w:pPr>
      <w:r w:rsidRPr="00A144DF">
        <w:rPr>
          <w:rFonts w:ascii="Arial" w:hAnsi="Arial" w:cs="Arial"/>
        </w:rPr>
        <w:br w:type="page"/>
      </w:r>
      <w:r w:rsidR="00F237F2" w:rsidRPr="00B666BF">
        <w:rPr>
          <w:rFonts w:ascii="Arial" w:hAnsi="Arial" w:cs="Arial"/>
          <w:b/>
          <w:sz w:val="24"/>
          <w:szCs w:val="24"/>
        </w:rPr>
        <w:lastRenderedPageBreak/>
        <w:t xml:space="preserve">Annex </w:t>
      </w:r>
      <w:r w:rsidR="00F237F2">
        <w:rPr>
          <w:rFonts w:ascii="Arial" w:hAnsi="Arial" w:cs="Arial"/>
          <w:b/>
          <w:sz w:val="24"/>
          <w:szCs w:val="24"/>
        </w:rPr>
        <w:t>C</w:t>
      </w:r>
      <w:r w:rsidR="00F237F2" w:rsidRPr="00B666BF">
        <w:rPr>
          <w:rFonts w:ascii="Arial" w:hAnsi="Arial" w:cs="Arial"/>
          <w:b/>
          <w:sz w:val="24"/>
          <w:szCs w:val="24"/>
        </w:rPr>
        <w:t xml:space="preserve">: </w:t>
      </w:r>
      <w:r w:rsidR="00742BF1">
        <w:rPr>
          <w:rFonts w:ascii="Arial" w:hAnsi="Arial" w:cs="Arial"/>
          <w:b/>
          <w:sz w:val="24"/>
          <w:szCs w:val="24"/>
        </w:rPr>
        <w:t>Further e</w:t>
      </w:r>
      <w:r w:rsidR="00742BF1" w:rsidRPr="00B666BF">
        <w:rPr>
          <w:rFonts w:ascii="Arial" w:hAnsi="Arial" w:cs="Arial"/>
          <w:b/>
          <w:sz w:val="24"/>
          <w:szCs w:val="24"/>
        </w:rPr>
        <w:t>xploratory analysis</w:t>
      </w:r>
    </w:p>
    <w:p w:rsidR="00742BF1" w:rsidRDefault="00742BF1" w:rsidP="00742BF1">
      <w:pPr>
        <w:jc w:val="both"/>
        <w:rPr>
          <w:rFonts w:ascii="Arial" w:hAnsi="Arial" w:cs="Arial"/>
        </w:rPr>
      </w:pPr>
      <w:r>
        <w:rPr>
          <w:rFonts w:ascii="Arial" w:hAnsi="Arial" w:cs="Arial"/>
        </w:rPr>
        <w:t>Some further exploratory analysis has been performed at the 2001 data zones, using the SIMD 2012 Income domain ranking, as well as the current Acute needs index (LLTI data from Census 2011 and SMR calculated using 2008-2012 death records)</w:t>
      </w:r>
      <w:r>
        <w:rPr>
          <w:rStyle w:val="FootnoteReference"/>
          <w:rFonts w:ascii="Arial" w:hAnsi="Arial" w:cs="Arial"/>
        </w:rPr>
        <w:footnoteReference w:id="4"/>
      </w:r>
      <w:r>
        <w:rPr>
          <w:rFonts w:ascii="Arial" w:hAnsi="Arial" w:cs="Arial"/>
        </w:rPr>
        <w:t>. This analysis demonstrates the use of both the simple shortfall method (using the needs index) and the 2007 shortfall method (using SIMD).</w:t>
      </w:r>
    </w:p>
    <w:p w:rsidR="00742BF1" w:rsidRDefault="00742BF1" w:rsidP="00742BF1">
      <w:pPr>
        <w:jc w:val="both"/>
        <w:rPr>
          <w:rFonts w:ascii="Arial" w:hAnsi="Arial" w:cs="Arial"/>
          <w:b/>
        </w:rPr>
      </w:pPr>
      <w:r>
        <w:rPr>
          <w:rFonts w:ascii="Arial" w:hAnsi="Arial" w:cs="Arial"/>
          <w:b/>
        </w:rPr>
        <w:t>C</w:t>
      </w:r>
      <w:r w:rsidRPr="00530622">
        <w:rPr>
          <w:rFonts w:ascii="Arial" w:hAnsi="Arial" w:cs="Arial"/>
          <w:b/>
        </w:rPr>
        <w:t xml:space="preserve">.1 Visualisation of the </w:t>
      </w:r>
      <w:r>
        <w:rPr>
          <w:rFonts w:ascii="Arial" w:hAnsi="Arial" w:cs="Arial"/>
          <w:b/>
        </w:rPr>
        <w:t>excluded data zones for both methods</w:t>
      </w:r>
    </w:p>
    <w:p w:rsidR="00742BF1" w:rsidRDefault="00742BF1" w:rsidP="00742BF1">
      <w:pPr>
        <w:jc w:val="both"/>
        <w:rPr>
          <w:rFonts w:ascii="Arial" w:hAnsi="Arial" w:cs="Arial"/>
        </w:rPr>
      </w:pPr>
      <w:r>
        <w:rPr>
          <w:rFonts w:ascii="Arial" w:hAnsi="Arial" w:cs="Arial"/>
        </w:rPr>
        <w:t xml:space="preserve">A scatter plot of cost ratios against the </w:t>
      </w:r>
      <w:proofErr w:type="gramStart"/>
      <w:r>
        <w:rPr>
          <w:rFonts w:ascii="Arial" w:hAnsi="Arial" w:cs="Arial"/>
        </w:rPr>
        <w:t>Acute</w:t>
      </w:r>
      <w:proofErr w:type="gramEnd"/>
      <w:r>
        <w:rPr>
          <w:rFonts w:ascii="Arial" w:hAnsi="Arial" w:cs="Arial"/>
        </w:rPr>
        <w:t xml:space="preserve"> needs index is shown in Figure C-1, for the diagnostic group Heart. A vertical line shows the cut-point for the 25% highest Acute </w:t>
      </w:r>
      <w:r w:rsidRPr="00176DB3">
        <w:rPr>
          <w:rFonts w:ascii="Arial" w:hAnsi="Arial" w:cs="Arial"/>
          <w:i/>
        </w:rPr>
        <w:t>needs index</w:t>
      </w:r>
      <w:r>
        <w:rPr>
          <w:rFonts w:ascii="Arial" w:hAnsi="Arial" w:cs="Arial"/>
        </w:rPr>
        <w:t xml:space="preserve"> values (all points to the right of this line would be excluded if correcting for unmet need effects based on the needs index). The 25% most </w:t>
      </w:r>
      <w:r w:rsidRPr="00176DB3">
        <w:rPr>
          <w:rFonts w:ascii="Arial" w:hAnsi="Arial" w:cs="Arial"/>
          <w:i/>
        </w:rPr>
        <w:t>deprived</w:t>
      </w:r>
      <w:r>
        <w:rPr>
          <w:rFonts w:ascii="Arial" w:hAnsi="Arial" w:cs="Arial"/>
        </w:rPr>
        <w:t xml:space="preserve"> data zones (as identified by SIMD Income domain ranks) are shown by applying a red colour to those points. While the red points generally lie to the right of the vertical line, showing that there is broad overlap between the needs index and SIMD in terms of the excluded data zones, there are a significant number of red points on the </w:t>
      </w:r>
      <w:proofErr w:type="gramStart"/>
      <w:r>
        <w:rPr>
          <w:rFonts w:ascii="Arial" w:hAnsi="Arial" w:cs="Arial"/>
        </w:rPr>
        <w:t>left,</w:t>
      </w:r>
      <w:proofErr w:type="gramEnd"/>
      <w:r>
        <w:rPr>
          <w:rFonts w:ascii="Arial" w:hAnsi="Arial" w:cs="Arial"/>
        </w:rPr>
        <w:t xml:space="preserve"> and black points on the right. </w:t>
      </w:r>
    </w:p>
    <w:p w:rsidR="00742BF1" w:rsidRPr="00AA136B" w:rsidRDefault="00742BF1" w:rsidP="00742BF1">
      <w:pPr>
        <w:jc w:val="both"/>
        <w:rPr>
          <w:rFonts w:ascii="Arial" w:hAnsi="Arial" w:cs="Arial"/>
        </w:rPr>
      </w:pPr>
      <w:r>
        <w:rPr>
          <w:rFonts w:ascii="Arial" w:hAnsi="Arial" w:cs="Arial"/>
        </w:rPr>
        <w:t xml:space="preserve"> </w:t>
      </w:r>
      <w:r>
        <w:rPr>
          <w:rFonts w:ascii="Arial" w:hAnsi="Arial" w:cs="Arial"/>
          <w:b/>
          <w:noProof/>
        </w:rPr>
        <w:drawing>
          <wp:inline distT="0" distB="0" distL="0" distR="0">
            <wp:extent cx="5116195" cy="3600450"/>
            <wp:effectExtent l="19050" t="0" r="825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16195" cy="3600450"/>
                    </a:xfrm>
                    <a:prstGeom prst="rect">
                      <a:avLst/>
                    </a:prstGeom>
                    <a:noFill/>
                    <a:ln w="9525">
                      <a:noFill/>
                      <a:miter lim="800000"/>
                      <a:headEnd/>
                      <a:tailEnd/>
                    </a:ln>
                  </pic:spPr>
                </pic:pic>
              </a:graphicData>
            </a:graphic>
          </wp:inline>
        </w:drawing>
      </w:r>
    </w:p>
    <w:p w:rsidR="00742BF1" w:rsidRPr="006B54D4" w:rsidRDefault="00742BF1" w:rsidP="00742BF1">
      <w:pPr>
        <w:jc w:val="both"/>
        <w:rPr>
          <w:rFonts w:ascii="Arial" w:hAnsi="Arial" w:cs="Arial"/>
          <w:i/>
        </w:rPr>
      </w:pPr>
      <w:r w:rsidRPr="006B54D4">
        <w:rPr>
          <w:rFonts w:ascii="Arial" w:hAnsi="Arial" w:cs="Arial"/>
          <w:i/>
        </w:rPr>
        <w:t xml:space="preserve">Figure </w:t>
      </w:r>
      <w:r>
        <w:rPr>
          <w:rFonts w:ascii="Arial" w:hAnsi="Arial" w:cs="Arial"/>
          <w:i/>
        </w:rPr>
        <w:t xml:space="preserve">C-1. Scatter plot of cost ratios against the Acute needs index by deprivation for the acute diagnostic group Heart. </w:t>
      </w:r>
      <w:r w:rsidRPr="006B54D4">
        <w:rPr>
          <w:rFonts w:ascii="Arial" w:hAnsi="Arial" w:cs="Arial"/>
          <w:i/>
        </w:rPr>
        <w:t xml:space="preserve"> </w:t>
      </w:r>
    </w:p>
    <w:p w:rsidR="00742BF1" w:rsidRPr="00F237F2" w:rsidRDefault="00742BF1" w:rsidP="00742BF1">
      <w:pPr>
        <w:rPr>
          <w:rFonts w:ascii="Arial" w:hAnsi="Arial" w:cs="Arial"/>
        </w:rPr>
      </w:pPr>
      <w:r>
        <w:rPr>
          <w:rFonts w:ascii="Arial" w:hAnsi="Arial" w:cs="Arial"/>
        </w:rPr>
        <w:t>Figures C-2 to C-3 below show</w:t>
      </w:r>
      <w:r w:rsidRPr="00742BF1">
        <w:rPr>
          <w:rFonts w:ascii="Arial" w:hAnsi="Arial" w:cs="Arial"/>
        </w:rPr>
        <w:t xml:space="preserve"> </w:t>
      </w:r>
      <w:r>
        <w:rPr>
          <w:rFonts w:ascii="Arial" w:hAnsi="Arial" w:cs="Arial"/>
        </w:rPr>
        <w:t xml:space="preserve">further analysis of the overlap between the needs index and SIMD, as well as between the needs index and </w:t>
      </w:r>
      <w:proofErr w:type="spellStart"/>
      <w:r>
        <w:rPr>
          <w:rFonts w:ascii="Arial" w:hAnsi="Arial" w:cs="Arial"/>
        </w:rPr>
        <w:t>rurality</w:t>
      </w:r>
      <w:proofErr w:type="spellEnd"/>
      <w:r>
        <w:rPr>
          <w:rFonts w:ascii="Arial" w:hAnsi="Arial" w:cs="Arial"/>
        </w:rPr>
        <w:t xml:space="preserve">, and between SIMD and </w:t>
      </w:r>
      <w:proofErr w:type="spellStart"/>
      <w:r>
        <w:rPr>
          <w:rFonts w:ascii="Arial" w:hAnsi="Arial" w:cs="Arial"/>
        </w:rPr>
        <w:t>rurality</w:t>
      </w:r>
      <w:proofErr w:type="spellEnd"/>
      <w:r>
        <w:rPr>
          <w:rFonts w:ascii="Arial" w:hAnsi="Arial" w:cs="Arial"/>
        </w:rPr>
        <w:t xml:space="preserve">, in </w:t>
      </w:r>
      <w:r>
        <w:rPr>
          <w:rFonts w:ascii="Arial" w:hAnsi="Arial" w:cs="Arial"/>
        </w:rPr>
        <w:lastRenderedPageBreak/>
        <w:t xml:space="preserve">terms of the data zones marked for separation in the modelling. </w:t>
      </w:r>
      <w:r w:rsidRPr="00F237F2">
        <w:rPr>
          <w:rFonts w:ascii="Arial" w:hAnsi="Arial" w:cs="Arial"/>
        </w:rPr>
        <w:t>Observations from these graphs are as follows:</w:t>
      </w:r>
    </w:p>
    <w:p w:rsidR="00742BF1" w:rsidRPr="00BF4F40" w:rsidRDefault="00742BF1" w:rsidP="00742BF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714" w:hanging="357"/>
        <w:contextualSpacing w:val="0"/>
        <w:rPr>
          <w:rFonts w:cs="Arial"/>
          <w:sz w:val="22"/>
          <w:szCs w:val="22"/>
        </w:rPr>
      </w:pPr>
      <w:r w:rsidRPr="00BF4F40">
        <w:rPr>
          <w:rFonts w:cs="Arial"/>
          <w:sz w:val="22"/>
          <w:szCs w:val="22"/>
        </w:rPr>
        <w:t xml:space="preserve">The </w:t>
      </w:r>
      <w:r>
        <w:rPr>
          <w:rFonts w:cs="Arial"/>
          <w:sz w:val="22"/>
          <w:szCs w:val="22"/>
        </w:rPr>
        <w:t>A</w:t>
      </w:r>
      <w:r w:rsidRPr="00BF4F40">
        <w:rPr>
          <w:rFonts w:cs="Arial"/>
          <w:sz w:val="22"/>
          <w:szCs w:val="22"/>
        </w:rPr>
        <w:t xml:space="preserve">cute needs index values </w:t>
      </w:r>
      <w:r w:rsidR="00A12E62">
        <w:rPr>
          <w:rFonts w:cs="Arial"/>
          <w:sz w:val="22"/>
          <w:szCs w:val="22"/>
        </w:rPr>
        <w:t>increase</w:t>
      </w:r>
      <w:r w:rsidRPr="00BF4F40">
        <w:rPr>
          <w:rFonts w:cs="Arial"/>
          <w:sz w:val="22"/>
          <w:szCs w:val="22"/>
        </w:rPr>
        <w:t xml:space="preserve"> with deprivation, i.e. the most deprived areas have the highest acute needs index values (Figure </w:t>
      </w:r>
      <w:r>
        <w:rPr>
          <w:rFonts w:cs="Arial"/>
          <w:sz w:val="22"/>
          <w:szCs w:val="22"/>
        </w:rPr>
        <w:t>C-</w:t>
      </w:r>
      <w:r w:rsidRPr="00BF4F40">
        <w:rPr>
          <w:rFonts w:cs="Arial"/>
          <w:sz w:val="22"/>
          <w:szCs w:val="22"/>
        </w:rPr>
        <w:t>1).</w:t>
      </w:r>
    </w:p>
    <w:p w:rsidR="00742BF1" w:rsidRPr="00BF4F40" w:rsidRDefault="00742BF1" w:rsidP="00742BF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714" w:hanging="357"/>
        <w:contextualSpacing w:val="0"/>
        <w:rPr>
          <w:rFonts w:cs="Arial"/>
          <w:sz w:val="22"/>
          <w:szCs w:val="22"/>
        </w:rPr>
      </w:pPr>
      <w:r w:rsidRPr="00BF4F40">
        <w:rPr>
          <w:rFonts w:cs="Arial"/>
          <w:sz w:val="22"/>
          <w:szCs w:val="22"/>
        </w:rPr>
        <w:t xml:space="preserve">The acute needs index values seem to be independent of the </w:t>
      </w:r>
      <w:proofErr w:type="spellStart"/>
      <w:r w:rsidRPr="00BF4F40">
        <w:rPr>
          <w:rFonts w:cs="Arial"/>
          <w:sz w:val="22"/>
          <w:szCs w:val="22"/>
        </w:rPr>
        <w:t>rurality</w:t>
      </w:r>
      <w:proofErr w:type="spellEnd"/>
      <w:r w:rsidRPr="00BF4F40">
        <w:rPr>
          <w:rFonts w:cs="Arial"/>
          <w:sz w:val="22"/>
          <w:szCs w:val="22"/>
        </w:rPr>
        <w:t xml:space="preserve"> classification (Figure </w:t>
      </w:r>
      <w:r>
        <w:rPr>
          <w:rFonts w:cs="Arial"/>
          <w:sz w:val="22"/>
          <w:szCs w:val="22"/>
        </w:rPr>
        <w:t>C-</w:t>
      </w:r>
      <w:r w:rsidRPr="00BF4F40">
        <w:rPr>
          <w:rFonts w:cs="Arial"/>
          <w:sz w:val="22"/>
          <w:szCs w:val="22"/>
        </w:rPr>
        <w:t>2).</w:t>
      </w:r>
    </w:p>
    <w:p w:rsidR="00742BF1" w:rsidRPr="00F237F2" w:rsidRDefault="00742BF1" w:rsidP="00742BF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714" w:hanging="357"/>
        <w:contextualSpacing w:val="0"/>
        <w:rPr>
          <w:rFonts w:cs="Arial"/>
          <w:sz w:val="22"/>
          <w:szCs w:val="22"/>
        </w:rPr>
      </w:pPr>
      <w:r w:rsidRPr="00BF4F40">
        <w:rPr>
          <w:rFonts w:cs="Arial"/>
          <w:sz w:val="22"/>
          <w:szCs w:val="22"/>
        </w:rPr>
        <w:t xml:space="preserve">Figure </w:t>
      </w:r>
      <w:r>
        <w:rPr>
          <w:rFonts w:cs="Arial"/>
          <w:sz w:val="22"/>
          <w:szCs w:val="22"/>
        </w:rPr>
        <w:t>C-</w:t>
      </w:r>
      <w:r w:rsidRPr="00BF4F40">
        <w:rPr>
          <w:rFonts w:cs="Arial"/>
          <w:sz w:val="22"/>
          <w:szCs w:val="22"/>
        </w:rPr>
        <w:t xml:space="preserve">3 implies that there may be two categories with different SIMD Income ranks – 1. Large urban areas, </w:t>
      </w:r>
      <w:proofErr w:type="gramStart"/>
      <w:r w:rsidRPr="00BF4F40">
        <w:rPr>
          <w:rFonts w:cs="Arial"/>
          <w:sz w:val="22"/>
          <w:szCs w:val="22"/>
        </w:rPr>
        <w:t>Other</w:t>
      </w:r>
      <w:proofErr w:type="gramEnd"/>
      <w:r w:rsidRPr="00BF4F40">
        <w:rPr>
          <w:rFonts w:cs="Arial"/>
          <w:sz w:val="22"/>
          <w:szCs w:val="22"/>
        </w:rPr>
        <w:t xml:space="preserve"> urban areas, Accessible small towns, Remote small towns, Very remote small towns, and 2. Accessible rural, </w:t>
      </w:r>
      <w:proofErr w:type="gramStart"/>
      <w:r w:rsidRPr="00BF4F40">
        <w:rPr>
          <w:rFonts w:cs="Arial"/>
          <w:sz w:val="22"/>
          <w:szCs w:val="22"/>
        </w:rPr>
        <w:t>Remote</w:t>
      </w:r>
      <w:proofErr w:type="gramEnd"/>
      <w:r w:rsidRPr="00BF4F40">
        <w:rPr>
          <w:rFonts w:cs="Arial"/>
          <w:sz w:val="22"/>
          <w:szCs w:val="22"/>
        </w:rPr>
        <w:t xml:space="preserve"> rural, Very remote rural</w:t>
      </w:r>
      <w:r>
        <w:rPr>
          <w:rFonts w:cs="Arial"/>
          <w:sz w:val="22"/>
          <w:szCs w:val="22"/>
        </w:rPr>
        <w:t>.</w:t>
      </w:r>
    </w:p>
    <w:p w:rsidR="00742BF1" w:rsidRDefault="00742BF1" w:rsidP="00742BF1">
      <w:pPr>
        <w:rPr>
          <w:rFonts w:ascii="Arial" w:hAnsi="Arial" w:cs="Arial"/>
          <w:i/>
        </w:rPr>
      </w:pPr>
      <w:r w:rsidRPr="00F237F2">
        <w:rPr>
          <w:rFonts w:ascii="Arial" w:hAnsi="Arial" w:cs="Arial"/>
          <w:i/>
          <w:noProof/>
        </w:rPr>
        <w:drawing>
          <wp:inline distT="0" distB="0" distL="0" distR="0">
            <wp:extent cx="5634990" cy="3962400"/>
            <wp:effectExtent l="19050" t="0" r="381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634990" cy="3962400"/>
                    </a:xfrm>
                    <a:prstGeom prst="rect">
                      <a:avLst/>
                    </a:prstGeom>
                    <a:noFill/>
                    <a:ln w="9525">
                      <a:noFill/>
                      <a:miter lim="800000"/>
                      <a:headEnd/>
                      <a:tailEnd/>
                    </a:ln>
                  </pic:spPr>
                </pic:pic>
              </a:graphicData>
            </a:graphic>
          </wp:inline>
        </w:drawing>
      </w:r>
    </w:p>
    <w:p w:rsidR="00742BF1" w:rsidRPr="00BF4F40" w:rsidRDefault="00742BF1" w:rsidP="00742BF1">
      <w:pPr>
        <w:rPr>
          <w:rFonts w:ascii="Arial" w:hAnsi="Arial" w:cs="Arial"/>
          <w:i/>
        </w:rPr>
      </w:pPr>
      <w:r w:rsidRPr="00BF4F40">
        <w:rPr>
          <w:rFonts w:ascii="Arial" w:hAnsi="Arial" w:cs="Arial"/>
          <w:i/>
        </w:rPr>
        <w:t xml:space="preserve">Figure </w:t>
      </w:r>
      <w:r>
        <w:rPr>
          <w:rFonts w:ascii="Arial" w:hAnsi="Arial" w:cs="Arial"/>
          <w:i/>
        </w:rPr>
        <w:t>C-2: Ranges of values of the Acute needs index, by SIMD deciles.</w:t>
      </w:r>
    </w:p>
    <w:p w:rsidR="00742BF1" w:rsidRPr="00BF4F40" w:rsidRDefault="00742BF1" w:rsidP="00742BF1">
      <w:pPr>
        <w:rPr>
          <w:rFonts w:ascii="Arial" w:hAnsi="Arial" w:cs="Arial"/>
        </w:rPr>
      </w:pPr>
    </w:p>
    <w:p w:rsidR="00742BF1" w:rsidRPr="00BF4F40" w:rsidRDefault="00742BF1" w:rsidP="00742BF1">
      <w:pPr>
        <w:rPr>
          <w:rFonts w:ascii="Arial" w:hAnsi="Arial" w:cs="Arial"/>
        </w:rPr>
      </w:pPr>
      <w:r w:rsidRPr="00F237F2">
        <w:rPr>
          <w:rFonts w:ascii="Arial" w:hAnsi="Arial" w:cs="Arial"/>
          <w:noProof/>
        </w:rPr>
        <w:lastRenderedPageBreak/>
        <w:drawing>
          <wp:inline distT="0" distB="0" distL="0" distR="0">
            <wp:extent cx="5634990" cy="3962400"/>
            <wp:effectExtent l="19050" t="0" r="381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634990" cy="3962400"/>
                    </a:xfrm>
                    <a:prstGeom prst="rect">
                      <a:avLst/>
                    </a:prstGeom>
                    <a:noFill/>
                    <a:ln w="9525">
                      <a:noFill/>
                      <a:miter lim="800000"/>
                      <a:headEnd/>
                      <a:tailEnd/>
                    </a:ln>
                  </pic:spPr>
                </pic:pic>
              </a:graphicData>
            </a:graphic>
          </wp:inline>
        </w:drawing>
      </w:r>
    </w:p>
    <w:p w:rsidR="00742BF1" w:rsidRPr="00BF4F40" w:rsidRDefault="00742BF1" w:rsidP="00742BF1">
      <w:pPr>
        <w:rPr>
          <w:rFonts w:ascii="Arial" w:hAnsi="Arial" w:cs="Arial"/>
          <w:i/>
        </w:rPr>
      </w:pPr>
      <w:r w:rsidRPr="00BF4F40">
        <w:rPr>
          <w:rFonts w:ascii="Arial" w:hAnsi="Arial" w:cs="Arial"/>
          <w:i/>
        </w:rPr>
        <w:t xml:space="preserve">Figure </w:t>
      </w:r>
      <w:r>
        <w:rPr>
          <w:rFonts w:ascii="Arial" w:hAnsi="Arial" w:cs="Arial"/>
          <w:i/>
        </w:rPr>
        <w:t>C-3: Ranges of values of the Acute needs index, by urban-rural category.</w:t>
      </w:r>
    </w:p>
    <w:p w:rsidR="00742BF1" w:rsidRPr="00BF4F40" w:rsidRDefault="00742BF1" w:rsidP="00742BF1">
      <w:pPr>
        <w:rPr>
          <w:rFonts w:ascii="Arial" w:hAnsi="Arial" w:cs="Arial"/>
        </w:rPr>
      </w:pPr>
      <w:r w:rsidRPr="00BF4F40">
        <w:rPr>
          <w:rFonts w:ascii="Arial" w:hAnsi="Arial" w:cs="Arial"/>
          <w:noProof/>
        </w:rPr>
        <w:drawing>
          <wp:inline distT="0" distB="0" distL="0" distR="0">
            <wp:extent cx="5630643" cy="3960000"/>
            <wp:effectExtent l="19050" t="0" r="8157"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630643" cy="3960000"/>
                    </a:xfrm>
                    <a:prstGeom prst="rect">
                      <a:avLst/>
                    </a:prstGeom>
                    <a:noFill/>
                    <a:ln w="9525">
                      <a:noFill/>
                      <a:miter lim="800000"/>
                      <a:headEnd/>
                      <a:tailEnd/>
                    </a:ln>
                  </pic:spPr>
                </pic:pic>
              </a:graphicData>
            </a:graphic>
          </wp:inline>
        </w:drawing>
      </w:r>
    </w:p>
    <w:p w:rsidR="00742BF1" w:rsidRDefault="00742BF1" w:rsidP="00742BF1">
      <w:pPr>
        <w:rPr>
          <w:rFonts w:ascii="Arial" w:hAnsi="Arial" w:cs="Arial"/>
          <w:i/>
        </w:rPr>
      </w:pPr>
      <w:r w:rsidRPr="00BF4F40">
        <w:rPr>
          <w:rFonts w:ascii="Arial" w:hAnsi="Arial" w:cs="Arial"/>
          <w:i/>
        </w:rPr>
        <w:t xml:space="preserve">Figure </w:t>
      </w:r>
      <w:r>
        <w:rPr>
          <w:rFonts w:ascii="Arial" w:hAnsi="Arial" w:cs="Arial"/>
          <w:i/>
        </w:rPr>
        <w:t>C-4: Ranges of values of the SIMD deciles, by urban-rural category.</w:t>
      </w:r>
      <w:r>
        <w:rPr>
          <w:rFonts w:ascii="Arial" w:hAnsi="Arial" w:cs="Arial"/>
          <w:i/>
        </w:rPr>
        <w:br w:type="page"/>
      </w:r>
    </w:p>
    <w:p w:rsidR="00742BF1" w:rsidRPr="00742BF1" w:rsidRDefault="00742BF1" w:rsidP="00742BF1">
      <w:pPr>
        <w:jc w:val="both"/>
        <w:rPr>
          <w:rFonts w:ascii="Arial" w:hAnsi="Arial" w:cs="Arial"/>
        </w:rPr>
      </w:pPr>
    </w:p>
    <w:p w:rsidR="00742BF1" w:rsidRPr="00836C65" w:rsidRDefault="00742BF1" w:rsidP="00742BF1">
      <w:pPr>
        <w:jc w:val="both"/>
        <w:rPr>
          <w:rFonts w:ascii="Arial" w:hAnsi="Arial" w:cs="Arial"/>
          <w:b/>
        </w:rPr>
      </w:pPr>
      <w:r>
        <w:rPr>
          <w:rFonts w:ascii="Arial" w:hAnsi="Arial" w:cs="Arial"/>
          <w:b/>
        </w:rPr>
        <w:t xml:space="preserve">C.2 </w:t>
      </w:r>
      <w:proofErr w:type="gramStart"/>
      <w:r>
        <w:rPr>
          <w:rFonts w:ascii="Arial" w:hAnsi="Arial" w:cs="Arial"/>
          <w:b/>
        </w:rPr>
        <w:t>Modelling</w:t>
      </w:r>
      <w:proofErr w:type="gramEnd"/>
      <w:r>
        <w:rPr>
          <w:rFonts w:ascii="Arial" w:hAnsi="Arial" w:cs="Arial"/>
          <w:b/>
        </w:rPr>
        <w:t xml:space="preserve"> results</w:t>
      </w:r>
    </w:p>
    <w:p w:rsidR="00742BF1" w:rsidRDefault="00742BF1" w:rsidP="00742BF1">
      <w:pPr>
        <w:jc w:val="both"/>
        <w:rPr>
          <w:rFonts w:ascii="Arial" w:hAnsi="Arial" w:cs="Arial"/>
        </w:rPr>
      </w:pPr>
      <w:r>
        <w:rPr>
          <w:rFonts w:ascii="Arial" w:hAnsi="Arial" w:cs="Arial"/>
        </w:rPr>
        <w:t xml:space="preserve">Both </w:t>
      </w:r>
      <w:r w:rsidR="000F544F">
        <w:rPr>
          <w:rFonts w:ascii="Arial" w:hAnsi="Arial" w:cs="Arial"/>
        </w:rPr>
        <w:t xml:space="preserve">shortfall </w:t>
      </w:r>
      <w:r>
        <w:rPr>
          <w:rFonts w:ascii="Arial" w:hAnsi="Arial" w:cs="Arial"/>
        </w:rPr>
        <w:t xml:space="preserve">methods identify significant changes in utilisation in the upper end of the deprivation/Acute needs index range, for some of the cut-points explored. The regression coefficients are given in Table C-1 below, for each diagnostic group. </w:t>
      </w:r>
      <w:r w:rsidR="00DF6458">
        <w:rPr>
          <w:rFonts w:ascii="Arial" w:hAnsi="Arial" w:cs="Arial"/>
        </w:rPr>
        <w:t>The results can be summarised as follows:</w:t>
      </w:r>
    </w:p>
    <w:p w:rsidR="00DF6458" w:rsidRDefault="00742BF1" w:rsidP="00DF6458">
      <w:pPr>
        <w:pStyle w:val="ListParagraph"/>
        <w:numPr>
          <w:ilvl w:val="0"/>
          <w:numId w:val="10"/>
        </w:numPr>
        <w:spacing w:after="200" w:line="276" w:lineRule="auto"/>
        <w:ind w:left="714" w:hanging="357"/>
        <w:contextualSpacing w:val="0"/>
        <w:rPr>
          <w:rFonts w:cs="Arial"/>
          <w:sz w:val="22"/>
          <w:szCs w:val="22"/>
        </w:rPr>
      </w:pPr>
      <w:r w:rsidRPr="00DF6458">
        <w:rPr>
          <w:rFonts w:cs="Arial"/>
          <w:sz w:val="22"/>
          <w:szCs w:val="22"/>
        </w:rPr>
        <w:t xml:space="preserve">For Cancer, there is a significant increase in slope in the 25% most income-deprived data zones. </w:t>
      </w:r>
    </w:p>
    <w:p w:rsidR="00DF6458" w:rsidRDefault="00742BF1" w:rsidP="00DF6458">
      <w:pPr>
        <w:pStyle w:val="ListParagraph"/>
        <w:numPr>
          <w:ilvl w:val="0"/>
          <w:numId w:val="10"/>
        </w:numPr>
        <w:spacing w:after="200" w:line="276" w:lineRule="auto"/>
        <w:ind w:left="714" w:hanging="357"/>
        <w:contextualSpacing w:val="0"/>
        <w:rPr>
          <w:rFonts w:cs="Arial"/>
          <w:sz w:val="22"/>
          <w:szCs w:val="22"/>
        </w:rPr>
      </w:pPr>
      <w:r w:rsidRPr="00DF6458">
        <w:rPr>
          <w:rFonts w:cs="Arial"/>
          <w:sz w:val="22"/>
          <w:szCs w:val="22"/>
        </w:rPr>
        <w:t xml:space="preserve">For Heart, there is a significant increase in slope using both methods, but the magnitude of the increase is greater for the simple shortfall method. </w:t>
      </w:r>
    </w:p>
    <w:p w:rsidR="00742BF1" w:rsidRPr="00DF6458" w:rsidRDefault="00742BF1" w:rsidP="00DF6458">
      <w:pPr>
        <w:pStyle w:val="ListParagraph"/>
        <w:numPr>
          <w:ilvl w:val="0"/>
          <w:numId w:val="10"/>
        </w:numPr>
        <w:spacing w:after="200" w:line="276" w:lineRule="auto"/>
        <w:ind w:left="714" w:hanging="357"/>
        <w:contextualSpacing w:val="0"/>
        <w:rPr>
          <w:rFonts w:cs="Arial"/>
          <w:sz w:val="22"/>
          <w:szCs w:val="22"/>
        </w:rPr>
      </w:pPr>
      <w:r w:rsidRPr="00DF6458">
        <w:rPr>
          <w:rFonts w:cs="Arial"/>
          <w:sz w:val="22"/>
          <w:szCs w:val="22"/>
        </w:rPr>
        <w:t xml:space="preserve">For Digestive, Injury, Other, Respiratory and Outpatients, excluding the 25% of data zones with the highest </w:t>
      </w:r>
      <w:r w:rsidRPr="00DF6458">
        <w:rPr>
          <w:rFonts w:cs="Arial"/>
          <w:i/>
          <w:sz w:val="22"/>
          <w:szCs w:val="22"/>
        </w:rPr>
        <w:t>needs index</w:t>
      </w:r>
      <w:r w:rsidRPr="00DF6458">
        <w:rPr>
          <w:rFonts w:cs="Arial"/>
          <w:sz w:val="22"/>
          <w:szCs w:val="22"/>
        </w:rPr>
        <w:t xml:space="preserve"> values leads to an increase in the regression coefficient; but excluding the 25% most </w:t>
      </w:r>
      <w:r w:rsidRPr="00DF6458">
        <w:rPr>
          <w:rFonts w:cs="Arial"/>
          <w:i/>
          <w:sz w:val="22"/>
          <w:szCs w:val="22"/>
        </w:rPr>
        <w:t>deprived</w:t>
      </w:r>
      <w:r w:rsidRPr="00DF6458">
        <w:rPr>
          <w:rFonts w:cs="Arial"/>
          <w:sz w:val="22"/>
          <w:szCs w:val="22"/>
        </w:rPr>
        <w:t xml:space="preserve"> data zones actually </w:t>
      </w:r>
      <w:r w:rsidRPr="00DF6458">
        <w:rPr>
          <w:rFonts w:cs="Arial"/>
          <w:i/>
          <w:sz w:val="22"/>
          <w:szCs w:val="22"/>
        </w:rPr>
        <w:t>decreases</w:t>
      </w:r>
      <w:r w:rsidRPr="00DF6458">
        <w:rPr>
          <w:rFonts w:cs="Arial"/>
          <w:sz w:val="22"/>
          <w:szCs w:val="22"/>
        </w:rPr>
        <w:t xml:space="preserve"> the slope.</w:t>
      </w:r>
    </w:p>
    <w:p w:rsidR="00742BF1" w:rsidRDefault="00742BF1" w:rsidP="00742BF1">
      <w:pPr>
        <w:jc w:val="both"/>
        <w:rPr>
          <w:rFonts w:ascii="Arial" w:hAnsi="Arial" w:cs="Arial"/>
        </w:rPr>
      </w:pPr>
      <w:r>
        <w:rPr>
          <w:rFonts w:ascii="Arial" w:hAnsi="Arial" w:cs="Arial"/>
        </w:rPr>
        <w:t xml:space="preserve">Generally, the slopes tend to be higher when excluding points based on the needs index rather than on the SIMD value – with the exception of Cancer. </w:t>
      </w:r>
      <w:r w:rsidR="00DF6458">
        <w:rPr>
          <w:rFonts w:ascii="Arial" w:hAnsi="Arial" w:cs="Arial"/>
        </w:rPr>
        <w:t xml:space="preserve">The highest significance difference in slope is seen for </w:t>
      </w:r>
      <w:proofErr w:type="gramStart"/>
      <w:r w:rsidR="00DF6458">
        <w:rPr>
          <w:rFonts w:ascii="Arial" w:hAnsi="Arial" w:cs="Arial"/>
        </w:rPr>
        <w:t>Other</w:t>
      </w:r>
      <w:proofErr w:type="gramEnd"/>
      <w:r w:rsidR="00DF6458">
        <w:rPr>
          <w:rFonts w:ascii="Arial" w:hAnsi="Arial" w:cs="Arial"/>
        </w:rPr>
        <w:t>, for the simple shortfall method, with a 25% cut-point; this difference is 0.021.</w:t>
      </w:r>
    </w:p>
    <w:p w:rsidR="00742BF1" w:rsidRDefault="00742BF1" w:rsidP="00742BF1">
      <w:pPr>
        <w:spacing w:after="0"/>
        <w:jc w:val="both"/>
        <w:rPr>
          <w:rFonts w:ascii="Arial" w:hAnsi="Arial" w:cs="Arial"/>
          <w:i/>
        </w:rPr>
      </w:pPr>
      <w:proofErr w:type="gramStart"/>
      <w:r w:rsidRPr="002C5AE4">
        <w:rPr>
          <w:rFonts w:ascii="Arial" w:hAnsi="Arial" w:cs="Arial"/>
          <w:i/>
        </w:rPr>
        <w:t xml:space="preserve">Table </w:t>
      </w:r>
      <w:r>
        <w:rPr>
          <w:rFonts w:ascii="Arial" w:hAnsi="Arial" w:cs="Arial"/>
          <w:i/>
        </w:rPr>
        <w:t>C-</w:t>
      </w:r>
      <w:r w:rsidRPr="002C5AE4">
        <w:rPr>
          <w:rFonts w:ascii="Arial" w:hAnsi="Arial" w:cs="Arial"/>
          <w:i/>
        </w:rPr>
        <w:t>1.</w:t>
      </w:r>
      <w:proofErr w:type="gramEnd"/>
      <w:r w:rsidRPr="002C5AE4">
        <w:rPr>
          <w:rFonts w:ascii="Arial" w:hAnsi="Arial" w:cs="Arial"/>
          <w:i/>
        </w:rPr>
        <w:t xml:space="preserve"> </w:t>
      </w:r>
      <w:r>
        <w:rPr>
          <w:rFonts w:ascii="Arial" w:hAnsi="Arial" w:cs="Arial"/>
          <w:i/>
        </w:rPr>
        <w:t xml:space="preserve">Acute needs index regression coefficients, based on all </w:t>
      </w:r>
      <w:proofErr w:type="spellStart"/>
      <w:r>
        <w:rPr>
          <w:rFonts w:ascii="Arial" w:hAnsi="Arial" w:cs="Arial"/>
          <w:i/>
        </w:rPr>
        <w:t>datazones</w:t>
      </w:r>
      <w:proofErr w:type="spellEnd"/>
      <w:r>
        <w:rPr>
          <w:rFonts w:ascii="Arial" w:hAnsi="Arial" w:cs="Arial"/>
          <w:i/>
        </w:rPr>
        <w:t xml:space="preserve"> (“unadjusted slope”) and based on just the data zones that are not in the “excluded” group, using</w:t>
      </w:r>
      <w:r w:rsidRPr="00E24951">
        <w:rPr>
          <w:rFonts w:ascii="Arial" w:hAnsi="Arial" w:cs="Arial"/>
          <w:i/>
        </w:rPr>
        <w:t xml:space="preserve"> various cut-points</w:t>
      </w:r>
      <w:r>
        <w:rPr>
          <w:rFonts w:ascii="Arial" w:hAnsi="Arial" w:cs="Arial"/>
          <w:i/>
        </w:rPr>
        <w:t xml:space="preserve"> for exclusion as indicated</w:t>
      </w:r>
      <w:r w:rsidRPr="00E24951">
        <w:rPr>
          <w:rFonts w:ascii="Arial" w:hAnsi="Arial" w:cs="Arial"/>
          <w:i/>
        </w:rPr>
        <w:t xml:space="preserve">. </w:t>
      </w:r>
      <w:r>
        <w:rPr>
          <w:rFonts w:ascii="Arial" w:hAnsi="Arial" w:cs="Arial"/>
          <w:i/>
        </w:rPr>
        <w:t xml:space="preserve">Shaded cells indicate significant </w:t>
      </w:r>
      <w:r w:rsidRPr="004273EC">
        <w:rPr>
          <w:rFonts w:ascii="Arial" w:hAnsi="Arial" w:cs="Arial"/>
          <w:i/>
        </w:rPr>
        <w:t>increases</w:t>
      </w:r>
      <w:r>
        <w:rPr>
          <w:rFonts w:ascii="Arial" w:hAnsi="Arial" w:cs="Arial"/>
          <w:i/>
        </w:rPr>
        <w:t xml:space="preserve"> in slope using the shortfall model; v</w:t>
      </w:r>
      <w:r w:rsidRPr="00E24951">
        <w:rPr>
          <w:rFonts w:ascii="Arial" w:hAnsi="Arial" w:cs="Arial"/>
          <w:i/>
        </w:rPr>
        <w:t xml:space="preserve">alues in </w:t>
      </w:r>
      <w:r>
        <w:rPr>
          <w:rFonts w:ascii="Arial" w:hAnsi="Arial" w:cs="Arial"/>
          <w:i/>
        </w:rPr>
        <w:t>italics</w:t>
      </w:r>
      <w:r w:rsidRPr="00E24951">
        <w:rPr>
          <w:rFonts w:ascii="Arial" w:hAnsi="Arial" w:cs="Arial"/>
          <w:i/>
        </w:rPr>
        <w:t xml:space="preserve"> identify significant </w:t>
      </w:r>
      <w:r>
        <w:rPr>
          <w:rFonts w:ascii="Arial" w:hAnsi="Arial" w:cs="Arial"/>
          <w:i/>
        </w:rPr>
        <w:t>decreases.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2038"/>
        <w:gridCol w:w="767"/>
        <w:gridCol w:w="767"/>
        <w:gridCol w:w="767"/>
        <w:gridCol w:w="2050"/>
      </w:tblGrid>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vAlign w:val="center"/>
          </w:tcPr>
          <w:p w:rsidR="00742BF1" w:rsidRPr="00B05D12" w:rsidRDefault="00742BF1" w:rsidP="00742BF1">
            <w:pPr>
              <w:spacing w:after="0" w:line="240" w:lineRule="auto"/>
              <w:jc w:val="center"/>
              <w:rPr>
                <w:rFonts w:ascii="Arial" w:eastAsia="Calibri" w:hAnsi="Arial" w:cs="Arial"/>
                <w:b/>
              </w:rPr>
            </w:pPr>
            <w:r w:rsidRPr="00B05D12">
              <w:rPr>
                <w:rFonts w:ascii="Arial" w:eastAsia="Calibri" w:hAnsi="Arial" w:cs="Arial"/>
                <w:b/>
              </w:rPr>
              <w:t>Diagnostic group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spacing w:after="0" w:line="240" w:lineRule="auto"/>
              <w:jc w:val="center"/>
              <w:rPr>
                <w:rFonts w:ascii="Arial" w:eastAsia="Calibri" w:hAnsi="Arial" w:cs="Arial"/>
                <w:b/>
              </w:rPr>
            </w:pPr>
            <w:r w:rsidRPr="00B05D12">
              <w:rPr>
                <w:rFonts w:ascii="Arial" w:eastAsia="Calibri" w:hAnsi="Arial" w:cs="Arial"/>
                <w:b/>
              </w:rPr>
              <w:t>Method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spacing w:after="0" w:line="240" w:lineRule="auto"/>
              <w:jc w:val="center"/>
              <w:rPr>
                <w:rFonts w:ascii="Arial" w:eastAsia="Calibri" w:hAnsi="Arial" w:cs="Arial"/>
                <w:b/>
              </w:rPr>
            </w:pPr>
            <w:r w:rsidRPr="00B05D12">
              <w:rPr>
                <w:rFonts w:ascii="Arial" w:eastAsia="Calibri" w:hAnsi="Arial" w:cs="Arial"/>
                <w:b/>
              </w:rPr>
              <w:t>Cut-point</w:t>
            </w:r>
          </w:p>
        </w:tc>
        <w:tc>
          <w:tcPr>
            <w:tcW w:w="0" w:type="auto"/>
            <w:vMerge w:val="restart"/>
            <w:tcBorders>
              <w:top w:val="single" w:sz="4" w:space="0" w:color="auto"/>
              <w:left w:val="single" w:sz="4" w:space="0" w:color="auto"/>
              <w:right w:val="single" w:sz="4" w:space="0" w:color="auto"/>
            </w:tcBorders>
            <w:vAlign w:val="center"/>
            <w:hideMark/>
          </w:tcPr>
          <w:p w:rsidR="00742BF1" w:rsidRPr="00B05D12" w:rsidRDefault="00742BF1" w:rsidP="00742BF1">
            <w:pPr>
              <w:spacing w:after="0" w:line="240" w:lineRule="auto"/>
              <w:jc w:val="center"/>
              <w:rPr>
                <w:rFonts w:ascii="Arial" w:eastAsia="Calibri" w:hAnsi="Arial" w:cs="Arial"/>
                <w:b/>
              </w:rPr>
            </w:pPr>
            <w:r w:rsidRPr="00B05D12">
              <w:rPr>
                <w:rFonts w:ascii="Arial" w:eastAsia="Calibri" w:hAnsi="Arial" w:cs="Arial"/>
                <w:b/>
              </w:rPr>
              <w:t>Unadjusted slope</w:t>
            </w:r>
          </w:p>
        </w:tc>
      </w:tr>
      <w:tr w:rsidR="00742BF1" w:rsidRPr="00B05D12" w:rsidTr="00742BF1">
        <w:trPr>
          <w:trHeight w:hRule="exact" w:val="340"/>
        </w:trPr>
        <w:tc>
          <w:tcPr>
            <w:tcW w:w="0" w:type="auto"/>
            <w:vMerge/>
            <w:tcBorders>
              <w:left w:val="single" w:sz="4" w:space="0" w:color="auto"/>
              <w:bottom w:val="single" w:sz="4" w:space="0" w:color="auto"/>
              <w:right w:val="single" w:sz="4" w:space="0" w:color="auto"/>
            </w:tcBorders>
          </w:tcPr>
          <w:p w:rsidR="00742BF1" w:rsidRPr="00B05D12" w:rsidRDefault="00742BF1" w:rsidP="00742BF1">
            <w:pPr>
              <w:spacing w:after="0" w:line="240" w:lineRule="auto"/>
              <w:rPr>
                <w:rFonts w:ascii="Arial" w:eastAsia="Calibri"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spacing w:after="0" w:line="240" w:lineRule="auto"/>
              <w:rPr>
                <w:rFonts w:ascii="Arial" w:eastAsia="Calibri" w:hAnsi="Arial"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center"/>
              <w:rPr>
                <w:rFonts w:ascii="Arial" w:eastAsia="Calibri" w:hAnsi="Arial" w:cs="Arial"/>
                <w:b/>
              </w:rPr>
            </w:pPr>
            <w:r w:rsidRPr="00B05D12">
              <w:rPr>
                <w:rFonts w:ascii="Arial" w:eastAsia="Calibri" w:hAnsi="Arial" w:cs="Arial"/>
                <w:b/>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center"/>
              <w:rPr>
                <w:rFonts w:ascii="Arial" w:eastAsia="Calibri" w:hAnsi="Arial" w:cs="Arial"/>
                <w:b/>
              </w:rPr>
            </w:pPr>
            <w:r w:rsidRPr="00B05D12">
              <w:rPr>
                <w:rFonts w:ascii="Arial" w:eastAsia="Calibri" w:hAnsi="Arial" w:cs="Arial"/>
                <w: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center"/>
              <w:rPr>
                <w:rFonts w:ascii="Arial" w:eastAsia="Calibri" w:hAnsi="Arial" w:cs="Arial"/>
                <w:b/>
              </w:rPr>
            </w:pPr>
            <w:r w:rsidRPr="00B05D12">
              <w:rPr>
                <w:rFonts w:ascii="Arial" w:eastAsia="Calibri" w:hAnsi="Arial" w:cs="Arial"/>
                <w:b/>
              </w:rPr>
              <w:t>5%</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spacing w:after="0" w:line="240" w:lineRule="auto"/>
              <w:rPr>
                <w:rFonts w:ascii="Arial" w:eastAsia="Calibri" w:hAnsi="Arial" w:cs="Arial"/>
                <w:b/>
              </w:rPr>
            </w:pPr>
          </w:p>
        </w:tc>
      </w:tr>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tcPr>
          <w:p w:rsidR="00742BF1" w:rsidRPr="00B05D12" w:rsidRDefault="00742BF1" w:rsidP="00742BF1">
            <w:pPr>
              <w:rPr>
                <w:rFonts w:ascii="Arial" w:eastAsia="Calibri" w:hAnsi="Arial" w:cs="Arial"/>
              </w:rPr>
            </w:pPr>
            <w:r w:rsidRPr="00B05D12">
              <w:rPr>
                <w:rFonts w:ascii="Arial" w:eastAsia="Calibri" w:hAnsi="Arial" w:cs="Arial"/>
              </w:rPr>
              <w:t>Cancer</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0.073</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0.062</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0.055</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highlight w:val="yellow"/>
              </w:rPr>
            </w:pPr>
            <w:r w:rsidRPr="00B05D12">
              <w:rPr>
                <w:rFonts w:ascii="Arial" w:eastAsia="Calibri" w:hAnsi="Arial" w:cs="Arial"/>
              </w:rPr>
              <w:t>0.054</w:t>
            </w:r>
          </w:p>
        </w:tc>
      </w:tr>
      <w:tr w:rsidR="00742BF1" w:rsidRPr="00B05D12" w:rsidTr="00742BF1">
        <w:trPr>
          <w:trHeight w:hRule="exact" w:val="340"/>
        </w:trPr>
        <w:tc>
          <w:tcPr>
            <w:tcW w:w="0" w:type="auto"/>
            <w:vMerge/>
            <w:tcBorders>
              <w:left w:val="single" w:sz="4" w:space="0" w:color="auto"/>
              <w:right w:val="single" w:sz="4" w:space="0" w:color="auto"/>
            </w:tcBorders>
          </w:tcPr>
          <w:p w:rsidR="00742BF1" w:rsidRPr="00B05D12" w:rsidRDefault="00742BF1" w:rsidP="00742BF1">
            <w:pPr>
              <w:rPr>
                <w:rFonts w:ascii="Arial" w:eastAsia="Calibri"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0.074</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0.067</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0.062</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tcPr>
          <w:p w:rsidR="00742BF1" w:rsidRPr="00B05D12" w:rsidRDefault="00742BF1" w:rsidP="00742BF1">
            <w:pPr>
              <w:rPr>
                <w:rFonts w:ascii="Arial" w:eastAsia="Calibri" w:hAnsi="Arial" w:cs="Arial"/>
              </w:rPr>
            </w:pPr>
            <w:r w:rsidRPr="00B05D12">
              <w:rPr>
                <w:rFonts w:ascii="Arial" w:eastAsia="Calibri" w:hAnsi="Arial" w:cs="Arial"/>
              </w:rPr>
              <w:t>Heart</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0.130</w:t>
            </w:r>
          </w:p>
          <w:p w:rsidR="00742BF1" w:rsidRPr="00B05D12" w:rsidRDefault="00742BF1" w:rsidP="00742BF1">
            <w:pPr>
              <w:jc w:val="right"/>
              <w:rPr>
                <w:rFonts w:ascii="Arial" w:eastAsia="Calibri" w:hAnsi="Arial" w:cs="Arial"/>
                <w:b/>
              </w:rPr>
            </w:pPr>
          </w:p>
          <w:p w:rsidR="00742BF1" w:rsidRPr="00B05D12" w:rsidRDefault="00742BF1" w:rsidP="00742BF1">
            <w:pPr>
              <w:jc w:val="right"/>
              <w:rPr>
                <w:rFonts w:ascii="Arial" w:eastAsia="Calibri" w:hAnsi="Arial" w:cs="Arial"/>
                <w:b/>
              </w:rPr>
            </w:pPr>
          </w:p>
          <w:p w:rsidR="00742BF1" w:rsidRPr="00B05D12" w:rsidRDefault="00742BF1" w:rsidP="00742BF1">
            <w:pPr>
              <w:jc w:val="right"/>
              <w:rPr>
                <w:rFonts w:ascii="Arial" w:eastAsia="Calibri"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0.131</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0.120</w:t>
            </w:r>
          </w:p>
        </w:tc>
        <w:tc>
          <w:tcPr>
            <w:tcW w:w="0" w:type="auto"/>
            <w:vMerge w:val="restart"/>
            <w:tcBorders>
              <w:top w:val="single" w:sz="4" w:space="0" w:color="auto"/>
              <w:left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0.109</w:t>
            </w:r>
          </w:p>
        </w:tc>
      </w:tr>
      <w:tr w:rsidR="00742BF1" w:rsidRPr="00B05D12" w:rsidTr="00742BF1">
        <w:trPr>
          <w:trHeight w:hRule="exact" w:val="340"/>
        </w:trPr>
        <w:tc>
          <w:tcPr>
            <w:tcW w:w="0" w:type="auto"/>
            <w:vMerge/>
            <w:tcBorders>
              <w:left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hAnsi="Arial" w:cs="Arial"/>
                <w:b/>
              </w:rPr>
            </w:pPr>
            <w:r w:rsidRPr="00B05D12">
              <w:rPr>
                <w:rFonts w:ascii="Arial" w:eastAsia="Calibri" w:hAnsi="Arial" w:cs="Arial"/>
                <w:b/>
              </w:rPr>
              <w:t>0.113</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0.109</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0.108</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left w:val="single" w:sz="4" w:space="0" w:color="auto"/>
              <w:right w:val="single" w:sz="4" w:space="0" w:color="auto"/>
            </w:tcBorders>
          </w:tcPr>
          <w:p w:rsidR="00742BF1" w:rsidRPr="00B05D12" w:rsidRDefault="00742BF1" w:rsidP="00742BF1">
            <w:pPr>
              <w:rPr>
                <w:rFonts w:ascii="Arial" w:hAnsi="Arial" w:cs="Arial"/>
              </w:rPr>
            </w:pPr>
            <w:r w:rsidRPr="00B05D12">
              <w:rPr>
                <w:rFonts w:ascii="Arial" w:hAnsi="Arial" w:cs="Arial"/>
              </w:rPr>
              <w:t>Digestive</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0.119</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0.123</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0.127</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0.116</w:t>
            </w:r>
          </w:p>
        </w:tc>
      </w:tr>
      <w:tr w:rsidR="00742BF1" w:rsidRPr="00B05D12" w:rsidTr="00742BF1">
        <w:trPr>
          <w:trHeight w:hRule="exact" w:val="340"/>
        </w:trPr>
        <w:tc>
          <w:tcPr>
            <w:tcW w:w="0" w:type="auto"/>
            <w:vMerge/>
            <w:tcBorders>
              <w:left w:val="single" w:sz="4" w:space="0" w:color="auto"/>
              <w:bottom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0.098</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0.112</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tcPr>
          <w:p w:rsidR="00742BF1" w:rsidRPr="00B05D12" w:rsidRDefault="00742BF1" w:rsidP="00742BF1">
            <w:pPr>
              <w:rPr>
                <w:rFonts w:ascii="Arial" w:hAnsi="Arial" w:cs="Arial"/>
              </w:rPr>
            </w:pPr>
            <w:r w:rsidRPr="00B05D12">
              <w:rPr>
                <w:rFonts w:ascii="Arial" w:hAnsi="Arial" w:cs="Arial"/>
              </w:rPr>
              <w:t>Injury</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0.124</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0.127</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rPr>
            </w:pPr>
            <w:r w:rsidRPr="004273EC">
              <w:rPr>
                <w:rFonts w:ascii="Arial" w:eastAsia="Calibri" w:hAnsi="Arial" w:cs="Arial"/>
                <w:b/>
              </w:rPr>
              <w:t>0.</w:t>
            </w:r>
            <w:r w:rsidRPr="00B05D12">
              <w:rPr>
                <w:rFonts w:ascii="Arial" w:eastAsia="Calibri" w:hAnsi="Arial" w:cs="Arial"/>
                <w:b/>
              </w:rPr>
              <w:t>125</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0.113</w:t>
            </w:r>
          </w:p>
        </w:tc>
      </w:tr>
      <w:tr w:rsidR="00742BF1" w:rsidRPr="00B05D12" w:rsidTr="00742BF1">
        <w:trPr>
          <w:trHeight w:hRule="exact" w:val="340"/>
        </w:trPr>
        <w:tc>
          <w:tcPr>
            <w:tcW w:w="0" w:type="auto"/>
            <w:vMerge/>
            <w:tcBorders>
              <w:left w:val="single" w:sz="4" w:space="0" w:color="auto"/>
              <w:bottom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0.098</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0.104</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0.113</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tcPr>
          <w:p w:rsidR="00742BF1" w:rsidRPr="00B05D12" w:rsidRDefault="00742BF1" w:rsidP="00742BF1">
            <w:pPr>
              <w:rPr>
                <w:rFonts w:ascii="Arial" w:hAnsi="Arial" w:cs="Arial"/>
              </w:rPr>
            </w:pPr>
            <w:r w:rsidRPr="00B05D12">
              <w:rPr>
                <w:rFonts w:ascii="Arial" w:hAnsi="Arial" w:cs="Arial"/>
              </w:rPr>
              <w:t>Other</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0.113</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0.107</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0.104</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0.092</w:t>
            </w:r>
          </w:p>
        </w:tc>
      </w:tr>
      <w:tr w:rsidR="00742BF1" w:rsidRPr="00B05D12" w:rsidTr="00742BF1">
        <w:trPr>
          <w:trHeight w:hRule="exact" w:val="340"/>
        </w:trPr>
        <w:tc>
          <w:tcPr>
            <w:tcW w:w="0" w:type="auto"/>
            <w:vMerge/>
            <w:tcBorders>
              <w:left w:val="single" w:sz="4" w:space="0" w:color="auto"/>
              <w:bottom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0.084</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0.089</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42BF1" w:rsidRPr="00B05D12" w:rsidRDefault="00742BF1" w:rsidP="00742BF1">
            <w:pPr>
              <w:jc w:val="right"/>
              <w:rPr>
                <w:rFonts w:ascii="Arial" w:eastAsia="Calibri" w:hAnsi="Arial" w:cs="Arial"/>
                <w:b/>
              </w:rPr>
            </w:pPr>
            <w:r w:rsidRPr="00B05D12">
              <w:rPr>
                <w:rFonts w:ascii="Arial" w:eastAsia="Calibri" w:hAnsi="Arial" w:cs="Arial"/>
                <w:b/>
              </w:rPr>
              <w:t>0.093</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top w:val="single" w:sz="4" w:space="0" w:color="auto"/>
              <w:left w:val="single" w:sz="4" w:space="0" w:color="auto"/>
              <w:right w:val="single" w:sz="4" w:space="0" w:color="auto"/>
            </w:tcBorders>
          </w:tcPr>
          <w:p w:rsidR="00742BF1" w:rsidRPr="00B05D12" w:rsidRDefault="00742BF1" w:rsidP="00742BF1">
            <w:pPr>
              <w:rPr>
                <w:rFonts w:ascii="Arial" w:hAnsi="Arial" w:cs="Arial"/>
              </w:rPr>
            </w:pPr>
            <w:r w:rsidRPr="00B05D12">
              <w:rPr>
                <w:rFonts w:ascii="Arial" w:hAnsi="Arial" w:cs="Arial"/>
              </w:rPr>
              <w:t>Respiratory</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0.193</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0.195</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0.192</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0.182</w:t>
            </w:r>
          </w:p>
        </w:tc>
      </w:tr>
      <w:tr w:rsidR="00742BF1" w:rsidRPr="00B05D12" w:rsidTr="00742BF1">
        <w:trPr>
          <w:trHeight w:hRule="exact" w:val="340"/>
        </w:trPr>
        <w:tc>
          <w:tcPr>
            <w:tcW w:w="0" w:type="auto"/>
            <w:vMerge/>
            <w:tcBorders>
              <w:left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0.171</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0.174</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0.176</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r w:rsidR="00742BF1" w:rsidRPr="00B05D12" w:rsidTr="00742BF1">
        <w:trPr>
          <w:trHeight w:hRule="exact" w:val="340"/>
        </w:trPr>
        <w:tc>
          <w:tcPr>
            <w:tcW w:w="0" w:type="auto"/>
            <w:vMerge w:val="restart"/>
            <w:tcBorders>
              <w:left w:val="single" w:sz="4" w:space="0" w:color="auto"/>
              <w:right w:val="single" w:sz="4" w:space="0" w:color="auto"/>
            </w:tcBorders>
          </w:tcPr>
          <w:p w:rsidR="00742BF1" w:rsidRPr="00B05D12" w:rsidRDefault="00742BF1" w:rsidP="00742BF1">
            <w:pPr>
              <w:rPr>
                <w:rFonts w:ascii="Arial" w:hAnsi="Arial" w:cs="Arial"/>
              </w:rPr>
            </w:pPr>
            <w:r w:rsidRPr="00B05D12">
              <w:rPr>
                <w:rFonts w:ascii="Arial" w:hAnsi="Arial" w:cs="Arial"/>
              </w:rPr>
              <w:t>Outpatients</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eastAsia="Calibri" w:hAnsi="Arial" w:cs="Arial"/>
              </w:rPr>
              <w:t>Simple shortfall</w:t>
            </w: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0.032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0.034</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742BF1" w:rsidRPr="00B05D12" w:rsidRDefault="00742BF1" w:rsidP="00742BF1">
            <w:pPr>
              <w:jc w:val="right"/>
              <w:rPr>
                <w:rFonts w:ascii="Arial" w:eastAsia="Calibri" w:hAnsi="Arial" w:cs="Arial"/>
                <w:b/>
              </w:rPr>
            </w:pPr>
            <w:r w:rsidRPr="00B05D12">
              <w:rPr>
                <w:rFonts w:ascii="Arial" w:eastAsia="Calibri" w:hAnsi="Arial" w:cs="Arial"/>
                <w:b/>
              </w:rPr>
              <w:t>0.037</w:t>
            </w:r>
          </w:p>
        </w:tc>
        <w:tc>
          <w:tcPr>
            <w:tcW w:w="0" w:type="auto"/>
            <w:vMerge w:val="restart"/>
            <w:tcBorders>
              <w:top w:val="single" w:sz="4" w:space="0" w:color="auto"/>
              <w:left w:val="single" w:sz="4" w:space="0" w:color="auto"/>
              <w:right w:val="single" w:sz="4" w:space="0" w:color="auto"/>
            </w:tcBorders>
            <w:vAlign w:val="bottom"/>
            <w:hideMark/>
          </w:tcPr>
          <w:p w:rsidR="00742BF1" w:rsidRPr="00B05D12" w:rsidRDefault="00742BF1" w:rsidP="00742BF1">
            <w:pPr>
              <w:jc w:val="right"/>
              <w:rPr>
                <w:rFonts w:ascii="Arial" w:eastAsia="Calibri" w:hAnsi="Arial" w:cs="Arial"/>
              </w:rPr>
            </w:pPr>
            <w:r w:rsidRPr="00B05D12">
              <w:rPr>
                <w:rFonts w:ascii="Arial" w:eastAsia="Calibri" w:hAnsi="Arial" w:cs="Arial"/>
              </w:rPr>
              <w:t>0.034</w:t>
            </w:r>
          </w:p>
        </w:tc>
      </w:tr>
      <w:tr w:rsidR="00742BF1" w:rsidRPr="00B05D12" w:rsidTr="00742BF1">
        <w:trPr>
          <w:trHeight w:hRule="exact" w:val="340"/>
        </w:trPr>
        <w:tc>
          <w:tcPr>
            <w:tcW w:w="0" w:type="auto"/>
            <w:vMerge/>
            <w:tcBorders>
              <w:left w:val="single" w:sz="4" w:space="0" w:color="auto"/>
              <w:bottom w:val="single" w:sz="4" w:space="0" w:color="auto"/>
              <w:right w:val="single" w:sz="4" w:space="0" w:color="auto"/>
            </w:tcBorders>
          </w:tcPr>
          <w:p w:rsidR="00742BF1" w:rsidRPr="00B05D12" w:rsidRDefault="00742BF1" w:rsidP="00742BF1">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742BF1" w:rsidRPr="00B05D12" w:rsidRDefault="00742BF1" w:rsidP="00742BF1">
            <w:pPr>
              <w:rPr>
                <w:rFonts w:ascii="Arial" w:eastAsia="Calibri" w:hAnsi="Arial" w:cs="Arial"/>
              </w:rPr>
            </w:pPr>
            <w:r w:rsidRPr="00B05D12">
              <w:rPr>
                <w:rFonts w:ascii="Arial" w:hAnsi="Arial" w:cs="Arial"/>
              </w:rPr>
              <w:t>Deprivation effects</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r w:rsidRPr="00B05D12">
              <w:rPr>
                <w:rFonts w:ascii="Arial" w:eastAsia="Calibri" w:hAnsi="Arial" w:cs="Arial"/>
              </w:rPr>
              <w:t>0.031</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0.033</w:t>
            </w:r>
          </w:p>
        </w:tc>
        <w:tc>
          <w:tcPr>
            <w:tcW w:w="0" w:type="auto"/>
            <w:tcBorders>
              <w:top w:val="single" w:sz="4" w:space="0" w:color="auto"/>
              <w:left w:val="single" w:sz="4" w:space="0" w:color="auto"/>
              <w:bottom w:val="single" w:sz="4" w:space="0" w:color="auto"/>
              <w:right w:val="single" w:sz="4" w:space="0" w:color="auto"/>
            </w:tcBorders>
            <w:vAlign w:val="center"/>
            <w:hideMark/>
          </w:tcPr>
          <w:p w:rsidR="00742BF1" w:rsidRPr="004273EC" w:rsidRDefault="00742BF1" w:rsidP="00742BF1">
            <w:pPr>
              <w:jc w:val="right"/>
              <w:rPr>
                <w:rFonts w:ascii="Arial" w:eastAsia="Calibri" w:hAnsi="Arial" w:cs="Arial"/>
                <w:b/>
                <w:i/>
              </w:rPr>
            </w:pPr>
            <w:r w:rsidRPr="004273EC">
              <w:rPr>
                <w:rFonts w:ascii="Arial" w:eastAsia="Calibri" w:hAnsi="Arial" w:cs="Arial"/>
                <w:b/>
                <w:i/>
              </w:rPr>
              <w:t>0.033</w:t>
            </w:r>
          </w:p>
        </w:tc>
        <w:tc>
          <w:tcPr>
            <w:tcW w:w="0" w:type="auto"/>
            <w:vMerge/>
            <w:tcBorders>
              <w:left w:val="single" w:sz="4" w:space="0" w:color="auto"/>
              <w:bottom w:val="single" w:sz="4" w:space="0" w:color="auto"/>
              <w:right w:val="single" w:sz="4" w:space="0" w:color="auto"/>
            </w:tcBorders>
            <w:vAlign w:val="center"/>
            <w:hideMark/>
          </w:tcPr>
          <w:p w:rsidR="00742BF1" w:rsidRPr="00B05D12" w:rsidRDefault="00742BF1" w:rsidP="00742BF1">
            <w:pPr>
              <w:jc w:val="right"/>
              <w:rPr>
                <w:rFonts w:ascii="Arial" w:eastAsia="Calibri" w:hAnsi="Arial" w:cs="Arial"/>
              </w:rPr>
            </w:pPr>
          </w:p>
        </w:tc>
      </w:tr>
    </w:tbl>
    <w:p w:rsidR="00742BF1" w:rsidRPr="00E24951" w:rsidRDefault="00742BF1" w:rsidP="00742BF1">
      <w:pPr>
        <w:jc w:val="both"/>
        <w:rPr>
          <w:rFonts w:ascii="Arial" w:hAnsi="Arial" w:cs="Arial"/>
          <w:i/>
        </w:rPr>
      </w:pPr>
    </w:p>
    <w:p w:rsidR="00742BF1" w:rsidRDefault="00742BF1" w:rsidP="00742BF1">
      <w:pPr>
        <w:jc w:val="both"/>
      </w:pPr>
      <w:r>
        <w:rPr>
          <w:rFonts w:ascii="Arial" w:hAnsi="Arial" w:cs="Arial"/>
        </w:rPr>
        <w:lastRenderedPageBreak/>
        <w:t>The significance of the additional terms in each model, and the adjusted R</w:t>
      </w:r>
      <w:r>
        <w:rPr>
          <w:rFonts w:ascii="Arial" w:hAnsi="Arial" w:cs="Arial"/>
          <w:vertAlign w:val="superscript"/>
        </w:rPr>
        <w:t>2</w:t>
      </w:r>
      <w:r>
        <w:rPr>
          <w:rFonts w:ascii="Arial" w:hAnsi="Arial" w:cs="Arial"/>
        </w:rPr>
        <w:t>, for each diagnostic group at different cut-points, are shown in Tables C-2 (for the simple shortfall method) and C-3 (for the 2007 shortfall method).</w:t>
      </w:r>
      <w:r w:rsidRPr="00706F3F">
        <w:t xml:space="preserve"> </w:t>
      </w:r>
    </w:p>
    <w:p w:rsidR="00742BF1" w:rsidRPr="00304094" w:rsidRDefault="003E2D7E" w:rsidP="00742BF1">
      <w:pPr>
        <w:jc w:val="both"/>
        <w:rPr>
          <w:rFonts w:ascii="Arial" w:hAnsi="Arial" w:cs="Arial"/>
        </w:rPr>
      </w:pPr>
      <w:r>
        <w:rPr>
          <w:rFonts w:ascii="Arial" w:hAnsi="Arial" w:cs="Arial"/>
        </w:rPr>
        <w:t xml:space="preserve">Neither method produces a large increase in </w:t>
      </w:r>
      <w:r w:rsidRPr="00706F3F">
        <w:rPr>
          <w:rFonts w:ascii="Arial" w:hAnsi="Arial" w:cs="Arial"/>
        </w:rPr>
        <w:t>the adjusted R</w:t>
      </w:r>
      <w:r w:rsidRPr="00304094">
        <w:rPr>
          <w:rFonts w:ascii="Arial" w:hAnsi="Arial" w:cs="Arial"/>
          <w:vertAlign w:val="superscript"/>
        </w:rPr>
        <w:t>2</w:t>
      </w:r>
      <w:r w:rsidRPr="00706F3F">
        <w:rPr>
          <w:rFonts w:ascii="Arial" w:hAnsi="Arial" w:cs="Arial"/>
        </w:rPr>
        <w:t xml:space="preserve"> values compared to the reference model</w:t>
      </w:r>
      <w:r>
        <w:rPr>
          <w:rFonts w:ascii="Arial" w:hAnsi="Arial" w:cs="Arial"/>
        </w:rPr>
        <w:t xml:space="preserve">, for any diagnostic group. </w:t>
      </w:r>
      <w:r w:rsidR="00742BF1">
        <w:rPr>
          <w:rFonts w:ascii="Arial" w:hAnsi="Arial" w:cs="Arial"/>
        </w:rPr>
        <w:t xml:space="preserve">For the simple shortfall method using the Acute needs index, </w:t>
      </w:r>
      <w:r w:rsidR="000F544F">
        <w:rPr>
          <w:rFonts w:ascii="Arial" w:hAnsi="Arial" w:cs="Arial"/>
        </w:rPr>
        <w:t>t</w:t>
      </w:r>
      <w:r w:rsidR="000F544F" w:rsidRPr="00304094">
        <w:rPr>
          <w:rFonts w:ascii="Arial" w:hAnsi="Arial" w:cs="Arial"/>
        </w:rPr>
        <w:t>he biggest gain in the adjusted R</w:t>
      </w:r>
      <w:r w:rsidR="000F544F" w:rsidRPr="00304094">
        <w:rPr>
          <w:rFonts w:ascii="Arial" w:hAnsi="Arial" w:cs="Arial"/>
          <w:vertAlign w:val="superscript"/>
        </w:rPr>
        <w:t>2</w:t>
      </w:r>
      <w:r w:rsidR="000F544F" w:rsidRPr="00304094">
        <w:rPr>
          <w:rFonts w:ascii="Arial" w:hAnsi="Arial" w:cs="Arial"/>
        </w:rPr>
        <w:t xml:space="preserve"> values is observed for </w:t>
      </w:r>
      <w:r w:rsidR="000F544F">
        <w:rPr>
          <w:rFonts w:ascii="Arial" w:hAnsi="Arial" w:cs="Arial"/>
        </w:rPr>
        <w:t>Digestive</w:t>
      </w:r>
      <w:r w:rsidR="000F544F" w:rsidRPr="00304094">
        <w:rPr>
          <w:rFonts w:ascii="Arial" w:hAnsi="Arial" w:cs="Arial"/>
        </w:rPr>
        <w:t xml:space="preserve"> and Other (0.</w:t>
      </w:r>
      <w:r w:rsidR="000F544F">
        <w:rPr>
          <w:rFonts w:ascii="Arial" w:hAnsi="Arial" w:cs="Arial"/>
        </w:rPr>
        <w:t>6</w:t>
      </w:r>
      <w:r w:rsidR="000F544F" w:rsidRPr="00304094">
        <w:rPr>
          <w:rFonts w:ascii="Arial" w:hAnsi="Arial" w:cs="Arial"/>
        </w:rPr>
        <w:t xml:space="preserve">5 and </w:t>
      </w:r>
      <w:r w:rsidR="000F544F">
        <w:rPr>
          <w:rFonts w:ascii="Arial" w:hAnsi="Arial" w:cs="Arial"/>
        </w:rPr>
        <w:t>1</w:t>
      </w:r>
      <w:r w:rsidR="000F544F" w:rsidRPr="00304094">
        <w:rPr>
          <w:rFonts w:ascii="Arial" w:hAnsi="Arial" w:cs="Arial"/>
        </w:rPr>
        <w:t>.</w:t>
      </w:r>
      <w:r w:rsidR="000F544F">
        <w:rPr>
          <w:rFonts w:ascii="Arial" w:hAnsi="Arial" w:cs="Arial"/>
        </w:rPr>
        <w:t>08 percentage points, respectively</w:t>
      </w:r>
      <w:r w:rsidR="000F544F" w:rsidRPr="00304094">
        <w:rPr>
          <w:rFonts w:ascii="Arial" w:hAnsi="Arial" w:cs="Arial"/>
        </w:rPr>
        <w:t>)</w:t>
      </w:r>
      <w:r w:rsidR="000F544F">
        <w:rPr>
          <w:rFonts w:ascii="Arial" w:hAnsi="Arial" w:cs="Arial"/>
        </w:rPr>
        <w:t>, using a cut-point of 5%</w:t>
      </w:r>
      <w:r w:rsidR="000F544F" w:rsidRPr="00304094">
        <w:rPr>
          <w:rFonts w:ascii="Arial" w:hAnsi="Arial" w:cs="Arial"/>
        </w:rPr>
        <w:t xml:space="preserve">. </w:t>
      </w:r>
      <w:r w:rsidR="00742BF1">
        <w:rPr>
          <w:rFonts w:ascii="Arial" w:hAnsi="Arial" w:cs="Arial"/>
        </w:rPr>
        <w:t>For the 2007 shortfall method using SIMD, t</w:t>
      </w:r>
      <w:r w:rsidR="00742BF1" w:rsidRPr="00304094">
        <w:rPr>
          <w:rFonts w:ascii="Arial" w:hAnsi="Arial" w:cs="Arial"/>
        </w:rPr>
        <w:t>he biggest gain in the adjusted R</w:t>
      </w:r>
      <w:r w:rsidR="00742BF1" w:rsidRPr="00304094">
        <w:rPr>
          <w:rFonts w:ascii="Arial" w:hAnsi="Arial" w:cs="Arial"/>
          <w:vertAlign w:val="superscript"/>
        </w:rPr>
        <w:t>2</w:t>
      </w:r>
      <w:r w:rsidR="00742BF1" w:rsidRPr="00304094">
        <w:rPr>
          <w:rFonts w:ascii="Arial" w:hAnsi="Arial" w:cs="Arial"/>
        </w:rPr>
        <w:t xml:space="preserve"> values is observed for Heart and Other (0.54 and 0.76</w:t>
      </w:r>
      <w:r w:rsidR="00742BF1">
        <w:rPr>
          <w:rFonts w:ascii="Arial" w:hAnsi="Arial" w:cs="Arial"/>
        </w:rPr>
        <w:t xml:space="preserve"> percentage points, respectively</w:t>
      </w:r>
      <w:r w:rsidR="00742BF1" w:rsidRPr="00304094">
        <w:rPr>
          <w:rFonts w:ascii="Arial" w:hAnsi="Arial" w:cs="Arial"/>
        </w:rPr>
        <w:t>)</w:t>
      </w:r>
      <w:r w:rsidR="00742BF1">
        <w:rPr>
          <w:rFonts w:ascii="Arial" w:hAnsi="Arial" w:cs="Arial"/>
        </w:rPr>
        <w:t>, using a cut-point of 25%</w:t>
      </w:r>
      <w:r w:rsidR="00DF6458">
        <w:rPr>
          <w:rFonts w:ascii="Arial" w:hAnsi="Arial" w:cs="Arial"/>
        </w:rPr>
        <w:t>; from Table C-1</w:t>
      </w:r>
      <w:r w:rsidR="00742BF1">
        <w:rPr>
          <w:rFonts w:ascii="Arial" w:hAnsi="Arial" w:cs="Arial"/>
        </w:rPr>
        <w:t>, the direction of the change in slope is an increase for Heart and a decrease for Other</w:t>
      </w:r>
      <w:r w:rsidR="00742BF1" w:rsidRPr="00304094">
        <w:rPr>
          <w:rFonts w:ascii="Arial" w:hAnsi="Arial" w:cs="Arial"/>
        </w:rPr>
        <w:t>.</w:t>
      </w:r>
    </w:p>
    <w:p w:rsidR="00F2498B" w:rsidRPr="009E2130" w:rsidRDefault="00F2498B" w:rsidP="009E2130">
      <w:pPr>
        <w:spacing w:after="0"/>
        <w:rPr>
          <w:rFonts w:ascii="Arial" w:hAnsi="Arial" w:cs="Arial"/>
          <w:i/>
        </w:rPr>
      </w:pPr>
      <w:r w:rsidRPr="009E2130">
        <w:rPr>
          <w:rFonts w:ascii="Arial" w:hAnsi="Arial" w:cs="Arial"/>
          <w:i/>
        </w:rPr>
        <w:t xml:space="preserve">Table </w:t>
      </w:r>
      <w:r w:rsidR="00742BF1">
        <w:rPr>
          <w:rFonts w:ascii="Arial" w:hAnsi="Arial" w:cs="Arial"/>
          <w:i/>
        </w:rPr>
        <w:t>C</w:t>
      </w:r>
      <w:r w:rsidR="009E2130" w:rsidRPr="009E2130">
        <w:rPr>
          <w:rFonts w:ascii="Arial" w:hAnsi="Arial" w:cs="Arial"/>
          <w:i/>
        </w:rPr>
        <w:t>-</w:t>
      </w:r>
      <w:r w:rsidR="00742BF1">
        <w:rPr>
          <w:rFonts w:ascii="Arial" w:hAnsi="Arial" w:cs="Arial"/>
          <w:i/>
        </w:rPr>
        <w:t>2</w:t>
      </w:r>
      <w:r w:rsidR="00D37B8E">
        <w:rPr>
          <w:rFonts w:ascii="Arial" w:hAnsi="Arial" w:cs="Arial"/>
          <w:i/>
        </w:rPr>
        <w:t>: R</w:t>
      </w:r>
      <w:r w:rsidR="00D37B8E" w:rsidRPr="00D37B8E">
        <w:rPr>
          <w:rFonts w:ascii="Arial" w:hAnsi="Arial" w:cs="Arial"/>
          <w:i/>
          <w:vertAlign w:val="superscript"/>
        </w:rPr>
        <w:t>2</w:t>
      </w:r>
      <w:r w:rsidR="00D37B8E">
        <w:rPr>
          <w:rFonts w:ascii="Arial" w:hAnsi="Arial" w:cs="Arial"/>
          <w:i/>
        </w:rPr>
        <w:t xml:space="preserve"> values and significance of the </w:t>
      </w:r>
      <w:proofErr w:type="spellStart"/>
      <w:r w:rsidR="00D37B8E">
        <w:rPr>
          <w:rFonts w:ascii="Arial" w:hAnsi="Arial" w:cs="Arial"/>
          <w:i/>
        </w:rPr>
        <w:t>spline</w:t>
      </w:r>
      <w:proofErr w:type="spellEnd"/>
      <w:r w:rsidR="00D37B8E">
        <w:rPr>
          <w:rFonts w:ascii="Arial" w:hAnsi="Arial" w:cs="Arial"/>
          <w:i/>
        </w:rPr>
        <w:t xml:space="preserve"> term for the simple shortfall method</w:t>
      </w:r>
    </w:p>
    <w:tbl>
      <w:tblPr>
        <w:tblStyle w:val="TableGrid"/>
        <w:tblW w:w="5000" w:type="pct"/>
        <w:tblLook w:val="04A0"/>
      </w:tblPr>
      <w:tblGrid>
        <w:gridCol w:w="1226"/>
        <w:gridCol w:w="989"/>
        <w:gridCol w:w="1780"/>
        <w:gridCol w:w="989"/>
        <w:gridCol w:w="1616"/>
        <w:gridCol w:w="1030"/>
        <w:gridCol w:w="1612"/>
      </w:tblGrid>
      <w:tr w:rsidR="008E56EB" w:rsidRPr="00F710D0" w:rsidTr="008E56EB">
        <w:tc>
          <w:tcPr>
            <w:tcW w:w="664" w:type="pct"/>
            <w:vMerge w:val="restart"/>
          </w:tcPr>
          <w:p w:rsidR="008E56EB" w:rsidRPr="00F710D0" w:rsidRDefault="008E56EB" w:rsidP="008E56EB">
            <w:pPr>
              <w:rPr>
                <w:rFonts w:ascii="Arial" w:hAnsi="Arial" w:cs="Arial"/>
              </w:rPr>
            </w:pPr>
            <w:r w:rsidRPr="00F710D0">
              <w:rPr>
                <w:rFonts w:ascii="Arial" w:hAnsi="Arial" w:cs="Arial"/>
              </w:rPr>
              <w:t>Cut-point</w:t>
            </w:r>
          </w:p>
        </w:tc>
        <w:tc>
          <w:tcPr>
            <w:tcW w:w="1498" w:type="pct"/>
            <w:gridSpan w:val="2"/>
          </w:tcPr>
          <w:p w:rsidR="008E56EB" w:rsidRPr="00F710D0" w:rsidRDefault="008E56EB" w:rsidP="008E56EB">
            <w:pPr>
              <w:rPr>
                <w:rFonts w:ascii="Arial" w:hAnsi="Arial" w:cs="Arial"/>
                <w:b/>
              </w:rPr>
            </w:pPr>
            <w:r w:rsidRPr="00F710D0">
              <w:rPr>
                <w:rFonts w:ascii="Arial" w:hAnsi="Arial" w:cs="Arial"/>
                <w:b/>
              </w:rPr>
              <w:t>Cancer</w:t>
            </w:r>
          </w:p>
        </w:tc>
        <w:tc>
          <w:tcPr>
            <w:tcW w:w="1408" w:type="pct"/>
            <w:gridSpan w:val="2"/>
          </w:tcPr>
          <w:p w:rsidR="008E56EB" w:rsidRPr="00F710D0" w:rsidRDefault="008E56EB" w:rsidP="008E56EB">
            <w:pPr>
              <w:rPr>
                <w:rFonts w:ascii="Arial" w:hAnsi="Arial" w:cs="Arial"/>
                <w:b/>
              </w:rPr>
            </w:pPr>
            <w:r w:rsidRPr="00F710D0">
              <w:rPr>
                <w:rFonts w:ascii="Arial" w:hAnsi="Arial" w:cs="Arial"/>
                <w:b/>
              </w:rPr>
              <w:t>Heart</w:t>
            </w:r>
          </w:p>
        </w:tc>
        <w:tc>
          <w:tcPr>
            <w:tcW w:w="1430" w:type="pct"/>
            <w:gridSpan w:val="2"/>
          </w:tcPr>
          <w:p w:rsidR="008E56EB" w:rsidRPr="00F710D0" w:rsidRDefault="008E56EB" w:rsidP="008E56EB">
            <w:pPr>
              <w:rPr>
                <w:rFonts w:ascii="Arial" w:hAnsi="Arial" w:cs="Arial"/>
                <w:b/>
              </w:rPr>
            </w:pPr>
            <w:r w:rsidRPr="00F710D0">
              <w:rPr>
                <w:rFonts w:ascii="Arial" w:hAnsi="Arial" w:cs="Arial"/>
                <w:b/>
              </w:rPr>
              <w:t>Digestive</w:t>
            </w:r>
          </w:p>
        </w:tc>
      </w:tr>
      <w:tr w:rsidR="008E56EB" w:rsidRPr="00F710D0" w:rsidTr="008E56EB">
        <w:tc>
          <w:tcPr>
            <w:tcW w:w="664" w:type="pct"/>
            <w:vMerge/>
          </w:tcPr>
          <w:p w:rsidR="008E56EB" w:rsidRPr="00F710D0" w:rsidRDefault="008E56EB" w:rsidP="008E56EB">
            <w:pPr>
              <w:rPr>
                <w:rFonts w:ascii="Arial" w:hAnsi="Arial" w:cs="Arial"/>
              </w:rPr>
            </w:pPr>
          </w:p>
        </w:tc>
        <w:tc>
          <w:tcPr>
            <w:tcW w:w="535" w:type="pct"/>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Adj. R</w:t>
            </w:r>
            <w:r w:rsidRPr="00F710D0">
              <w:rPr>
                <w:rFonts w:ascii="Arial" w:hAnsi="Arial" w:cs="Arial"/>
                <w:vertAlign w:val="superscript"/>
              </w:rPr>
              <w:t>2</w:t>
            </w:r>
          </w:p>
        </w:tc>
        <w:tc>
          <w:tcPr>
            <w:tcW w:w="963" w:type="pct"/>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 xml:space="preserve">Upper </w:t>
            </w:r>
            <w:proofErr w:type="spellStart"/>
            <w:r w:rsidRPr="00F710D0">
              <w:rPr>
                <w:rFonts w:ascii="Arial" w:hAnsi="Arial" w:cs="Arial"/>
              </w:rPr>
              <w:t>spline</w:t>
            </w:r>
            <w:proofErr w:type="spellEnd"/>
          </w:p>
        </w:tc>
        <w:tc>
          <w:tcPr>
            <w:tcW w:w="535"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Adj. R</w:t>
            </w:r>
            <w:r w:rsidRPr="00F710D0">
              <w:rPr>
                <w:rFonts w:ascii="Arial" w:hAnsi="Arial" w:cs="Arial"/>
                <w:vertAlign w:val="superscript"/>
              </w:rPr>
              <w:t>2</w:t>
            </w:r>
          </w:p>
        </w:tc>
        <w:tc>
          <w:tcPr>
            <w:tcW w:w="874"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 xml:space="preserve">Upper </w:t>
            </w:r>
            <w:proofErr w:type="spellStart"/>
            <w:r w:rsidRPr="00F710D0">
              <w:rPr>
                <w:rFonts w:ascii="Arial" w:hAnsi="Arial" w:cs="Arial"/>
              </w:rPr>
              <w:t>spline</w:t>
            </w:r>
            <w:proofErr w:type="spellEnd"/>
          </w:p>
        </w:tc>
        <w:tc>
          <w:tcPr>
            <w:tcW w:w="557"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Adj. R</w:t>
            </w:r>
            <w:r w:rsidRPr="00F710D0">
              <w:rPr>
                <w:rFonts w:ascii="Arial" w:hAnsi="Arial" w:cs="Arial"/>
                <w:vertAlign w:val="superscript"/>
              </w:rPr>
              <w:t>2</w:t>
            </w:r>
          </w:p>
        </w:tc>
        <w:tc>
          <w:tcPr>
            <w:tcW w:w="873"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 xml:space="preserve">Upper </w:t>
            </w:r>
            <w:proofErr w:type="spellStart"/>
            <w:r w:rsidRPr="00F710D0">
              <w:rPr>
                <w:rFonts w:ascii="Arial" w:hAnsi="Arial" w:cs="Arial"/>
              </w:rPr>
              <w:t>spline</w:t>
            </w:r>
            <w:proofErr w:type="spellEnd"/>
          </w:p>
        </w:tc>
      </w:tr>
      <w:tr w:rsidR="008E56EB" w:rsidRPr="00F710D0" w:rsidTr="008E56EB">
        <w:trPr>
          <w:trHeight w:hRule="exact" w:val="567"/>
        </w:trPr>
        <w:tc>
          <w:tcPr>
            <w:tcW w:w="664" w:type="pct"/>
            <w:vAlign w:val="center"/>
          </w:tcPr>
          <w:p w:rsidR="008E56EB" w:rsidRPr="00F710D0" w:rsidRDefault="008E56EB" w:rsidP="008E56EB">
            <w:pPr>
              <w:rPr>
                <w:rFonts w:ascii="Arial" w:hAnsi="Arial" w:cs="Arial"/>
              </w:rPr>
            </w:pPr>
            <w:r w:rsidRPr="00F710D0">
              <w:rPr>
                <w:rFonts w:ascii="Arial" w:hAnsi="Arial" w:cs="Arial"/>
              </w:rPr>
              <w:t>no</w:t>
            </w:r>
          </w:p>
        </w:tc>
        <w:tc>
          <w:tcPr>
            <w:tcW w:w="535"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6.70%</w:t>
            </w:r>
          </w:p>
        </w:tc>
        <w:tc>
          <w:tcPr>
            <w:tcW w:w="963" w:type="pct"/>
            <w:vAlign w:val="center"/>
          </w:tcPr>
          <w:p w:rsidR="008E56EB" w:rsidRPr="00F710D0" w:rsidRDefault="008E56EB" w:rsidP="008E56EB">
            <w:pPr>
              <w:jc w:val="right"/>
              <w:rPr>
                <w:rFonts w:ascii="Arial" w:hAnsi="Arial" w:cs="Arial"/>
              </w:rPr>
            </w:pPr>
            <w:r w:rsidRPr="00F710D0">
              <w:rPr>
                <w:rFonts w:ascii="Arial" w:hAnsi="Arial" w:cs="Arial"/>
              </w:rPr>
              <w:t>-</w:t>
            </w:r>
          </w:p>
        </w:tc>
        <w:tc>
          <w:tcPr>
            <w:tcW w:w="535" w:type="pct"/>
            <w:vAlign w:val="center"/>
          </w:tcPr>
          <w:p w:rsidR="008E56EB" w:rsidRPr="00F710D0" w:rsidRDefault="008E56EB" w:rsidP="008E56EB">
            <w:pPr>
              <w:jc w:val="right"/>
              <w:rPr>
                <w:rFonts w:ascii="Arial" w:hAnsi="Arial" w:cs="Arial"/>
              </w:rPr>
            </w:pPr>
            <w:r w:rsidRPr="00F710D0">
              <w:rPr>
                <w:rFonts w:ascii="Arial" w:hAnsi="Arial" w:cs="Arial"/>
              </w:rPr>
              <w:t>8.57%</w:t>
            </w:r>
          </w:p>
        </w:tc>
        <w:tc>
          <w:tcPr>
            <w:tcW w:w="874" w:type="pct"/>
            <w:tcBorders>
              <w:bottom w:val="single" w:sz="4" w:space="0" w:color="auto"/>
            </w:tcBorders>
            <w:vAlign w:val="center"/>
          </w:tcPr>
          <w:p w:rsidR="008E56EB" w:rsidRPr="00F710D0" w:rsidRDefault="008E56EB" w:rsidP="008E56EB">
            <w:pPr>
              <w:jc w:val="right"/>
              <w:rPr>
                <w:rFonts w:ascii="Arial" w:hAnsi="Arial" w:cs="Arial"/>
              </w:rPr>
            </w:pPr>
            <w:r w:rsidRPr="00F710D0">
              <w:rPr>
                <w:rFonts w:ascii="Arial" w:hAnsi="Arial" w:cs="Arial"/>
              </w:rPr>
              <w:t>-</w:t>
            </w:r>
          </w:p>
        </w:tc>
        <w:tc>
          <w:tcPr>
            <w:tcW w:w="557" w:type="pct"/>
            <w:vAlign w:val="center"/>
          </w:tcPr>
          <w:p w:rsidR="008E56EB" w:rsidRPr="00F710D0" w:rsidRDefault="008E56EB" w:rsidP="008E56EB">
            <w:pPr>
              <w:jc w:val="right"/>
              <w:rPr>
                <w:rFonts w:ascii="Arial" w:hAnsi="Arial" w:cs="Arial"/>
              </w:rPr>
            </w:pPr>
            <w:r w:rsidRPr="00F710D0">
              <w:rPr>
                <w:rFonts w:ascii="Arial" w:hAnsi="Arial" w:cs="Arial"/>
              </w:rPr>
              <w:t>22.36%</w:t>
            </w:r>
          </w:p>
        </w:tc>
        <w:tc>
          <w:tcPr>
            <w:tcW w:w="873" w:type="pct"/>
            <w:tcBorders>
              <w:bottom w:val="single" w:sz="4" w:space="0" w:color="auto"/>
            </w:tcBorders>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w:t>
            </w:r>
          </w:p>
        </w:tc>
      </w:tr>
      <w:tr w:rsidR="008E56EB" w:rsidRPr="00F710D0" w:rsidTr="008E56EB">
        <w:trPr>
          <w:trHeight w:hRule="exact" w:val="567"/>
        </w:trPr>
        <w:tc>
          <w:tcPr>
            <w:tcW w:w="664" w:type="pct"/>
            <w:vAlign w:val="center"/>
          </w:tcPr>
          <w:p w:rsidR="008E56EB" w:rsidRPr="00F710D0" w:rsidRDefault="008E56EB" w:rsidP="008E56EB">
            <w:pPr>
              <w:rPr>
                <w:rFonts w:ascii="Arial" w:hAnsi="Arial" w:cs="Arial"/>
              </w:rPr>
            </w:pPr>
            <w:r w:rsidRPr="00F710D0">
              <w:rPr>
                <w:rFonts w:ascii="Arial" w:hAnsi="Arial" w:cs="Arial"/>
              </w:rPr>
              <w:t>5%</w:t>
            </w:r>
          </w:p>
        </w:tc>
        <w:tc>
          <w:tcPr>
            <w:tcW w:w="535"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6.69%</w:t>
            </w:r>
          </w:p>
        </w:tc>
        <w:tc>
          <w:tcPr>
            <w:tcW w:w="963" w:type="pct"/>
            <w:vAlign w:val="center"/>
          </w:tcPr>
          <w:p w:rsidR="008E56EB" w:rsidRPr="00F710D0" w:rsidRDefault="008E56EB" w:rsidP="008E56EB">
            <w:pPr>
              <w:jc w:val="right"/>
              <w:rPr>
                <w:rFonts w:ascii="Arial" w:hAnsi="Arial" w:cs="Arial"/>
              </w:rPr>
            </w:pPr>
            <w:r w:rsidRPr="00F710D0">
              <w:rPr>
                <w:rFonts w:ascii="Arial" w:hAnsi="Arial" w:cs="Arial"/>
              </w:rPr>
              <w:t>Not significant</w:t>
            </w:r>
          </w:p>
        </w:tc>
        <w:tc>
          <w:tcPr>
            <w:tcW w:w="535" w:type="pct"/>
            <w:vAlign w:val="center"/>
          </w:tcPr>
          <w:p w:rsidR="008E56EB" w:rsidRPr="00F710D0" w:rsidRDefault="008E56EB" w:rsidP="008E56EB">
            <w:pPr>
              <w:jc w:val="right"/>
              <w:rPr>
                <w:rFonts w:ascii="Arial" w:hAnsi="Arial" w:cs="Arial"/>
              </w:rPr>
            </w:pPr>
            <w:r w:rsidRPr="00F710D0">
              <w:rPr>
                <w:rFonts w:ascii="Arial" w:hAnsi="Arial" w:cs="Arial"/>
              </w:rPr>
              <w:t>8.70%</w:t>
            </w:r>
          </w:p>
        </w:tc>
        <w:tc>
          <w:tcPr>
            <w:tcW w:w="874"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57" w:type="pct"/>
            <w:vAlign w:val="center"/>
          </w:tcPr>
          <w:p w:rsidR="008E56EB" w:rsidRPr="00F710D0" w:rsidRDefault="008E56EB" w:rsidP="008E56EB">
            <w:pPr>
              <w:jc w:val="right"/>
              <w:rPr>
                <w:rFonts w:ascii="Arial" w:hAnsi="Arial" w:cs="Arial"/>
              </w:rPr>
            </w:pPr>
            <w:r w:rsidRPr="00F710D0">
              <w:rPr>
                <w:rFonts w:ascii="Arial" w:hAnsi="Arial" w:cs="Arial"/>
              </w:rPr>
              <w:t>23.01%</w:t>
            </w:r>
          </w:p>
        </w:tc>
        <w:tc>
          <w:tcPr>
            <w:tcW w:w="87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r w:rsidR="008E56EB" w:rsidRPr="00F710D0" w:rsidTr="008E56EB">
        <w:trPr>
          <w:trHeight w:hRule="exact" w:val="567"/>
        </w:trPr>
        <w:tc>
          <w:tcPr>
            <w:tcW w:w="664" w:type="pct"/>
            <w:vAlign w:val="center"/>
          </w:tcPr>
          <w:p w:rsidR="008E56EB" w:rsidRPr="00F710D0" w:rsidRDefault="008E56EB" w:rsidP="008E56EB">
            <w:pPr>
              <w:rPr>
                <w:rFonts w:ascii="Arial" w:hAnsi="Arial" w:cs="Arial"/>
              </w:rPr>
            </w:pPr>
            <w:r w:rsidRPr="00F710D0">
              <w:rPr>
                <w:rFonts w:ascii="Arial" w:hAnsi="Arial" w:cs="Arial"/>
              </w:rPr>
              <w:t>15%</w:t>
            </w:r>
          </w:p>
        </w:tc>
        <w:tc>
          <w:tcPr>
            <w:tcW w:w="535"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6.69%</w:t>
            </w:r>
          </w:p>
        </w:tc>
        <w:tc>
          <w:tcPr>
            <w:tcW w:w="963" w:type="pct"/>
            <w:vAlign w:val="center"/>
          </w:tcPr>
          <w:p w:rsidR="008E56EB" w:rsidRPr="00F710D0" w:rsidRDefault="008E56EB" w:rsidP="008E56EB">
            <w:pPr>
              <w:jc w:val="right"/>
              <w:rPr>
                <w:rFonts w:ascii="Arial" w:hAnsi="Arial" w:cs="Arial"/>
              </w:rPr>
            </w:pPr>
            <w:r w:rsidRPr="00F710D0">
              <w:rPr>
                <w:rFonts w:ascii="Arial" w:hAnsi="Arial" w:cs="Arial"/>
              </w:rPr>
              <w:t>Not significant</w:t>
            </w:r>
          </w:p>
        </w:tc>
        <w:tc>
          <w:tcPr>
            <w:tcW w:w="535" w:type="pct"/>
            <w:vAlign w:val="center"/>
          </w:tcPr>
          <w:p w:rsidR="008E56EB" w:rsidRPr="00F710D0" w:rsidRDefault="008E56EB" w:rsidP="008E56EB">
            <w:pPr>
              <w:jc w:val="right"/>
              <w:rPr>
                <w:rFonts w:ascii="Arial" w:hAnsi="Arial" w:cs="Arial"/>
              </w:rPr>
            </w:pPr>
            <w:r w:rsidRPr="00F710D0">
              <w:rPr>
                <w:rFonts w:ascii="Arial" w:hAnsi="Arial" w:cs="Arial"/>
              </w:rPr>
              <w:t>8.77%</w:t>
            </w:r>
          </w:p>
        </w:tc>
        <w:tc>
          <w:tcPr>
            <w:tcW w:w="874"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57" w:type="pct"/>
            <w:vAlign w:val="center"/>
          </w:tcPr>
          <w:p w:rsidR="008E56EB" w:rsidRPr="00F710D0" w:rsidRDefault="008E56EB" w:rsidP="008E56EB">
            <w:pPr>
              <w:jc w:val="right"/>
              <w:rPr>
                <w:rFonts w:ascii="Arial" w:hAnsi="Arial" w:cs="Arial"/>
              </w:rPr>
            </w:pPr>
            <w:r w:rsidRPr="00F710D0">
              <w:rPr>
                <w:rFonts w:ascii="Arial" w:hAnsi="Arial" w:cs="Arial"/>
              </w:rPr>
              <w:t>22.66%</w:t>
            </w:r>
          </w:p>
        </w:tc>
        <w:tc>
          <w:tcPr>
            <w:tcW w:w="87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r w:rsidR="008E56EB" w:rsidRPr="00F710D0" w:rsidTr="008E56EB">
        <w:trPr>
          <w:trHeight w:hRule="exact" w:val="567"/>
        </w:trPr>
        <w:tc>
          <w:tcPr>
            <w:tcW w:w="664" w:type="pct"/>
            <w:vAlign w:val="center"/>
          </w:tcPr>
          <w:p w:rsidR="008E56EB" w:rsidRPr="00F710D0" w:rsidRDefault="008E56EB" w:rsidP="008E56EB">
            <w:pPr>
              <w:rPr>
                <w:rFonts w:ascii="Arial" w:hAnsi="Arial" w:cs="Arial"/>
              </w:rPr>
            </w:pPr>
            <w:r w:rsidRPr="00F710D0">
              <w:rPr>
                <w:rFonts w:ascii="Arial" w:hAnsi="Arial" w:cs="Arial"/>
              </w:rPr>
              <w:t>25%</w:t>
            </w:r>
          </w:p>
        </w:tc>
        <w:tc>
          <w:tcPr>
            <w:tcW w:w="535"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6.71%</w:t>
            </w:r>
          </w:p>
        </w:tc>
        <w:tc>
          <w:tcPr>
            <w:tcW w:w="963" w:type="pct"/>
            <w:vAlign w:val="center"/>
          </w:tcPr>
          <w:p w:rsidR="008E56EB" w:rsidRPr="00F710D0" w:rsidRDefault="008E56EB" w:rsidP="008E56EB">
            <w:pPr>
              <w:jc w:val="right"/>
              <w:rPr>
                <w:rFonts w:ascii="Arial" w:hAnsi="Arial" w:cs="Arial"/>
              </w:rPr>
            </w:pPr>
            <w:r w:rsidRPr="00F710D0">
              <w:rPr>
                <w:rFonts w:ascii="Arial" w:hAnsi="Arial" w:cs="Arial"/>
              </w:rPr>
              <w:t>Not significant</w:t>
            </w:r>
          </w:p>
        </w:tc>
        <w:tc>
          <w:tcPr>
            <w:tcW w:w="535" w:type="pct"/>
            <w:vAlign w:val="center"/>
          </w:tcPr>
          <w:p w:rsidR="008E56EB" w:rsidRPr="00F710D0" w:rsidRDefault="008E56EB" w:rsidP="008E56EB">
            <w:pPr>
              <w:jc w:val="right"/>
              <w:rPr>
                <w:rFonts w:ascii="Arial" w:hAnsi="Arial" w:cs="Arial"/>
              </w:rPr>
            </w:pPr>
            <w:r w:rsidRPr="00F710D0">
              <w:rPr>
                <w:rFonts w:ascii="Arial" w:hAnsi="Arial" w:cs="Arial"/>
              </w:rPr>
              <w:t>8.78%</w:t>
            </w:r>
          </w:p>
        </w:tc>
        <w:tc>
          <w:tcPr>
            <w:tcW w:w="874"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57" w:type="pct"/>
            <w:vAlign w:val="center"/>
          </w:tcPr>
          <w:p w:rsidR="008E56EB" w:rsidRPr="00F710D0" w:rsidRDefault="008E56EB" w:rsidP="008E56EB">
            <w:pPr>
              <w:jc w:val="right"/>
              <w:rPr>
                <w:rFonts w:ascii="Arial" w:hAnsi="Arial" w:cs="Arial"/>
              </w:rPr>
            </w:pPr>
            <w:r w:rsidRPr="00F710D0">
              <w:rPr>
                <w:rFonts w:ascii="Arial" w:hAnsi="Arial" w:cs="Arial"/>
              </w:rPr>
              <w:t>22.51%</w:t>
            </w:r>
          </w:p>
        </w:tc>
        <w:tc>
          <w:tcPr>
            <w:tcW w:w="87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bl>
    <w:p w:rsidR="008E56EB" w:rsidRDefault="008E56EB" w:rsidP="008E56EB"/>
    <w:tbl>
      <w:tblPr>
        <w:tblStyle w:val="TableGrid"/>
        <w:tblW w:w="5000" w:type="pct"/>
        <w:tblLook w:val="04A0"/>
      </w:tblPr>
      <w:tblGrid>
        <w:gridCol w:w="1256"/>
        <w:gridCol w:w="1011"/>
        <w:gridCol w:w="1651"/>
        <w:gridCol w:w="1011"/>
        <w:gridCol w:w="1651"/>
        <w:gridCol w:w="1011"/>
        <w:gridCol w:w="1651"/>
      </w:tblGrid>
      <w:tr w:rsidR="008E56EB" w:rsidRPr="00F710D0" w:rsidTr="008E56EB">
        <w:tc>
          <w:tcPr>
            <w:tcW w:w="679" w:type="pct"/>
            <w:vMerge w:val="restart"/>
          </w:tcPr>
          <w:p w:rsidR="008E56EB" w:rsidRPr="00F710D0" w:rsidRDefault="008E56EB" w:rsidP="008E56EB">
            <w:pPr>
              <w:rPr>
                <w:rFonts w:ascii="Arial" w:hAnsi="Arial" w:cs="Arial"/>
              </w:rPr>
            </w:pPr>
            <w:r w:rsidRPr="00F710D0">
              <w:rPr>
                <w:rFonts w:ascii="Arial" w:hAnsi="Arial" w:cs="Arial"/>
              </w:rPr>
              <w:t>Cut-point</w:t>
            </w:r>
          </w:p>
        </w:tc>
        <w:tc>
          <w:tcPr>
            <w:tcW w:w="1440" w:type="pct"/>
            <w:gridSpan w:val="2"/>
          </w:tcPr>
          <w:p w:rsidR="008E56EB" w:rsidRPr="00F710D0" w:rsidRDefault="008E56EB" w:rsidP="008E56EB">
            <w:pPr>
              <w:rPr>
                <w:rFonts w:ascii="Arial" w:hAnsi="Arial" w:cs="Arial"/>
                <w:b/>
              </w:rPr>
            </w:pPr>
            <w:r w:rsidRPr="00F710D0">
              <w:rPr>
                <w:rFonts w:ascii="Arial" w:hAnsi="Arial" w:cs="Arial"/>
                <w:b/>
              </w:rPr>
              <w:t>Injury</w:t>
            </w:r>
          </w:p>
        </w:tc>
        <w:tc>
          <w:tcPr>
            <w:tcW w:w="1440" w:type="pct"/>
            <w:gridSpan w:val="2"/>
          </w:tcPr>
          <w:p w:rsidR="008E56EB" w:rsidRPr="00F710D0" w:rsidRDefault="008E56EB" w:rsidP="008E56EB">
            <w:pPr>
              <w:rPr>
                <w:rFonts w:ascii="Arial" w:hAnsi="Arial" w:cs="Arial"/>
                <w:b/>
              </w:rPr>
            </w:pPr>
            <w:r w:rsidRPr="00F710D0">
              <w:rPr>
                <w:rFonts w:ascii="Arial" w:hAnsi="Arial" w:cs="Arial"/>
                <w:b/>
              </w:rPr>
              <w:t>Other</w:t>
            </w:r>
          </w:p>
        </w:tc>
        <w:tc>
          <w:tcPr>
            <w:tcW w:w="1440" w:type="pct"/>
            <w:gridSpan w:val="2"/>
          </w:tcPr>
          <w:p w:rsidR="008E56EB" w:rsidRPr="00F710D0" w:rsidRDefault="008E56EB" w:rsidP="008E56EB">
            <w:pPr>
              <w:rPr>
                <w:rFonts w:ascii="Arial" w:hAnsi="Arial" w:cs="Arial"/>
                <w:b/>
              </w:rPr>
            </w:pPr>
            <w:r w:rsidRPr="00F710D0">
              <w:rPr>
                <w:rFonts w:ascii="Arial" w:hAnsi="Arial" w:cs="Arial"/>
                <w:b/>
              </w:rPr>
              <w:t>Respiratory</w:t>
            </w:r>
          </w:p>
        </w:tc>
      </w:tr>
      <w:tr w:rsidR="008E56EB" w:rsidRPr="00F710D0" w:rsidTr="008E56EB">
        <w:tc>
          <w:tcPr>
            <w:tcW w:w="679" w:type="pct"/>
            <w:vMerge/>
          </w:tcPr>
          <w:p w:rsidR="008E56EB" w:rsidRPr="00F710D0" w:rsidRDefault="008E56EB" w:rsidP="008E56EB">
            <w:pPr>
              <w:rPr>
                <w:rFonts w:ascii="Arial" w:hAnsi="Arial" w:cs="Arial"/>
              </w:rPr>
            </w:pPr>
          </w:p>
        </w:tc>
        <w:tc>
          <w:tcPr>
            <w:tcW w:w="547" w:type="pct"/>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Adj. R</w:t>
            </w:r>
            <w:r w:rsidRPr="00F710D0">
              <w:rPr>
                <w:rFonts w:ascii="Arial" w:hAnsi="Arial" w:cs="Arial"/>
                <w:vertAlign w:val="superscript"/>
              </w:rPr>
              <w:t>2</w:t>
            </w:r>
          </w:p>
        </w:tc>
        <w:tc>
          <w:tcPr>
            <w:tcW w:w="893" w:type="pct"/>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 xml:space="preserve">Upper </w:t>
            </w:r>
            <w:proofErr w:type="spellStart"/>
            <w:r w:rsidRPr="00F710D0">
              <w:rPr>
                <w:rFonts w:ascii="Arial" w:hAnsi="Arial" w:cs="Arial"/>
              </w:rPr>
              <w:t>spline</w:t>
            </w:r>
            <w:proofErr w:type="spellEnd"/>
          </w:p>
        </w:tc>
        <w:tc>
          <w:tcPr>
            <w:tcW w:w="547"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Adj. R</w:t>
            </w:r>
            <w:r w:rsidRPr="00F710D0">
              <w:rPr>
                <w:rFonts w:ascii="Arial" w:hAnsi="Arial" w:cs="Arial"/>
                <w:vertAlign w:val="superscript"/>
              </w:rPr>
              <w:t>2</w:t>
            </w:r>
          </w:p>
        </w:tc>
        <w:tc>
          <w:tcPr>
            <w:tcW w:w="893"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 xml:space="preserve">Upper </w:t>
            </w:r>
            <w:proofErr w:type="spellStart"/>
            <w:r w:rsidRPr="00F710D0">
              <w:rPr>
                <w:rFonts w:ascii="Arial" w:hAnsi="Arial" w:cs="Arial"/>
              </w:rPr>
              <w:t>spline</w:t>
            </w:r>
            <w:proofErr w:type="spellEnd"/>
          </w:p>
        </w:tc>
        <w:tc>
          <w:tcPr>
            <w:tcW w:w="547"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Adj. R</w:t>
            </w:r>
            <w:r w:rsidRPr="00F710D0">
              <w:rPr>
                <w:rFonts w:ascii="Arial" w:hAnsi="Arial" w:cs="Arial"/>
                <w:vertAlign w:val="superscript"/>
              </w:rPr>
              <w:t>2</w:t>
            </w:r>
          </w:p>
        </w:tc>
        <w:tc>
          <w:tcPr>
            <w:tcW w:w="893" w:type="pct"/>
            <w:tcBorders>
              <w:bottom w:val="single" w:sz="4" w:space="0" w:color="auto"/>
            </w:tcBorders>
          </w:tcPr>
          <w:p w:rsidR="008E56EB" w:rsidRPr="00F710D0" w:rsidRDefault="008E56EB" w:rsidP="008E56EB">
            <w:pPr>
              <w:rPr>
                <w:rFonts w:ascii="Arial" w:hAnsi="Arial" w:cs="Arial"/>
              </w:rPr>
            </w:pPr>
            <w:r w:rsidRPr="00F710D0">
              <w:rPr>
                <w:rFonts w:ascii="Arial" w:hAnsi="Arial" w:cs="Arial"/>
              </w:rPr>
              <w:t xml:space="preserve">Upper </w:t>
            </w:r>
            <w:proofErr w:type="spellStart"/>
            <w:r w:rsidRPr="00F710D0">
              <w:rPr>
                <w:rFonts w:ascii="Arial" w:hAnsi="Arial" w:cs="Arial"/>
              </w:rPr>
              <w:t>spline</w:t>
            </w:r>
            <w:proofErr w:type="spellEnd"/>
          </w:p>
        </w:tc>
      </w:tr>
      <w:tr w:rsidR="008E56EB" w:rsidRPr="00F710D0" w:rsidTr="008E56EB">
        <w:trPr>
          <w:trHeight w:hRule="exact" w:val="567"/>
        </w:trPr>
        <w:tc>
          <w:tcPr>
            <w:tcW w:w="679" w:type="pct"/>
            <w:vAlign w:val="center"/>
          </w:tcPr>
          <w:p w:rsidR="008E56EB" w:rsidRPr="00F710D0" w:rsidRDefault="008E56EB" w:rsidP="008E56EB">
            <w:pPr>
              <w:rPr>
                <w:rFonts w:ascii="Arial" w:hAnsi="Arial" w:cs="Arial"/>
              </w:rPr>
            </w:pPr>
            <w:r w:rsidRPr="00F710D0">
              <w:rPr>
                <w:rFonts w:ascii="Arial" w:hAnsi="Arial" w:cs="Arial"/>
              </w:rPr>
              <w:t>no</w:t>
            </w:r>
          </w:p>
        </w:tc>
        <w:tc>
          <w:tcPr>
            <w:tcW w:w="547"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13.57%</w:t>
            </w:r>
          </w:p>
        </w:tc>
        <w:tc>
          <w:tcPr>
            <w:tcW w:w="893" w:type="pct"/>
            <w:tcBorders>
              <w:bottom w:val="single" w:sz="4" w:space="0" w:color="auto"/>
            </w:tcBorders>
            <w:vAlign w:val="center"/>
          </w:tcPr>
          <w:p w:rsidR="008E56EB" w:rsidRPr="00F710D0" w:rsidRDefault="008E56EB" w:rsidP="008E56EB">
            <w:pPr>
              <w:jc w:val="right"/>
              <w:rPr>
                <w:rFonts w:ascii="Arial" w:hAnsi="Arial" w:cs="Arial"/>
              </w:rPr>
            </w:pPr>
            <w:r w:rsidRPr="00F710D0">
              <w:rPr>
                <w:rFonts w:ascii="Arial" w:hAnsi="Arial" w:cs="Arial"/>
              </w:rPr>
              <w: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27.79%</w:t>
            </w:r>
          </w:p>
        </w:tc>
        <w:tc>
          <w:tcPr>
            <w:tcW w:w="893" w:type="pct"/>
            <w:tcBorders>
              <w:bottom w:val="single" w:sz="4" w:space="0" w:color="auto"/>
            </w:tcBorders>
            <w:vAlign w:val="center"/>
          </w:tcPr>
          <w:p w:rsidR="008E56EB" w:rsidRPr="00F710D0" w:rsidRDefault="008E56EB" w:rsidP="008E56EB">
            <w:pPr>
              <w:jc w:val="right"/>
              <w:rPr>
                <w:rFonts w:ascii="Arial" w:hAnsi="Arial" w:cs="Arial"/>
              </w:rPr>
            </w:pPr>
            <w:r w:rsidRPr="00F710D0">
              <w:rPr>
                <w:rFonts w:ascii="Arial" w:hAnsi="Arial" w:cs="Arial"/>
              </w:rPr>
              <w: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21.99%</w:t>
            </w:r>
          </w:p>
        </w:tc>
        <w:tc>
          <w:tcPr>
            <w:tcW w:w="893" w:type="pct"/>
            <w:tcBorders>
              <w:bottom w:val="single" w:sz="4" w:space="0" w:color="auto"/>
            </w:tcBorders>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w:t>
            </w:r>
          </w:p>
        </w:tc>
      </w:tr>
      <w:tr w:rsidR="008E56EB" w:rsidRPr="00F710D0" w:rsidTr="008E56EB">
        <w:trPr>
          <w:trHeight w:hRule="exact" w:val="567"/>
        </w:trPr>
        <w:tc>
          <w:tcPr>
            <w:tcW w:w="679" w:type="pct"/>
            <w:vAlign w:val="center"/>
          </w:tcPr>
          <w:p w:rsidR="008E56EB" w:rsidRPr="00F710D0" w:rsidRDefault="008E56EB" w:rsidP="008E56EB">
            <w:pPr>
              <w:rPr>
                <w:rFonts w:ascii="Arial" w:hAnsi="Arial" w:cs="Arial"/>
              </w:rPr>
            </w:pPr>
            <w:r w:rsidRPr="00F710D0">
              <w:rPr>
                <w:rFonts w:ascii="Arial" w:hAnsi="Arial" w:cs="Arial"/>
              </w:rPr>
              <w:t>5%</w:t>
            </w:r>
          </w:p>
        </w:tc>
        <w:tc>
          <w:tcPr>
            <w:tcW w:w="547"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13.62%</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28.87%</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22.20%</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r w:rsidR="008E56EB" w:rsidRPr="00F710D0" w:rsidTr="008E56EB">
        <w:trPr>
          <w:trHeight w:hRule="exact" w:val="567"/>
        </w:trPr>
        <w:tc>
          <w:tcPr>
            <w:tcW w:w="679" w:type="pct"/>
            <w:vAlign w:val="center"/>
          </w:tcPr>
          <w:p w:rsidR="008E56EB" w:rsidRPr="00F710D0" w:rsidRDefault="008E56EB" w:rsidP="008E56EB">
            <w:pPr>
              <w:rPr>
                <w:rFonts w:ascii="Arial" w:hAnsi="Arial" w:cs="Arial"/>
              </w:rPr>
            </w:pPr>
            <w:r w:rsidRPr="00F710D0">
              <w:rPr>
                <w:rFonts w:ascii="Arial" w:hAnsi="Arial" w:cs="Arial"/>
              </w:rPr>
              <w:t>15%</w:t>
            </w:r>
          </w:p>
        </w:tc>
        <w:tc>
          <w:tcPr>
            <w:tcW w:w="547"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13.58%</w:t>
            </w:r>
          </w:p>
        </w:tc>
        <w:tc>
          <w:tcPr>
            <w:tcW w:w="893" w:type="pct"/>
            <w:vAlign w:val="center"/>
          </w:tcPr>
          <w:p w:rsidR="008E56EB" w:rsidRPr="00F710D0" w:rsidRDefault="008E56EB" w:rsidP="008E56EB">
            <w:pPr>
              <w:jc w:val="right"/>
              <w:rPr>
                <w:rFonts w:ascii="Arial" w:hAnsi="Arial" w:cs="Arial"/>
              </w:rPr>
            </w:pPr>
            <w:r w:rsidRPr="00F710D0">
              <w:rPr>
                <w:rFonts w:ascii="Arial" w:hAnsi="Arial" w:cs="Arial"/>
              </w:rPr>
              <w:t>Not 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28.62%</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22.13%</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r w:rsidR="008E56EB" w:rsidRPr="00F710D0" w:rsidTr="008E56EB">
        <w:trPr>
          <w:trHeight w:hRule="exact" w:val="567"/>
        </w:trPr>
        <w:tc>
          <w:tcPr>
            <w:tcW w:w="679" w:type="pct"/>
            <w:vAlign w:val="center"/>
          </w:tcPr>
          <w:p w:rsidR="008E56EB" w:rsidRPr="00F710D0" w:rsidRDefault="008E56EB" w:rsidP="008E56EB">
            <w:pPr>
              <w:rPr>
                <w:rFonts w:ascii="Arial" w:hAnsi="Arial" w:cs="Arial"/>
              </w:rPr>
            </w:pPr>
            <w:r w:rsidRPr="00F710D0">
              <w:rPr>
                <w:rFonts w:ascii="Arial" w:hAnsi="Arial" w:cs="Arial"/>
              </w:rPr>
              <w:t>25%</w:t>
            </w:r>
          </w:p>
        </w:tc>
        <w:tc>
          <w:tcPr>
            <w:tcW w:w="547" w:type="pct"/>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13.57%</w:t>
            </w:r>
          </w:p>
        </w:tc>
        <w:tc>
          <w:tcPr>
            <w:tcW w:w="893" w:type="pct"/>
            <w:vAlign w:val="center"/>
          </w:tcPr>
          <w:p w:rsidR="008E56EB" w:rsidRPr="00F710D0" w:rsidRDefault="008E56EB" w:rsidP="008E56EB">
            <w:pPr>
              <w:jc w:val="right"/>
              <w:rPr>
                <w:rFonts w:ascii="Arial" w:hAnsi="Arial" w:cs="Arial"/>
              </w:rPr>
            </w:pPr>
            <w:r w:rsidRPr="00F710D0">
              <w:rPr>
                <w:rFonts w:ascii="Arial" w:hAnsi="Arial" w:cs="Arial"/>
              </w:rPr>
              <w:t>Not 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28.53%</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c>
          <w:tcPr>
            <w:tcW w:w="547" w:type="pct"/>
            <w:vAlign w:val="center"/>
          </w:tcPr>
          <w:p w:rsidR="008E56EB" w:rsidRPr="00F710D0" w:rsidRDefault="008E56EB" w:rsidP="008E56EB">
            <w:pPr>
              <w:jc w:val="right"/>
              <w:rPr>
                <w:rFonts w:ascii="Arial" w:hAnsi="Arial" w:cs="Arial"/>
              </w:rPr>
            </w:pPr>
            <w:r w:rsidRPr="00F710D0">
              <w:rPr>
                <w:rFonts w:ascii="Arial" w:hAnsi="Arial" w:cs="Arial"/>
              </w:rPr>
              <w:t>22.10%</w:t>
            </w:r>
          </w:p>
        </w:tc>
        <w:tc>
          <w:tcPr>
            <w:tcW w:w="893" w:type="pct"/>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bl>
    <w:p w:rsidR="008E56EB" w:rsidRDefault="008E56EB" w:rsidP="008E56EB"/>
    <w:tbl>
      <w:tblPr>
        <w:tblStyle w:val="TableGrid"/>
        <w:tblW w:w="0" w:type="auto"/>
        <w:tblLook w:val="04A0"/>
      </w:tblPr>
      <w:tblGrid>
        <w:gridCol w:w="1109"/>
        <w:gridCol w:w="963"/>
        <w:gridCol w:w="1452"/>
      </w:tblGrid>
      <w:tr w:rsidR="008E56EB" w:rsidRPr="00F710D0" w:rsidTr="008E56EB">
        <w:tc>
          <w:tcPr>
            <w:tcW w:w="0" w:type="auto"/>
            <w:vMerge w:val="restart"/>
          </w:tcPr>
          <w:p w:rsidR="008E56EB" w:rsidRPr="00F710D0" w:rsidRDefault="008E56EB" w:rsidP="008E56EB">
            <w:pPr>
              <w:rPr>
                <w:rFonts w:ascii="Arial" w:hAnsi="Arial" w:cs="Arial"/>
              </w:rPr>
            </w:pPr>
            <w:r w:rsidRPr="00F710D0">
              <w:rPr>
                <w:rFonts w:ascii="Arial" w:hAnsi="Arial" w:cs="Arial"/>
              </w:rPr>
              <w:t>Cut-point</w:t>
            </w:r>
          </w:p>
        </w:tc>
        <w:tc>
          <w:tcPr>
            <w:tcW w:w="0" w:type="auto"/>
            <w:gridSpan w:val="2"/>
          </w:tcPr>
          <w:p w:rsidR="008E56EB" w:rsidRPr="00F710D0" w:rsidRDefault="008E56EB" w:rsidP="008E56EB">
            <w:pPr>
              <w:rPr>
                <w:rFonts w:ascii="Arial" w:hAnsi="Arial" w:cs="Arial"/>
                <w:b/>
              </w:rPr>
            </w:pPr>
            <w:r w:rsidRPr="00F710D0">
              <w:rPr>
                <w:rFonts w:ascii="Arial" w:hAnsi="Arial" w:cs="Arial"/>
                <w:b/>
              </w:rPr>
              <w:t>Outpatients</w:t>
            </w:r>
          </w:p>
        </w:tc>
      </w:tr>
      <w:tr w:rsidR="008E56EB" w:rsidRPr="00F710D0" w:rsidTr="008E56EB">
        <w:tc>
          <w:tcPr>
            <w:tcW w:w="0" w:type="auto"/>
            <w:vMerge/>
          </w:tcPr>
          <w:p w:rsidR="008E56EB" w:rsidRPr="00F710D0" w:rsidRDefault="008E56EB" w:rsidP="008E56EB">
            <w:pPr>
              <w:rPr>
                <w:rFonts w:ascii="Arial" w:hAnsi="Arial" w:cs="Arial"/>
              </w:rPr>
            </w:pPr>
          </w:p>
        </w:tc>
        <w:tc>
          <w:tcPr>
            <w:tcW w:w="0" w:type="auto"/>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Adj. R</w:t>
            </w:r>
            <w:r w:rsidRPr="00F710D0">
              <w:rPr>
                <w:rFonts w:ascii="Arial" w:hAnsi="Arial" w:cs="Arial"/>
                <w:vertAlign w:val="superscript"/>
              </w:rPr>
              <w:t>2</w:t>
            </w:r>
          </w:p>
        </w:tc>
        <w:tc>
          <w:tcPr>
            <w:tcW w:w="0" w:type="auto"/>
            <w:tcBorders>
              <w:bottom w:val="single" w:sz="4" w:space="0" w:color="auto"/>
            </w:tcBorders>
          </w:tcPr>
          <w:p w:rsidR="008E56EB" w:rsidRPr="00F710D0" w:rsidRDefault="008E56EB" w:rsidP="008E56EB">
            <w:pPr>
              <w:rPr>
                <w:rFonts w:ascii="Arial" w:hAnsi="Arial" w:cs="Arial"/>
                <w:vertAlign w:val="superscript"/>
              </w:rPr>
            </w:pPr>
            <w:r w:rsidRPr="00F710D0">
              <w:rPr>
                <w:rFonts w:ascii="Arial" w:hAnsi="Arial" w:cs="Arial"/>
              </w:rPr>
              <w:t xml:space="preserve">Upper </w:t>
            </w:r>
            <w:proofErr w:type="spellStart"/>
            <w:r w:rsidRPr="00F710D0">
              <w:rPr>
                <w:rFonts w:ascii="Arial" w:hAnsi="Arial" w:cs="Arial"/>
              </w:rPr>
              <w:t>spline</w:t>
            </w:r>
            <w:proofErr w:type="spellEnd"/>
          </w:p>
        </w:tc>
      </w:tr>
      <w:tr w:rsidR="008E56EB" w:rsidRPr="00F710D0" w:rsidTr="008E56EB">
        <w:trPr>
          <w:trHeight w:hRule="exact" w:val="567"/>
        </w:trPr>
        <w:tc>
          <w:tcPr>
            <w:tcW w:w="0" w:type="auto"/>
            <w:vAlign w:val="center"/>
          </w:tcPr>
          <w:p w:rsidR="008E56EB" w:rsidRPr="00F710D0" w:rsidRDefault="008E56EB" w:rsidP="008E56EB">
            <w:pPr>
              <w:rPr>
                <w:rFonts w:ascii="Arial" w:hAnsi="Arial" w:cs="Arial"/>
              </w:rPr>
            </w:pPr>
            <w:r w:rsidRPr="00F710D0">
              <w:rPr>
                <w:rFonts w:ascii="Arial" w:hAnsi="Arial" w:cs="Arial"/>
              </w:rPr>
              <w:t>no</w:t>
            </w:r>
          </w:p>
        </w:tc>
        <w:tc>
          <w:tcPr>
            <w:tcW w:w="0" w:type="auto"/>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45.22%</w:t>
            </w:r>
          </w:p>
        </w:tc>
        <w:tc>
          <w:tcPr>
            <w:tcW w:w="0" w:type="auto"/>
            <w:tcBorders>
              <w:bottom w:val="single" w:sz="4" w:space="0" w:color="auto"/>
            </w:tcBorders>
            <w:vAlign w:val="center"/>
          </w:tcPr>
          <w:p w:rsidR="008E56EB" w:rsidRPr="00F710D0" w:rsidRDefault="008E56EB" w:rsidP="008E56EB">
            <w:pPr>
              <w:jc w:val="right"/>
              <w:rPr>
                <w:rFonts w:ascii="Arial" w:hAnsi="Arial" w:cs="Arial"/>
              </w:rPr>
            </w:pPr>
            <w:r w:rsidRPr="00F710D0">
              <w:rPr>
                <w:rFonts w:ascii="Arial" w:hAnsi="Arial" w:cs="Arial"/>
              </w:rPr>
              <w:t>-</w:t>
            </w:r>
          </w:p>
        </w:tc>
      </w:tr>
      <w:tr w:rsidR="008E56EB" w:rsidRPr="00F710D0" w:rsidTr="008E56EB">
        <w:trPr>
          <w:trHeight w:hRule="exact" w:val="567"/>
        </w:trPr>
        <w:tc>
          <w:tcPr>
            <w:tcW w:w="0" w:type="auto"/>
            <w:vAlign w:val="center"/>
          </w:tcPr>
          <w:p w:rsidR="008E56EB" w:rsidRPr="00F710D0" w:rsidRDefault="008E56EB" w:rsidP="008E56EB">
            <w:pPr>
              <w:rPr>
                <w:rFonts w:ascii="Arial" w:hAnsi="Arial" w:cs="Arial"/>
              </w:rPr>
            </w:pPr>
            <w:r w:rsidRPr="00F710D0">
              <w:rPr>
                <w:rFonts w:ascii="Arial" w:hAnsi="Arial" w:cs="Arial"/>
              </w:rPr>
              <w:t>5%</w:t>
            </w:r>
          </w:p>
        </w:tc>
        <w:tc>
          <w:tcPr>
            <w:tcW w:w="0" w:type="auto"/>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45.38%</w:t>
            </w:r>
          </w:p>
        </w:tc>
        <w:tc>
          <w:tcPr>
            <w:tcW w:w="0" w:type="auto"/>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 xml:space="preserve">Significant </w:t>
            </w:r>
          </w:p>
        </w:tc>
      </w:tr>
      <w:tr w:rsidR="008E56EB" w:rsidRPr="00F710D0" w:rsidTr="008E56EB">
        <w:trPr>
          <w:trHeight w:hRule="exact" w:val="567"/>
        </w:trPr>
        <w:tc>
          <w:tcPr>
            <w:tcW w:w="0" w:type="auto"/>
            <w:vAlign w:val="center"/>
          </w:tcPr>
          <w:p w:rsidR="008E56EB" w:rsidRPr="00F710D0" w:rsidRDefault="008E56EB" w:rsidP="008E56EB">
            <w:pPr>
              <w:rPr>
                <w:rFonts w:ascii="Arial" w:hAnsi="Arial" w:cs="Arial"/>
              </w:rPr>
            </w:pPr>
            <w:r w:rsidRPr="00F710D0">
              <w:rPr>
                <w:rFonts w:ascii="Arial" w:hAnsi="Arial" w:cs="Arial"/>
              </w:rPr>
              <w:t>15%</w:t>
            </w:r>
          </w:p>
        </w:tc>
        <w:tc>
          <w:tcPr>
            <w:tcW w:w="0" w:type="auto"/>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45.29%</w:t>
            </w:r>
          </w:p>
        </w:tc>
        <w:tc>
          <w:tcPr>
            <w:tcW w:w="0" w:type="auto"/>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r w:rsidR="008E56EB" w:rsidRPr="00F710D0" w:rsidTr="008E56EB">
        <w:trPr>
          <w:trHeight w:hRule="exact" w:val="567"/>
        </w:trPr>
        <w:tc>
          <w:tcPr>
            <w:tcW w:w="0" w:type="auto"/>
            <w:vAlign w:val="center"/>
          </w:tcPr>
          <w:p w:rsidR="008E56EB" w:rsidRPr="00F710D0" w:rsidRDefault="008E56EB" w:rsidP="008E56EB">
            <w:pPr>
              <w:rPr>
                <w:rFonts w:ascii="Arial" w:hAnsi="Arial" w:cs="Arial"/>
              </w:rPr>
            </w:pPr>
            <w:r w:rsidRPr="00F710D0">
              <w:rPr>
                <w:rFonts w:ascii="Arial" w:hAnsi="Arial" w:cs="Arial"/>
              </w:rPr>
              <w:t>25%</w:t>
            </w:r>
          </w:p>
        </w:tc>
        <w:tc>
          <w:tcPr>
            <w:tcW w:w="0" w:type="auto"/>
            <w:shd w:val="clear" w:color="auto" w:fill="auto"/>
            <w:vAlign w:val="center"/>
          </w:tcPr>
          <w:p w:rsidR="008E56EB" w:rsidRPr="00F710D0" w:rsidRDefault="008E56EB" w:rsidP="008E56EB">
            <w:pPr>
              <w:jc w:val="right"/>
              <w:rPr>
                <w:rFonts w:ascii="Arial" w:hAnsi="Arial" w:cs="Arial"/>
              </w:rPr>
            </w:pPr>
            <w:r w:rsidRPr="00F710D0">
              <w:rPr>
                <w:rFonts w:ascii="Arial" w:hAnsi="Arial" w:cs="Arial"/>
              </w:rPr>
              <w:t>45.26%</w:t>
            </w:r>
          </w:p>
        </w:tc>
        <w:tc>
          <w:tcPr>
            <w:tcW w:w="0" w:type="auto"/>
            <w:shd w:val="clear" w:color="auto" w:fill="FBD4B4" w:themeFill="accent6" w:themeFillTint="66"/>
            <w:vAlign w:val="center"/>
          </w:tcPr>
          <w:p w:rsidR="008E56EB" w:rsidRPr="00F710D0" w:rsidRDefault="008E56EB" w:rsidP="008E56EB">
            <w:pPr>
              <w:jc w:val="right"/>
              <w:rPr>
                <w:rFonts w:ascii="Arial" w:hAnsi="Arial" w:cs="Arial"/>
                <w:b/>
              </w:rPr>
            </w:pPr>
            <w:r w:rsidRPr="00F710D0">
              <w:rPr>
                <w:rFonts w:ascii="Arial" w:hAnsi="Arial" w:cs="Arial"/>
                <w:b/>
              </w:rPr>
              <w:t>Significant</w:t>
            </w:r>
          </w:p>
        </w:tc>
      </w:tr>
    </w:tbl>
    <w:p w:rsidR="003E2D7E" w:rsidRDefault="003E2D7E">
      <w:pPr>
        <w:rPr>
          <w:rFonts w:ascii="Arial" w:hAnsi="Arial" w:cs="Arial"/>
          <w:i/>
        </w:rPr>
      </w:pPr>
    </w:p>
    <w:p w:rsidR="00BF4F40" w:rsidRPr="00742BF1" w:rsidRDefault="00BF4F40" w:rsidP="00742BF1">
      <w:pPr>
        <w:rPr>
          <w:rFonts w:ascii="Arial" w:hAnsi="Arial" w:cs="Arial"/>
        </w:rPr>
      </w:pPr>
      <w:r w:rsidRPr="00BF4F40">
        <w:rPr>
          <w:rFonts w:ascii="Arial" w:hAnsi="Arial" w:cs="Arial"/>
          <w:i/>
        </w:rPr>
        <w:lastRenderedPageBreak/>
        <w:t xml:space="preserve">Table </w:t>
      </w:r>
      <w:r w:rsidR="00742BF1">
        <w:rPr>
          <w:rFonts w:ascii="Arial" w:hAnsi="Arial" w:cs="Arial"/>
          <w:i/>
        </w:rPr>
        <w:t>C</w:t>
      </w:r>
      <w:r w:rsidR="00F2498B">
        <w:rPr>
          <w:rFonts w:ascii="Arial" w:hAnsi="Arial" w:cs="Arial"/>
          <w:i/>
        </w:rPr>
        <w:t>-</w:t>
      </w:r>
      <w:r w:rsidR="00742BF1">
        <w:rPr>
          <w:rFonts w:ascii="Arial" w:hAnsi="Arial" w:cs="Arial"/>
          <w:i/>
        </w:rPr>
        <w:t>3</w:t>
      </w:r>
      <w:r w:rsidR="00D37B8E">
        <w:rPr>
          <w:rFonts w:ascii="Arial" w:hAnsi="Arial" w:cs="Arial"/>
          <w:i/>
        </w:rPr>
        <w:t>: R</w:t>
      </w:r>
      <w:r w:rsidR="00D37B8E" w:rsidRPr="00D37B8E">
        <w:rPr>
          <w:rFonts w:ascii="Arial" w:hAnsi="Arial" w:cs="Arial"/>
          <w:i/>
          <w:vertAlign w:val="superscript"/>
        </w:rPr>
        <w:t>2</w:t>
      </w:r>
      <w:r w:rsidR="00D37B8E">
        <w:rPr>
          <w:rFonts w:ascii="Arial" w:hAnsi="Arial" w:cs="Arial"/>
          <w:i/>
        </w:rPr>
        <w:t xml:space="preserve"> values and significance of the additional terms for the 2007 shortfall method</w:t>
      </w:r>
    </w:p>
    <w:tbl>
      <w:tblPr>
        <w:tblStyle w:val="TableGrid"/>
        <w:tblW w:w="5000" w:type="pct"/>
        <w:tblLook w:val="04A0"/>
      </w:tblPr>
      <w:tblGrid>
        <w:gridCol w:w="810"/>
        <w:gridCol w:w="1142"/>
        <w:gridCol w:w="1536"/>
        <w:gridCol w:w="1538"/>
        <w:gridCol w:w="1142"/>
        <w:gridCol w:w="1538"/>
        <w:gridCol w:w="1536"/>
      </w:tblGrid>
      <w:tr w:rsidR="00BF4F40" w:rsidRPr="00BF4F40" w:rsidTr="00A52B36">
        <w:tc>
          <w:tcPr>
            <w:tcW w:w="438" w:type="pct"/>
            <w:vMerge w:val="restart"/>
          </w:tcPr>
          <w:p w:rsidR="00BF4F40" w:rsidRPr="00BF4F40" w:rsidRDefault="00BF4F40" w:rsidP="00EA1DBF">
            <w:pPr>
              <w:rPr>
                <w:rFonts w:ascii="Arial" w:hAnsi="Arial" w:cs="Arial"/>
              </w:rPr>
            </w:pPr>
            <w:r w:rsidRPr="00BF4F40">
              <w:rPr>
                <w:rFonts w:ascii="Arial" w:hAnsi="Arial" w:cs="Arial"/>
              </w:rPr>
              <w:t>Cut-point</w:t>
            </w:r>
          </w:p>
        </w:tc>
        <w:tc>
          <w:tcPr>
            <w:tcW w:w="2281" w:type="pct"/>
            <w:gridSpan w:val="3"/>
          </w:tcPr>
          <w:p w:rsidR="00BF4F40" w:rsidRPr="00BF4F40" w:rsidRDefault="00BF4F40" w:rsidP="00EA1DBF">
            <w:pPr>
              <w:rPr>
                <w:rFonts w:ascii="Arial" w:hAnsi="Arial" w:cs="Arial"/>
                <w:b/>
              </w:rPr>
            </w:pPr>
            <w:r w:rsidRPr="00BF4F40">
              <w:rPr>
                <w:rFonts w:ascii="Arial" w:hAnsi="Arial" w:cs="Arial"/>
                <w:b/>
              </w:rPr>
              <w:t>Cancer</w:t>
            </w:r>
          </w:p>
        </w:tc>
        <w:tc>
          <w:tcPr>
            <w:tcW w:w="2281" w:type="pct"/>
            <w:gridSpan w:val="3"/>
          </w:tcPr>
          <w:p w:rsidR="00BF4F40" w:rsidRPr="00BF4F40" w:rsidRDefault="00BF4F40" w:rsidP="00EA1DBF">
            <w:pPr>
              <w:rPr>
                <w:rFonts w:ascii="Arial" w:hAnsi="Arial" w:cs="Arial"/>
                <w:b/>
              </w:rPr>
            </w:pPr>
            <w:r w:rsidRPr="00BF4F40">
              <w:rPr>
                <w:rFonts w:ascii="Arial" w:hAnsi="Arial" w:cs="Arial"/>
                <w:b/>
              </w:rPr>
              <w:t>Heart</w:t>
            </w:r>
          </w:p>
        </w:tc>
      </w:tr>
      <w:tr w:rsidR="00BF4F40" w:rsidRPr="00BF4F40" w:rsidTr="00A52B36">
        <w:tc>
          <w:tcPr>
            <w:tcW w:w="438" w:type="pct"/>
            <w:vMerge/>
          </w:tcPr>
          <w:p w:rsidR="00BF4F40" w:rsidRPr="00BF4F40" w:rsidRDefault="00BF4F40" w:rsidP="00EA1DBF">
            <w:pPr>
              <w:rPr>
                <w:rFonts w:ascii="Arial" w:hAnsi="Arial" w:cs="Arial"/>
              </w:rPr>
            </w:pP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interaction</w:t>
            </w: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 xml:space="preserve">interaction </w:t>
            </w:r>
          </w:p>
        </w:tc>
      </w:tr>
      <w:tr w:rsidR="00BF4F40" w:rsidRPr="00BF4F40" w:rsidTr="00A52B36">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no</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6.70%</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8.57%</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r>
      <w:tr w:rsidR="00BF4F40" w:rsidRPr="00BF4F40" w:rsidTr="00A52B36">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6.82%</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8.58%</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r w:rsidR="00BF4F40" w:rsidRPr="00BF4F40" w:rsidTr="00A52B36">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15%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6.82%</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8.96%</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tcBorders>
              <w:bottom w:val="single" w:sz="4" w:space="0" w:color="auto"/>
            </w:tcBorders>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r>
      <w:tr w:rsidR="00BF4F40" w:rsidRPr="00BF4F40" w:rsidTr="00A52B36">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25%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6.85%</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9.11%</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r>
    </w:tbl>
    <w:p w:rsidR="00BF4F40" w:rsidRPr="00BF4F40" w:rsidRDefault="00BF4F40" w:rsidP="00BF4F40">
      <w:pPr>
        <w:jc w:val="both"/>
        <w:rPr>
          <w:rFonts w:ascii="Arial" w:hAnsi="Arial" w:cs="Arial"/>
          <w:b/>
        </w:rPr>
      </w:pPr>
    </w:p>
    <w:tbl>
      <w:tblPr>
        <w:tblStyle w:val="TableGrid"/>
        <w:tblW w:w="5000" w:type="pct"/>
        <w:tblLook w:val="04A0"/>
      </w:tblPr>
      <w:tblGrid>
        <w:gridCol w:w="810"/>
        <w:gridCol w:w="1142"/>
        <w:gridCol w:w="1536"/>
        <w:gridCol w:w="1538"/>
        <w:gridCol w:w="1142"/>
        <w:gridCol w:w="1538"/>
        <w:gridCol w:w="1536"/>
      </w:tblGrid>
      <w:tr w:rsidR="00BF4F40" w:rsidRPr="00BF4F40" w:rsidTr="00EA1DBF">
        <w:tc>
          <w:tcPr>
            <w:tcW w:w="438" w:type="pct"/>
            <w:vMerge w:val="restart"/>
          </w:tcPr>
          <w:p w:rsidR="00BF4F40" w:rsidRPr="00BF4F40" w:rsidRDefault="00BF4F40" w:rsidP="00EA1DBF">
            <w:pPr>
              <w:rPr>
                <w:rFonts w:ascii="Arial" w:hAnsi="Arial" w:cs="Arial"/>
              </w:rPr>
            </w:pPr>
            <w:r w:rsidRPr="00BF4F40">
              <w:rPr>
                <w:rFonts w:ascii="Arial" w:hAnsi="Arial" w:cs="Arial"/>
              </w:rPr>
              <w:t>Cut-point</w:t>
            </w:r>
          </w:p>
        </w:tc>
        <w:tc>
          <w:tcPr>
            <w:tcW w:w="2281" w:type="pct"/>
            <w:gridSpan w:val="3"/>
          </w:tcPr>
          <w:p w:rsidR="00BF4F40" w:rsidRPr="00BF4F40" w:rsidRDefault="00BF4F40" w:rsidP="00EA1DBF">
            <w:pPr>
              <w:rPr>
                <w:rFonts w:ascii="Arial" w:hAnsi="Arial" w:cs="Arial"/>
                <w:b/>
              </w:rPr>
            </w:pPr>
            <w:r w:rsidRPr="00BF4F40">
              <w:rPr>
                <w:rFonts w:ascii="Arial" w:hAnsi="Arial" w:cs="Arial"/>
                <w:b/>
              </w:rPr>
              <w:t>Digestive</w:t>
            </w:r>
          </w:p>
        </w:tc>
        <w:tc>
          <w:tcPr>
            <w:tcW w:w="2281" w:type="pct"/>
            <w:gridSpan w:val="3"/>
          </w:tcPr>
          <w:p w:rsidR="00BF4F40" w:rsidRPr="00BF4F40" w:rsidRDefault="00BF4F40" w:rsidP="00EA1DBF">
            <w:pPr>
              <w:rPr>
                <w:rFonts w:ascii="Arial" w:hAnsi="Arial" w:cs="Arial"/>
                <w:b/>
              </w:rPr>
            </w:pPr>
            <w:r w:rsidRPr="00BF4F40">
              <w:rPr>
                <w:rFonts w:ascii="Arial" w:hAnsi="Arial" w:cs="Arial"/>
                <w:b/>
              </w:rPr>
              <w:t>Injury</w:t>
            </w:r>
          </w:p>
        </w:tc>
      </w:tr>
      <w:tr w:rsidR="00BF4F40" w:rsidRPr="00BF4F40" w:rsidTr="00EA1DBF">
        <w:tc>
          <w:tcPr>
            <w:tcW w:w="438" w:type="pct"/>
            <w:vMerge/>
          </w:tcPr>
          <w:p w:rsidR="00BF4F40" w:rsidRPr="00BF4F40" w:rsidRDefault="00BF4F40" w:rsidP="00EA1DBF">
            <w:pPr>
              <w:rPr>
                <w:rFonts w:ascii="Arial" w:hAnsi="Arial" w:cs="Arial"/>
              </w:rPr>
            </w:pP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interaction</w:t>
            </w: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 xml:space="preserve">interaction </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no</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22.36%</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13.57%</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22.48%</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13.86%</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15%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22.52%</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13.92%</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25%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22.68%</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13.85%</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shd w:val="clear" w:color="auto" w:fill="FBD4B4" w:themeFill="accent6" w:themeFillTint="66"/>
            <w:vAlign w:val="center"/>
          </w:tcPr>
          <w:p w:rsidR="00BF4F40" w:rsidRPr="00BF4F40" w:rsidRDefault="00BF4F40" w:rsidP="00EA1DBF">
            <w:pPr>
              <w:jc w:val="center"/>
              <w:rPr>
                <w:rFonts w:ascii="Arial" w:hAnsi="Arial" w:cs="Arial"/>
                <w:b/>
              </w:rPr>
            </w:pPr>
            <w:r w:rsidRPr="00BF4F40">
              <w:rPr>
                <w:rFonts w:ascii="Arial" w:hAnsi="Arial" w:cs="Arial"/>
                <w:b/>
              </w:rPr>
              <w:t>Significant</w:t>
            </w:r>
          </w:p>
        </w:tc>
      </w:tr>
    </w:tbl>
    <w:p w:rsidR="00BF4F40" w:rsidRPr="00BF4F40" w:rsidRDefault="00BF4F40" w:rsidP="00BF4F40">
      <w:pPr>
        <w:jc w:val="both"/>
        <w:rPr>
          <w:rFonts w:ascii="Arial" w:hAnsi="Arial" w:cs="Arial"/>
          <w:b/>
        </w:rPr>
      </w:pPr>
    </w:p>
    <w:tbl>
      <w:tblPr>
        <w:tblStyle w:val="TableGrid"/>
        <w:tblW w:w="5000" w:type="pct"/>
        <w:tblLook w:val="04A0"/>
      </w:tblPr>
      <w:tblGrid>
        <w:gridCol w:w="810"/>
        <w:gridCol w:w="1142"/>
        <w:gridCol w:w="1536"/>
        <w:gridCol w:w="1538"/>
        <w:gridCol w:w="1142"/>
        <w:gridCol w:w="1538"/>
        <w:gridCol w:w="1536"/>
      </w:tblGrid>
      <w:tr w:rsidR="00BF4F40" w:rsidRPr="00BF4F40" w:rsidTr="00EA1DBF">
        <w:tc>
          <w:tcPr>
            <w:tcW w:w="438" w:type="pct"/>
            <w:vMerge w:val="restart"/>
          </w:tcPr>
          <w:p w:rsidR="00BF4F40" w:rsidRPr="00BF4F40" w:rsidRDefault="00BF4F40" w:rsidP="00EA1DBF">
            <w:pPr>
              <w:rPr>
                <w:rFonts w:ascii="Arial" w:hAnsi="Arial" w:cs="Arial"/>
              </w:rPr>
            </w:pPr>
            <w:r w:rsidRPr="00BF4F40">
              <w:rPr>
                <w:rFonts w:ascii="Arial" w:hAnsi="Arial" w:cs="Arial"/>
              </w:rPr>
              <w:t>Cut-point</w:t>
            </w:r>
          </w:p>
        </w:tc>
        <w:tc>
          <w:tcPr>
            <w:tcW w:w="2281" w:type="pct"/>
            <w:gridSpan w:val="3"/>
          </w:tcPr>
          <w:p w:rsidR="00BF4F40" w:rsidRPr="00BF4F40" w:rsidRDefault="00BF4F40" w:rsidP="00EA1DBF">
            <w:pPr>
              <w:rPr>
                <w:rFonts w:ascii="Arial" w:hAnsi="Arial" w:cs="Arial"/>
                <w:b/>
              </w:rPr>
            </w:pPr>
            <w:r w:rsidRPr="00BF4F40">
              <w:rPr>
                <w:rFonts w:ascii="Arial" w:hAnsi="Arial" w:cs="Arial"/>
                <w:b/>
              </w:rPr>
              <w:t>Other</w:t>
            </w:r>
          </w:p>
        </w:tc>
        <w:tc>
          <w:tcPr>
            <w:tcW w:w="2281" w:type="pct"/>
            <w:gridSpan w:val="3"/>
          </w:tcPr>
          <w:p w:rsidR="00BF4F40" w:rsidRPr="00BF4F40" w:rsidRDefault="00BF4F40" w:rsidP="00EA1DBF">
            <w:pPr>
              <w:rPr>
                <w:rFonts w:ascii="Arial" w:hAnsi="Arial" w:cs="Arial"/>
                <w:b/>
              </w:rPr>
            </w:pPr>
            <w:r w:rsidRPr="00BF4F40">
              <w:rPr>
                <w:rFonts w:ascii="Arial" w:hAnsi="Arial" w:cs="Arial"/>
                <w:b/>
              </w:rPr>
              <w:t>Respiratory</w:t>
            </w:r>
          </w:p>
        </w:tc>
      </w:tr>
      <w:tr w:rsidR="00BF4F40" w:rsidRPr="00BF4F40" w:rsidTr="00EA1DBF">
        <w:tc>
          <w:tcPr>
            <w:tcW w:w="438" w:type="pct"/>
            <w:vMerge/>
          </w:tcPr>
          <w:p w:rsidR="00BF4F40" w:rsidRPr="00BF4F40" w:rsidRDefault="00BF4F40" w:rsidP="00EA1DBF">
            <w:pPr>
              <w:rPr>
                <w:rFonts w:ascii="Arial" w:hAnsi="Arial" w:cs="Arial"/>
              </w:rPr>
            </w:pP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interaction</w:t>
            </w:r>
          </w:p>
        </w:tc>
        <w:tc>
          <w:tcPr>
            <w:tcW w:w="618"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832"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831"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 xml:space="preserve">interaction </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no</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27.79%</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2"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21.99%</w:t>
            </w:r>
          </w:p>
        </w:tc>
        <w:tc>
          <w:tcPr>
            <w:tcW w:w="832"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28.20%</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22.12%</w:t>
            </w:r>
          </w:p>
        </w:tc>
        <w:tc>
          <w:tcPr>
            <w:tcW w:w="832" w:type="pct"/>
            <w:tcBorders>
              <w:bottom w:val="single" w:sz="4" w:space="0" w:color="auto"/>
            </w:tcBorders>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15%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28.38%</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tcBorders>
              <w:bottom w:val="single" w:sz="4" w:space="0" w:color="auto"/>
            </w:tcBorders>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22.07%</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tcBorders>
              <w:bottom w:val="single" w:sz="4" w:space="0" w:color="auto"/>
            </w:tcBorders>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r w:rsidR="00BF4F40" w:rsidRPr="00BF4F40" w:rsidTr="00EA1DBF">
        <w:trPr>
          <w:trHeight w:hRule="exact" w:val="567"/>
        </w:trPr>
        <w:tc>
          <w:tcPr>
            <w:tcW w:w="438" w:type="pct"/>
            <w:vAlign w:val="center"/>
          </w:tcPr>
          <w:p w:rsidR="00BF4F40" w:rsidRPr="00BF4F40" w:rsidRDefault="00BF4F40" w:rsidP="00EA1DBF">
            <w:pPr>
              <w:rPr>
                <w:rFonts w:ascii="Arial" w:hAnsi="Arial" w:cs="Arial"/>
              </w:rPr>
            </w:pPr>
            <w:r w:rsidRPr="00BF4F40">
              <w:rPr>
                <w:rFonts w:ascii="Arial" w:hAnsi="Arial" w:cs="Arial"/>
              </w:rPr>
              <w:t>25%</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28.55%</w:t>
            </w:r>
          </w:p>
        </w:tc>
        <w:tc>
          <w:tcPr>
            <w:tcW w:w="831"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61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22.08%</w:t>
            </w:r>
          </w:p>
        </w:tc>
        <w:tc>
          <w:tcPr>
            <w:tcW w:w="832"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831"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bl>
    <w:p w:rsidR="006C6596" w:rsidRPr="00BF4F40" w:rsidRDefault="006C6596" w:rsidP="00BF4F40">
      <w:pPr>
        <w:jc w:val="both"/>
        <w:rPr>
          <w:rFonts w:ascii="Arial" w:hAnsi="Arial" w:cs="Arial"/>
          <w:b/>
        </w:rPr>
      </w:pPr>
    </w:p>
    <w:tbl>
      <w:tblPr>
        <w:tblStyle w:val="TableGrid"/>
        <w:tblW w:w="2719" w:type="pct"/>
        <w:tblLook w:val="04A0"/>
      </w:tblPr>
      <w:tblGrid>
        <w:gridCol w:w="810"/>
        <w:gridCol w:w="1142"/>
        <w:gridCol w:w="1536"/>
        <w:gridCol w:w="1538"/>
      </w:tblGrid>
      <w:tr w:rsidR="00BF4F40" w:rsidRPr="00BF4F40" w:rsidTr="00EA1DBF">
        <w:tc>
          <w:tcPr>
            <w:tcW w:w="806" w:type="pct"/>
            <w:vMerge w:val="restart"/>
          </w:tcPr>
          <w:p w:rsidR="00BF4F40" w:rsidRPr="00BF4F40" w:rsidRDefault="00BF4F40" w:rsidP="00EA1DBF">
            <w:pPr>
              <w:rPr>
                <w:rFonts w:ascii="Arial" w:hAnsi="Arial" w:cs="Arial"/>
              </w:rPr>
            </w:pPr>
            <w:r w:rsidRPr="00BF4F40">
              <w:rPr>
                <w:rFonts w:ascii="Arial" w:hAnsi="Arial" w:cs="Arial"/>
              </w:rPr>
              <w:t>Cut-point</w:t>
            </w:r>
          </w:p>
        </w:tc>
        <w:tc>
          <w:tcPr>
            <w:tcW w:w="4194" w:type="pct"/>
            <w:gridSpan w:val="3"/>
          </w:tcPr>
          <w:p w:rsidR="00BF4F40" w:rsidRPr="00BF4F40" w:rsidRDefault="00BF4F40" w:rsidP="00EA1DBF">
            <w:pPr>
              <w:rPr>
                <w:rFonts w:ascii="Arial" w:hAnsi="Arial" w:cs="Arial"/>
                <w:b/>
              </w:rPr>
            </w:pPr>
            <w:r w:rsidRPr="00BF4F40">
              <w:rPr>
                <w:rFonts w:ascii="Arial" w:hAnsi="Arial" w:cs="Arial"/>
                <w:b/>
              </w:rPr>
              <w:t>Outpatients</w:t>
            </w:r>
          </w:p>
        </w:tc>
      </w:tr>
      <w:tr w:rsidR="00BF4F40" w:rsidRPr="00BF4F40" w:rsidTr="00EA1DBF">
        <w:tc>
          <w:tcPr>
            <w:tcW w:w="806" w:type="pct"/>
            <w:vMerge/>
          </w:tcPr>
          <w:p w:rsidR="00BF4F40" w:rsidRPr="00BF4F40" w:rsidRDefault="00BF4F40" w:rsidP="00EA1DBF">
            <w:pPr>
              <w:rPr>
                <w:rFonts w:ascii="Arial" w:hAnsi="Arial" w:cs="Arial"/>
              </w:rPr>
            </w:pPr>
          </w:p>
        </w:tc>
        <w:tc>
          <w:tcPr>
            <w:tcW w:w="1136" w:type="pct"/>
            <w:tcBorders>
              <w:bottom w:val="single" w:sz="4" w:space="0" w:color="auto"/>
            </w:tcBorders>
          </w:tcPr>
          <w:p w:rsidR="00BF4F40" w:rsidRPr="00BF4F40" w:rsidRDefault="00BF4F40" w:rsidP="00EA1DBF">
            <w:pPr>
              <w:rPr>
                <w:rFonts w:ascii="Arial" w:hAnsi="Arial" w:cs="Arial"/>
                <w:vertAlign w:val="superscript"/>
              </w:rPr>
            </w:pPr>
            <w:r w:rsidRPr="00BF4F40">
              <w:rPr>
                <w:rFonts w:ascii="Arial" w:hAnsi="Arial" w:cs="Arial"/>
              </w:rPr>
              <w:t>Adj. R</w:t>
            </w:r>
            <w:r w:rsidRPr="00BF4F40">
              <w:rPr>
                <w:rFonts w:ascii="Arial" w:hAnsi="Arial" w:cs="Arial"/>
                <w:vertAlign w:val="superscript"/>
              </w:rPr>
              <w:t>2</w:t>
            </w:r>
          </w:p>
        </w:tc>
        <w:tc>
          <w:tcPr>
            <w:tcW w:w="1528"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factor</w:t>
            </w:r>
          </w:p>
        </w:tc>
        <w:tc>
          <w:tcPr>
            <w:tcW w:w="1530" w:type="pct"/>
            <w:tcBorders>
              <w:bottom w:val="single" w:sz="4" w:space="0" w:color="auto"/>
            </w:tcBorders>
          </w:tcPr>
          <w:p w:rsidR="00BF4F40" w:rsidRPr="00BF4F40" w:rsidRDefault="00BF4F40" w:rsidP="00EA1DBF">
            <w:pPr>
              <w:rPr>
                <w:rFonts w:ascii="Arial" w:hAnsi="Arial" w:cs="Arial"/>
              </w:rPr>
            </w:pPr>
            <w:r w:rsidRPr="00BF4F40">
              <w:rPr>
                <w:rFonts w:ascii="Arial" w:hAnsi="Arial" w:cs="Arial"/>
              </w:rPr>
              <w:t>interaction</w:t>
            </w:r>
          </w:p>
        </w:tc>
      </w:tr>
      <w:tr w:rsidR="00BF4F40" w:rsidRPr="00BF4F40" w:rsidTr="00EA1DBF">
        <w:trPr>
          <w:trHeight w:hRule="exact" w:val="567"/>
        </w:trPr>
        <w:tc>
          <w:tcPr>
            <w:tcW w:w="806" w:type="pct"/>
            <w:vAlign w:val="center"/>
          </w:tcPr>
          <w:p w:rsidR="00BF4F40" w:rsidRPr="00BF4F40" w:rsidRDefault="00BF4F40" w:rsidP="00EA1DBF">
            <w:pPr>
              <w:rPr>
                <w:rFonts w:ascii="Arial" w:hAnsi="Arial" w:cs="Arial"/>
              </w:rPr>
            </w:pPr>
            <w:r w:rsidRPr="00BF4F40">
              <w:rPr>
                <w:rFonts w:ascii="Arial" w:hAnsi="Arial" w:cs="Arial"/>
              </w:rPr>
              <w:t>no</w:t>
            </w:r>
          </w:p>
        </w:tc>
        <w:tc>
          <w:tcPr>
            <w:tcW w:w="1136"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45.22%</w:t>
            </w:r>
          </w:p>
        </w:tc>
        <w:tc>
          <w:tcPr>
            <w:tcW w:w="152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c>
          <w:tcPr>
            <w:tcW w:w="1530"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w:t>
            </w:r>
          </w:p>
        </w:tc>
      </w:tr>
      <w:tr w:rsidR="00BF4F40" w:rsidRPr="00BF4F40" w:rsidTr="00EA1DBF">
        <w:trPr>
          <w:trHeight w:hRule="exact" w:val="567"/>
        </w:trPr>
        <w:tc>
          <w:tcPr>
            <w:tcW w:w="806" w:type="pct"/>
            <w:vAlign w:val="center"/>
          </w:tcPr>
          <w:p w:rsidR="00BF4F40" w:rsidRPr="00BF4F40" w:rsidRDefault="00BF4F40" w:rsidP="00EA1DBF">
            <w:pPr>
              <w:rPr>
                <w:rFonts w:ascii="Arial" w:hAnsi="Arial" w:cs="Arial"/>
              </w:rPr>
            </w:pPr>
            <w:r w:rsidRPr="00BF4F40">
              <w:rPr>
                <w:rFonts w:ascii="Arial" w:hAnsi="Arial" w:cs="Arial"/>
              </w:rPr>
              <w:t>5%</w:t>
            </w:r>
          </w:p>
        </w:tc>
        <w:tc>
          <w:tcPr>
            <w:tcW w:w="1136"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45.30%</w:t>
            </w:r>
          </w:p>
        </w:tc>
        <w:tc>
          <w:tcPr>
            <w:tcW w:w="1528"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1530" w:type="pct"/>
            <w:shd w:val="clear" w:color="auto" w:fill="FBD4B4" w:themeFill="accent6" w:themeFillTint="66"/>
            <w:vAlign w:val="center"/>
          </w:tcPr>
          <w:p w:rsidR="00BF4F40" w:rsidRPr="00BF4F40" w:rsidRDefault="00BF4F40" w:rsidP="00EA1DBF">
            <w:pPr>
              <w:jc w:val="right"/>
              <w:rPr>
                <w:rFonts w:ascii="Arial" w:hAnsi="Arial" w:cs="Arial"/>
              </w:rPr>
            </w:pPr>
            <w:r w:rsidRPr="00BF4F40">
              <w:rPr>
                <w:rFonts w:ascii="Arial" w:hAnsi="Arial" w:cs="Arial"/>
                <w:b/>
              </w:rPr>
              <w:t>Significant</w:t>
            </w:r>
          </w:p>
        </w:tc>
      </w:tr>
      <w:tr w:rsidR="00BF4F40" w:rsidRPr="00BF4F40" w:rsidTr="00EA1DBF">
        <w:trPr>
          <w:trHeight w:hRule="exact" w:val="567"/>
        </w:trPr>
        <w:tc>
          <w:tcPr>
            <w:tcW w:w="806" w:type="pct"/>
            <w:vAlign w:val="center"/>
          </w:tcPr>
          <w:p w:rsidR="00BF4F40" w:rsidRPr="00BF4F40" w:rsidRDefault="00BF4F40" w:rsidP="00EA1DBF">
            <w:pPr>
              <w:rPr>
                <w:rFonts w:ascii="Arial" w:hAnsi="Arial" w:cs="Arial"/>
              </w:rPr>
            </w:pPr>
            <w:r w:rsidRPr="00BF4F40">
              <w:rPr>
                <w:rFonts w:ascii="Arial" w:hAnsi="Arial" w:cs="Arial"/>
              </w:rPr>
              <w:t>15%</w:t>
            </w:r>
          </w:p>
        </w:tc>
        <w:tc>
          <w:tcPr>
            <w:tcW w:w="1136"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45.26%</w:t>
            </w:r>
          </w:p>
        </w:tc>
        <w:tc>
          <w:tcPr>
            <w:tcW w:w="1528" w:type="pct"/>
            <w:shd w:val="clear" w:color="auto" w:fill="FBD4B4" w:themeFill="accent6" w:themeFillTint="66"/>
            <w:vAlign w:val="center"/>
          </w:tcPr>
          <w:p w:rsidR="00BF4F40" w:rsidRPr="00BF4F40" w:rsidRDefault="00BF4F40" w:rsidP="00EA1DBF">
            <w:pPr>
              <w:jc w:val="right"/>
              <w:rPr>
                <w:rFonts w:ascii="Arial" w:hAnsi="Arial" w:cs="Arial"/>
                <w:b/>
              </w:rPr>
            </w:pPr>
            <w:r w:rsidRPr="00BF4F40">
              <w:rPr>
                <w:rFonts w:ascii="Arial" w:hAnsi="Arial" w:cs="Arial"/>
                <w:b/>
              </w:rPr>
              <w:t>Significant</w:t>
            </w:r>
          </w:p>
        </w:tc>
        <w:tc>
          <w:tcPr>
            <w:tcW w:w="1530" w:type="pct"/>
            <w:tcBorders>
              <w:bottom w:val="single" w:sz="4" w:space="0" w:color="auto"/>
            </w:tcBorders>
            <w:shd w:val="clear" w:color="auto" w:fill="FBD4B4" w:themeFill="accent6" w:themeFillTint="66"/>
            <w:vAlign w:val="center"/>
          </w:tcPr>
          <w:p w:rsidR="00BF4F40" w:rsidRPr="00BF4F40" w:rsidRDefault="00BF4F40" w:rsidP="00EA1DBF">
            <w:pPr>
              <w:jc w:val="right"/>
              <w:rPr>
                <w:rFonts w:ascii="Arial" w:hAnsi="Arial" w:cs="Arial"/>
              </w:rPr>
            </w:pPr>
            <w:r w:rsidRPr="00BF4F40">
              <w:rPr>
                <w:rFonts w:ascii="Arial" w:hAnsi="Arial" w:cs="Arial"/>
                <w:b/>
              </w:rPr>
              <w:t>Significant</w:t>
            </w:r>
          </w:p>
        </w:tc>
      </w:tr>
      <w:tr w:rsidR="00BF4F40" w:rsidRPr="00BF4F40" w:rsidTr="00EA1DBF">
        <w:trPr>
          <w:trHeight w:hRule="exact" w:val="567"/>
        </w:trPr>
        <w:tc>
          <w:tcPr>
            <w:tcW w:w="806" w:type="pct"/>
            <w:vAlign w:val="center"/>
          </w:tcPr>
          <w:p w:rsidR="00BF4F40" w:rsidRPr="00BF4F40" w:rsidRDefault="00BF4F40" w:rsidP="00EA1DBF">
            <w:pPr>
              <w:rPr>
                <w:rFonts w:ascii="Arial" w:hAnsi="Arial" w:cs="Arial"/>
              </w:rPr>
            </w:pPr>
            <w:r w:rsidRPr="00BF4F40">
              <w:rPr>
                <w:rFonts w:ascii="Arial" w:hAnsi="Arial" w:cs="Arial"/>
              </w:rPr>
              <w:t>25%</w:t>
            </w:r>
          </w:p>
        </w:tc>
        <w:tc>
          <w:tcPr>
            <w:tcW w:w="1136"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45.24%</w:t>
            </w:r>
          </w:p>
        </w:tc>
        <w:tc>
          <w:tcPr>
            <w:tcW w:w="1528"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c>
          <w:tcPr>
            <w:tcW w:w="1530" w:type="pct"/>
            <w:shd w:val="clear" w:color="auto" w:fill="auto"/>
            <w:vAlign w:val="center"/>
          </w:tcPr>
          <w:p w:rsidR="00BF4F40" w:rsidRPr="00BF4F40" w:rsidRDefault="00BF4F40" w:rsidP="00EA1DBF">
            <w:pPr>
              <w:jc w:val="right"/>
              <w:rPr>
                <w:rFonts w:ascii="Arial" w:hAnsi="Arial" w:cs="Arial"/>
              </w:rPr>
            </w:pPr>
            <w:r w:rsidRPr="00BF4F40">
              <w:rPr>
                <w:rFonts w:ascii="Arial" w:hAnsi="Arial" w:cs="Arial"/>
              </w:rPr>
              <w:t>Not significant</w:t>
            </w:r>
          </w:p>
        </w:tc>
      </w:tr>
    </w:tbl>
    <w:p w:rsidR="00C35FAE" w:rsidRDefault="00C35FAE" w:rsidP="00BF4F40">
      <w:pPr>
        <w:jc w:val="both"/>
        <w:rPr>
          <w:rFonts w:ascii="Arial" w:hAnsi="Arial" w:cs="Arial"/>
        </w:rPr>
      </w:pPr>
    </w:p>
    <w:p w:rsidR="00742BF1" w:rsidRPr="003E2D7E" w:rsidRDefault="00742BF1" w:rsidP="003E2D7E">
      <w:pPr>
        <w:jc w:val="both"/>
        <w:rPr>
          <w:rFonts w:ascii="Arial" w:hAnsi="Arial" w:cs="Arial"/>
        </w:rPr>
      </w:pPr>
      <w:r>
        <w:rPr>
          <w:rFonts w:ascii="Arial" w:hAnsi="Arial" w:cs="Arial"/>
        </w:rPr>
        <w:lastRenderedPageBreak/>
        <w:t xml:space="preserve">To visualise the modelling results, the model predictions for the </w:t>
      </w:r>
      <w:proofErr w:type="gramStart"/>
      <w:r>
        <w:rPr>
          <w:rFonts w:ascii="Arial" w:hAnsi="Arial" w:cs="Arial"/>
        </w:rPr>
        <w:t>Acute</w:t>
      </w:r>
      <w:proofErr w:type="gramEnd"/>
      <w:r>
        <w:rPr>
          <w:rFonts w:ascii="Arial" w:hAnsi="Arial" w:cs="Arial"/>
        </w:rPr>
        <w:t xml:space="preserve"> diagnostic group Heart </w:t>
      </w:r>
      <w:r w:rsidR="003E2D7E">
        <w:rPr>
          <w:rFonts w:ascii="Arial" w:hAnsi="Arial" w:cs="Arial"/>
        </w:rPr>
        <w:t xml:space="preserve">are plotted </w:t>
      </w:r>
      <w:r>
        <w:rPr>
          <w:rFonts w:ascii="Arial" w:hAnsi="Arial" w:cs="Arial"/>
        </w:rPr>
        <w:t>in Figure</w:t>
      </w:r>
      <w:r w:rsidR="003E2D7E">
        <w:rPr>
          <w:rFonts w:ascii="Arial" w:hAnsi="Arial" w:cs="Arial"/>
        </w:rPr>
        <w:t>s</w:t>
      </w:r>
      <w:r>
        <w:rPr>
          <w:rFonts w:ascii="Arial" w:hAnsi="Arial" w:cs="Arial"/>
        </w:rPr>
        <w:t xml:space="preserve"> </w:t>
      </w:r>
      <w:r w:rsidR="003E2D7E">
        <w:rPr>
          <w:rFonts w:ascii="Arial" w:hAnsi="Arial" w:cs="Arial"/>
        </w:rPr>
        <w:t>C</w:t>
      </w:r>
      <w:r>
        <w:rPr>
          <w:rFonts w:ascii="Arial" w:hAnsi="Arial" w:cs="Arial"/>
        </w:rPr>
        <w:t>-</w:t>
      </w:r>
      <w:r w:rsidR="003E2D7E">
        <w:rPr>
          <w:rFonts w:ascii="Arial" w:hAnsi="Arial" w:cs="Arial"/>
        </w:rPr>
        <w:t>5 (for the simple shortfall method) and C-6 (for the 2007 shortfall method)</w:t>
      </w:r>
      <w:r>
        <w:rPr>
          <w:rFonts w:ascii="Arial" w:hAnsi="Arial" w:cs="Arial"/>
        </w:rPr>
        <w:t>. The red circles on the graph</w:t>
      </w:r>
      <w:r w:rsidR="003E2D7E">
        <w:rPr>
          <w:rFonts w:ascii="Arial" w:hAnsi="Arial" w:cs="Arial"/>
        </w:rPr>
        <w:t>s</w:t>
      </w:r>
      <w:r>
        <w:rPr>
          <w:rFonts w:ascii="Arial" w:hAnsi="Arial" w:cs="Arial"/>
        </w:rPr>
        <w:t xml:space="preserve"> represent the 25% of data zones with the highest </w:t>
      </w:r>
      <w:proofErr w:type="gramStart"/>
      <w:r>
        <w:rPr>
          <w:rFonts w:ascii="Arial" w:hAnsi="Arial" w:cs="Arial"/>
        </w:rPr>
        <w:t>Acute</w:t>
      </w:r>
      <w:proofErr w:type="gramEnd"/>
      <w:r>
        <w:rPr>
          <w:rFonts w:ascii="Arial" w:hAnsi="Arial" w:cs="Arial"/>
        </w:rPr>
        <w:t xml:space="preserve"> needs index </w:t>
      </w:r>
      <w:r w:rsidR="003E2D7E">
        <w:rPr>
          <w:rFonts w:ascii="Arial" w:hAnsi="Arial" w:cs="Arial"/>
        </w:rPr>
        <w:t xml:space="preserve">/ SIMD income domain </w:t>
      </w:r>
      <w:r>
        <w:rPr>
          <w:rFonts w:ascii="Arial" w:hAnsi="Arial" w:cs="Arial"/>
        </w:rPr>
        <w:t>values</w:t>
      </w:r>
      <w:r w:rsidR="003E2D7E">
        <w:rPr>
          <w:rFonts w:ascii="Arial" w:hAnsi="Arial" w:cs="Arial"/>
        </w:rPr>
        <w:t>, respectively</w:t>
      </w:r>
      <w:r>
        <w:rPr>
          <w:rFonts w:ascii="Arial" w:hAnsi="Arial" w:cs="Arial"/>
        </w:rPr>
        <w:t>.</w:t>
      </w:r>
    </w:p>
    <w:p w:rsidR="00742BF1" w:rsidRDefault="00742BF1" w:rsidP="00742BF1">
      <w:r>
        <w:rPr>
          <w:noProof/>
        </w:rPr>
        <w:drawing>
          <wp:inline distT="0" distB="0" distL="0" distR="0">
            <wp:extent cx="5755553" cy="40767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55553" cy="4076700"/>
                    </a:xfrm>
                    <a:prstGeom prst="rect">
                      <a:avLst/>
                    </a:prstGeom>
                    <a:noFill/>
                    <a:ln w="9525">
                      <a:noFill/>
                      <a:miter lim="800000"/>
                      <a:headEnd/>
                      <a:tailEnd/>
                    </a:ln>
                  </pic:spPr>
                </pic:pic>
              </a:graphicData>
            </a:graphic>
          </wp:inline>
        </w:drawing>
      </w:r>
    </w:p>
    <w:p w:rsidR="00C35FAE" w:rsidRDefault="00742BF1" w:rsidP="003E2D7E">
      <w:pPr>
        <w:rPr>
          <w:rFonts w:ascii="Arial" w:hAnsi="Arial" w:cs="Arial"/>
          <w:i/>
        </w:rPr>
      </w:pPr>
      <w:r w:rsidRPr="009E2130">
        <w:rPr>
          <w:rFonts w:ascii="Arial" w:hAnsi="Arial" w:cs="Arial"/>
          <w:i/>
        </w:rPr>
        <w:t xml:space="preserve">Figure </w:t>
      </w:r>
      <w:r w:rsidR="003E2D7E">
        <w:rPr>
          <w:rFonts w:ascii="Arial" w:hAnsi="Arial" w:cs="Arial"/>
          <w:i/>
        </w:rPr>
        <w:t>C</w:t>
      </w:r>
      <w:r w:rsidRPr="009E2130">
        <w:rPr>
          <w:rFonts w:ascii="Arial" w:hAnsi="Arial" w:cs="Arial"/>
          <w:i/>
        </w:rPr>
        <w:t>-</w:t>
      </w:r>
      <w:r w:rsidR="003E2D7E">
        <w:rPr>
          <w:rFonts w:ascii="Arial" w:hAnsi="Arial" w:cs="Arial"/>
          <w:i/>
        </w:rPr>
        <w:t>5</w:t>
      </w:r>
      <w:r>
        <w:rPr>
          <w:rFonts w:ascii="Arial" w:hAnsi="Arial" w:cs="Arial"/>
          <w:i/>
        </w:rPr>
        <w:t>: Model predictions using the simple shortfall method for the diagnostic group Heart</w:t>
      </w:r>
    </w:p>
    <w:p w:rsidR="003E2D7E" w:rsidRDefault="003E2D7E">
      <w:pPr>
        <w:rPr>
          <w:rFonts w:ascii="Arial" w:hAnsi="Arial" w:cs="Arial"/>
        </w:rPr>
      </w:pPr>
      <w:r>
        <w:rPr>
          <w:rFonts w:ascii="Arial" w:hAnsi="Arial" w:cs="Arial"/>
        </w:rPr>
        <w:br w:type="page"/>
      </w:r>
    </w:p>
    <w:p w:rsidR="00BF4F40" w:rsidRPr="00BF4F40" w:rsidRDefault="00BF4F40" w:rsidP="00BF4F40">
      <w:pPr>
        <w:jc w:val="both"/>
        <w:rPr>
          <w:rFonts w:ascii="Arial" w:hAnsi="Arial" w:cs="Arial"/>
        </w:rPr>
      </w:pPr>
      <w:r w:rsidRPr="00BF4F40">
        <w:rPr>
          <w:rFonts w:ascii="Arial" w:hAnsi="Arial" w:cs="Arial"/>
        </w:rPr>
        <w:lastRenderedPageBreak/>
        <w:t xml:space="preserve"> </w:t>
      </w:r>
    </w:p>
    <w:p w:rsidR="00BF4F40" w:rsidRPr="00BF4F40" w:rsidRDefault="00BF4F40" w:rsidP="00BF4F40">
      <w:pPr>
        <w:jc w:val="both"/>
        <w:rPr>
          <w:rFonts w:ascii="Arial" w:hAnsi="Arial" w:cs="Arial"/>
        </w:rPr>
      </w:pPr>
    </w:p>
    <w:p w:rsidR="00BF4F40" w:rsidRPr="00BF4F40" w:rsidRDefault="00BF4F40" w:rsidP="00BF4F40">
      <w:pPr>
        <w:jc w:val="both"/>
        <w:rPr>
          <w:rFonts w:ascii="Arial" w:hAnsi="Arial" w:cs="Arial"/>
        </w:rPr>
      </w:pPr>
    </w:p>
    <w:p w:rsidR="00BF4F40" w:rsidRPr="00BF4F40" w:rsidRDefault="00BF4F40" w:rsidP="00BF4F40">
      <w:pPr>
        <w:jc w:val="both"/>
        <w:rPr>
          <w:rFonts w:ascii="Arial" w:hAnsi="Arial" w:cs="Arial"/>
        </w:rPr>
      </w:pPr>
    </w:p>
    <w:p w:rsidR="00BF4F40" w:rsidRPr="00BF4F40" w:rsidRDefault="00BF4F40" w:rsidP="00BF4F40">
      <w:pPr>
        <w:jc w:val="both"/>
        <w:rPr>
          <w:rFonts w:ascii="Arial" w:hAnsi="Arial" w:cs="Arial"/>
        </w:rPr>
      </w:pPr>
    </w:p>
    <w:p w:rsidR="00BF4F40" w:rsidRPr="00BF4F40" w:rsidRDefault="00BF4F40" w:rsidP="00BF4F40">
      <w:pPr>
        <w:jc w:val="both"/>
        <w:rPr>
          <w:rFonts w:ascii="Arial" w:hAnsi="Arial" w:cs="Arial"/>
        </w:rPr>
      </w:pPr>
    </w:p>
    <w:p w:rsidR="00BF4F40" w:rsidRPr="00BF4F40" w:rsidRDefault="00706F3F" w:rsidP="00BF4F40">
      <w:pPr>
        <w:jc w:val="both"/>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-2028825</wp:posOffset>
            </wp:positionV>
            <wp:extent cx="4686300" cy="48577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686300" cy="4857750"/>
                    </a:xfrm>
                    <a:prstGeom prst="rect">
                      <a:avLst/>
                    </a:prstGeom>
                    <a:noFill/>
                    <a:ln w="9525">
                      <a:noFill/>
                      <a:miter lim="800000"/>
                      <a:headEnd/>
                      <a:tailEnd/>
                    </a:ln>
                  </pic:spPr>
                </pic:pic>
              </a:graphicData>
            </a:graphic>
          </wp:anchor>
        </w:drawing>
      </w:r>
    </w:p>
    <w:p w:rsidR="00BF4F40" w:rsidRPr="00BF4F40" w:rsidRDefault="00BF4F40" w:rsidP="00BF4F40">
      <w:pPr>
        <w:jc w:val="both"/>
        <w:rPr>
          <w:rFonts w:ascii="Arial" w:hAnsi="Arial" w:cs="Arial"/>
          <w:b/>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BF4F40" w:rsidRPr="00BF4F40" w:rsidRDefault="00BF4F40" w:rsidP="00BF4F40">
      <w:pPr>
        <w:spacing w:after="0"/>
        <w:jc w:val="both"/>
        <w:rPr>
          <w:rFonts w:ascii="Arial" w:hAnsi="Arial" w:cs="Arial"/>
          <w:i/>
        </w:rPr>
      </w:pPr>
    </w:p>
    <w:p w:rsidR="00706F3F" w:rsidRDefault="00706F3F" w:rsidP="00BF4F40">
      <w:pPr>
        <w:spacing w:after="0"/>
        <w:jc w:val="both"/>
        <w:rPr>
          <w:rFonts w:ascii="Arial" w:hAnsi="Arial" w:cs="Arial"/>
          <w:i/>
        </w:rPr>
      </w:pPr>
    </w:p>
    <w:p w:rsidR="00706F3F" w:rsidRDefault="00706F3F" w:rsidP="00BF4F40">
      <w:pPr>
        <w:spacing w:after="0"/>
        <w:jc w:val="both"/>
        <w:rPr>
          <w:rFonts w:ascii="Arial" w:hAnsi="Arial" w:cs="Arial"/>
          <w:i/>
        </w:rPr>
      </w:pPr>
    </w:p>
    <w:p w:rsidR="00BF4F40" w:rsidRPr="00304094" w:rsidRDefault="00BF4F40" w:rsidP="00304094">
      <w:pPr>
        <w:rPr>
          <w:rFonts w:ascii="Arial" w:hAnsi="Arial" w:cs="Arial"/>
          <w:i/>
        </w:rPr>
      </w:pPr>
      <w:r w:rsidRPr="00BF4F40">
        <w:rPr>
          <w:rFonts w:ascii="Arial" w:hAnsi="Arial" w:cs="Arial"/>
          <w:i/>
        </w:rPr>
        <w:t xml:space="preserve">Figure </w:t>
      </w:r>
      <w:r w:rsidR="003E2D7E">
        <w:rPr>
          <w:rFonts w:ascii="Arial" w:hAnsi="Arial" w:cs="Arial"/>
          <w:i/>
        </w:rPr>
        <w:t>C</w:t>
      </w:r>
      <w:r w:rsidR="00F2498B">
        <w:rPr>
          <w:rFonts w:ascii="Arial" w:hAnsi="Arial" w:cs="Arial"/>
          <w:i/>
        </w:rPr>
        <w:t>-</w:t>
      </w:r>
      <w:r w:rsidR="003E2D7E">
        <w:rPr>
          <w:rFonts w:ascii="Arial" w:hAnsi="Arial" w:cs="Arial"/>
          <w:i/>
        </w:rPr>
        <w:t>6</w:t>
      </w:r>
      <w:r w:rsidR="00304094">
        <w:rPr>
          <w:rFonts w:ascii="Arial" w:hAnsi="Arial" w:cs="Arial"/>
          <w:i/>
        </w:rPr>
        <w:t>: Model predictions using the 2007 shortfall method for the diagnostic group Heart</w:t>
      </w:r>
    </w:p>
    <w:sectPr w:rsidR="00BF4F40" w:rsidRPr="00304094" w:rsidSect="00AC21C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F8" w:rsidRDefault="00C533F8" w:rsidP="00BA4A5A">
      <w:pPr>
        <w:spacing w:after="0" w:line="240" w:lineRule="auto"/>
      </w:pPr>
      <w:r>
        <w:separator/>
      </w:r>
    </w:p>
  </w:endnote>
  <w:endnote w:type="continuationSeparator" w:id="0">
    <w:p w:rsidR="00C533F8" w:rsidRDefault="00C533F8" w:rsidP="00BA4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1032"/>
      <w:docPartObj>
        <w:docPartGallery w:val="Page Numbers (Bottom of Page)"/>
        <w:docPartUnique/>
      </w:docPartObj>
    </w:sdtPr>
    <w:sdtContent>
      <w:p w:rsidR="00C533F8" w:rsidRDefault="00E72D75">
        <w:pPr>
          <w:pStyle w:val="Footer"/>
          <w:jc w:val="center"/>
        </w:pPr>
        <w:r>
          <w:fldChar w:fldCharType="begin"/>
        </w:r>
        <w:r w:rsidR="00CD35F3">
          <w:instrText xml:space="preserve"> PAGE   \* MERGEFORMAT </w:instrText>
        </w:r>
        <w:r>
          <w:fldChar w:fldCharType="separate"/>
        </w:r>
        <w:r w:rsidR="00A12E62">
          <w:rPr>
            <w:noProof/>
          </w:rPr>
          <w:t>11</w:t>
        </w:r>
        <w:r>
          <w:rPr>
            <w:noProof/>
          </w:rPr>
          <w:fldChar w:fldCharType="end"/>
        </w:r>
      </w:p>
    </w:sdtContent>
  </w:sdt>
  <w:p w:rsidR="00C533F8" w:rsidRDefault="00C53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F8" w:rsidRDefault="00C533F8" w:rsidP="00BA4A5A">
      <w:pPr>
        <w:spacing w:after="0" w:line="240" w:lineRule="auto"/>
      </w:pPr>
      <w:r>
        <w:separator/>
      </w:r>
    </w:p>
  </w:footnote>
  <w:footnote w:type="continuationSeparator" w:id="0">
    <w:p w:rsidR="00C533F8" w:rsidRDefault="00C533F8" w:rsidP="00BA4A5A">
      <w:pPr>
        <w:spacing w:after="0" w:line="240" w:lineRule="auto"/>
      </w:pPr>
      <w:r>
        <w:continuationSeparator/>
      </w:r>
    </w:p>
  </w:footnote>
  <w:footnote w:id="1">
    <w:p w:rsidR="00C533F8" w:rsidRPr="008E094C" w:rsidRDefault="00C533F8" w:rsidP="005D7496">
      <w:pPr>
        <w:pStyle w:val="FootnoteText"/>
        <w:rPr>
          <w:rFonts w:ascii="Arial" w:hAnsi="Arial" w:cs="Arial"/>
        </w:rPr>
      </w:pPr>
      <w:r w:rsidRPr="008E094C">
        <w:rPr>
          <w:rStyle w:val="FootnoteReference"/>
          <w:rFonts w:ascii="Arial" w:hAnsi="Arial" w:cs="Arial"/>
        </w:rPr>
        <w:footnoteRef/>
      </w:r>
      <w:r w:rsidRPr="008E094C">
        <w:rPr>
          <w:rFonts w:ascii="Arial" w:hAnsi="Arial" w:cs="Arial"/>
        </w:rPr>
        <w:t xml:space="preserve"> </w:t>
      </w:r>
      <w:proofErr w:type="spellStart"/>
      <w:proofErr w:type="gramStart"/>
      <w:r w:rsidRPr="008E094C">
        <w:rPr>
          <w:rFonts w:ascii="Arial" w:hAnsi="Arial" w:cs="Arial"/>
        </w:rPr>
        <w:t>McConnachie</w:t>
      </w:r>
      <w:proofErr w:type="spellEnd"/>
      <w:r w:rsidRPr="008E094C">
        <w:rPr>
          <w:rFonts w:ascii="Arial" w:hAnsi="Arial" w:cs="Arial"/>
        </w:rPr>
        <w:t xml:space="preserve"> and Sutton (2004) ‘Derivation of an Adjustment to the </w:t>
      </w:r>
      <w:proofErr w:type="spellStart"/>
      <w:r w:rsidRPr="008E094C">
        <w:rPr>
          <w:rFonts w:ascii="Arial" w:hAnsi="Arial" w:cs="Arial"/>
        </w:rPr>
        <w:t>Arbuthnott</w:t>
      </w:r>
      <w:proofErr w:type="spellEnd"/>
      <w:r w:rsidRPr="008E094C">
        <w:rPr>
          <w:rFonts w:ascii="Arial" w:hAnsi="Arial" w:cs="Arial"/>
        </w:rPr>
        <w:t xml:space="preserve"> Formula for Socioeconomic Inequities in Health Care’.</w:t>
      </w:r>
      <w:proofErr w:type="gramEnd"/>
    </w:p>
  </w:footnote>
  <w:footnote w:id="2">
    <w:p w:rsidR="00C533F8" w:rsidRPr="008E094C" w:rsidRDefault="00C533F8">
      <w:pPr>
        <w:pStyle w:val="FootnoteText"/>
        <w:rPr>
          <w:rFonts w:ascii="Arial" w:hAnsi="Arial" w:cs="Arial"/>
        </w:rPr>
      </w:pPr>
      <w:r>
        <w:rPr>
          <w:rStyle w:val="FootnoteReference"/>
        </w:rPr>
        <w:footnoteRef/>
      </w:r>
      <w:r>
        <w:t xml:space="preserve"> </w:t>
      </w:r>
      <w:hyperlink r:id="rId1" w:history="1">
        <w:r w:rsidRPr="008E094C">
          <w:rPr>
            <w:rStyle w:val="Hyperlink"/>
            <w:rFonts w:ascii="Arial" w:hAnsi="Arial" w:cs="Arial"/>
          </w:rPr>
          <w:t>http://www.tagra.scot.nhs.uk/research/</w:t>
        </w:r>
      </w:hyperlink>
    </w:p>
  </w:footnote>
  <w:footnote w:id="3">
    <w:p w:rsidR="00C533F8" w:rsidRDefault="00C533F8" w:rsidP="00A47271">
      <w:pPr>
        <w:pStyle w:val="FootnoteText"/>
      </w:pPr>
      <w:r w:rsidRPr="008E094C">
        <w:rPr>
          <w:rStyle w:val="FootnoteReference"/>
          <w:rFonts w:ascii="Arial" w:hAnsi="Arial" w:cs="Arial"/>
        </w:rPr>
        <w:footnoteRef/>
      </w:r>
      <w:r w:rsidRPr="008E094C">
        <w:rPr>
          <w:rFonts w:ascii="Arial" w:hAnsi="Arial" w:cs="Arial"/>
        </w:rPr>
        <w:t xml:space="preserve"> </w:t>
      </w:r>
      <w:hyperlink r:id="rId2" w:history="1">
        <w:r w:rsidRPr="008E094C">
          <w:rPr>
            <w:rStyle w:val="Hyperlink"/>
            <w:rFonts w:ascii="Arial" w:hAnsi="Arial" w:cs="Arial"/>
          </w:rPr>
          <w:t>http://www.dhsspsni.gov.uk/inequalities-health-socialc.pdf</w:t>
        </w:r>
      </w:hyperlink>
    </w:p>
  </w:footnote>
  <w:footnote w:id="4">
    <w:p w:rsidR="00C533F8" w:rsidRDefault="00C533F8" w:rsidP="00742BF1">
      <w:pPr>
        <w:pStyle w:val="FootnoteText"/>
      </w:pPr>
      <w:r>
        <w:rPr>
          <w:rStyle w:val="FootnoteReference"/>
        </w:rPr>
        <w:footnoteRef/>
      </w:r>
      <w:r>
        <w:t xml:space="preserve"> </w:t>
      </w:r>
      <w:r>
        <w:rPr>
          <w:rFonts w:ascii="Arial" w:hAnsi="Arial" w:cs="Arial"/>
        </w:rPr>
        <w:t>2011/12 cost ratios are used as the dependent variable; supply variables and Health Board dummy variables are included in the model as usual, the supply variables used being those calculated in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F8" w:rsidRPr="00BA4A5A" w:rsidRDefault="00C533F8" w:rsidP="00BA4A5A">
    <w:pPr>
      <w:pStyle w:val="Header"/>
      <w:jc w:val="right"/>
      <w:rPr>
        <w:rFonts w:ascii="Arial" w:hAnsi="Arial" w:cs="Arial"/>
        <w:i/>
      </w:rPr>
    </w:pPr>
    <w:r>
      <w:rPr>
        <w:rFonts w:ascii="Arial" w:hAnsi="Arial" w:cs="Arial"/>
        <w:i/>
      </w:rPr>
      <w:t>TAMLC33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983"/>
    <w:multiLevelType w:val="hybridMultilevel"/>
    <w:tmpl w:val="3198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EC4944"/>
    <w:multiLevelType w:val="hybridMultilevel"/>
    <w:tmpl w:val="16B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25FBE"/>
    <w:multiLevelType w:val="hybridMultilevel"/>
    <w:tmpl w:val="88F47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1938D4"/>
    <w:multiLevelType w:val="hybridMultilevel"/>
    <w:tmpl w:val="B034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820508"/>
    <w:multiLevelType w:val="hybridMultilevel"/>
    <w:tmpl w:val="5544A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FA19AF"/>
    <w:multiLevelType w:val="hybridMultilevel"/>
    <w:tmpl w:val="24A08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9346E78"/>
    <w:multiLevelType w:val="hybridMultilevel"/>
    <w:tmpl w:val="7FFEAF2A"/>
    <w:lvl w:ilvl="0" w:tplc="C354E6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97089F"/>
    <w:multiLevelType w:val="hybridMultilevel"/>
    <w:tmpl w:val="E11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E7F34"/>
    <w:multiLevelType w:val="hybridMultilevel"/>
    <w:tmpl w:val="5F12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9A0C28"/>
    <w:multiLevelType w:val="hybridMultilevel"/>
    <w:tmpl w:val="FF0E44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7"/>
  </w:num>
  <w:num w:numId="6">
    <w:abstractNumId w:val="4"/>
  </w:num>
  <w:num w:numId="7">
    <w:abstractNumId w:val="8"/>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741B0"/>
    <w:rsid w:val="0001118E"/>
    <w:rsid w:val="0002752B"/>
    <w:rsid w:val="0003293E"/>
    <w:rsid w:val="00036CE0"/>
    <w:rsid w:val="00060EF3"/>
    <w:rsid w:val="000618E2"/>
    <w:rsid w:val="0007294A"/>
    <w:rsid w:val="00072C9B"/>
    <w:rsid w:val="0008154B"/>
    <w:rsid w:val="000B112C"/>
    <w:rsid w:val="000C696D"/>
    <w:rsid w:val="000D34EF"/>
    <w:rsid w:val="000E6B16"/>
    <w:rsid w:val="000F544F"/>
    <w:rsid w:val="001068BD"/>
    <w:rsid w:val="00116BD0"/>
    <w:rsid w:val="00120704"/>
    <w:rsid w:val="00125191"/>
    <w:rsid w:val="001319DD"/>
    <w:rsid w:val="00137C72"/>
    <w:rsid w:val="00176DB3"/>
    <w:rsid w:val="0017792A"/>
    <w:rsid w:val="001823AC"/>
    <w:rsid w:val="001838E6"/>
    <w:rsid w:val="00190D63"/>
    <w:rsid w:val="00193C08"/>
    <w:rsid w:val="001B09EF"/>
    <w:rsid w:val="001B4C29"/>
    <w:rsid w:val="001C2E02"/>
    <w:rsid w:val="001E2CA8"/>
    <w:rsid w:val="001E7574"/>
    <w:rsid w:val="001F0C37"/>
    <w:rsid w:val="001F1495"/>
    <w:rsid w:val="001F39A2"/>
    <w:rsid w:val="001F45F3"/>
    <w:rsid w:val="001F63B3"/>
    <w:rsid w:val="00210AAB"/>
    <w:rsid w:val="00213245"/>
    <w:rsid w:val="00241B00"/>
    <w:rsid w:val="002447A9"/>
    <w:rsid w:val="002848A7"/>
    <w:rsid w:val="002859A7"/>
    <w:rsid w:val="0028792C"/>
    <w:rsid w:val="00296E4D"/>
    <w:rsid w:val="002A0052"/>
    <w:rsid w:val="002A6694"/>
    <w:rsid w:val="002C5AE4"/>
    <w:rsid w:val="002E5B83"/>
    <w:rsid w:val="002F2281"/>
    <w:rsid w:val="002F7BAC"/>
    <w:rsid w:val="00304094"/>
    <w:rsid w:val="0033060E"/>
    <w:rsid w:val="0033132C"/>
    <w:rsid w:val="0037514C"/>
    <w:rsid w:val="003876B9"/>
    <w:rsid w:val="00393007"/>
    <w:rsid w:val="003B050B"/>
    <w:rsid w:val="003B08F7"/>
    <w:rsid w:val="003B26F1"/>
    <w:rsid w:val="003C2573"/>
    <w:rsid w:val="003D731A"/>
    <w:rsid w:val="003E0DF4"/>
    <w:rsid w:val="003E2D7E"/>
    <w:rsid w:val="003E64F8"/>
    <w:rsid w:val="003F1A19"/>
    <w:rsid w:val="003F37D7"/>
    <w:rsid w:val="0040707E"/>
    <w:rsid w:val="00413747"/>
    <w:rsid w:val="004273EC"/>
    <w:rsid w:val="0043690D"/>
    <w:rsid w:val="004369DE"/>
    <w:rsid w:val="0044029C"/>
    <w:rsid w:val="004421DC"/>
    <w:rsid w:val="0048029B"/>
    <w:rsid w:val="00493C1B"/>
    <w:rsid w:val="00494AE7"/>
    <w:rsid w:val="004A1AA0"/>
    <w:rsid w:val="004A2897"/>
    <w:rsid w:val="004A49D7"/>
    <w:rsid w:val="004A71E5"/>
    <w:rsid w:val="004B0D80"/>
    <w:rsid w:val="004D70E0"/>
    <w:rsid w:val="004E12BA"/>
    <w:rsid w:val="004E5EF0"/>
    <w:rsid w:val="004F2343"/>
    <w:rsid w:val="004F324D"/>
    <w:rsid w:val="004F6F88"/>
    <w:rsid w:val="0051360B"/>
    <w:rsid w:val="00515BF0"/>
    <w:rsid w:val="005241E5"/>
    <w:rsid w:val="00530622"/>
    <w:rsid w:val="0053367C"/>
    <w:rsid w:val="0053717B"/>
    <w:rsid w:val="0055258B"/>
    <w:rsid w:val="005540EE"/>
    <w:rsid w:val="00570140"/>
    <w:rsid w:val="00596DF2"/>
    <w:rsid w:val="005D638F"/>
    <w:rsid w:val="005D7496"/>
    <w:rsid w:val="005E6608"/>
    <w:rsid w:val="005F6EFB"/>
    <w:rsid w:val="005F74FF"/>
    <w:rsid w:val="00623632"/>
    <w:rsid w:val="00635E4A"/>
    <w:rsid w:val="0063712D"/>
    <w:rsid w:val="006530EE"/>
    <w:rsid w:val="00657673"/>
    <w:rsid w:val="00664255"/>
    <w:rsid w:val="006A2962"/>
    <w:rsid w:val="006A7C98"/>
    <w:rsid w:val="006B54D4"/>
    <w:rsid w:val="006C0B66"/>
    <w:rsid w:val="006C6596"/>
    <w:rsid w:val="006C7E43"/>
    <w:rsid w:val="006D1E49"/>
    <w:rsid w:val="00704EBB"/>
    <w:rsid w:val="00706F3F"/>
    <w:rsid w:val="00723279"/>
    <w:rsid w:val="007247CB"/>
    <w:rsid w:val="00725D05"/>
    <w:rsid w:val="00737C37"/>
    <w:rsid w:val="00742BF1"/>
    <w:rsid w:val="00757242"/>
    <w:rsid w:val="007626C4"/>
    <w:rsid w:val="007658C0"/>
    <w:rsid w:val="007741B0"/>
    <w:rsid w:val="007746FE"/>
    <w:rsid w:val="00774B4B"/>
    <w:rsid w:val="007941AA"/>
    <w:rsid w:val="0079523B"/>
    <w:rsid w:val="007A2025"/>
    <w:rsid w:val="007A424E"/>
    <w:rsid w:val="007B3968"/>
    <w:rsid w:val="007B4FDD"/>
    <w:rsid w:val="007C49B4"/>
    <w:rsid w:val="007E3BA5"/>
    <w:rsid w:val="00807C33"/>
    <w:rsid w:val="00810EE8"/>
    <w:rsid w:val="00817579"/>
    <w:rsid w:val="00817EA5"/>
    <w:rsid w:val="00820415"/>
    <w:rsid w:val="00824E0C"/>
    <w:rsid w:val="00830928"/>
    <w:rsid w:val="00834E47"/>
    <w:rsid w:val="00836C65"/>
    <w:rsid w:val="008377D2"/>
    <w:rsid w:val="0084771C"/>
    <w:rsid w:val="00850B10"/>
    <w:rsid w:val="00856875"/>
    <w:rsid w:val="00857B09"/>
    <w:rsid w:val="00857D0A"/>
    <w:rsid w:val="00872A95"/>
    <w:rsid w:val="00881E0F"/>
    <w:rsid w:val="008A0861"/>
    <w:rsid w:val="008B34FB"/>
    <w:rsid w:val="008B5D58"/>
    <w:rsid w:val="008C11A6"/>
    <w:rsid w:val="008E094C"/>
    <w:rsid w:val="008E1BB0"/>
    <w:rsid w:val="008E3056"/>
    <w:rsid w:val="008E56EB"/>
    <w:rsid w:val="00900874"/>
    <w:rsid w:val="00912CB7"/>
    <w:rsid w:val="009217C5"/>
    <w:rsid w:val="009518DA"/>
    <w:rsid w:val="009541CE"/>
    <w:rsid w:val="009652DC"/>
    <w:rsid w:val="0096570D"/>
    <w:rsid w:val="00973658"/>
    <w:rsid w:val="00974A94"/>
    <w:rsid w:val="00982D63"/>
    <w:rsid w:val="00993C1F"/>
    <w:rsid w:val="009A06BE"/>
    <w:rsid w:val="009A0C4C"/>
    <w:rsid w:val="009A7678"/>
    <w:rsid w:val="009D0B54"/>
    <w:rsid w:val="009D3849"/>
    <w:rsid w:val="009D3F92"/>
    <w:rsid w:val="009D6151"/>
    <w:rsid w:val="009E2130"/>
    <w:rsid w:val="009E6B5F"/>
    <w:rsid w:val="00A07B7E"/>
    <w:rsid w:val="00A12E62"/>
    <w:rsid w:val="00A144DF"/>
    <w:rsid w:val="00A227F0"/>
    <w:rsid w:val="00A441FE"/>
    <w:rsid w:val="00A45BC4"/>
    <w:rsid w:val="00A47271"/>
    <w:rsid w:val="00A52B36"/>
    <w:rsid w:val="00A60723"/>
    <w:rsid w:val="00AA136B"/>
    <w:rsid w:val="00AA1796"/>
    <w:rsid w:val="00AB695A"/>
    <w:rsid w:val="00AC21CD"/>
    <w:rsid w:val="00AC6016"/>
    <w:rsid w:val="00AC6828"/>
    <w:rsid w:val="00AC7914"/>
    <w:rsid w:val="00AD355B"/>
    <w:rsid w:val="00AD39D5"/>
    <w:rsid w:val="00AE32BA"/>
    <w:rsid w:val="00AE600D"/>
    <w:rsid w:val="00AF00FB"/>
    <w:rsid w:val="00AF5605"/>
    <w:rsid w:val="00AF6E6B"/>
    <w:rsid w:val="00B05D12"/>
    <w:rsid w:val="00B1759D"/>
    <w:rsid w:val="00B23F96"/>
    <w:rsid w:val="00B4259C"/>
    <w:rsid w:val="00B450CE"/>
    <w:rsid w:val="00B53F21"/>
    <w:rsid w:val="00B55C5D"/>
    <w:rsid w:val="00B666BF"/>
    <w:rsid w:val="00B85554"/>
    <w:rsid w:val="00B9354C"/>
    <w:rsid w:val="00BA4A5A"/>
    <w:rsid w:val="00BB2683"/>
    <w:rsid w:val="00BC0836"/>
    <w:rsid w:val="00BC1951"/>
    <w:rsid w:val="00BC52C2"/>
    <w:rsid w:val="00BC610A"/>
    <w:rsid w:val="00BD58A2"/>
    <w:rsid w:val="00BD6A30"/>
    <w:rsid w:val="00BD7A23"/>
    <w:rsid w:val="00BF4F40"/>
    <w:rsid w:val="00C03811"/>
    <w:rsid w:val="00C046D9"/>
    <w:rsid w:val="00C15716"/>
    <w:rsid w:val="00C1748D"/>
    <w:rsid w:val="00C20932"/>
    <w:rsid w:val="00C33912"/>
    <w:rsid w:val="00C35FAE"/>
    <w:rsid w:val="00C37DFE"/>
    <w:rsid w:val="00C465DF"/>
    <w:rsid w:val="00C533F8"/>
    <w:rsid w:val="00C66BE4"/>
    <w:rsid w:val="00C709C4"/>
    <w:rsid w:val="00C71C47"/>
    <w:rsid w:val="00C73524"/>
    <w:rsid w:val="00C83AC6"/>
    <w:rsid w:val="00CA1BDD"/>
    <w:rsid w:val="00CA3FA0"/>
    <w:rsid w:val="00CB2DC1"/>
    <w:rsid w:val="00CB3A95"/>
    <w:rsid w:val="00CB79A1"/>
    <w:rsid w:val="00CD1D2A"/>
    <w:rsid w:val="00CD35F3"/>
    <w:rsid w:val="00CD52A2"/>
    <w:rsid w:val="00CD7551"/>
    <w:rsid w:val="00CD7B73"/>
    <w:rsid w:val="00CE6717"/>
    <w:rsid w:val="00CF2ED4"/>
    <w:rsid w:val="00D167B8"/>
    <w:rsid w:val="00D21B6C"/>
    <w:rsid w:val="00D3044C"/>
    <w:rsid w:val="00D37B8E"/>
    <w:rsid w:val="00D45EBA"/>
    <w:rsid w:val="00D578B1"/>
    <w:rsid w:val="00D71742"/>
    <w:rsid w:val="00D73E91"/>
    <w:rsid w:val="00D7540A"/>
    <w:rsid w:val="00D75E46"/>
    <w:rsid w:val="00D760A9"/>
    <w:rsid w:val="00D7727B"/>
    <w:rsid w:val="00D83606"/>
    <w:rsid w:val="00D97BC7"/>
    <w:rsid w:val="00D97FBA"/>
    <w:rsid w:val="00DB1891"/>
    <w:rsid w:val="00DD1063"/>
    <w:rsid w:val="00DE1591"/>
    <w:rsid w:val="00DE2279"/>
    <w:rsid w:val="00DF6458"/>
    <w:rsid w:val="00DF70FD"/>
    <w:rsid w:val="00E1075A"/>
    <w:rsid w:val="00E24951"/>
    <w:rsid w:val="00E32AA7"/>
    <w:rsid w:val="00E5250C"/>
    <w:rsid w:val="00E6051B"/>
    <w:rsid w:val="00E65941"/>
    <w:rsid w:val="00E72D75"/>
    <w:rsid w:val="00EA1DBF"/>
    <w:rsid w:val="00EA3831"/>
    <w:rsid w:val="00EA63D5"/>
    <w:rsid w:val="00EA720B"/>
    <w:rsid w:val="00EB6DF7"/>
    <w:rsid w:val="00ED0EA8"/>
    <w:rsid w:val="00F00B88"/>
    <w:rsid w:val="00F1073E"/>
    <w:rsid w:val="00F1184D"/>
    <w:rsid w:val="00F14E29"/>
    <w:rsid w:val="00F1680A"/>
    <w:rsid w:val="00F237F2"/>
    <w:rsid w:val="00F2498B"/>
    <w:rsid w:val="00F36869"/>
    <w:rsid w:val="00F4329F"/>
    <w:rsid w:val="00F67A94"/>
    <w:rsid w:val="00F70F0F"/>
    <w:rsid w:val="00F82CE3"/>
    <w:rsid w:val="00F8318A"/>
    <w:rsid w:val="00F86C84"/>
    <w:rsid w:val="00F876C0"/>
    <w:rsid w:val="00F91C21"/>
    <w:rsid w:val="00F92E33"/>
    <w:rsid w:val="00F9449F"/>
    <w:rsid w:val="00F94C86"/>
    <w:rsid w:val="00FB271C"/>
    <w:rsid w:val="00FB3B9D"/>
    <w:rsid w:val="00FB3D13"/>
    <w:rsid w:val="00FB4966"/>
    <w:rsid w:val="00FB4C64"/>
    <w:rsid w:val="00FC71EC"/>
    <w:rsid w:val="00FD19E6"/>
    <w:rsid w:val="00FD6BB0"/>
    <w:rsid w:val="00FE5482"/>
    <w:rsid w:val="00FF6D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A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4A5A"/>
    <w:rPr>
      <w:rFonts w:eastAsiaTheme="minorEastAsia"/>
      <w:lang w:eastAsia="en-GB"/>
    </w:rPr>
  </w:style>
  <w:style w:type="paragraph" w:styleId="Footer">
    <w:name w:val="footer"/>
    <w:basedOn w:val="Normal"/>
    <w:link w:val="FooterChar"/>
    <w:uiPriority w:val="99"/>
    <w:unhideWhenUsed/>
    <w:rsid w:val="00BA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5A"/>
    <w:rPr>
      <w:rFonts w:eastAsiaTheme="minorEastAsia"/>
      <w:lang w:eastAsia="en-GB"/>
    </w:rPr>
  </w:style>
  <w:style w:type="paragraph" w:styleId="FootnoteText">
    <w:name w:val="footnote text"/>
    <w:basedOn w:val="Normal"/>
    <w:link w:val="FootnoteTextChar"/>
    <w:uiPriority w:val="99"/>
    <w:semiHidden/>
    <w:unhideWhenUsed/>
    <w:rsid w:val="00296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E4D"/>
    <w:rPr>
      <w:rFonts w:eastAsiaTheme="minorEastAsia"/>
      <w:sz w:val="20"/>
      <w:szCs w:val="20"/>
      <w:lang w:eastAsia="en-GB"/>
    </w:rPr>
  </w:style>
  <w:style w:type="character" w:styleId="FootnoteReference">
    <w:name w:val="footnote reference"/>
    <w:basedOn w:val="DefaultParagraphFont"/>
    <w:uiPriority w:val="99"/>
    <w:semiHidden/>
    <w:unhideWhenUsed/>
    <w:rsid w:val="00296E4D"/>
    <w:rPr>
      <w:vertAlign w:val="superscript"/>
    </w:rPr>
  </w:style>
  <w:style w:type="paragraph" w:styleId="ListParagraph">
    <w:name w:val="List Paragraph"/>
    <w:basedOn w:val="Normal"/>
    <w:uiPriority w:val="34"/>
    <w:qFormat/>
    <w:rsid w:val="003E64F8"/>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C11A6"/>
    <w:rPr>
      <w:sz w:val="16"/>
      <w:szCs w:val="16"/>
    </w:rPr>
  </w:style>
  <w:style w:type="paragraph" w:styleId="CommentText">
    <w:name w:val="annotation text"/>
    <w:basedOn w:val="Normal"/>
    <w:link w:val="CommentTextChar"/>
    <w:uiPriority w:val="99"/>
    <w:semiHidden/>
    <w:unhideWhenUsed/>
    <w:rsid w:val="008C11A6"/>
    <w:pPr>
      <w:spacing w:line="240" w:lineRule="auto"/>
    </w:pPr>
    <w:rPr>
      <w:sz w:val="20"/>
      <w:szCs w:val="20"/>
    </w:rPr>
  </w:style>
  <w:style w:type="character" w:customStyle="1" w:styleId="CommentTextChar">
    <w:name w:val="Comment Text Char"/>
    <w:basedOn w:val="DefaultParagraphFont"/>
    <w:link w:val="CommentText"/>
    <w:uiPriority w:val="99"/>
    <w:semiHidden/>
    <w:rsid w:val="008C11A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C11A6"/>
    <w:rPr>
      <w:b/>
      <w:bCs/>
    </w:rPr>
  </w:style>
  <w:style w:type="character" w:customStyle="1" w:styleId="CommentSubjectChar">
    <w:name w:val="Comment Subject Char"/>
    <w:basedOn w:val="CommentTextChar"/>
    <w:link w:val="CommentSubject"/>
    <w:uiPriority w:val="99"/>
    <w:semiHidden/>
    <w:rsid w:val="008C11A6"/>
    <w:rPr>
      <w:rFonts w:eastAsiaTheme="minorEastAsia"/>
      <w:b/>
      <w:bCs/>
      <w:sz w:val="20"/>
      <w:szCs w:val="20"/>
      <w:lang w:eastAsia="en-GB"/>
    </w:rPr>
  </w:style>
  <w:style w:type="paragraph" w:styleId="BalloonText">
    <w:name w:val="Balloon Text"/>
    <w:basedOn w:val="Normal"/>
    <w:link w:val="BalloonTextChar"/>
    <w:uiPriority w:val="99"/>
    <w:semiHidden/>
    <w:unhideWhenUsed/>
    <w:rsid w:val="008C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A6"/>
    <w:rPr>
      <w:rFonts w:ascii="Tahoma" w:eastAsiaTheme="minorEastAsia" w:hAnsi="Tahoma" w:cs="Tahoma"/>
      <w:sz w:val="16"/>
      <w:szCs w:val="16"/>
      <w:lang w:eastAsia="en-GB"/>
    </w:rPr>
  </w:style>
  <w:style w:type="character" w:styleId="Hyperlink">
    <w:name w:val="Hyperlink"/>
    <w:basedOn w:val="DefaultParagraphFont"/>
    <w:uiPriority w:val="99"/>
    <w:unhideWhenUsed/>
    <w:rsid w:val="00912CB7"/>
    <w:rPr>
      <w:color w:val="0000FF" w:themeColor="hyperlink"/>
      <w:u w:val="single"/>
    </w:rPr>
  </w:style>
  <w:style w:type="table" w:styleId="TableGrid">
    <w:name w:val="Table Grid"/>
    <w:basedOn w:val="TableNormal"/>
    <w:uiPriority w:val="59"/>
    <w:rsid w:val="00BF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25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A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4A5A"/>
    <w:rPr>
      <w:rFonts w:eastAsiaTheme="minorEastAsia"/>
      <w:lang w:eastAsia="en-GB"/>
    </w:rPr>
  </w:style>
  <w:style w:type="paragraph" w:styleId="Footer">
    <w:name w:val="footer"/>
    <w:basedOn w:val="Normal"/>
    <w:link w:val="FooterChar"/>
    <w:uiPriority w:val="99"/>
    <w:unhideWhenUsed/>
    <w:rsid w:val="00BA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5A"/>
    <w:rPr>
      <w:rFonts w:eastAsiaTheme="minorEastAsia"/>
      <w:lang w:eastAsia="en-GB"/>
    </w:rPr>
  </w:style>
  <w:style w:type="paragraph" w:styleId="FootnoteText">
    <w:name w:val="footnote text"/>
    <w:basedOn w:val="Normal"/>
    <w:link w:val="FootnoteTextChar"/>
    <w:uiPriority w:val="99"/>
    <w:semiHidden/>
    <w:unhideWhenUsed/>
    <w:rsid w:val="00296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E4D"/>
    <w:rPr>
      <w:rFonts w:eastAsiaTheme="minorEastAsia"/>
      <w:sz w:val="20"/>
      <w:szCs w:val="20"/>
      <w:lang w:eastAsia="en-GB"/>
    </w:rPr>
  </w:style>
  <w:style w:type="character" w:styleId="FootnoteReference">
    <w:name w:val="footnote reference"/>
    <w:basedOn w:val="DefaultParagraphFont"/>
    <w:uiPriority w:val="99"/>
    <w:semiHidden/>
    <w:unhideWhenUsed/>
    <w:rsid w:val="00296E4D"/>
    <w:rPr>
      <w:vertAlign w:val="superscript"/>
    </w:rPr>
  </w:style>
  <w:style w:type="paragraph" w:styleId="ListParagraph">
    <w:name w:val="List Paragraph"/>
    <w:basedOn w:val="Normal"/>
    <w:uiPriority w:val="34"/>
    <w:qFormat/>
    <w:rsid w:val="003E64F8"/>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C11A6"/>
    <w:rPr>
      <w:sz w:val="16"/>
      <w:szCs w:val="16"/>
    </w:rPr>
  </w:style>
  <w:style w:type="paragraph" w:styleId="CommentText">
    <w:name w:val="annotation text"/>
    <w:basedOn w:val="Normal"/>
    <w:link w:val="CommentTextChar"/>
    <w:uiPriority w:val="99"/>
    <w:semiHidden/>
    <w:unhideWhenUsed/>
    <w:rsid w:val="008C11A6"/>
    <w:pPr>
      <w:spacing w:line="240" w:lineRule="auto"/>
    </w:pPr>
    <w:rPr>
      <w:sz w:val="20"/>
      <w:szCs w:val="20"/>
    </w:rPr>
  </w:style>
  <w:style w:type="character" w:customStyle="1" w:styleId="CommentTextChar">
    <w:name w:val="Comment Text Char"/>
    <w:basedOn w:val="DefaultParagraphFont"/>
    <w:link w:val="CommentText"/>
    <w:uiPriority w:val="99"/>
    <w:semiHidden/>
    <w:rsid w:val="008C11A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C11A6"/>
    <w:rPr>
      <w:b/>
      <w:bCs/>
    </w:rPr>
  </w:style>
  <w:style w:type="character" w:customStyle="1" w:styleId="CommentSubjectChar">
    <w:name w:val="Comment Subject Char"/>
    <w:basedOn w:val="CommentTextChar"/>
    <w:link w:val="CommentSubject"/>
    <w:uiPriority w:val="99"/>
    <w:semiHidden/>
    <w:rsid w:val="008C11A6"/>
    <w:rPr>
      <w:rFonts w:eastAsiaTheme="minorEastAsia"/>
      <w:b/>
      <w:bCs/>
      <w:sz w:val="20"/>
      <w:szCs w:val="20"/>
      <w:lang w:eastAsia="en-GB"/>
    </w:rPr>
  </w:style>
  <w:style w:type="paragraph" w:styleId="BalloonText">
    <w:name w:val="Balloon Text"/>
    <w:basedOn w:val="Normal"/>
    <w:link w:val="BalloonTextChar"/>
    <w:uiPriority w:val="99"/>
    <w:semiHidden/>
    <w:unhideWhenUsed/>
    <w:rsid w:val="008C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A6"/>
    <w:rPr>
      <w:rFonts w:ascii="Tahoma" w:eastAsiaTheme="minorEastAsia" w:hAnsi="Tahoma" w:cs="Tahoma"/>
      <w:sz w:val="16"/>
      <w:szCs w:val="16"/>
      <w:lang w:eastAsia="en-GB"/>
    </w:rPr>
  </w:style>
  <w:style w:type="character" w:styleId="Hyperlink">
    <w:name w:val="Hyperlink"/>
    <w:basedOn w:val="DefaultParagraphFont"/>
    <w:uiPriority w:val="99"/>
    <w:unhideWhenUsed/>
    <w:rsid w:val="00912CB7"/>
    <w:rPr>
      <w:color w:val="0000FF" w:themeColor="hyperlink"/>
      <w:u w:val="single"/>
    </w:rPr>
  </w:style>
  <w:style w:type="table" w:styleId="TableGrid">
    <w:name w:val="Table Grid"/>
    <w:basedOn w:val="TableNormal"/>
    <w:uiPriority w:val="59"/>
    <w:rsid w:val="00BF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250C"/>
    <w:rPr>
      <w:color w:val="808080"/>
    </w:rPr>
  </w:style>
</w:styles>
</file>

<file path=word/webSettings.xml><?xml version="1.0" encoding="utf-8"?>
<w:webSettings xmlns:r="http://schemas.openxmlformats.org/officeDocument/2006/relationships" xmlns:w="http://schemas.openxmlformats.org/wordprocessingml/2006/main">
  <w:divs>
    <w:div w:id="20782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dhsspsni.gov.uk/inequalities-health-socialc.pdf" TargetMode="External"/><Relationship Id="rId1" Type="http://schemas.openxmlformats.org/officeDocument/2006/relationships/hyperlink" Target="http://www.tagra.scot.nhs.uk/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D807-CBEC-40E7-934B-8D712342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Kindalova</dc:creator>
  <cp:lastModifiedBy>Sarah Touati</cp:lastModifiedBy>
  <cp:revision>4</cp:revision>
  <dcterms:created xsi:type="dcterms:W3CDTF">2015-08-07T13:00:00Z</dcterms:created>
  <dcterms:modified xsi:type="dcterms:W3CDTF">2015-08-18T13:25:00Z</dcterms:modified>
</cp:coreProperties>
</file>