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15" w:rsidRDefault="00542015" w:rsidP="00AA6A5B">
      <w:pPr>
        <w:spacing w:after="240"/>
        <w:rPr>
          <w:rFonts w:ascii="Arial" w:hAnsi="Arial" w:cs="Arial"/>
          <w:b/>
        </w:rPr>
      </w:pPr>
      <w:r>
        <w:rPr>
          <w:rFonts w:ascii="Arial" w:hAnsi="Arial" w:cs="Arial"/>
          <w:b/>
        </w:rPr>
        <w:t>TAGRA ACUTE MLC SUBGROUP</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Tuesday 18</w:t>
      </w:r>
      <w:r>
        <w:rPr>
          <w:rFonts w:ascii="Arial" w:hAnsi="Arial" w:cs="Arial"/>
          <w:b/>
          <w:vertAlign w:val="superscript"/>
        </w:rPr>
        <w:t>th</w:t>
      </w:r>
      <w:r>
        <w:rPr>
          <w:rFonts w:ascii="Arial" w:hAnsi="Arial" w:cs="Arial"/>
          <w:b/>
        </w:rPr>
        <w:t xml:space="preserve"> August 2015</w:t>
      </w:r>
    </w:p>
    <w:p w:rsidR="00542015" w:rsidRDefault="00AF6BB3" w:rsidP="00AA6A5B">
      <w:pPr>
        <w:spacing w:after="240"/>
        <w:rPr>
          <w:rFonts w:ascii="Arial" w:hAnsi="Arial" w:cs="Arial"/>
          <w:b/>
        </w:rPr>
      </w:pPr>
      <w:r>
        <w:rPr>
          <w:rFonts w:ascii="Arial" w:hAnsi="Arial" w:cs="Arial"/>
          <w:b/>
        </w:rPr>
        <w:t>Revised Potential Candidate Variables Table</w:t>
      </w:r>
    </w:p>
    <w:p w:rsidR="007F12B9" w:rsidRDefault="007F12B9" w:rsidP="00AA6A5B">
      <w:pPr>
        <w:spacing w:after="240"/>
        <w:rPr>
          <w:rFonts w:ascii="Arial" w:hAnsi="Arial" w:cs="Arial"/>
          <w:b/>
        </w:rPr>
      </w:pPr>
    </w:p>
    <w:p w:rsidR="0011561D" w:rsidRDefault="0011561D" w:rsidP="00AA6A5B">
      <w:pPr>
        <w:spacing w:after="240"/>
        <w:rPr>
          <w:rFonts w:ascii="Arial" w:hAnsi="Arial" w:cs="Arial"/>
          <w:b/>
        </w:rPr>
      </w:pPr>
      <w:r>
        <w:rPr>
          <w:rFonts w:ascii="Arial" w:hAnsi="Arial" w:cs="Arial"/>
          <w:b/>
        </w:rPr>
        <w:t>Background</w:t>
      </w:r>
    </w:p>
    <w:p w:rsidR="0011561D" w:rsidRPr="0011561D" w:rsidRDefault="0011561D" w:rsidP="00AA6A5B">
      <w:pPr>
        <w:spacing w:after="240"/>
        <w:jc w:val="both"/>
        <w:rPr>
          <w:rFonts w:ascii="Arial" w:hAnsi="Arial" w:cs="Arial"/>
        </w:rPr>
      </w:pPr>
      <w:r>
        <w:rPr>
          <w:rFonts w:ascii="Arial" w:hAnsi="Arial" w:cs="Arial"/>
        </w:rPr>
        <w:t xml:space="preserve">At the previous Acute MLC meeting in June 2015, there was </w:t>
      </w:r>
      <w:r w:rsidR="007F12B9">
        <w:rPr>
          <w:rFonts w:ascii="Arial" w:hAnsi="Arial" w:cs="Arial"/>
        </w:rPr>
        <w:t xml:space="preserve">some </w:t>
      </w:r>
      <w:r>
        <w:rPr>
          <w:rFonts w:ascii="Arial" w:hAnsi="Arial" w:cs="Arial"/>
        </w:rPr>
        <w:t xml:space="preserve">discussion around </w:t>
      </w:r>
      <w:r w:rsidR="007F12B9">
        <w:rPr>
          <w:rFonts w:ascii="Arial" w:hAnsi="Arial" w:cs="Arial"/>
        </w:rPr>
        <w:t xml:space="preserve">the </w:t>
      </w:r>
      <w:r>
        <w:rPr>
          <w:rFonts w:ascii="Arial" w:hAnsi="Arial" w:cs="Arial"/>
        </w:rPr>
        <w:t xml:space="preserve">potential candidate variables. </w:t>
      </w:r>
      <w:r w:rsidR="007F12B9">
        <w:rPr>
          <w:rFonts w:ascii="Arial" w:hAnsi="Arial" w:cs="Arial"/>
        </w:rPr>
        <w:t xml:space="preserve">It was agreed that variables with particular relevance to the elderly population should be sought and added to the list, since the age split analysis had shown the current </w:t>
      </w:r>
      <w:r w:rsidR="007B7EE1">
        <w:rPr>
          <w:rFonts w:ascii="Arial" w:hAnsi="Arial" w:cs="Arial"/>
        </w:rPr>
        <w:t xml:space="preserve">Acute </w:t>
      </w:r>
      <w:r w:rsidR="007F12B9">
        <w:rPr>
          <w:rFonts w:ascii="Arial" w:hAnsi="Arial" w:cs="Arial"/>
        </w:rPr>
        <w:t>needs index to be a poorer predictor of additional need for the elderly population.</w:t>
      </w:r>
      <w:r w:rsidR="007B7EE1">
        <w:rPr>
          <w:rFonts w:ascii="Arial" w:hAnsi="Arial" w:cs="Arial"/>
        </w:rPr>
        <w:t xml:space="preserve"> </w:t>
      </w:r>
      <w:r w:rsidR="007F12B9">
        <w:rPr>
          <w:rFonts w:ascii="Arial" w:hAnsi="Arial" w:cs="Arial"/>
        </w:rPr>
        <w:t xml:space="preserve">Bruce Guthrie’s work had shown a link between mental health conditions and need for Acute services, so it was felt that some indicators of mental ill health prevalence should </w:t>
      </w:r>
      <w:r w:rsidR="007B7EE1">
        <w:rPr>
          <w:rFonts w:ascii="Arial" w:hAnsi="Arial" w:cs="Arial"/>
        </w:rPr>
        <w:t xml:space="preserve">also </w:t>
      </w:r>
      <w:r w:rsidR="007F12B9">
        <w:rPr>
          <w:rFonts w:ascii="Arial" w:hAnsi="Arial" w:cs="Arial"/>
        </w:rPr>
        <w:t>be included. Furthermore, advice was to be sought from an</w:t>
      </w:r>
      <w:r w:rsidR="000D124D">
        <w:rPr>
          <w:rFonts w:ascii="Arial" w:hAnsi="Arial" w:cs="Arial"/>
        </w:rPr>
        <w:t xml:space="preserve"> ISD pharmacy advisor</w:t>
      </w:r>
      <w:r>
        <w:rPr>
          <w:rFonts w:ascii="Arial" w:hAnsi="Arial" w:cs="Arial"/>
        </w:rPr>
        <w:t xml:space="preserve"> </w:t>
      </w:r>
      <w:r w:rsidR="007F12B9">
        <w:rPr>
          <w:rFonts w:ascii="Arial" w:hAnsi="Arial" w:cs="Arial"/>
        </w:rPr>
        <w:t xml:space="preserve">on using counts of specific </w:t>
      </w:r>
      <w:r>
        <w:rPr>
          <w:rFonts w:ascii="Arial" w:hAnsi="Arial" w:cs="Arial"/>
        </w:rPr>
        <w:t>drug types</w:t>
      </w:r>
      <w:r w:rsidR="007F12B9">
        <w:rPr>
          <w:rFonts w:ascii="Arial" w:hAnsi="Arial" w:cs="Arial"/>
        </w:rPr>
        <w:t>,</w:t>
      </w:r>
      <w:r>
        <w:rPr>
          <w:rFonts w:ascii="Arial" w:hAnsi="Arial" w:cs="Arial"/>
        </w:rPr>
        <w:t xml:space="preserve"> </w:t>
      </w:r>
      <w:r w:rsidR="007F12B9">
        <w:rPr>
          <w:rFonts w:ascii="Arial" w:hAnsi="Arial" w:cs="Arial"/>
        </w:rPr>
        <w:t>rather than a total number of types, with a view to better capturing additional need and</w:t>
      </w:r>
      <w:r>
        <w:rPr>
          <w:rFonts w:ascii="Arial" w:hAnsi="Arial" w:cs="Arial"/>
        </w:rPr>
        <w:t xml:space="preserve"> avoid</w:t>
      </w:r>
      <w:r w:rsidR="007F12B9">
        <w:rPr>
          <w:rFonts w:ascii="Arial" w:hAnsi="Arial" w:cs="Arial"/>
        </w:rPr>
        <w:t>ing</w:t>
      </w:r>
      <w:r>
        <w:rPr>
          <w:rFonts w:ascii="Arial" w:hAnsi="Arial" w:cs="Arial"/>
        </w:rPr>
        <w:t xml:space="preserve"> rew</w:t>
      </w:r>
      <w:r w:rsidR="007F12B9">
        <w:rPr>
          <w:rFonts w:ascii="Arial" w:hAnsi="Arial" w:cs="Arial"/>
        </w:rPr>
        <w:t>arding inefficient prescribing.</w:t>
      </w:r>
    </w:p>
    <w:p w:rsidR="00086066" w:rsidRDefault="00CC35CF" w:rsidP="00AA6A5B">
      <w:pPr>
        <w:spacing w:after="240"/>
        <w:rPr>
          <w:rFonts w:ascii="Arial" w:hAnsi="Arial" w:cs="Arial"/>
          <w:b/>
        </w:rPr>
      </w:pPr>
      <w:r>
        <w:rPr>
          <w:rFonts w:ascii="Arial" w:hAnsi="Arial" w:cs="Arial"/>
          <w:b/>
        </w:rPr>
        <w:t>1</w:t>
      </w:r>
      <w:r w:rsidR="006D7AFF">
        <w:rPr>
          <w:rFonts w:ascii="Arial" w:hAnsi="Arial" w:cs="Arial"/>
          <w:b/>
        </w:rPr>
        <w:t xml:space="preserve">. </w:t>
      </w:r>
      <w:r w:rsidR="00BE21DA">
        <w:rPr>
          <w:rFonts w:ascii="Arial" w:hAnsi="Arial" w:cs="Arial"/>
          <w:b/>
        </w:rPr>
        <w:t xml:space="preserve">Morbidity </w:t>
      </w:r>
    </w:p>
    <w:p w:rsidR="00BE21DA" w:rsidRDefault="00CC35CF" w:rsidP="007543FE">
      <w:pPr>
        <w:spacing w:after="240"/>
        <w:jc w:val="both"/>
        <w:rPr>
          <w:rFonts w:ascii="Arial" w:hAnsi="Arial" w:cs="Arial"/>
          <w:b/>
        </w:rPr>
      </w:pPr>
      <w:r>
        <w:rPr>
          <w:rFonts w:ascii="Arial" w:hAnsi="Arial" w:cs="Arial"/>
          <w:b/>
        </w:rPr>
        <w:t>1</w:t>
      </w:r>
      <w:r w:rsidR="00BE21DA">
        <w:rPr>
          <w:rFonts w:ascii="Arial" w:hAnsi="Arial" w:cs="Arial"/>
          <w:b/>
        </w:rPr>
        <w:t>.1 Prescribing data</w:t>
      </w:r>
    </w:p>
    <w:p w:rsidR="009A1758" w:rsidRDefault="005119FF" w:rsidP="00040FD3">
      <w:pPr>
        <w:spacing w:after="240"/>
        <w:jc w:val="both"/>
        <w:rPr>
          <w:rFonts w:ascii="Arial" w:hAnsi="Arial" w:cs="Arial"/>
        </w:rPr>
      </w:pPr>
      <w:r w:rsidRPr="00280225">
        <w:rPr>
          <w:rFonts w:ascii="Arial" w:hAnsi="Arial" w:cs="Arial"/>
        </w:rPr>
        <w:t xml:space="preserve">ISD pharmacy advisor </w:t>
      </w:r>
      <w:r w:rsidR="009A1758" w:rsidRPr="00280225">
        <w:rPr>
          <w:rFonts w:ascii="Arial" w:hAnsi="Arial" w:cs="Arial"/>
        </w:rPr>
        <w:t xml:space="preserve">Barry </w:t>
      </w:r>
      <w:proofErr w:type="spellStart"/>
      <w:r w:rsidR="009A1758" w:rsidRPr="00280225">
        <w:rPr>
          <w:rFonts w:ascii="Arial" w:hAnsi="Arial" w:cs="Arial"/>
        </w:rPr>
        <w:t>Melia</w:t>
      </w:r>
      <w:proofErr w:type="spellEnd"/>
      <w:r w:rsidR="00257AC2">
        <w:rPr>
          <w:rFonts w:ascii="Arial" w:hAnsi="Arial" w:cs="Arial"/>
        </w:rPr>
        <w:t xml:space="preserve"> provided</w:t>
      </w:r>
      <w:r w:rsidR="005F6499">
        <w:rPr>
          <w:rFonts w:ascii="Arial" w:hAnsi="Arial" w:cs="Arial"/>
        </w:rPr>
        <w:t xml:space="preserve"> advice on the questions posed by the Subgroup. In terms of using more specific medications or conditions,</w:t>
      </w:r>
      <w:r w:rsidR="00257AC2">
        <w:rPr>
          <w:rFonts w:ascii="Arial" w:hAnsi="Arial" w:cs="Arial"/>
        </w:rPr>
        <w:t xml:space="preserve"> he suggested that</w:t>
      </w:r>
      <w:r>
        <w:rPr>
          <w:rFonts w:ascii="Arial" w:hAnsi="Arial" w:cs="Arial"/>
        </w:rPr>
        <w:t xml:space="preserve"> diabetes medication might be a good indicator, because </w:t>
      </w:r>
      <w:r w:rsidR="007B7EE1">
        <w:rPr>
          <w:rFonts w:ascii="Arial" w:hAnsi="Arial" w:cs="Arial"/>
        </w:rPr>
        <w:t xml:space="preserve">there would be an increased likelihood of needing </w:t>
      </w:r>
      <w:proofErr w:type="gramStart"/>
      <w:r w:rsidR="007B7EE1">
        <w:rPr>
          <w:rFonts w:ascii="Arial" w:hAnsi="Arial" w:cs="Arial"/>
        </w:rPr>
        <w:t>Acute</w:t>
      </w:r>
      <w:proofErr w:type="gramEnd"/>
      <w:r w:rsidR="007B7EE1">
        <w:rPr>
          <w:rFonts w:ascii="Arial" w:hAnsi="Arial" w:cs="Arial"/>
        </w:rPr>
        <w:t xml:space="preserve"> services in patients for whom</w:t>
      </w:r>
      <w:r>
        <w:rPr>
          <w:rFonts w:ascii="Arial" w:hAnsi="Arial" w:cs="Arial"/>
        </w:rPr>
        <w:t xml:space="preserve"> diabetes is medicated. </w:t>
      </w:r>
      <w:r w:rsidR="007B7EE1">
        <w:rPr>
          <w:rFonts w:ascii="Arial" w:hAnsi="Arial" w:cs="Arial"/>
        </w:rPr>
        <w:t>He also suggested using prescriptions for respiratory diseases</w:t>
      </w:r>
      <w:r w:rsidR="00257AC2">
        <w:rPr>
          <w:rFonts w:ascii="Arial" w:hAnsi="Arial" w:cs="Arial"/>
        </w:rPr>
        <w:t>; a</w:t>
      </w:r>
      <w:r>
        <w:rPr>
          <w:rFonts w:ascii="Arial" w:hAnsi="Arial" w:cs="Arial"/>
        </w:rPr>
        <w:t xml:space="preserve"> variety of drugs are prescribed for d</w:t>
      </w:r>
      <w:r w:rsidR="00257AC2">
        <w:rPr>
          <w:rFonts w:ascii="Arial" w:hAnsi="Arial" w:cs="Arial"/>
        </w:rPr>
        <w:t>ifferent respiratory conditions, so</w:t>
      </w:r>
      <w:r>
        <w:rPr>
          <w:rFonts w:ascii="Arial" w:hAnsi="Arial" w:cs="Arial"/>
        </w:rPr>
        <w:t xml:space="preserve"> it would be difficult to isolate particular conditions</w:t>
      </w:r>
      <w:r w:rsidR="00257AC2">
        <w:rPr>
          <w:rFonts w:ascii="Arial" w:hAnsi="Arial" w:cs="Arial"/>
        </w:rPr>
        <w:t xml:space="preserve"> (e.g. asthma, COPD)</w:t>
      </w:r>
      <w:r>
        <w:rPr>
          <w:rFonts w:ascii="Arial" w:hAnsi="Arial" w:cs="Arial"/>
        </w:rPr>
        <w:t xml:space="preserve"> through ph</w:t>
      </w:r>
      <w:r w:rsidR="00257AC2">
        <w:rPr>
          <w:rFonts w:ascii="Arial" w:hAnsi="Arial" w:cs="Arial"/>
        </w:rPr>
        <w:t>armacy data</w:t>
      </w:r>
      <w:r w:rsidR="007B7EE1">
        <w:rPr>
          <w:rFonts w:ascii="Arial" w:hAnsi="Arial" w:cs="Arial"/>
        </w:rPr>
        <w:t>, but a general ‘respiratory’ category could be useful</w:t>
      </w:r>
      <w:r w:rsidR="00257AC2">
        <w:rPr>
          <w:rFonts w:ascii="Arial" w:hAnsi="Arial" w:cs="Arial"/>
        </w:rPr>
        <w:t>.</w:t>
      </w:r>
    </w:p>
    <w:p w:rsidR="005F6499" w:rsidRDefault="005F6499" w:rsidP="007543FE">
      <w:pPr>
        <w:spacing w:after="240"/>
        <w:jc w:val="both"/>
        <w:rPr>
          <w:rFonts w:ascii="Arial" w:hAnsi="Arial" w:cs="Arial"/>
        </w:rPr>
      </w:pPr>
      <w:r>
        <w:rPr>
          <w:rFonts w:ascii="Arial" w:hAnsi="Arial" w:cs="Arial"/>
        </w:rPr>
        <w:t>In terms of capturing the needs of the elderly population, dementia drugs were suggested</w:t>
      </w:r>
      <w:r w:rsidR="00257AC2">
        <w:rPr>
          <w:rFonts w:ascii="Arial" w:hAnsi="Arial" w:cs="Arial"/>
        </w:rPr>
        <w:t xml:space="preserve"> as </w:t>
      </w:r>
      <w:proofErr w:type="gramStart"/>
      <w:r w:rsidR="00257AC2">
        <w:rPr>
          <w:rFonts w:ascii="Arial" w:hAnsi="Arial" w:cs="Arial"/>
        </w:rPr>
        <w:t>one</w:t>
      </w:r>
      <w:proofErr w:type="gramEnd"/>
      <w:r w:rsidR="00257AC2">
        <w:rPr>
          <w:rFonts w:ascii="Arial" w:hAnsi="Arial" w:cs="Arial"/>
        </w:rPr>
        <w:t xml:space="preserve"> possibility</w:t>
      </w:r>
      <w:r>
        <w:rPr>
          <w:rFonts w:ascii="Arial" w:hAnsi="Arial" w:cs="Arial"/>
        </w:rPr>
        <w:t xml:space="preserve">. Medication for dementia is prescribed near the end of the dementia cycle, when the patient would typically be living in a nursing home. It could be anticipated that the need for </w:t>
      </w:r>
      <w:proofErr w:type="gramStart"/>
      <w:r>
        <w:rPr>
          <w:rFonts w:ascii="Arial" w:hAnsi="Arial" w:cs="Arial"/>
        </w:rPr>
        <w:t>Acute</w:t>
      </w:r>
      <w:proofErr w:type="gramEnd"/>
      <w:r>
        <w:rPr>
          <w:rFonts w:ascii="Arial" w:hAnsi="Arial" w:cs="Arial"/>
        </w:rPr>
        <w:t xml:space="preserve"> services might be greater at that time.</w:t>
      </w:r>
    </w:p>
    <w:p w:rsidR="00C138B0" w:rsidRDefault="00257AC2" w:rsidP="007543FE">
      <w:pPr>
        <w:spacing w:after="240"/>
        <w:jc w:val="both"/>
        <w:rPr>
          <w:rFonts w:ascii="Arial" w:hAnsi="Arial" w:cs="Arial"/>
        </w:rPr>
      </w:pPr>
      <w:r>
        <w:rPr>
          <w:rFonts w:ascii="Arial" w:hAnsi="Arial" w:cs="Arial"/>
        </w:rPr>
        <w:t>Finally, i</w:t>
      </w:r>
      <w:r w:rsidR="00880877">
        <w:rPr>
          <w:rFonts w:ascii="Arial" w:hAnsi="Arial" w:cs="Arial"/>
        </w:rPr>
        <w:t xml:space="preserve">n terms of using drug counts as a proxy for mental health conditions, this was more difficult as drugs </w:t>
      </w:r>
      <w:r w:rsidR="00280225">
        <w:rPr>
          <w:rFonts w:ascii="Arial" w:hAnsi="Arial" w:cs="Arial"/>
        </w:rPr>
        <w:t>such as antidepressants can be routinely prescribed for other conditions besides mental health. Methadone was raised as a possibility, but it turns out to have a low CHI capture rate and therefore cannot be adequately mapped to data zone geography.</w:t>
      </w:r>
    </w:p>
    <w:p w:rsidR="007543FE" w:rsidRDefault="007543FE" w:rsidP="007543FE">
      <w:pPr>
        <w:spacing w:after="240"/>
        <w:jc w:val="both"/>
        <w:rPr>
          <w:rFonts w:ascii="Arial" w:hAnsi="Arial" w:cs="Arial"/>
        </w:rPr>
      </w:pPr>
      <w:r>
        <w:rPr>
          <w:rFonts w:ascii="Arial" w:hAnsi="Arial" w:cs="Arial"/>
        </w:rPr>
        <w:t xml:space="preserve">The </w:t>
      </w:r>
      <w:r w:rsidR="00257AC2">
        <w:rPr>
          <w:rFonts w:ascii="Arial" w:hAnsi="Arial" w:cs="Arial"/>
        </w:rPr>
        <w:t xml:space="preserve">following </w:t>
      </w:r>
      <w:r>
        <w:rPr>
          <w:rFonts w:ascii="Arial" w:hAnsi="Arial" w:cs="Arial"/>
        </w:rPr>
        <w:t xml:space="preserve">data </w:t>
      </w:r>
      <w:r w:rsidR="00257AC2">
        <w:rPr>
          <w:rFonts w:ascii="Arial" w:hAnsi="Arial" w:cs="Arial"/>
        </w:rPr>
        <w:t xml:space="preserve">has been </w:t>
      </w:r>
      <w:r>
        <w:rPr>
          <w:rFonts w:ascii="Arial" w:hAnsi="Arial" w:cs="Arial"/>
        </w:rPr>
        <w:t>obtained a</w:t>
      </w:r>
      <w:r w:rsidR="00257AC2">
        <w:rPr>
          <w:rFonts w:ascii="Arial" w:hAnsi="Arial" w:cs="Arial"/>
        </w:rPr>
        <w:t>s a result of the discussion:</w:t>
      </w:r>
    </w:p>
    <w:p w:rsidR="007543FE" w:rsidRDefault="007543FE" w:rsidP="007543FE">
      <w:pPr>
        <w:pStyle w:val="ListParagraph"/>
        <w:numPr>
          <w:ilvl w:val="0"/>
          <w:numId w:val="4"/>
        </w:numPr>
        <w:spacing w:after="240"/>
        <w:jc w:val="both"/>
        <w:rPr>
          <w:rFonts w:ascii="Arial" w:hAnsi="Arial" w:cs="Arial"/>
        </w:rPr>
      </w:pPr>
      <w:r>
        <w:rPr>
          <w:rFonts w:ascii="Arial" w:hAnsi="Arial" w:cs="Arial"/>
        </w:rPr>
        <w:t xml:space="preserve">Number of </w:t>
      </w:r>
      <w:r w:rsidR="00280225">
        <w:rPr>
          <w:rFonts w:ascii="Arial" w:hAnsi="Arial" w:cs="Arial"/>
        </w:rPr>
        <w:t xml:space="preserve">patients receiving </w:t>
      </w:r>
      <w:r>
        <w:rPr>
          <w:rFonts w:ascii="Arial" w:hAnsi="Arial" w:cs="Arial"/>
        </w:rPr>
        <w:t>dementia</w:t>
      </w:r>
      <w:r>
        <w:rPr>
          <w:rStyle w:val="FootnoteReference"/>
          <w:rFonts w:ascii="Arial" w:hAnsi="Arial" w:cs="Arial"/>
        </w:rPr>
        <w:footnoteReference w:id="1"/>
      </w:r>
      <w:r>
        <w:rPr>
          <w:rFonts w:ascii="Arial" w:hAnsi="Arial" w:cs="Arial"/>
        </w:rPr>
        <w:t xml:space="preserve"> </w:t>
      </w:r>
      <w:r w:rsidR="00280225">
        <w:rPr>
          <w:rFonts w:ascii="Arial" w:hAnsi="Arial" w:cs="Arial"/>
        </w:rPr>
        <w:t>prescriptions</w:t>
      </w:r>
    </w:p>
    <w:p w:rsidR="007543FE" w:rsidRDefault="007543FE" w:rsidP="007543FE">
      <w:pPr>
        <w:pStyle w:val="ListParagraph"/>
        <w:numPr>
          <w:ilvl w:val="0"/>
          <w:numId w:val="4"/>
        </w:numPr>
        <w:spacing w:after="240"/>
        <w:jc w:val="both"/>
        <w:rPr>
          <w:rFonts w:ascii="Arial" w:hAnsi="Arial" w:cs="Arial"/>
        </w:rPr>
      </w:pPr>
      <w:r>
        <w:rPr>
          <w:rFonts w:ascii="Arial" w:hAnsi="Arial" w:cs="Arial"/>
        </w:rPr>
        <w:t xml:space="preserve">Number of </w:t>
      </w:r>
      <w:r w:rsidR="00280225">
        <w:rPr>
          <w:rFonts w:ascii="Arial" w:hAnsi="Arial" w:cs="Arial"/>
        </w:rPr>
        <w:t xml:space="preserve">patients receiving </w:t>
      </w:r>
      <w:r>
        <w:rPr>
          <w:rFonts w:ascii="Arial" w:hAnsi="Arial" w:cs="Arial"/>
        </w:rPr>
        <w:t>diabetes</w:t>
      </w:r>
      <w:r>
        <w:rPr>
          <w:rStyle w:val="FootnoteReference"/>
          <w:rFonts w:ascii="Arial" w:hAnsi="Arial" w:cs="Arial"/>
        </w:rPr>
        <w:footnoteReference w:id="2"/>
      </w:r>
      <w:r>
        <w:rPr>
          <w:rFonts w:ascii="Arial" w:hAnsi="Arial" w:cs="Arial"/>
        </w:rPr>
        <w:t xml:space="preserve"> </w:t>
      </w:r>
      <w:r w:rsidR="00280225">
        <w:rPr>
          <w:rFonts w:ascii="Arial" w:hAnsi="Arial" w:cs="Arial"/>
        </w:rPr>
        <w:t>prescriptions</w:t>
      </w:r>
    </w:p>
    <w:p w:rsidR="007543FE" w:rsidRDefault="007543FE" w:rsidP="007543FE">
      <w:pPr>
        <w:pStyle w:val="ListParagraph"/>
        <w:numPr>
          <w:ilvl w:val="0"/>
          <w:numId w:val="4"/>
        </w:numPr>
        <w:spacing w:after="240"/>
        <w:jc w:val="both"/>
        <w:rPr>
          <w:rFonts w:ascii="Arial" w:hAnsi="Arial" w:cs="Arial"/>
        </w:rPr>
      </w:pPr>
      <w:r>
        <w:rPr>
          <w:rFonts w:ascii="Arial" w:hAnsi="Arial" w:cs="Arial"/>
        </w:rPr>
        <w:t xml:space="preserve">Number of </w:t>
      </w:r>
      <w:r w:rsidR="00280225">
        <w:rPr>
          <w:rFonts w:ascii="Arial" w:hAnsi="Arial" w:cs="Arial"/>
        </w:rPr>
        <w:t xml:space="preserve">patients receiving prescriptions for </w:t>
      </w:r>
      <w:r>
        <w:rPr>
          <w:rFonts w:ascii="Arial" w:hAnsi="Arial" w:cs="Arial"/>
        </w:rPr>
        <w:t>respiratory</w:t>
      </w:r>
      <w:r>
        <w:rPr>
          <w:rStyle w:val="FootnoteReference"/>
          <w:rFonts w:ascii="Arial" w:hAnsi="Arial" w:cs="Arial"/>
        </w:rPr>
        <w:footnoteReference w:id="3"/>
      </w:r>
      <w:r>
        <w:rPr>
          <w:rFonts w:ascii="Arial" w:hAnsi="Arial" w:cs="Arial"/>
        </w:rPr>
        <w:t xml:space="preserve"> </w:t>
      </w:r>
      <w:r w:rsidR="00280225">
        <w:rPr>
          <w:rFonts w:ascii="Arial" w:hAnsi="Arial" w:cs="Arial"/>
        </w:rPr>
        <w:t>conditions</w:t>
      </w:r>
    </w:p>
    <w:p w:rsidR="007543FE" w:rsidRDefault="007543FE" w:rsidP="007543FE">
      <w:pPr>
        <w:spacing w:after="240"/>
        <w:jc w:val="both"/>
        <w:rPr>
          <w:rFonts w:ascii="Arial" w:hAnsi="Arial" w:cs="Arial"/>
        </w:rPr>
      </w:pPr>
      <w:r>
        <w:rPr>
          <w:rFonts w:ascii="Arial" w:hAnsi="Arial" w:cs="Arial"/>
        </w:rPr>
        <w:lastRenderedPageBreak/>
        <w:t xml:space="preserve">All data are available </w:t>
      </w:r>
      <w:r w:rsidRPr="007543FE">
        <w:rPr>
          <w:rFonts w:ascii="Arial" w:hAnsi="Arial" w:cs="Arial"/>
        </w:rPr>
        <w:t xml:space="preserve">by postcode for </w:t>
      </w:r>
      <w:r w:rsidR="00257AC2">
        <w:rPr>
          <w:rFonts w:ascii="Arial" w:hAnsi="Arial" w:cs="Arial"/>
        </w:rPr>
        <w:t xml:space="preserve">the </w:t>
      </w:r>
      <w:r w:rsidRPr="007543FE">
        <w:rPr>
          <w:rFonts w:ascii="Arial" w:hAnsi="Arial" w:cs="Arial"/>
        </w:rPr>
        <w:t>2011/12, 2012/13 and 2013/14</w:t>
      </w:r>
      <w:r>
        <w:rPr>
          <w:rFonts w:ascii="Arial" w:hAnsi="Arial" w:cs="Arial"/>
        </w:rPr>
        <w:t xml:space="preserve"> financial years.</w:t>
      </w:r>
    </w:p>
    <w:p w:rsidR="00CF409A" w:rsidRPr="007543FE" w:rsidRDefault="00257AC2" w:rsidP="007543FE">
      <w:pPr>
        <w:spacing w:after="240"/>
        <w:jc w:val="both"/>
        <w:rPr>
          <w:rFonts w:ascii="Arial" w:hAnsi="Arial" w:cs="Arial"/>
        </w:rPr>
      </w:pPr>
      <w:r>
        <w:rPr>
          <w:rFonts w:ascii="Arial" w:hAnsi="Arial" w:cs="Arial"/>
        </w:rPr>
        <w:t>A potential indicator of need can be constructed by expressing t</w:t>
      </w:r>
      <w:r w:rsidR="00CF409A">
        <w:rPr>
          <w:rFonts w:ascii="Arial" w:hAnsi="Arial" w:cs="Arial"/>
        </w:rPr>
        <w:t xml:space="preserve">he number of patients as a percentage of the population. The CHI capture rates are higher for </w:t>
      </w:r>
      <w:r>
        <w:rPr>
          <w:rFonts w:ascii="Arial" w:hAnsi="Arial" w:cs="Arial"/>
        </w:rPr>
        <w:t xml:space="preserve">the </w:t>
      </w:r>
      <w:r w:rsidR="00CF409A">
        <w:rPr>
          <w:rFonts w:ascii="Arial" w:hAnsi="Arial" w:cs="Arial"/>
        </w:rPr>
        <w:t xml:space="preserve">2013/14 financial year with an increasing trend in the last three years. </w:t>
      </w:r>
      <w:r>
        <w:rPr>
          <w:rFonts w:ascii="Arial" w:hAnsi="Arial" w:cs="Arial"/>
        </w:rPr>
        <w:t>For this reason it might be worth considering the use of</w:t>
      </w:r>
      <w:r w:rsidR="00CF409A">
        <w:rPr>
          <w:rFonts w:ascii="Arial" w:hAnsi="Arial" w:cs="Arial"/>
        </w:rPr>
        <w:t xml:space="preserve"> 2013/14 data only</w:t>
      </w:r>
      <w:r>
        <w:rPr>
          <w:rFonts w:ascii="Arial" w:hAnsi="Arial" w:cs="Arial"/>
        </w:rPr>
        <w:t>. (While a time span of 3 years has been decided upon for the cost ratios, the time span for the needs index will depend upon which variables are chosen.)</w:t>
      </w:r>
    </w:p>
    <w:p w:rsidR="00086066" w:rsidRDefault="00CC35CF" w:rsidP="00AA6A5B">
      <w:pPr>
        <w:spacing w:after="240"/>
        <w:rPr>
          <w:rFonts w:ascii="Arial" w:hAnsi="Arial" w:cs="Arial"/>
          <w:b/>
        </w:rPr>
      </w:pPr>
      <w:r>
        <w:rPr>
          <w:rFonts w:ascii="Arial" w:hAnsi="Arial" w:cs="Arial"/>
          <w:b/>
        </w:rPr>
        <w:t>1</w:t>
      </w:r>
      <w:r w:rsidR="00BE21DA">
        <w:rPr>
          <w:rFonts w:ascii="Arial" w:hAnsi="Arial" w:cs="Arial"/>
          <w:b/>
        </w:rPr>
        <w:t>.2 High Resource Individuals</w:t>
      </w:r>
      <w:r w:rsidR="00086066">
        <w:rPr>
          <w:rFonts w:ascii="Arial" w:hAnsi="Arial" w:cs="Arial"/>
          <w:b/>
        </w:rPr>
        <w:t xml:space="preserve"> (HRI</w:t>
      </w:r>
      <w:r w:rsidR="00257AC2">
        <w:rPr>
          <w:rFonts w:ascii="Arial" w:hAnsi="Arial" w:cs="Arial"/>
          <w:b/>
        </w:rPr>
        <w:t>s</w:t>
      </w:r>
      <w:r w:rsidR="00086066">
        <w:rPr>
          <w:rFonts w:ascii="Arial" w:hAnsi="Arial" w:cs="Arial"/>
          <w:b/>
        </w:rPr>
        <w:t>)</w:t>
      </w:r>
    </w:p>
    <w:p w:rsidR="00086066" w:rsidRDefault="007B7EE1" w:rsidP="00AA6A5B">
      <w:pPr>
        <w:spacing w:after="240"/>
        <w:jc w:val="both"/>
        <w:rPr>
          <w:rFonts w:ascii="Arial" w:hAnsi="Arial" w:cs="Arial"/>
        </w:rPr>
      </w:pPr>
      <w:r>
        <w:rPr>
          <w:rFonts w:ascii="Arial" w:hAnsi="Arial" w:cs="Arial"/>
        </w:rPr>
        <w:t>High resource individuals are identified in ISD as follows</w:t>
      </w:r>
      <w:r w:rsidR="00086066">
        <w:rPr>
          <w:rFonts w:ascii="Arial" w:hAnsi="Arial" w:cs="Arial"/>
        </w:rPr>
        <w:t>:</w:t>
      </w:r>
    </w:p>
    <w:p w:rsidR="00086066" w:rsidRPr="00086066" w:rsidRDefault="00086066" w:rsidP="00AA6A5B">
      <w:pPr>
        <w:pStyle w:val="ListParagraph"/>
        <w:numPr>
          <w:ilvl w:val="0"/>
          <w:numId w:val="2"/>
        </w:numPr>
        <w:spacing w:after="240"/>
        <w:jc w:val="both"/>
        <w:rPr>
          <w:rFonts w:ascii="Arial" w:hAnsi="Arial" w:cs="Arial"/>
        </w:rPr>
      </w:pPr>
      <w:r w:rsidRPr="00086066">
        <w:rPr>
          <w:rFonts w:ascii="Arial" w:hAnsi="Arial" w:cs="Arial"/>
        </w:rPr>
        <w:t>Calculate</w:t>
      </w:r>
      <w:r w:rsidR="00257AC2">
        <w:rPr>
          <w:rFonts w:ascii="Arial" w:hAnsi="Arial" w:cs="Arial"/>
        </w:rPr>
        <w:t xml:space="preserve"> the</w:t>
      </w:r>
      <w:r w:rsidRPr="00086066">
        <w:rPr>
          <w:rFonts w:ascii="Arial" w:hAnsi="Arial" w:cs="Arial"/>
        </w:rPr>
        <w:t xml:space="preserve"> total resource for each individual service user during a financial year.</w:t>
      </w:r>
    </w:p>
    <w:p w:rsidR="00086066" w:rsidRPr="00086066" w:rsidRDefault="00086066" w:rsidP="00AA6A5B">
      <w:pPr>
        <w:pStyle w:val="ListParagraph"/>
        <w:numPr>
          <w:ilvl w:val="0"/>
          <w:numId w:val="2"/>
        </w:numPr>
        <w:spacing w:after="240"/>
        <w:jc w:val="both"/>
        <w:rPr>
          <w:rFonts w:ascii="Arial" w:hAnsi="Arial" w:cs="Arial"/>
        </w:rPr>
      </w:pPr>
      <w:r w:rsidRPr="00086066">
        <w:rPr>
          <w:rFonts w:ascii="Arial" w:hAnsi="Arial" w:cs="Arial"/>
        </w:rPr>
        <w:t>Rank in order of total resource consumption.</w:t>
      </w:r>
    </w:p>
    <w:p w:rsidR="00086066" w:rsidRPr="00086066" w:rsidRDefault="00086066" w:rsidP="00AA6A5B">
      <w:pPr>
        <w:pStyle w:val="ListParagraph"/>
        <w:numPr>
          <w:ilvl w:val="0"/>
          <w:numId w:val="2"/>
        </w:numPr>
        <w:spacing w:after="240"/>
        <w:jc w:val="both"/>
        <w:rPr>
          <w:rFonts w:ascii="Arial" w:hAnsi="Arial" w:cs="Arial"/>
        </w:rPr>
      </w:pPr>
      <w:r w:rsidRPr="00086066">
        <w:rPr>
          <w:rFonts w:ascii="Arial" w:hAnsi="Arial" w:cs="Arial"/>
        </w:rPr>
        <w:t>Identify each of the highest resource users as an HRI until cumulative expenditure reaches 50% of total expenditure.</w:t>
      </w:r>
    </w:p>
    <w:p w:rsidR="00086066" w:rsidRDefault="00D30805" w:rsidP="00AA6A5B">
      <w:pPr>
        <w:spacing w:after="240"/>
        <w:jc w:val="both"/>
        <w:rPr>
          <w:rFonts w:ascii="Arial" w:hAnsi="Arial" w:cs="Arial"/>
        </w:rPr>
      </w:pPr>
      <w:r>
        <w:rPr>
          <w:rFonts w:ascii="Arial" w:hAnsi="Arial" w:cs="Arial"/>
        </w:rPr>
        <w:t>C</w:t>
      </w:r>
      <w:r w:rsidR="00086066">
        <w:rPr>
          <w:rFonts w:ascii="Arial" w:hAnsi="Arial" w:cs="Arial"/>
        </w:rPr>
        <w:t>ount</w:t>
      </w:r>
      <w:r>
        <w:rPr>
          <w:rFonts w:ascii="Arial" w:hAnsi="Arial" w:cs="Arial"/>
        </w:rPr>
        <w:t>s</w:t>
      </w:r>
      <w:r w:rsidR="00086066">
        <w:rPr>
          <w:rFonts w:ascii="Arial" w:hAnsi="Arial" w:cs="Arial"/>
        </w:rPr>
        <w:t xml:space="preserve"> of HRI</w:t>
      </w:r>
      <w:r w:rsidR="00257AC2">
        <w:rPr>
          <w:rFonts w:ascii="Arial" w:hAnsi="Arial" w:cs="Arial"/>
        </w:rPr>
        <w:t>s</w:t>
      </w:r>
      <w:r w:rsidR="00086066">
        <w:rPr>
          <w:rFonts w:ascii="Arial" w:hAnsi="Arial" w:cs="Arial"/>
        </w:rPr>
        <w:t xml:space="preserve"> at 2011 Data Zones </w:t>
      </w:r>
      <w:r>
        <w:rPr>
          <w:rFonts w:ascii="Arial" w:hAnsi="Arial" w:cs="Arial"/>
        </w:rPr>
        <w:t>have been</w:t>
      </w:r>
      <w:r w:rsidR="00086066">
        <w:rPr>
          <w:rFonts w:ascii="Arial" w:hAnsi="Arial" w:cs="Arial"/>
        </w:rPr>
        <w:t xml:space="preserve"> requested </w:t>
      </w:r>
      <w:r w:rsidR="007B7EE1">
        <w:rPr>
          <w:rFonts w:ascii="Arial" w:hAnsi="Arial" w:cs="Arial"/>
        </w:rPr>
        <w:t xml:space="preserve">from the relevant team </w:t>
      </w:r>
      <w:r w:rsidR="00086066">
        <w:rPr>
          <w:rFonts w:ascii="Arial" w:hAnsi="Arial" w:cs="Arial"/>
        </w:rPr>
        <w:t>for three financial years (2011/12, 2012/13 and 2013/14) in</w:t>
      </w:r>
      <w:r w:rsidR="00AA6A5B">
        <w:rPr>
          <w:rFonts w:ascii="Arial" w:hAnsi="Arial" w:cs="Arial"/>
        </w:rPr>
        <w:t xml:space="preserve"> two different age groups</w:t>
      </w:r>
      <w:r w:rsidR="00257AC2">
        <w:rPr>
          <w:rFonts w:ascii="Arial" w:hAnsi="Arial" w:cs="Arial"/>
        </w:rPr>
        <w:t>:</w:t>
      </w:r>
      <w:r w:rsidR="00AA6A5B">
        <w:rPr>
          <w:rFonts w:ascii="Arial" w:hAnsi="Arial" w:cs="Arial"/>
        </w:rPr>
        <w:t xml:space="preserve"> 18-64 and </w:t>
      </w:r>
      <w:r w:rsidR="00086066">
        <w:rPr>
          <w:rFonts w:ascii="Arial" w:hAnsi="Arial" w:cs="Arial"/>
        </w:rPr>
        <w:t xml:space="preserve">65 and over. </w:t>
      </w:r>
    </w:p>
    <w:p w:rsidR="00086066" w:rsidRPr="00086066" w:rsidRDefault="00086066" w:rsidP="00AA6A5B">
      <w:pPr>
        <w:spacing w:after="240"/>
        <w:jc w:val="both"/>
        <w:rPr>
          <w:rFonts w:ascii="Arial" w:hAnsi="Arial" w:cs="Arial"/>
        </w:rPr>
      </w:pPr>
      <w:r>
        <w:rPr>
          <w:rFonts w:ascii="Arial" w:hAnsi="Arial" w:cs="Arial"/>
        </w:rPr>
        <w:t xml:space="preserve">The </w:t>
      </w:r>
      <w:r w:rsidR="00257AC2">
        <w:rPr>
          <w:rFonts w:ascii="Arial" w:hAnsi="Arial" w:cs="Arial"/>
        </w:rPr>
        <w:t>number</w:t>
      </w:r>
      <w:r>
        <w:rPr>
          <w:rFonts w:ascii="Arial" w:hAnsi="Arial" w:cs="Arial"/>
        </w:rPr>
        <w:t xml:space="preserve"> of HRI</w:t>
      </w:r>
      <w:r w:rsidR="00257AC2">
        <w:rPr>
          <w:rFonts w:ascii="Arial" w:hAnsi="Arial" w:cs="Arial"/>
        </w:rPr>
        <w:t>s</w:t>
      </w:r>
      <w:r>
        <w:rPr>
          <w:rFonts w:ascii="Arial" w:hAnsi="Arial" w:cs="Arial"/>
        </w:rPr>
        <w:t xml:space="preserve"> as a p</w:t>
      </w:r>
      <w:r w:rsidR="00257AC2">
        <w:rPr>
          <w:rFonts w:ascii="Arial" w:hAnsi="Arial" w:cs="Arial"/>
        </w:rPr>
        <w:t>ercentage of each data zone’s</w:t>
      </w:r>
      <w:r w:rsidR="00326BC2">
        <w:rPr>
          <w:rFonts w:ascii="Arial" w:hAnsi="Arial" w:cs="Arial"/>
        </w:rPr>
        <w:t xml:space="preserve"> population</w:t>
      </w:r>
      <w:r>
        <w:rPr>
          <w:rFonts w:ascii="Arial" w:hAnsi="Arial" w:cs="Arial"/>
        </w:rPr>
        <w:t xml:space="preserve"> is to be tested as an indicator of need.</w:t>
      </w:r>
      <w:r w:rsidR="00326BC2">
        <w:rPr>
          <w:rFonts w:ascii="Arial" w:hAnsi="Arial" w:cs="Arial"/>
        </w:rPr>
        <w:t xml:space="preserve"> The year to year variation </w:t>
      </w:r>
      <w:r w:rsidR="00257AC2">
        <w:rPr>
          <w:rFonts w:ascii="Arial" w:hAnsi="Arial" w:cs="Arial"/>
        </w:rPr>
        <w:t>should</w:t>
      </w:r>
      <w:r w:rsidR="00326BC2">
        <w:rPr>
          <w:rFonts w:ascii="Arial" w:hAnsi="Arial" w:cs="Arial"/>
        </w:rPr>
        <w:t xml:space="preserve"> be investigated when data are available, </w:t>
      </w:r>
      <w:r w:rsidR="00257AC2">
        <w:rPr>
          <w:rFonts w:ascii="Arial" w:hAnsi="Arial" w:cs="Arial"/>
        </w:rPr>
        <w:t>to inform a suitable time span for the variable</w:t>
      </w:r>
      <w:r w:rsidR="00326BC2">
        <w:rPr>
          <w:rFonts w:ascii="Arial" w:hAnsi="Arial" w:cs="Arial"/>
        </w:rPr>
        <w:t>.</w:t>
      </w:r>
    </w:p>
    <w:p w:rsidR="00BE21DA" w:rsidRDefault="00CC35CF" w:rsidP="00AA6A5B">
      <w:pPr>
        <w:spacing w:after="240"/>
        <w:rPr>
          <w:rFonts w:ascii="Arial" w:hAnsi="Arial" w:cs="Arial"/>
          <w:b/>
        </w:rPr>
      </w:pPr>
      <w:r>
        <w:rPr>
          <w:rFonts w:ascii="Arial" w:hAnsi="Arial" w:cs="Arial"/>
          <w:b/>
        </w:rPr>
        <w:t>1</w:t>
      </w:r>
      <w:r w:rsidR="00BE21DA">
        <w:rPr>
          <w:rFonts w:ascii="Arial" w:hAnsi="Arial" w:cs="Arial"/>
          <w:b/>
        </w:rPr>
        <w:t xml:space="preserve">.3 Did Not Attend </w:t>
      </w:r>
      <w:r w:rsidR="00AA6A5B">
        <w:rPr>
          <w:rFonts w:ascii="Arial" w:hAnsi="Arial" w:cs="Arial"/>
          <w:b/>
        </w:rPr>
        <w:t>(DNA)</w:t>
      </w:r>
    </w:p>
    <w:p w:rsidR="00841436" w:rsidRPr="00841436" w:rsidRDefault="00841436" w:rsidP="006B78A7">
      <w:pPr>
        <w:spacing w:after="240"/>
        <w:jc w:val="both"/>
        <w:rPr>
          <w:rFonts w:ascii="Arial" w:hAnsi="Arial" w:cs="Arial"/>
        </w:rPr>
      </w:pPr>
      <w:r>
        <w:rPr>
          <w:rFonts w:ascii="Arial" w:hAnsi="Arial" w:cs="Arial"/>
        </w:rPr>
        <w:t>A recent study</w:t>
      </w:r>
      <w:r w:rsidR="003031B6">
        <w:rPr>
          <w:rStyle w:val="FootnoteReference"/>
          <w:rFonts w:ascii="Arial" w:hAnsi="Arial" w:cs="Arial"/>
        </w:rPr>
        <w:footnoteReference w:id="4"/>
      </w:r>
      <w:r>
        <w:rPr>
          <w:rFonts w:ascii="Arial" w:hAnsi="Arial" w:cs="Arial"/>
        </w:rPr>
        <w:t xml:space="preserve"> has shown that</w:t>
      </w:r>
      <w:r w:rsidR="003031B6">
        <w:rPr>
          <w:rFonts w:ascii="Arial" w:hAnsi="Arial" w:cs="Arial"/>
        </w:rPr>
        <w:t xml:space="preserve"> the </w:t>
      </w:r>
      <w:r w:rsidR="007B7EE1" w:rsidRPr="00AA6A5B">
        <w:rPr>
          <w:rFonts w:ascii="Arial" w:hAnsi="Arial" w:cs="Arial"/>
        </w:rPr>
        <w:t xml:space="preserve">‘Did Not Attend’ </w:t>
      </w:r>
      <w:r w:rsidR="007B7EE1">
        <w:rPr>
          <w:rFonts w:ascii="Arial" w:hAnsi="Arial" w:cs="Arial"/>
        </w:rPr>
        <w:t>(</w:t>
      </w:r>
      <w:r w:rsidR="003031B6">
        <w:rPr>
          <w:rFonts w:ascii="Arial" w:hAnsi="Arial" w:cs="Arial"/>
        </w:rPr>
        <w:t>DNA</w:t>
      </w:r>
      <w:r w:rsidR="007B7EE1">
        <w:rPr>
          <w:rFonts w:ascii="Arial" w:hAnsi="Arial" w:cs="Arial"/>
        </w:rPr>
        <w:t>)</w:t>
      </w:r>
      <w:r w:rsidR="003031B6">
        <w:rPr>
          <w:rFonts w:ascii="Arial" w:hAnsi="Arial" w:cs="Arial"/>
        </w:rPr>
        <w:t xml:space="preserve"> rate is highest among those living in more deprived </w:t>
      </w:r>
      <w:r w:rsidR="00D30805">
        <w:rPr>
          <w:rFonts w:ascii="Arial" w:hAnsi="Arial" w:cs="Arial"/>
        </w:rPr>
        <w:t>and / or urban areas</w:t>
      </w:r>
      <w:r w:rsidR="003031B6">
        <w:rPr>
          <w:rFonts w:ascii="Arial" w:hAnsi="Arial" w:cs="Arial"/>
        </w:rPr>
        <w:t>. It was also found that the patterning of DNA has been relatively stable fo</w:t>
      </w:r>
      <w:r w:rsidR="006B78A7">
        <w:rPr>
          <w:rFonts w:ascii="Arial" w:hAnsi="Arial" w:cs="Arial"/>
        </w:rPr>
        <w:t xml:space="preserve">r the past 10 years. </w:t>
      </w:r>
    </w:p>
    <w:p w:rsidR="00AA6A5B" w:rsidRDefault="00AA6A5B" w:rsidP="00AA6A5B">
      <w:pPr>
        <w:spacing w:after="240"/>
        <w:jc w:val="both"/>
        <w:rPr>
          <w:rFonts w:ascii="Arial" w:hAnsi="Arial" w:cs="Arial"/>
        </w:rPr>
      </w:pPr>
      <w:r w:rsidRPr="00AA6A5B">
        <w:rPr>
          <w:rFonts w:ascii="Arial" w:hAnsi="Arial" w:cs="Arial"/>
        </w:rPr>
        <w:t>Count</w:t>
      </w:r>
      <w:r w:rsidR="00D30805">
        <w:rPr>
          <w:rFonts w:ascii="Arial" w:hAnsi="Arial" w:cs="Arial"/>
        </w:rPr>
        <w:t>s</w:t>
      </w:r>
      <w:r w:rsidRPr="00AA6A5B">
        <w:rPr>
          <w:rFonts w:ascii="Arial" w:hAnsi="Arial" w:cs="Arial"/>
        </w:rPr>
        <w:t xml:space="preserve"> of </w:t>
      </w:r>
      <w:r w:rsidR="007B7EE1">
        <w:rPr>
          <w:rFonts w:ascii="Arial" w:hAnsi="Arial" w:cs="Arial"/>
        </w:rPr>
        <w:t xml:space="preserve">DNA </w:t>
      </w:r>
      <w:r w:rsidRPr="00AA6A5B">
        <w:rPr>
          <w:rFonts w:ascii="Arial" w:hAnsi="Arial" w:cs="Arial"/>
        </w:rPr>
        <w:t>outpatient appointments</w:t>
      </w:r>
      <w:r w:rsidR="00D30805">
        <w:rPr>
          <w:rFonts w:ascii="Arial" w:hAnsi="Arial" w:cs="Arial"/>
        </w:rPr>
        <w:t>,</w:t>
      </w:r>
      <w:r w:rsidRPr="00AA6A5B">
        <w:rPr>
          <w:rFonts w:ascii="Arial" w:hAnsi="Arial" w:cs="Arial"/>
        </w:rPr>
        <w:t xml:space="preserve"> </w:t>
      </w:r>
      <w:r w:rsidR="00D30805">
        <w:rPr>
          <w:rFonts w:ascii="Arial" w:hAnsi="Arial" w:cs="Arial"/>
        </w:rPr>
        <w:t>at</w:t>
      </w:r>
      <w:r w:rsidRPr="00AA6A5B">
        <w:rPr>
          <w:rFonts w:ascii="Arial" w:hAnsi="Arial" w:cs="Arial"/>
        </w:rPr>
        <w:t xml:space="preserve"> </w:t>
      </w:r>
      <w:r>
        <w:rPr>
          <w:rFonts w:ascii="Arial" w:hAnsi="Arial" w:cs="Arial"/>
        </w:rPr>
        <w:t xml:space="preserve">2011 </w:t>
      </w:r>
      <w:r w:rsidRPr="00AA6A5B">
        <w:rPr>
          <w:rFonts w:ascii="Arial" w:hAnsi="Arial" w:cs="Arial"/>
        </w:rPr>
        <w:t>Data Zone</w:t>
      </w:r>
      <w:r>
        <w:rPr>
          <w:rFonts w:ascii="Arial" w:hAnsi="Arial" w:cs="Arial"/>
        </w:rPr>
        <w:t>s</w:t>
      </w:r>
      <w:r w:rsidR="00D30805">
        <w:rPr>
          <w:rFonts w:ascii="Arial" w:hAnsi="Arial" w:cs="Arial"/>
        </w:rPr>
        <w:t>,</w:t>
      </w:r>
      <w:r>
        <w:rPr>
          <w:rFonts w:ascii="Arial" w:hAnsi="Arial" w:cs="Arial"/>
        </w:rPr>
        <w:t xml:space="preserve"> </w:t>
      </w:r>
      <w:r w:rsidR="00D30805">
        <w:rPr>
          <w:rFonts w:ascii="Arial" w:hAnsi="Arial" w:cs="Arial"/>
        </w:rPr>
        <w:t>are</w:t>
      </w:r>
      <w:r>
        <w:rPr>
          <w:rFonts w:ascii="Arial" w:hAnsi="Arial" w:cs="Arial"/>
        </w:rPr>
        <w:t xml:space="preserve"> </w:t>
      </w:r>
      <w:r w:rsidR="006B78A7">
        <w:rPr>
          <w:rFonts w:ascii="Arial" w:hAnsi="Arial" w:cs="Arial"/>
        </w:rPr>
        <w:t xml:space="preserve">readily </w:t>
      </w:r>
      <w:r w:rsidRPr="00AA6A5B">
        <w:rPr>
          <w:rFonts w:ascii="Arial" w:hAnsi="Arial" w:cs="Arial"/>
        </w:rPr>
        <w:t>available</w:t>
      </w:r>
      <w:r>
        <w:rPr>
          <w:rFonts w:ascii="Arial" w:hAnsi="Arial" w:cs="Arial"/>
        </w:rPr>
        <w:t xml:space="preserve"> for three financial years</w:t>
      </w:r>
      <w:r w:rsidR="00D30805">
        <w:rPr>
          <w:rFonts w:ascii="Arial" w:hAnsi="Arial" w:cs="Arial"/>
        </w:rPr>
        <w:t xml:space="preserve"> (2011/12, 2012/13 and 2013/14)</w:t>
      </w:r>
      <w:r w:rsidR="006B78A7">
        <w:rPr>
          <w:rFonts w:ascii="Arial" w:hAnsi="Arial" w:cs="Arial"/>
        </w:rPr>
        <w:t>.</w:t>
      </w:r>
    </w:p>
    <w:p w:rsidR="00AA6A5B" w:rsidRPr="003C6CE4" w:rsidRDefault="00AA6A5B" w:rsidP="00AA6A5B">
      <w:pPr>
        <w:spacing w:after="240"/>
        <w:jc w:val="both"/>
        <w:rPr>
          <w:rFonts w:ascii="Arial" w:hAnsi="Arial" w:cs="Arial"/>
        </w:rPr>
      </w:pPr>
      <w:r>
        <w:rPr>
          <w:rFonts w:ascii="Arial" w:hAnsi="Arial" w:cs="Arial"/>
        </w:rPr>
        <w:t xml:space="preserve">The </w:t>
      </w:r>
      <w:r w:rsidR="00D30805">
        <w:rPr>
          <w:rFonts w:ascii="Arial" w:hAnsi="Arial" w:cs="Arial"/>
        </w:rPr>
        <w:t>number</w:t>
      </w:r>
      <w:r>
        <w:rPr>
          <w:rFonts w:ascii="Arial" w:hAnsi="Arial" w:cs="Arial"/>
        </w:rPr>
        <w:t xml:space="preserve"> of DNA</w:t>
      </w:r>
      <w:r w:rsidR="00D30805">
        <w:rPr>
          <w:rFonts w:ascii="Arial" w:hAnsi="Arial" w:cs="Arial"/>
        </w:rPr>
        <w:t>s</w:t>
      </w:r>
      <w:r>
        <w:rPr>
          <w:rFonts w:ascii="Arial" w:hAnsi="Arial" w:cs="Arial"/>
        </w:rPr>
        <w:t xml:space="preserve"> as a percentage of each </w:t>
      </w:r>
      <w:r w:rsidR="00D30805">
        <w:rPr>
          <w:rFonts w:ascii="Arial" w:hAnsi="Arial" w:cs="Arial"/>
        </w:rPr>
        <w:t>data zone’s</w:t>
      </w:r>
      <w:r>
        <w:rPr>
          <w:rFonts w:ascii="Arial" w:hAnsi="Arial" w:cs="Arial"/>
        </w:rPr>
        <w:t xml:space="preserve"> total number of outpatient appointments</w:t>
      </w:r>
      <w:r w:rsidR="006B78A7">
        <w:rPr>
          <w:rFonts w:ascii="Arial" w:hAnsi="Arial" w:cs="Arial"/>
        </w:rPr>
        <w:t xml:space="preserve"> (or </w:t>
      </w:r>
      <w:r w:rsidR="00D30805">
        <w:rPr>
          <w:rFonts w:ascii="Arial" w:hAnsi="Arial" w:cs="Arial"/>
        </w:rPr>
        <w:t xml:space="preserve">of the </w:t>
      </w:r>
      <w:r w:rsidR="006B78A7">
        <w:rPr>
          <w:rFonts w:ascii="Arial" w:hAnsi="Arial" w:cs="Arial"/>
        </w:rPr>
        <w:t>DZ population)</w:t>
      </w:r>
      <w:r>
        <w:rPr>
          <w:rFonts w:ascii="Arial" w:hAnsi="Arial" w:cs="Arial"/>
        </w:rPr>
        <w:t xml:space="preserve"> is to be tested as an indicator of need. </w:t>
      </w:r>
      <w:r w:rsidR="00D30805">
        <w:rPr>
          <w:rFonts w:ascii="Arial" w:hAnsi="Arial" w:cs="Arial"/>
        </w:rPr>
        <w:t>The year to year variation should be investigated.</w:t>
      </w:r>
    </w:p>
    <w:p w:rsidR="0004172D" w:rsidRDefault="00CC35CF" w:rsidP="00AA6A5B">
      <w:pPr>
        <w:spacing w:after="240"/>
        <w:rPr>
          <w:rFonts w:ascii="Arial" w:hAnsi="Arial" w:cs="Arial"/>
          <w:b/>
        </w:rPr>
      </w:pPr>
      <w:r>
        <w:rPr>
          <w:rFonts w:ascii="Arial" w:hAnsi="Arial" w:cs="Arial"/>
          <w:b/>
        </w:rPr>
        <w:t>1</w:t>
      </w:r>
      <w:r w:rsidR="0004172D">
        <w:rPr>
          <w:rFonts w:ascii="Arial" w:hAnsi="Arial" w:cs="Arial"/>
          <w:b/>
        </w:rPr>
        <w:t xml:space="preserve">.4 </w:t>
      </w:r>
      <w:r w:rsidR="00BB003D">
        <w:rPr>
          <w:rFonts w:ascii="Arial" w:hAnsi="Arial" w:cs="Arial"/>
          <w:b/>
        </w:rPr>
        <w:t>Bruce Guthrie’s work</w:t>
      </w:r>
    </w:p>
    <w:p w:rsidR="003E2A65" w:rsidRPr="003E2A65" w:rsidRDefault="003E2A65" w:rsidP="00AA6A5B">
      <w:pPr>
        <w:spacing w:after="240"/>
        <w:rPr>
          <w:rFonts w:ascii="Arial" w:hAnsi="Arial" w:cs="Arial"/>
        </w:rPr>
      </w:pPr>
      <w:r>
        <w:rPr>
          <w:rFonts w:ascii="Arial" w:hAnsi="Arial" w:cs="Arial"/>
        </w:rPr>
        <w:t xml:space="preserve">Bruce Guthrie presented his research work on </w:t>
      </w:r>
      <w:proofErr w:type="spellStart"/>
      <w:r>
        <w:rPr>
          <w:rFonts w:ascii="Arial" w:hAnsi="Arial" w:cs="Arial"/>
        </w:rPr>
        <w:t>multimorbidity</w:t>
      </w:r>
      <w:proofErr w:type="spellEnd"/>
      <w:r>
        <w:rPr>
          <w:rFonts w:ascii="Arial" w:hAnsi="Arial" w:cs="Arial"/>
        </w:rPr>
        <w:t xml:space="preserve"> to the Subgroup in October 2014. He is one of the authors of the paper </w:t>
      </w:r>
      <w:r w:rsidRPr="003E2A65">
        <w:rPr>
          <w:rFonts w:ascii="Arial" w:hAnsi="Arial" w:cs="Arial"/>
          <w:i/>
        </w:rPr>
        <w:t xml:space="preserve">“Epidemiology of </w:t>
      </w:r>
      <w:proofErr w:type="spellStart"/>
      <w:r w:rsidRPr="003E2A65">
        <w:rPr>
          <w:rFonts w:ascii="Arial" w:hAnsi="Arial" w:cs="Arial"/>
          <w:i/>
        </w:rPr>
        <w:t>multimorbidity</w:t>
      </w:r>
      <w:proofErr w:type="spellEnd"/>
      <w:r w:rsidRPr="003E2A65">
        <w:rPr>
          <w:rFonts w:ascii="Arial" w:hAnsi="Arial" w:cs="Arial"/>
          <w:i/>
        </w:rPr>
        <w:t xml:space="preserve"> and implications for health care, research and medical education: a cross-sectional study”</w:t>
      </w:r>
      <w:r w:rsidR="00600068">
        <w:rPr>
          <w:rFonts w:ascii="Arial" w:hAnsi="Arial" w:cs="Arial"/>
          <w:i/>
        </w:rPr>
        <w:t xml:space="preserve"> </w:t>
      </w:r>
      <w:r w:rsidR="00600068">
        <w:rPr>
          <w:rFonts w:ascii="Arial" w:hAnsi="Arial" w:cs="Arial"/>
        </w:rPr>
        <w:t>published in 2012</w:t>
      </w:r>
      <w:r w:rsidR="00600068">
        <w:rPr>
          <w:rFonts w:ascii="Arial" w:hAnsi="Arial" w:cs="Arial"/>
          <w:i/>
        </w:rPr>
        <w:t xml:space="preserve">. </w:t>
      </w:r>
      <w:r w:rsidR="00600068">
        <w:rPr>
          <w:rFonts w:ascii="Arial" w:hAnsi="Arial" w:cs="Arial"/>
        </w:rPr>
        <w:t>T</w:t>
      </w:r>
      <w:r>
        <w:rPr>
          <w:rFonts w:ascii="Arial" w:hAnsi="Arial" w:cs="Arial"/>
        </w:rPr>
        <w:t xml:space="preserve">he following extract from the paper </w:t>
      </w:r>
      <w:r w:rsidR="00D30805">
        <w:rPr>
          <w:rFonts w:ascii="Arial" w:hAnsi="Arial" w:cs="Arial"/>
        </w:rPr>
        <w:t>defines</w:t>
      </w:r>
      <w:r>
        <w:rPr>
          <w:rFonts w:ascii="Arial" w:hAnsi="Arial" w:cs="Arial"/>
        </w:rPr>
        <w:t xml:space="preserve"> </w:t>
      </w:r>
      <w:proofErr w:type="spellStart"/>
      <w:r>
        <w:rPr>
          <w:rFonts w:ascii="Arial" w:hAnsi="Arial" w:cs="Arial"/>
        </w:rPr>
        <w:t>multimorbidity</w:t>
      </w:r>
      <w:proofErr w:type="spellEnd"/>
      <w:r>
        <w:rPr>
          <w:rFonts w:ascii="Arial" w:hAnsi="Arial" w:cs="Arial"/>
        </w:rPr>
        <w:t xml:space="preserve"> </w:t>
      </w:r>
      <w:r w:rsidR="00D30805">
        <w:rPr>
          <w:rFonts w:ascii="Arial" w:hAnsi="Arial" w:cs="Arial"/>
        </w:rPr>
        <w:t xml:space="preserve">in the context of </w:t>
      </w:r>
      <w:r>
        <w:rPr>
          <w:rFonts w:ascii="Arial" w:hAnsi="Arial" w:cs="Arial"/>
        </w:rPr>
        <w:t>the analysis</w:t>
      </w:r>
      <w:r w:rsidR="00D30805">
        <w:rPr>
          <w:rFonts w:ascii="Arial" w:hAnsi="Arial" w:cs="Arial"/>
        </w:rPr>
        <w:t xml:space="preserve">; there is no </w:t>
      </w:r>
      <w:r w:rsidR="008D2979">
        <w:rPr>
          <w:rFonts w:ascii="Arial" w:hAnsi="Arial" w:cs="Arial"/>
        </w:rPr>
        <w:t>standard definition</w:t>
      </w:r>
      <w:r>
        <w:rPr>
          <w:rFonts w:ascii="Arial" w:hAnsi="Arial" w:cs="Arial"/>
        </w:rPr>
        <w:t>:</w:t>
      </w:r>
    </w:p>
    <w:p w:rsidR="00E221C9" w:rsidRDefault="00E14418" w:rsidP="00BB003D">
      <w:pPr>
        <w:spacing w:after="240"/>
        <w:jc w:val="both"/>
        <w:rPr>
          <w:rFonts w:ascii="Arial" w:hAnsi="Arial" w:cs="Arial"/>
          <w:b/>
          <w:i/>
          <w:szCs w:val="24"/>
        </w:rPr>
      </w:pPr>
      <w:r>
        <w:rPr>
          <w:rFonts w:ascii="Arial" w:hAnsi="Arial" w:cs="Arial"/>
          <w:i/>
          <w:szCs w:val="24"/>
          <w:shd w:val="clear" w:color="auto" w:fill="FFFFFF"/>
        </w:rPr>
        <w:lastRenderedPageBreak/>
        <w:t>“</w:t>
      </w:r>
      <w:r w:rsidR="00BB003D" w:rsidRPr="00BB003D">
        <w:rPr>
          <w:rFonts w:ascii="Arial" w:hAnsi="Arial" w:cs="Arial"/>
          <w:i/>
          <w:szCs w:val="24"/>
          <w:shd w:val="clear" w:color="auto" w:fill="FFFFFF"/>
        </w:rPr>
        <w:t>We selected 40 such morbidities, which were defined by Read codes (the clinical coding system used in UK general practice to record patient findings and procedures in health-care IT systems) and prescription data. When possible, we based our morbidity definitions on QOF business rules and Read code groups for long-term disorders (as defined by NHS Scotland).</w:t>
      </w:r>
      <w:r w:rsidR="00BB003D" w:rsidRPr="00BB003D">
        <w:rPr>
          <w:rStyle w:val="apple-converted-space"/>
          <w:rFonts w:ascii="Arial" w:hAnsi="Arial" w:cs="Arial"/>
          <w:i/>
          <w:szCs w:val="24"/>
          <w:shd w:val="clear" w:color="auto" w:fill="FFFFFF"/>
        </w:rPr>
        <w:t xml:space="preserve"> </w:t>
      </w:r>
      <w:r w:rsidR="00BB003D" w:rsidRPr="00BB003D">
        <w:rPr>
          <w:rFonts w:ascii="Arial" w:hAnsi="Arial" w:cs="Arial"/>
          <w:i/>
          <w:szCs w:val="24"/>
          <w:shd w:val="clear" w:color="auto" w:fill="FFFFFF"/>
        </w:rPr>
        <w:t xml:space="preserve">When coding definitions were unavailable or did not apply to the available routine data, the clinicians in our team (BG, SM, MN, and GW) agreed new definitions by discussion. The appendix provides further detail of definitions and the 40 morbidities included. As in most other studies, we defined </w:t>
      </w:r>
      <w:proofErr w:type="spellStart"/>
      <w:r w:rsidR="00BB003D" w:rsidRPr="00BB003D">
        <w:rPr>
          <w:rFonts w:ascii="Arial" w:hAnsi="Arial" w:cs="Arial"/>
          <w:i/>
          <w:szCs w:val="24"/>
          <w:shd w:val="clear" w:color="auto" w:fill="FFFFFF"/>
        </w:rPr>
        <w:t>multimorbidity</w:t>
      </w:r>
      <w:proofErr w:type="spellEnd"/>
      <w:r w:rsidR="00BB003D" w:rsidRPr="00BB003D">
        <w:rPr>
          <w:rFonts w:ascii="Arial" w:hAnsi="Arial" w:cs="Arial"/>
          <w:i/>
          <w:szCs w:val="24"/>
          <w:shd w:val="clear" w:color="auto" w:fill="FFFFFF"/>
        </w:rPr>
        <w:t xml:space="preserve"> as the presence of two or more of these 40 morbidities in one patient.</w:t>
      </w:r>
      <w:r w:rsidR="00BB003D" w:rsidRPr="00BB003D">
        <w:rPr>
          <w:rStyle w:val="apple-converted-space"/>
          <w:rFonts w:ascii="Arial" w:hAnsi="Arial" w:cs="Arial"/>
          <w:i/>
          <w:szCs w:val="24"/>
          <w:shd w:val="clear" w:color="auto" w:fill="FFFFFF"/>
        </w:rPr>
        <w:t> </w:t>
      </w:r>
      <w:r w:rsidR="00BB003D" w:rsidRPr="00BB003D">
        <w:rPr>
          <w:rFonts w:ascii="Arial" w:hAnsi="Arial" w:cs="Arial"/>
          <w:i/>
          <w:szCs w:val="24"/>
          <w:shd w:val="clear" w:color="auto" w:fill="FFFFFF"/>
        </w:rPr>
        <w:t xml:space="preserve">To specifically examine </w:t>
      </w:r>
      <w:proofErr w:type="spellStart"/>
      <w:r w:rsidR="00BB003D" w:rsidRPr="00BB003D">
        <w:rPr>
          <w:rFonts w:ascii="Arial" w:hAnsi="Arial" w:cs="Arial"/>
          <w:i/>
          <w:szCs w:val="24"/>
          <w:shd w:val="clear" w:color="auto" w:fill="FFFFFF"/>
        </w:rPr>
        <w:t>comorbidity</w:t>
      </w:r>
      <w:proofErr w:type="spellEnd"/>
      <w:r w:rsidR="00BB003D" w:rsidRPr="00BB003D">
        <w:rPr>
          <w:rFonts w:ascii="Arial" w:hAnsi="Arial" w:cs="Arial"/>
          <w:i/>
          <w:szCs w:val="24"/>
          <w:shd w:val="clear" w:color="auto" w:fill="FFFFFF"/>
        </w:rPr>
        <w:t xml:space="preserve"> of physical and mental health disorders, we also defined </w:t>
      </w:r>
      <w:proofErr w:type="gramStart"/>
      <w:r w:rsidR="00BB003D" w:rsidRPr="00BB003D">
        <w:rPr>
          <w:rFonts w:ascii="Arial" w:hAnsi="Arial" w:cs="Arial"/>
          <w:i/>
          <w:szCs w:val="24"/>
          <w:shd w:val="clear" w:color="auto" w:fill="FFFFFF"/>
        </w:rPr>
        <w:t>each morbidity</w:t>
      </w:r>
      <w:proofErr w:type="gramEnd"/>
      <w:r w:rsidR="00BB003D" w:rsidRPr="00BB003D">
        <w:rPr>
          <w:rFonts w:ascii="Arial" w:hAnsi="Arial" w:cs="Arial"/>
          <w:i/>
          <w:szCs w:val="24"/>
          <w:shd w:val="clear" w:color="auto" w:fill="FFFFFF"/>
        </w:rPr>
        <w:t xml:space="preserve"> as either a physical or mental health disorder.</w:t>
      </w:r>
      <w:r w:rsidRPr="00E14418">
        <w:rPr>
          <w:rFonts w:ascii="Arial" w:hAnsi="Arial" w:cs="Arial"/>
          <w:i/>
          <w:szCs w:val="24"/>
        </w:rPr>
        <w:t>”</w:t>
      </w:r>
    </w:p>
    <w:p w:rsidR="007A14AD" w:rsidRDefault="00D30805" w:rsidP="00BB003D">
      <w:pPr>
        <w:spacing w:after="240"/>
        <w:jc w:val="both"/>
        <w:rPr>
          <w:rFonts w:ascii="Arial" w:hAnsi="Arial" w:cs="Arial"/>
          <w:szCs w:val="24"/>
        </w:rPr>
      </w:pPr>
      <w:r>
        <w:rPr>
          <w:rFonts w:ascii="Arial" w:hAnsi="Arial" w:cs="Arial"/>
          <w:szCs w:val="24"/>
        </w:rPr>
        <w:t>Mental health disorders made up</w:t>
      </w:r>
      <w:r w:rsidR="007A14AD">
        <w:rPr>
          <w:rFonts w:ascii="Arial" w:hAnsi="Arial" w:cs="Arial"/>
          <w:szCs w:val="24"/>
        </w:rPr>
        <w:t xml:space="preserve"> 7 out of the 40 morbidities</w:t>
      </w:r>
      <w:r>
        <w:rPr>
          <w:rFonts w:ascii="Arial" w:hAnsi="Arial" w:cs="Arial"/>
          <w:szCs w:val="24"/>
        </w:rPr>
        <w:t>, and included</w:t>
      </w:r>
      <w:r w:rsidR="007A14AD">
        <w:rPr>
          <w:rFonts w:ascii="Arial" w:hAnsi="Arial" w:cs="Arial"/>
          <w:szCs w:val="24"/>
        </w:rPr>
        <w:t xml:space="preserve"> Depression, Anxiety, Alcohol problem</w:t>
      </w:r>
      <w:r>
        <w:rPr>
          <w:rFonts w:ascii="Arial" w:hAnsi="Arial" w:cs="Arial"/>
          <w:szCs w:val="24"/>
        </w:rPr>
        <w:t>s, Dementia, and Schizophrenia</w:t>
      </w:r>
      <w:r w:rsidR="007A14AD">
        <w:rPr>
          <w:rFonts w:ascii="Arial" w:hAnsi="Arial" w:cs="Arial"/>
          <w:szCs w:val="24"/>
        </w:rPr>
        <w:t xml:space="preserve">. </w:t>
      </w:r>
    </w:p>
    <w:p w:rsidR="00DF56C4" w:rsidRDefault="008D2979" w:rsidP="00BB003D">
      <w:pPr>
        <w:spacing w:after="240"/>
        <w:jc w:val="both"/>
        <w:rPr>
          <w:rFonts w:ascii="Arial" w:hAnsi="Arial" w:cs="Arial"/>
          <w:szCs w:val="24"/>
        </w:rPr>
      </w:pPr>
      <w:r>
        <w:rPr>
          <w:rFonts w:ascii="Arial" w:hAnsi="Arial" w:cs="Arial"/>
          <w:szCs w:val="24"/>
        </w:rPr>
        <w:t xml:space="preserve">QOF </w:t>
      </w:r>
      <w:r w:rsidR="004D3AD5">
        <w:rPr>
          <w:rFonts w:ascii="Arial" w:hAnsi="Arial" w:cs="Arial"/>
          <w:szCs w:val="24"/>
        </w:rPr>
        <w:t xml:space="preserve">register sizes </w:t>
      </w:r>
      <w:r>
        <w:rPr>
          <w:rFonts w:ascii="Arial" w:hAnsi="Arial" w:cs="Arial"/>
          <w:szCs w:val="24"/>
        </w:rPr>
        <w:t xml:space="preserve">data are currently available </w:t>
      </w:r>
      <w:r w:rsidR="004D3AD5">
        <w:rPr>
          <w:rFonts w:ascii="Arial" w:hAnsi="Arial" w:cs="Arial"/>
          <w:szCs w:val="24"/>
        </w:rPr>
        <w:t>for the</w:t>
      </w:r>
      <w:r>
        <w:rPr>
          <w:rFonts w:ascii="Arial" w:hAnsi="Arial" w:cs="Arial"/>
          <w:szCs w:val="24"/>
        </w:rPr>
        <w:t xml:space="preserve"> 2013/14 financial year. The data are</w:t>
      </w:r>
      <w:r w:rsidR="004D3AD5">
        <w:rPr>
          <w:rFonts w:ascii="Arial" w:hAnsi="Arial" w:cs="Arial"/>
          <w:szCs w:val="24"/>
        </w:rPr>
        <w:t xml:space="preserve"> available at GP practice level, </w:t>
      </w:r>
      <w:r w:rsidR="00FE63EE">
        <w:rPr>
          <w:rFonts w:ascii="Arial" w:hAnsi="Arial" w:cs="Arial"/>
          <w:szCs w:val="24"/>
        </w:rPr>
        <w:t>in the form of</w:t>
      </w:r>
      <w:r w:rsidR="004D3AD5">
        <w:rPr>
          <w:rFonts w:ascii="Arial" w:hAnsi="Arial" w:cs="Arial"/>
          <w:szCs w:val="24"/>
        </w:rPr>
        <w:t xml:space="preserve"> </w:t>
      </w:r>
      <w:r>
        <w:rPr>
          <w:rFonts w:ascii="Arial" w:hAnsi="Arial" w:cs="Arial"/>
          <w:szCs w:val="24"/>
        </w:rPr>
        <w:t>number</w:t>
      </w:r>
      <w:r w:rsidR="00FE63EE">
        <w:rPr>
          <w:rFonts w:ascii="Arial" w:hAnsi="Arial" w:cs="Arial"/>
          <w:szCs w:val="24"/>
        </w:rPr>
        <w:t>s</w:t>
      </w:r>
      <w:r>
        <w:rPr>
          <w:rFonts w:ascii="Arial" w:hAnsi="Arial" w:cs="Arial"/>
          <w:szCs w:val="24"/>
        </w:rPr>
        <w:t xml:space="preserve"> of </w:t>
      </w:r>
      <w:r w:rsidR="004D3AD5">
        <w:rPr>
          <w:rFonts w:ascii="Arial" w:hAnsi="Arial" w:cs="Arial"/>
          <w:szCs w:val="24"/>
        </w:rPr>
        <w:t>registered patients</w:t>
      </w:r>
      <w:r>
        <w:rPr>
          <w:rFonts w:ascii="Arial" w:hAnsi="Arial" w:cs="Arial"/>
          <w:szCs w:val="24"/>
        </w:rPr>
        <w:t xml:space="preserve"> with particular condition</w:t>
      </w:r>
      <w:r w:rsidR="00FE63EE">
        <w:rPr>
          <w:rFonts w:ascii="Arial" w:hAnsi="Arial" w:cs="Arial"/>
          <w:szCs w:val="24"/>
        </w:rPr>
        <w:t>s</w:t>
      </w:r>
      <w:r w:rsidR="004D3AD5">
        <w:rPr>
          <w:rFonts w:ascii="Arial" w:hAnsi="Arial" w:cs="Arial"/>
          <w:szCs w:val="24"/>
        </w:rPr>
        <w:t>.</w:t>
      </w:r>
      <w:r w:rsidR="007A14AD">
        <w:rPr>
          <w:rFonts w:ascii="Arial" w:hAnsi="Arial" w:cs="Arial"/>
          <w:szCs w:val="24"/>
        </w:rPr>
        <w:t xml:space="preserve"> </w:t>
      </w:r>
      <w:r w:rsidR="004D3AD5">
        <w:rPr>
          <w:rFonts w:ascii="Arial" w:hAnsi="Arial" w:cs="Arial"/>
          <w:szCs w:val="24"/>
        </w:rPr>
        <w:t>However, there is no way to get these numbers by Data Zone without the postcodes of the patients in each register</w:t>
      </w:r>
      <w:r>
        <w:rPr>
          <w:rFonts w:ascii="Arial" w:hAnsi="Arial" w:cs="Arial"/>
          <w:szCs w:val="24"/>
        </w:rPr>
        <w:t xml:space="preserve">. </w:t>
      </w:r>
      <w:r w:rsidR="00FE63EE">
        <w:rPr>
          <w:rFonts w:ascii="Arial" w:hAnsi="Arial" w:cs="Arial"/>
          <w:szCs w:val="24"/>
        </w:rPr>
        <w:t>The General Medical Services team at ISD have advised that the new SPIRE dataset will make patient level data available, but this will not be available until around April 2016.</w:t>
      </w:r>
      <w:r w:rsidR="007B7EE1">
        <w:rPr>
          <w:rFonts w:ascii="Arial" w:hAnsi="Arial" w:cs="Arial"/>
          <w:szCs w:val="24"/>
        </w:rPr>
        <w:t xml:space="preserve"> According to the Review’s current work plan, the regressions on potential indicators should be completed by February 2016. </w:t>
      </w:r>
    </w:p>
    <w:p w:rsidR="008D2979" w:rsidRDefault="007B7EE1" w:rsidP="00BB003D">
      <w:pPr>
        <w:spacing w:after="240"/>
        <w:jc w:val="both"/>
        <w:rPr>
          <w:rFonts w:ascii="Arial" w:hAnsi="Arial" w:cs="Arial"/>
          <w:szCs w:val="24"/>
        </w:rPr>
      </w:pPr>
      <w:r>
        <w:rPr>
          <w:rFonts w:ascii="Arial" w:hAnsi="Arial" w:cs="Arial"/>
          <w:szCs w:val="24"/>
        </w:rPr>
        <w:t xml:space="preserve">However, an alternative mental health-related variable could be derived from </w:t>
      </w:r>
      <w:r w:rsidR="00DF56C4">
        <w:rPr>
          <w:rFonts w:ascii="Arial" w:hAnsi="Arial" w:cs="Arial"/>
          <w:szCs w:val="24"/>
        </w:rPr>
        <w:t>c</w:t>
      </w:r>
      <w:r>
        <w:rPr>
          <w:rFonts w:ascii="Arial" w:hAnsi="Arial" w:cs="Arial"/>
          <w:szCs w:val="24"/>
        </w:rPr>
        <w:t>ensus data</w:t>
      </w:r>
      <w:r w:rsidR="00DF56C4">
        <w:rPr>
          <w:rFonts w:ascii="Arial" w:hAnsi="Arial" w:cs="Arial"/>
          <w:szCs w:val="24"/>
        </w:rPr>
        <w:t>, as detailed in section 2.5 below.</w:t>
      </w:r>
    </w:p>
    <w:p w:rsidR="00BE21DA" w:rsidRDefault="00CC35CF" w:rsidP="00AA6A5B">
      <w:pPr>
        <w:spacing w:after="240"/>
        <w:rPr>
          <w:rFonts w:ascii="Arial" w:hAnsi="Arial" w:cs="Arial"/>
          <w:b/>
        </w:rPr>
      </w:pPr>
      <w:r>
        <w:rPr>
          <w:rFonts w:ascii="Arial" w:hAnsi="Arial" w:cs="Arial"/>
          <w:b/>
        </w:rPr>
        <w:t>2</w:t>
      </w:r>
      <w:r w:rsidR="00EA27EA" w:rsidRPr="00EA27EA">
        <w:rPr>
          <w:rFonts w:ascii="Arial" w:hAnsi="Arial" w:cs="Arial"/>
          <w:b/>
        </w:rPr>
        <w:t>. Census data</w:t>
      </w:r>
    </w:p>
    <w:p w:rsidR="00C00526" w:rsidRDefault="00CC35CF" w:rsidP="00AA6A5B">
      <w:pPr>
        <w:spacing w:after="240"/>
        <w:rPr>
          <w:rFonts w:ascii="Arial" w:hAnsi="Arial" w:cs="Arial"/>
          <w:b/>
        </w:rPr>
      </w:pPr>
      <w:r>
        <w:rPr>
          <w:rFonts w:ascii="Arial" w:hAnsi="Arial" w:cs="Arial"/>
          <w:b/>
        </w:rPr>
        <w:t>2</w:t>
      </w:r>
      <w:r w:rsidR="009A7537">
        <w:rPr>
          <w:rFonts w:ascii="Arial" w:hAnsi="Arial" w:cs="Arial"/>
          <w:b/>
        </w:rPr>
        <w:t>.1 Ethnicity</w:t>
      </w:r>
      <w:r w:rsidR="00BB003D">
        <w:rPr>
          <w:rFonts w:ascii="Arial" w:hAnsi="Arial" w:cs="Arial"/>
          <w:b/>
        </w:rPr>
        <w:t xml:space="preserve"> </w:t>
      </w:r>
      <w:r w:rsidR="00170AAA">
        <w:rPr>
          <w:rFonts w:ascii="Arial" w:hAnsi="Arial" w:cs="Arial"/>
          <w:b/>
        </w:rPr>
        <w:t>– question 15</w:t>
      </w:r>
    </w:p>
    <w:p w:rsidR="00D11461" w:rsidRDefault="00BC04E6" w:rsidP="00D11461">
      <w:pPr>
        <w:spacing w:after="240"/>
        <w:jc w:val="both"/>
        <w:rPr>
          <w:rFonts w:ascii="Arial" w:hAnsi="Arial" w:cs="Arial"/>
        </w:rPr>
      </w:pPr>
      <w:r>
        <w:rPr>
          <w:rFonts w:ascii="Arial" w:hAnsi="Arial" w:cs="Arial"/>
        </w:rPr>
        <w:t>Question 15 from the census asks about ethnicity.</w:t>
      </w:r>
      <w:r w:rsidR="00D11461">
        <w:rPr>
          <w:rFonts w:ascii="Arial" w:hAnsi="Arial" w:cs="Arial"/>
        </w:rPr>
        <w:t xml:space="preserve"> There are 6 categories: </w:t>
      </w:r>
      <w:proofErr w:type="gramStart"/>
      <w:r w:rsidR="00D11461">
        <w:rPr>
          <w:rFonts w:ascii="Arial" w:hAnsi="Arial" w:cs="Arial"/>
          <w:i/>
        </w:rPr>
        <w:t>White</w:t>
      </w:r>
      <w:r w:rsidR="00BA716A">
        <w:rPr>
          <w:rFonts w:ascii="Arial" w:hAnsi="Arial" w:cs="Arial"/>
          <w:i/>
        </w:rPr>
        <w:t>,</w:t>
      </w:r>
      <w:proofErr w:type="gramEnd"/>
      <w:r w:rsidR="00BA716A">
        <w:rPr>
          <w:rFonts w:ascii="Arial" w:hAnsi="Arial" w:cs="Arial"/>
          <w:i/>
        </w:rPr>
        <w:t xml:space="preserve"> </w:t>
      </w:r>
      <w:r w:rsidR="00D11461">
        <w:rPr>
          <w:rFonts w:ascii="Arial" w:hAnsi="Arial" w:cs="Arial"/>
          <w:i/>
        </w:rPr>
        <w:t>Mixed</w:t>
      </w:r>
      <w:r w:rsidR="00BA716A">
        <w:rPr>
          <w:rFonts w:ascii="Arial" w:hAnsi="Arial" w:cs="Arial"/>
          <w:i/>
        </w:rPr>
        <w:t xml:space="preserve">, </w:t>
      </w:r>
      <w:r w:rsidR="00D11461">
        <w:rPr>
          <w:rFonts w:ascii="Arial" w:hAnsi="Arial" w:cs="Arial"/>
          <w:i/>
        </w:rPr>
        <w:t>Asian</w:t>
      </w:r>
      <w:r w:rsidR="00BA716A">
        <w:rPr>
          <w:rFonts w:ascii="Arial" w:hAnsi="Arial" w:cs="Arial"/>
          <w:i/>
        </w:rPr>
        <w:t xml:space="preserve">, </w:t>
      </w:r>
      <w:r w:rsidR="00D11461">
        <w:rPr>
          <w:rFonts w:ascii="Arial" w:hAnsi="Arial" w:cs="Arial"/>
          <w:i/>
        </w:rPr>
        <w:t>African</w:t>
      </w:r>
      <w:r w:rsidR="00BA716A">
        <w:rPr>
          <w:rFonts w:ascii="Arial" w:hAnsi="Arial" w:cs="Arial"/>
          <w:i/>
        </w:rPr>
        <w:t xml:space="preserve">, </w:t>
      </w:r>
      <w:r w:rsidR="00D11461">
        <w:rPr>
          <w:rFonts w:ascii="Arial" w:hAnsi="Arial" w:cs="Arial"/>
          <w:i/>
        </w:rPr>
        <w:t>Caribbean</w:t>
      </w:r>
      <w:r w:rsidR="00BA716A">
        <w:rPr>
          <w:rFonts w:ascii="Arial" w:hAnsi="Arial" w:cs="Arial"/>
          <w:i/>
        </w:rPr>
        <w:t xml:space="preserve">, </w:t>
      </w:r>
      <w:r w:rsidR="00BA716A" w:rsidRPr="00BA716A">
        <w:rPr>
          <w:rFonts w:ascii="Arial" w:hAnsi="Arial" w:cs="Arial"/>
        </w:rPr>
        <w:t>and</w:t>
      </w:r>
      <w:r w:rsidR="00BA716A">
        <w:rPr>
          <w:rFonts w:ascii="Arial" w:hAnsi="Arial" w:cs="Arial"/>
          <w:i/>
        </w:rPr>
        <w:t xml:space="preserve"> </w:t>
      </w:r>
      <w:r w:rsidR="00D11461">
        <w:rPr>
          <w:rFonts w:ascii="Arial" w:hAnsi="Arial" w:cs="Arial"/>
          <w:i/>
        </w:rPr>
        <w:t>Other</w:t>
      </w:r>
      <w:r w:rsidR="00BA716A">
        <w:rPr>
          <w:rFonts w:ascii="Arial" w:hAnsi="Arial" w:cs="Arial"/>
          <w:i/>
        </w:rPr>
        <w:t>.</w:t>
      </w:r>
      <w:r w:rsidR="00A54735">
        <w:rPr>
          <w:rFonts w:ascii="Arial" w:hAnsi="Arial" w:cs="Arial"/>
        </w:rPr>
        <w:t xml:space="preserve"> Data from this ques</w:t>
      </w:r>
      <w:r w:rsidR="00D11461">
        <w:rPr>
          <w:rFonts w:ascii="Arial" w:hAnsi="Arial" w:cs="Arial"/>
        </w:rPr>
        <w:t xml:space="preserve">tion have been obtained </w:t>
      </w:r>
      <w:r w:rsidR="00853E5C">
        <w:rPr>
          <w:rFonts w:ascii="Arial" w:hAnsi="Arial" w:cs="Arial"/>
        </w:rPr>
        <w:t>from Census 2011</w:t>
      </w:r>
      <w:r w:rsidR="00BA716A">
        <w:rPr>
          <w:rFonts w:ascii="Arial" w:hAnsi="Arial" w:cs="Arial"/>
        </w:rPr>
        <w:t>, by</w:t>
      </w:r>
      <w:r w:rsidR="00853E5C">
        <w:rPr>
          <w:rFonts w:ascii="Arial" w:hAnsi="Arial" w:cs="Arial"/>
        </w:rPr>
        <w:t xml:space="preserve"> 2011 </w:t>
      </w:r>
      <w:r w:rsidR="00BA716A">
        <w:rPr>
          <w:rFonts w:ascii="Arial" w:hAnsi="Arial" w:cs="Arial"/>
        </w:rPr>
        <w:t>Data Zone</w:t>
      </w:r>
      <w:r w:rsidR="00853E5C">
        <w:rPr>
          <w:rFonts w:ascii="Arial" w:hAnsi="Arial" w:cs="Arial"/>
        </w:rPr>
        <w:t>. A</w:t>
      </w:r>
      <w:r w:rsidR="00D11461">
        <w:rPr>
          <w:rFonts w:ascii="Arial" w:hAnsi="Arial" w:cs="Arial"/>
        </w:rPr>
        <w:t xml:space="preserve"> percentage of non-white residents in each DZ</w:t>
      </w:r>
      <w:r w:rsidR="00853E5C">
        <w:rPr>
          <w:rFonts w:ascii="Arial" w:hAnsi="Arial" w:cs="Arial"/>
        </w:rPr>
        <w:t xml:space="preserve"> can be calculated and used as a potential indicator of need</w:t>
      </w:r>
      <w:r w:rsidR="00D11461">
        <w:rPr>
          <w:rFonts w:ascii="Arial" w:hAnsi="Arial" w:cs="Arial"/>
        </w:rPr>
        <w:t>.</w:t>
      </w:r>
      <w:r w:rsidR="000C588C">
        <w:rPr>
          <w:rFonts w:ascii="Arial" w:hAnsi="Arial" w:cs="Arial"/>
        </w:rPr>
        <w:t xml:space="preserve"> </w:t>
      </w:r>
      <w:r w:rsidR="00BA716A">
        <w:rPr>
          <w:rFonts w:ascii="Arial" w:hAnsi="Arial" w:cs="Arial"/>
        </w:rPr>
        <w:t>(</w:t>
      </w:r>
      <w:r w:rsidR="00853E5C">
        <w:rPr>
          <w:rFonts w:ascii="Arial" w:hAnsi="Arial" w:cs="Arial"/>
        </w:rPr>
        <w:t xml:space="preserve">Each minority ethnic group </w:t>
      </w:r>
      <w:r w:rsidR="00BA716A">
        <w:rPr>
          <w:rFonts w:ascii="Arial" w:hAnsi="Arial" w:cs="Arial"/>
        </w:rPr>
        <w:t>could</w:t>
      </w:r>
      <w:r w:rsidR="00853E5C">
        <w:rPr>
          <w:rFonts w:ascii="Arial" w:hAnsi="Arial" w:cs="Arial"/>
        </w:rPr>
        <w:t xml:space="preserve"> be used for the calculation of a rate separately but </w:t>
      </w:r>
      <w:r w:rsidR="00BA716A">
        <w:rPr>
          <w:rFonts w:ascii="Arial" w:hAnsi="Arial" w:cs="Arial"/>
        </w:rPr>
        <w:t>this would result in many zeros</w:t>
      </w:r>
      <w:r w:rsidR="00853E5C">
        <w:rPr>
          <w:rFonts w:ascii="Arial" w:hAnsi="Arial" w:cs="Arial"/>
        </w:rPr>
        <w:t>.</w:t>
      </w:r>
      <w:r w:rsidR="00BA716A">
        <w:rPr>
          <w:rFonts w:ascii="Arial" w:hAnsi="Arial" w:cs="Arial"/>
        </w:rPr>
        <w:t>)</w:t>
      </w:r>
      <w:r w:rsidR="00853E5C">
        <w:rPr>
          <w:rFonts w:ascii="Arial" w:hAnsi="Arial" w:cs="Arial"/>
        </w:rPr>
        <w:t xml:space="preserve"> </w:t>
      </w:r>
      <w:r w:rsidR="000C588C">
        <w:rPr>
          <w:rFonts w:ascii="Arial" w:hAnsi="Arial" w:cs="Arial"/>
        </w:rPr>
        <w:t>Furthermore, the data is available by age and sex</w:t>
      </w:r>
      <w:r w:rsidR="00BA716A">
        <w:rPr>
          <w:rFonts w:ascii="Arial" w:hAnsi="Arial" w:cs="Arial"/>
        </w:rPr>
        <w:t>,</w:t>
      </w:r>
      <w:r w:rsidR="000C588C">
        <w:rPr>
          <w:rFonts w:ascii="Arial" w:hAnsi="Arial" w:cs="Arial"/>
        </w:rPr>
        <w:t xml:space="preserve"> </w:t>
      </w:r>
      <w:r w:rsidR="00BA716A">
        <w:rPr>
          <w:rFonts w:ascii="Arial" w:hAnsi="Arial" w:cs="Arial"/>
        </w:rPr>
        <w:t xml:space="preserve">so an age-sex adjusted rate could </w:t>
      </w:r>
      <w:r w:rsidR="000C588C">
        <w:rPr>
          <w:rFonts w:ascii="Arial" w:hAnsi="Arial" w:cs="Arial"/>
        </w:rPr>
        <w:t>be calculated</w:t>
      </w:r>
      <w:r w:rsidR="00BA716A">
        <w:rPr>
          <w:rFonts w:ascii="Arial" w:hAnsi="Arial" w:cs="Arial"/>
        </w:rPr>
        <w:t xml:space="preserve"> if </w:t>
      </w:r>
      <w:r w:rsidR="00E14418">
        <w:rPr>
          <w:rFonts w:ascii="Arial" w:hAnsi="Arial" w:cs="Arial"/>
        </w:rPr>
        <w:t xml:space="preserve">this is considered </w:t>
      </w:r>
      <w:r w:rsidR="00BA716A">
        <w:rPr>
          <w:rFonts w:ascii="Arial" w:hAnsi="Arial" w:cs="Arial"/>
        </w:rPr>
        <w:t>useful.</w:t>
      </w:r>
      <w:r w:rsidR="00D11461">
        <w:rPr>
          <w:rFonts w:ascii="Arial" w:hAnsi="Arial" w:cs="Arial"/>
        </w:rPr>
        <w:t xml:space="preserve"> </w:t>
      </w:r>
    </w:p>
    <w:p w:rsidR="00853E5C" w:rsidRPr="00952970" w:rsidRDefault="00BA716A" w:rsidP="00D11461">
      <w:pPr>
        <w:spacing w:after="240"/>
        <w:jc w:val="both"/>
        <w:rPr>
          <w:rFonts w:ascii="Arial" w:hAnsi="Arial" w:cs="Arial"/>
          <w:b/>
        </w:rPr>
      </w:pPr>
      <w:r>
        <w:rPr>
          <w:rFonts w:ascii="Arial" w:hAnsi="Arial" w:cs="Arial"/>
          <w:b/>
        </w:rPr>
        <w:t>The recommended variable is the</w:t>
      </w:r>
      <w:r w:rsidR="00853E5C" w:rsidRPr="00952970">
        <w:rPr>
          <w:rFonts w:ascii="Arial" w:hAnsi="Arial" w:cs="Arial"/>
          <w:b/>
        </w:rPr>
        <w:t xml:space="preserve"> percentage of non-white residents </w:t>
      </w:r>
      <w:r>
        <w:rPr>
          <w:rFonts w:ascii="Arial" w:hAnsi="Arial" w:cs="Arial"/>
          <w:b/>
        </w:rPr>
        <w:t>with</w:t>
      </w:r>
      <w:r w:rsidR="00853E5C" w:rsidRPr="00952970">
        <w:rPr>
          <w:rFonts w:ascii="Arial" w:hAnsi="Arial" w:cs="Arial"/>
          <w:b/>
        </w:rPr>
        <w:t xml:space="preserve">in each DZ. </w:t>
      </w:r>
    </w:p>
    <w:p w:rsidR="00584B57" w:rsidRDefault="00CC35CF" w:rsidP="00AA6A5B">
      <w:pPr>
        <w:spacing w:after="240"/>
        <w:rPr>
          <w:rFonts w:ascii="Arial" w:hAnsi="Arial" w:cs="Arial"/>
          <w:b/>
        </w:rPr>
      </w:pPr>
      <w:r>
        <w:rPr>
          <w:rFonts w:ascii="Arial" w:hAnsi="Arial" w:cs="Arial"/>
          <w:b/>
        </w:rPr>
        <w:t>2</w:t>
      </w:r>
      <w:r w:rsidR="00584B57">
        <w:rPr>
          <w:rFonts w:ascii="Arial" w:hAnsi="Arial" w:cs="Arial"/>
          <w:b/>
        </w:rPr>
        <w:t>.2 Health conditions – question 20</w:t>
      </w:r>
    </w:p>
    <w:p w:rsidR="00584B57" w:rsidRDefault="00BA716A" w:rsidP="00CE7F34">
      <w:pPr>
        <w:spacing w:after="240"/>
        <w:jc w:val="both"/>
        <w:rPr>
          <w:rFonts w:ascii="Arial" w:hAnsi="Arial" w:cs="Arial"/>
        </w:rPr>
      </w:pPr>
      <w:r>
        <w:rPr>
          <w:rFonts w:ascii="Arial" w:hAnsi="Arial" w:cs="Arial"/>
        </w:rPr>
        <w:t>Question 20 asks,</w:t>
      </w:r>
      <w:r w:rsidR="00584B57">
        <w:rPr>
          <w:rFonts w:ascii="Arial" w:hAnsi="Arial" w:cs="Arial"/>
        </w:rPr>
        <w:t xml:space="preserve"> </w:t>
      </w:r>
      <w:r w:rsidR="00584B57">
        <w:rPr>
          <w:rFonts w:ascii="Arial" w:hAnsi="Arial" w:cs="Arial"/>
          <w:i/>
        </w:rPr>
        <w:t>“Do you have any of the following conditions which have lasted, or are expected to last, at least 12 months?”</w:t>
      </w:r>
      <w:r w:rsidR="00584B57">
        <w:rPr>
          <w:rFonts w:ascii="Arial" w:hAnsi="Arial" w:cs="Arial"/>
        </w:rPr>
        <w:t xml:space="preserve"> with options</w:t>
      </w:r>
      <w:r w:rsidR="00BC04E6">
        <w:rPr>
          <w:rFonts w:ascii="Arial" w:hAnsi="Arial" w:cs="Arial"/>
        </w:rPr>
        <w:t>:</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Deafness or partial hearing loss</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Blindness or partial sight loss</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Learning disability</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Learning difficulty</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lastRenderedPageBreak/>
        <w:t>Development disorder</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Physical disability</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Mental health condition</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Long-term illness, disease or condition</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Other condition</w:t>
      </w:r>
    </w:p>
    <w:p w:rsidR="00584B57" w:rsidRPr="00BC04E6" w:rsidRDefault="00584B57" w:rsidP="00CE7F34">
      <w:pPr>
        <w:pStyle w:val="ListParagraph"/>
        <w:numPr>
          <w:ilvl w:val="0"/>
          <w:numId w:val="6"/>
        </w:numPr>
        <w:spacing w:after="240"/>
        <w:jc w:val="both"/>
        <w:rPr>
          <w:rFonts w:ascii="Arial" w:hAnsi="Arial" w:cs="Arial"/>
          <w:i/>
        </w:rPr>
      </w:pPr>
      <w:r w:rsidRPr="00BC04E6">
        <w:rPr>
          <w:rFonts w:ascii="Arial" w:hAnsi="Arial" w:cs="Arial"/>
          <w:i/>
        </w:rPr>
        <w:t>No condition</w:t>
      </w:r>
    </w:p>
    <w:p w:rsidR="00584B57" w:rsidRDefault="00BA716A" w:rsidP="00CE7F34">
      <w:pPr>
        <w:spacing w:after="240"/>
        <w:jc w:val="both"/>
        <w:rPr>
          <w:rFonts w:ascii="Arial" w:hAnsi="Arial" w:cs="Arial"/>
        </w:rPr>
      </w:pPr>
      <w:r>
        <w:rPr>
          <w:rFonts w:ascii="Arial" w:hAnsi="Arial" w:cs="Arial"/>
        </w:rPr>
        <w:t xml:space="preserve">Data have been obtained, by 2011 Data Zone. The number of people </w:t>
      </w:r>
      <w:r w:rsidR="00E14418">
        <w:rPr>
          <w:rFonts w:ascii="Arial" w:hAnsi="Arial" w:cs="Arial"/>
        </w:rPr>
        <w:t>self-reporting</w:t>
      </w:r>
      <w:r>
        <w:rPr>
          <w:rFonts w:ascii="Arial" w:hAnsi="Arial" w:cs="Arial"/>
        </w:rPr>
        <w:t xml:space="preserve"> a</w:t>
      </w:r>
      <w:r w:rsidR="00CE7F34">
        <w:rPr>
          <w:rFonts w:ascii="Arial" w:hAnsi="Arial" w:cs="Arial"/>
        </w:rPr>
        <w:t xml:space="preserve">ny of the </w:t>
      </w:r>
      <w:r>
        <w:rPr>
          <w:rFonts w:ascii="Arial" w:hAnsi="Arial" w:cs="Arial"/>
        </w:rPr>
        <w:t xml:space="preserve">above </w:t>
      </w:r>
      <w:r w:rsidR="00CE7F34">
        <w:rPr>
          <w:rFonts w:ascii="Arial" w:hAnsi="Arial" w:cs="Arial"/>
        </w:rPr>
        <w:t xml:space="preserve">conditions can be expressed as </w:t>
      </w:r>
      <w:r w:rsidR="00E14418">
        <w:rPr>
          <w:rFonts w:ascii="Arial" w:hAnsi="Arial" w:cs="Arial"/>
        </w:rPr>
        <w:t xml:space="preserve">a </w:t>
      </w:r>
      <w:r w:rsidR="00CE7F34">
        <w:rPr>
          <w:rFonts w:ascii="Arial" w:hAnsi="Arial" w:cs="Arial"/>
        </w:rPr>
        <w:t xml:space="preserve">percentage of the population. The </w:t>
      </w:r>
      <w:r w:rsidR="00935BAA" w:rsidRPr="00935BAA">
        <w:rPr>
          <w:rFonts w:ascii="Arial" w:hAnsi="Arial" w:cs="Arial"/>
          <w:i/>
        </w:rPr>
        <w:t>Long-term illness, disease or condition</w:t>
      </w:r>
      <w:r w:rsidR="00CE7F34">
        <w:rPr>
          <w:rFonts w:ascii="Arial" w:hAnsi="Arial" w:cs="Arial"/>
        </w:rPr>
        <w:t xml:space="preserve"> </w:t>
      </w:r>
      <w:r w:rsidR="00935BAA">
        <w:rPr>
          <w:rFonts w:ascii="Arial" w:hAnsi="Arial" w:cs="Arial"/>
        </w:rPr>
        <w:t xml:space="preserve">response </w:t>
      </w:r>
      <w:r w:rsidR="00CE7F34">
        <w:rPr>
          <w:rFonts w:ascii="Arial" w:hAnsi="Arial" w:cs="Arial"/>
        </w:rPr>
        <w:t xml:space="preserve">option </w:t>
      </w:r>
      <w:r w:rsidR="00935BAA">
        <w:rPr>
          <w:rFonts w:ascii="Arial" w:hAnsi="Arial" w:cs="Arial"/>
        </w:rPr>
        <w:t xml:space="preserve">has been identified as a candidate </w:t>
      </w:r>
      <w:r w:rsidR="00CE7F34">
        <w:rPr>
          <w:rFonts w:ascii="Arial" w:hAnsi="Arial" w:cs="Arial"/>
        </w:rPr>
        <w:t>indicator of need</w:t>
      </w:r>
      <w:r w:rsidR="00935BAA">
        <w:rPr>
          <w:rFonts w:ascii="Arial" w:hAnsi="Arial" w:cs="Arial"/>
        </w:rPr>
        <w:t xml:space="preserve"> for </w:t>
      </w:r>
      <w:proofErr w:type="gramStart"/>
      <w:r w:rsidR="00935BAA">
        <w:rPr>
          <w:rFonts w:ascii="Arial" w:hAnsi="Arial" w:cs="Arial"/>
        </w:rPr>
        <w:t>Acute</w:t>
      </w:r>
      <w:proofErr w:type="gramEnd"/>
      <w:r w:rsidR="00935BAA">
        <w:rPr>
          <w:rFonts w:ascii="Arial" w:hAnsi="Arial" w:cs="Arial"/>
        </w:rPr>
        <w:t xml:space="preserve"> services</w:t>
      </w:r>
      <w:r w:rsidR="00CE7F34">
        <w:rPr>
          <w:rFonts w:ascii="Arial" w:hAnsi="Arial" w:cs="Arial"/>
        </w:rPr>
        <w:t xml:space="preserve">. </w:t>
      </w:r>
    </w:p>
    <w:p w:rsidR="00CE7F34" w:rsidRDefault="00CC35CF" w:rsidP="00CE7F34">
      <w:pPr>
        <w:spacing w:after="240"/>
        <w:jc w:val="both"/>
        <w:rPr>
          <w:rFonts w:ascii="Arial" w:hAnsi="Arial" w:cs="Arial"/>
          <w:b/>
        </w:rPr>
      </w:pPr>
      <w:r>
        <w:rPr>
          <w:rFonts w:ascii="Arial" w:hAnsi="Arial" w:cs="Arial"/>
          <w:b/>
        </w:rPr>
        <w:t>2</w:t>
      </w:r>
      <w:r w:rsidR="00CE7F34" w:rsidRPr="00CE7F34">
        <w:rPr>
          <w:rFonts w:ascii="Arial" w:hAnsi="Arial" w:cs="Arial"/>
          <w:b/>
        </w:rPr>
        <w:t>.3 Limiting long-term illness</w:t>
      </w:r>
      <w:r w:rsidR="00CE7F34">
        <w:rPr>
          <w:rFonts w:ascii="Arial" w:hAnsi="Arial" w:cs="Arial"/>
          <w:b/>
        </w:rPr>
        <w:t xml:space="preserve"> (LLTI)</w:t>
      </w:r>
      <w:r w:rsidR="004877A4">
        <w:rPr>
          <w:rFonts w:ascii="Arial" w:hAnsi="Arial" w:cs="Arial"/>
          <w:b/>
        </w:rPr>
        <w:t xml:space="preserve"> – question 21</w:t>
      </w:r>
    </w:p>
    <w:p w:rsidR="00CE7F34" w:rsidRDefault="00E14418" w:rsidP="00CE7F34">
      <w:pPr>
        <w:spacing w:after="240"/>
        <w:jc w:val="both"/>
        <w:rPr>
          <w:rFonts w:ascii="Arial" w:hAnsi="Arial" w:cs="Arial"/>
        </w:rPr>
      </w:pPr>
      <w:r>
        <w:rPr>
          <w:rFonts w:ascii="Arial" w:hAnsi="Arial" w:cs="Arial"/>
        </w:rPr>
        <w:t>Question 21 asks,</w:t>
      </w:r>
      <w:r w:rsidR="00CE7F34">
        <w:rPr>
          <w:rFonts w:ascii="Arial" w:hAnsi="Arial" w:cs="Arial"/>
        </w:rPr>
        <w:t xml:space="preserve"> </w:t>
      </w:r>
      <w:r w:rsidR="00CE7F34">
        <w:rPr>
          <w:rFonts w:ascii="Arial" w:hAnsi="Arial" w:cs="Arial"/>
          <w:i/>
        </w:rPr>
        <w:t>“Are your day-to-day activities limited because of a health problem or disability which has lasted, or is expected to last, at least 12 months?”</w:t>
      </w:r>
      <w:r w:rsidR="00CE7F34">
        <w:rPr>
          <w:rFonts w:ascii="Arial" w:hAnsi="Arial" w:cs="Arial"/>
        </w:rPr>
        <w:t xml:space="preserve"> with options</w:t>
      </w:r>
      <w:r w:rsidR="00A54735">
        <w:rPr>
          <w:rFonts w:ascii="Arial" w:hAnsi="Arial" w:cs="Arial"/>
        </w:rPr>
        <w:t>:</w:t>
      </w:r>
    </w:p>
    <w:p w:rsidR="00CE7F34" w:rsidRDefault="00CE7F34" w:rsidP="00CE7F34">
      <w:pPr>
        <w:pStyle w:val="ListParagraph"/>
        <w:numPr>
          <w:ilvl w:val="0"/>
          <w:numId w:val="7"/>
        </w:numPr>
        <w:spacing w:after="240"/>
        <w:jc w:val="both"/>
        <w:rPr>
          <w:rFonts w:ascii="Arial" w:hAnsi="Arial" w:cs="Arial"/>
        </w:rPr>
      </w:pPr>
      <w:r>
        <w:rPr>
          <w:rFonts w:ascii="Arial" w:hAnsi="Arial" w:cs="Arial"/>
        </w:rPr>
        <w:t>Yes, limited a lot</w:t>
      </w:r>
    </w:p>
    <w:p w:rsidR="00CE7F34" w:rsidRDefault="00CE7F34" w:rsidP="00CE7F34">
      <w:pPr>
        <w:pStyle w:val="ListParagraph"/>
        <w:numPr>
          <w:ilvl w:val="0"/>
          <w:numId w:val="7"/>
        </w:numPr>
        <w:spacing w:after="240"/>
        <w:jc w:val="both"/>
        <w:rPr>
          <w:rFonts w:ascii="Arial" w:hAnsi="Arial" w:cs="Arial"/>
        </w:rPr>
      </w:pPr>
      <w:r>
        <w:rPr>
          <w:rFonts w:ascii="Arial" w:hAnsi="Arial" w:cs="Arial"/>
        </w:rPr>
        <w:t>Yes, limited a little</w:t>
      </w:r>
    </w:p>
    <w:p w:rsidR="00CE7F34" w:rsidRDefault="00CE7F34" w:rsidP="00CE7F34">
      <w:pPr>
        <w:pStyle w:val="ListParagraph"/>
        <w:numPr>
          <w:ilvl w:val="0"/>
          <w:numId w:val="7"/>
        </w:numPr>
        <w:spacing w:after="240"/>
        <w:jc w:val="both"/>
        <w:rPr>
          <w:rFonts w:ascii="Arial" w:hAnsi="Arial" w:cs="Arial"/>
        </w:rPr>
      </w:pPr>
      <w:r>
        <w:rPr>
          <w:rFonts w:ascii="Arial" w:hAnsi="Arial" w:cs="Arial"/>
        </w:rPr>
        <w:t>No</w:t>
      </w:r>
    </w:p>
    <w:p w:rsidR="00CE7F34" w:rsidRPr="00584B57" w:rsidRDefault="00E14418" w:rsidP="00CE7F34">
      <w:pPr>
        <w:spacing w:after="240"/>
        <w:jc w:val="both"/>
        <w:rPr>
          <w:rFonts w:ascii="Arial" w:hAnsi="Arial" w:cs="Arial"/>
        </w:rPr>
      </w:pPr>
      <w:r>
        <w:rPr>
          <w:rFonts w:ascii="Arial" w:hAnsi="Arial" w:cs="Arial"/>
        </w:rPr>
        <w:t xml:space="preserve">Data have been obtained, by 2011 Data Zone. These data </w:t>
      </w:r>
      <w:r w:rsidR="00CE7F34">
        <w:rPr>
          <w:rFonts w:ascii="Arial" w:hAnsi="Arial" w:cs="Arial"/>
        </w:rPr>
        <w:t xml:space="preserve">are used for developing one of the current indicators of need – the LLTI Ratio. </w:t>
      </w:r>
    </w:p>
    <w:p w:rsidR="00176826" w:rsidRDefault="00CC35CF" w:rsidP="00AA6A5B">
      <w:pPr>
        <w:spacing w:after="240"/>
        <w:rPr>
          <w:rFonts w:ascii="Arial" w:hAnsi="Arial" w:cs="Arial"/>
          <w:b/>
        </w:rPr>
      </w:pPr>
      <w:r>
        <w:rPr>
          <w:rFonts w:ascii="Arial" w:hAnsi="Arial" w:cs="Arial"/>
          <w:b/>
        </w:rPr>
        <w:t>2</w:t>
      </w:r>
      <w:r w:rsidR="00CE7F34">
        <w:rPr>
          <w:rFonts w:ascii="Arial" w:hAnsi="Arial" w:cs="Arial"/>
          <w:b/>
        </w:rPr>
        <w:t>.4</w:t>
      </w:r>
      <w:r w:rsidR="009A7537">
        <w:rPr>
          <w:rFonts w:ascii="Arial" w:hAnsi="Arial" w:cs="Arial"/>
          <w:b/>
        </w:rPr>
        <w:t xml:space="preserve"> Unemployment/Permanent sick</w:t>
      </w:r>
      <w:r w:rsidR="00176826">
        <w:rPr>
          <w:rFonts w:ascii="Arial" w:hAnsi="Arial" w:cs="Arial"/>
          <w:b/>
        </w:rPr>
        <w:t xml:space="preserve"> </w:t>
      </w:r>
    </w:p>
    <w:p w:rsidR="004877A4" w:rsidRPr="00ED16EE" w:rsidRDefault="00ED16EE" w:rsidP="00C966F3">
      <w:pPr>
        <w:spacing w:after="240"/>
        <w:jc w:val="both"/>
        <w:rPr>
          <w:rFonts w:ascii="Arial" w:hAnsi="Arial" w:cs="Arial"/>
        </w:rPr>
      </w:pPr>
      <w:r>
        <w:rPr>
          <w:rFonts w:ascii="Arial" w:hAnsi="Arial" w:cs="Arial"/>
        </w:rPr>
        <w:t>Data has been obtained from questions 24-28. The data from this linked series of questions identifies numbers of people who are not working and permanently sick.</w:t>
      </w:r>
      <w:r w:rsidR="00C966F3">
        <w:rPr>
          <w:rFonts w:ascii="Arial" w:hAnsi="Arial" w:cs="Arial"/>
        </w:rPr>
        <w:t xml:space="preserve"> The percentage of unemployed and permanent sick residents of each DZ can be used as potential indicators of need. </w:t>
      </w:r>
    </w:p>
    <w:p w:rsidR="00DA20F7" w:rsidRDefault="00CC35CF" w:rsidP="00AA6A5B">
      <w:pPr>
        <w:spacing w:after="240"/>
        <w:rPr>
          <w:rFonts w:ascii="Arial" w:hAnsi="Arial" w:cs="Arial"/>
          <w:b/>
        </w:rPr>
      </w:pPr>
      <w:r>
        <w:rPr>
          <w:rFonts w:ascii="Arial" w:hAnsi="Arial" w:cs="Arial"/>
          <w:b/>
        </w:rPr>
        <w:t>2</w:t>
      </w:r>
      <w:r w:rsidR="00CE7F34">
        <w:rPr>
          <w:rFonts w:ascii="Arial" w:hAnsi="Arial" w:cs="Arial"/>
          <w:b/>
        </w:rPr>
        <w:t>.5</w:t>
      </w:r>
      <w:r w:rsidR="00DA20F7">
        <w:rPr>
          <w:rFonts w:ascii="Arial" w:hAnsi="Arial" w:cs="Arial"/>
          <w:b/>
        </w:rPr>
        <w:t xml:space="preserve"> New suggestions</w:t>
      </w:r>
      <w:r w:rsidR="00176826">
        <w:rPr>
          <w:rFonts w:ascii="Arial" w:hAnsi="Arial" w:cs="Arial"/>
          <w:b/>
        </w:rPr>
        <w:t xml:space="preserve"> for discussion at Subgroup meeting</w:t>
      </w:r>
    </w:p>
    <w:p w:rsidR="002472CC" w:rsidRPr="002472CC" w:rsidRDefault="00BC04E6" w:rsidP="00935BAA">
      <w:pPr>
        <w:pStyle w:val="ListParagraph"/>
        <w:numPr>
          <w:ilvl w:val="0"/>
          <w:numId w:val="8"/>
        </w:numPr>
        <w:spacing w:after="240"/>
        <w:contextualSpacing w:val="0"/>
        <w:jc w:val="both"/>
        <w:rPr>
          <w:rFonts w:ascii="Arial" w:hAnsi="Arial" w:cs="Arial"/>
          <w:b/>
        </w:rPr>
      </w:pPr>
      <w:r>
        <w:rPr>
          <w:rFonts w:ascii="Arial" w:hAnsi="Arial" w:cs="Arial"/>
          <w:b/>
        </w:rPr>
        <w:t xml:space="preserve">Unpaid care – </w:t>
      </w:r>
      <w:r w:rsidR="00DA20F7">
        <w:rPr>
          <w:rFonts w:ascii="Arial" w:hAnsi="Arial" w:cs="Arial"/>
          <w:b/>
        </w:rPr>
        <w:t>question</w:t>
      </w:r>
      <w:r>
        <w:rPr>
          <w:rFonts w:ascii="Arial" w:hAnsi="Arial" w:cs="Arial"/>
          <w:b/>
        </w:rPr>
        <w:t xml:space="preserve"> </w:t>
      </w:r>
      <w:r w:rsidR="00DA20F7">
        <w:rPr>
          <w:rFonts w:ascii="Arial" w:hAnsi="Arial" w:cs="Arial"/>
          <w:b/>
        </w:rPr>
        <w:t xml:space="preserve">9 </w:t>
      </w:r>
      <w:r w:rsidR="00DA20F7">
        <w:rPr>
          <w:rFonts w:ascii="Arial" w:hAnsi="Arial" w:cs="Arial"/>
          <w:i/>
        </w:rPr>
        <w:t>“Do you look after, or give any help or support to family members, friends, neighbours or others because of either</w:t>
      </w:r>
      <w:r>
        <w:rPr>
          <w:rFonts w:ascii="Arial" w:hAnsi="Arial" w:cs="Arial"/>
          <w:i/>
        </w:rPr>
        <w:t>:</w:t>
      </w:r>
      <w:r w:rsidR="00DA20F7">
        <w:rPr>
          <w:rFonts w:ascii="Arial" w:hAnsi="Arial" w:cs="Arial"/>
          <w:i/>
        </w:rPr>
        <w:t xml:space="preserve"> long-term physical/mental ill-health/disability; or problems related to old age?</w:t>
      </w:r>
      <w:r w:rsidR="00176826">
        <w:rPr>
          <w:rFonts w:ascii="Arial" w:hAnsi="Arial" w:cs="Arial"/>
          <w:i/>
        </w:rPr>
        <w:t>”</w:t>
      </w:r>
      <w:r w:rsidR="006D6470">
        <w:rPr>
          <w:rFonts w:ascii="Arial" w:hAnsi="Arial" w:cs="Arial"/>
        </w:rPr>
        <w:t xml:space="preserve"> with response options </w:t>
      </w:r>
      <w:r w:rsidR="006D6470" w:rsidRPr="006D6470">
        <w:rPr>
          <w:rFonts w:ascii="Arial" w:hAnsi="Arial" w:cs="Arial"/>
          <w:i/>
        </w:rPr>
        <w:t>No</w:t>
      </w:r>
      <w:r w:rsidR="006D6470">
        <w:rPr>
          <w:rFonts w:ascii="Arial" w:hAnsi="Arial" w:cs="Arial"/>
        </w:rPr>
        <w:t xml:space="preserve"> and </w:t>
      </w:r>
      <w:r w:rsidR="006D6470" w:rsidRPr="006D6470">
        <w:rPr>
          <w:rFonts w:ascii="Arial" w:hAnsi="Arial" w:cs="Arial"/>
          <w:i/>
        </w:rPr>
        <w:t>Yes</w:t>
      </w:r>
      <w:r w:rsidR="006D6470">
        <w:rPr>
          <w:rFonts w:ascii="Arial" w:hAnsi="Arial" w:cs="Arial"/>
        </w:rPr>
        <w:t xml:space="preserve"> with a variety of numbers of hours per week in the Yes case</w:t>
      </w:r>
      <w:r w:rsidR="006F4E05">
        <w:rPr>
          <w:rFonts w:ascii="Arial" w:hAnsi="Arial" w:cs="Arial"/>
        </w:rPr>
        <w:t xml:space="preserve">. This could be used to test whether unpaid </w:t>
      </w:r>
      <w:proofErr w:type="spellStart"/>
      <w:r w:rsidR="006F4E05">
        <w:rPr>
          <w:rFonts w:ascii="Arial" w:hAnsi="Arial" w:cs="Arial"/>
        </w:rPr>
        <w:t>caregiving</w:t>
      </w:r>
      <w:proofErr w:type="spellEnd"/>
      <w:r w:rsidR="006F4E05">
        <w:rPr>
          <w:rFonts w:ascii="Arial" w:hAnsi="Arial" w:cs="Arial"/>
        </w:rPr>
        <w:t xml:space="preserve"> predicts need for </w:t>
      </w:r>
      <w:proofErr w:type="gramStart"/>
      <w:r w:rsidR="006F4E05">
        <w:rPr>
          <w:rFonts w:ascii="Arial" w:hAnsi="Arial" w:cs="Arial"/>
        </w:rPr>
        <w:t>Acute</w:t>
      </w:r>
      <w:proofErr w:type="gramEnd"/>
      <w:r w:rsidR="006F4E05">
        <w:rPr>
          <w:rFonts w:ascii="Arial" w:hAnsi="Arial" w:cs="Arial"/>
        </w:rPr>
        <w:t xml:space="preserve"> services.</w:t>
      </w:r>
    </w:p>
    <w:p w:rsidR="002472CC" w:rsidRPr="00935BAA" w:rsidRDefault="002472CC" w:rsidP="00935BAA">
      <w:pPr>
        <w:pStyle w:val="ListParagraph"/>
        <w:numPr>
          <w:ilvl w:val="0"/>
          <w:numId w:val="8"/>
        </w:numPr>
        <w:spacing w:after="240"/>
        <w:contextualSpacing w:val="0"/>
        <w:jc w:val="both"/>
        <w:rPr>
          <w:rFonts w:ascii="Arial" w:hAnsi="Arial" w:cs="Arial"/>
          <w:b/>
        </w:rPr>
      </w:pPr>
      <w:r w:rsidRPr="002472CC">
        <w:rPr>
          <w:rFonts w:ascii="Arial" w:hAnsi="Arial" w:cs="Arial"/>
          <w:b/>
        </w:rPr>
        <w:t>General health – question 19</w:t>
      </w:r>
      <w:r w:rsidRPr="002472CC">
        <w:rPr>
          <w:rFonts w:ascii="Arial" w:hAnsi="Arial" w:cs="Arial"/>
        </w:rPr>
        <w:t xml:space="preserve"> “</w:t>
      </w:r>
      <w:r w:rsidRPr="002472CC">
        <w:rPr>
          <w:rFonts w:ascii="Arial" w:hAnsi="Arial" w:cs="Arial"/>
          <w:i/>
        </w:rPr>
        <w:t>How is your health in general?</w:t>
      </w:r>
      <w:r w:rsidRPr="002472CC">
        <w:rPr>
          <w:rFonts w:ascii="Arial" w:hAnsi="Arial" w:cs="Arial"/>
        </w:rPr>
        <w:t xml:space="preserve">” with response options </w:t>
      </w:r>
      <w:r w:rsidRPr="002472CC">
        <w:rPr>
          <w:rFonts w:ascii="Arial" w:hAnsi="Arial" w:cs="Arial"/>
          <w:i/>
        </w:rPr>
        <w:t>Very good</w:t>
      </w:r>
      <w:r w:rsidRPr="002472CC">
        <w:rPr>
          <w:rFonts w:ascii="Arial" w:hAnsi="Arial" w:cs="Arial"/>
        </w:rPr>
        <w:t xml:space="preserve">, </w:t>
      </w:r>
      <w:r w:rsidRPr="002472CC">
        <w:rPr>
          <w:rFonts w:ascii="Arial" w:hAnsi="Arial" w:cs="Arial"/>
          <w:i/>
        </w:rPr>
        <w:t>Good</w:t>
      </w:r>
      <w:r w:rsidRPr="002472CC">
        <w:rPr>
          <w:rFonts w:ascii="Arial" w:hAnsi="Arial" w:cs="Arial"/>
        </w:rPr>
        <w:t xml:space="preserve">, </w:t>
      </w:r>
      <w:r w:rsidRPr="002472CC">
        <w:rPr>
          <w:rFonts w:ascii="Arial" w:hAnsi="Arial" w:cs="Arial"/>
          <w:i/>
        </w:rPr>
        <w:t>Fair</w:t>
      </w:r>
      <w:r w:rsidRPr="002472CC">
        <w:rPr>
          <w:rFonts w:ascii="Arial" w:hAnsi="Arial" w:cs="Arial"/>
        </w:rPr>
        <w:t xml:space="preserve">, </w:t>
      </w:r>
      <w:r w:rsidRPr="002472CC">
        <w:rPr>
          <w:rFonts w:ascii="Arial" w:hAnsi="Arial" w:cs="Arial"/>
          <w:i/>
        </w:rPr>
        <w:t>Bad</w:t>
      </w:r>
      <w:r w:rsidRPr="002472CC">
        <w:rPr>
          <w:rFonts w:ascii="Arial" w:hAnsi="Arial" w:cs="Arial"/>
        </w:rPr>
        <w:t xml:space="preserve">, or </w:t>
      </w:r>
      <w:r w:rsidRPr="002472CC">
        <w:rPr>
          <w:rFonts w:ascii="Arial" w:hAnsi="Arial" w:cs="Arial"/>
          <w:i/>
        </w:rPr>
        <w:t>Very bad</w:t>
      </w:r>
      <w:r w:rsidRPr="002472CC">
        <w:rPr>
          <w:rFonts w:ascii="Arial" w:hAnsi="Arial" w:cs="Arial"/>
        </w:rPr>
        <w:t xml:space="preserve">. </w:t>
      </w:r>
      <w:r w:rsidR="00E14418">
        <w:rPr>
          <w:rFonts w:ascii="Arial" w:hAnsi="Arial" w:cs="Arial"/>
        </w:rPr>
        <w:t>This has been mentioned in previous iterations of the potential candidate variables paper, but not included in the table.</w:t>
      </w:r>
    </w:p>
    <w:p w:rsidR="00935BAA" w:rsidRPr="00814A31" w:rsidRDefault="00935BAA" w:rsidP="00935BAA">
      <w:pPr>
        <w:pStyle w:val="ListParagraph"/>
        <w:numPr>
          <w:ilvl w:val="0"/>
          <w:numId w:val="8"/>
        </w:numPr>
        <w:spacing w:after="240"/>
        <w:contextualSpacing w:val="0"/>
        <w:jc w:val="both"/>
        <w:rPr>
          <w:rFonts w:ascii="Arial" w:hAnsi="Arial" w:cs="Arial"/>
          <w:b/>
        </w:rPr>
      </w:pPr>
      <w:r>
        <w:rPr>
          <w:rFonts w:ascii="Arial" w:hAnsi="Arial" w:cs="Arial"/>
          <w:b/>
        </w:rPr>
        <w:t xml:space="preserve">Mental health condition – question 20 </w:t>
      </w:r>
      <w:r>
        <w:rPr>
          <w:rFonts w:ascii="Arial" w:hAnsi="Arial" w:cs="Arial"/>
          <w:i/>
        </w:rPr>
        <w:t xml:space="preserve">“Do you have any of the following conditions which have lasted, or are expected to last, at least 12 months?” </w:t>
      </w:r>
      <w:r>
        <w:rPr>
          <w:rFonts w:ascii="Arial" w:hAnsi="Arial" w:cs="Arial"/>
        </w:rPr>
        <w:t xml:space="preserve">with </w:t>
      </w:r>
      <w:r w:rsidRPr="00935BAA">
        <w:rPr>
          <w:rFonts w:ascii="Arial" w:hAnsi="Arial" w:cs="Arial"/>
          <w:i/>
        </w:rPr>
        <w:t>Mental health condition</w:t>
      </w:r>
      <w:r>
        <w:rPr>
          <w:rFonts w:ascii="Arial" w:hAnsi="Arial" w:cs="Arial"/>
        </w:rPr>
        <w:t xml:space="preserve"> as one response option. The data has already been obtained for this question, but this particular response has not been considered for use before now. It </w:t>
      </w:r>
      <w:r>
        <w:rPr>
          <w:rFonts w:ascii="Arial" w:hAnsi="Arial" w:cs="Arial"/>
        </w:rPr>
        <w:lastRenderedPageBreak/>
        <w:t>could be useful to try to capture the link reported by Bruce Guthrie between mental health conditions and need for Acute services.</w:t>
      </w:r>
    </w:p>
    <w:p w:rsidR="00170AAA" w:rsidRPr="00170AAA" w:rsidRDefault="00BC04E6" w:rsidP="00935BAA">
      <w:pPr>
        <w:pStyle w:val="ListParagraph"/>
        <w:numPr>
          <w:ilvl w:val="0"/>
          <w:numId w:val="8"/>
        </w:numPr>
        <w:spacing w:after="240"/>
        <w:contextualSpacing w:val="0"/>
        <w:jc w:val="both"/>
        <w:rPr>
          <w:rFonts w:ascii="Arial" w:hAnsi="Arial" w:cs="Arial"/>
          <w:b/>
        </w:rPr>
      </w:pPr>
      <w:r>
        <w:rPr>
          <w:rFonts w:ascii="Arial" w:hAnsi="Arial" w:cs="Arial"/>
          <w:b/>
        </w:rPr>
        <w:t xml:space="preserve">Education level – </w:t>
      </w:r>
      <w:r w:rsidR="00DA20F7">
        <w:rPr>
          <w:rFonts w:ascii="Arial" w:hAnsi="Arial" w:cs="Arial"/>
          <w:b/>
        </w:rPr>
        <w:t>question</w:t>
      </w:r>
      <w:r>
        <w:rPr>
          <w:rFonts w:ascii="Arial" w:hAnsi="Arial" w:cs="Arial"/>
          <w:b/>
        </w:rPr>
        <w:t xml:space="preserve"> </w:t>
      </w:r>
      <w:r w:rsidR="00DA20F7">
        <w:rPr>
          <w:rFonts w:ascii="Arial" w:hAnsi="Arial" w:cs="Arial"/>
          <w:b/>
        </w:rPr>
        <w:t>23</w:t>
      </w:r>
      <w:r w:rsidR="00522E66">
        <w:rPr>
          <w:rFonts w:ascii="Arial" w:hAnsi="Arial" w:cs="Arial"/>
          <w:b/>
        </w:rPr>
        <w:t xml:space="preserve"> </w:t>
      </w:r>
      <w:r w:rsidRPr="00BC04E6">
        <w:rPr>
          <w:rFonts w:ascii="Arial" w:hAnsi="Arial" w:cs="Arial"/>
        </w:rPr>
        <w:t>“</w:t>
      </w:r>
      <w:r>
        <w:rPr>
          <w:rFonts w:ascii="Arial" w:hAnsi="Arial" w:cs="Arial"/>
          <w:i/>
        </w:rPr>
        <w:t>Which of these</w:t>
      </w:r>
      <w:r w:rsidR="00522E66">
        <w:rPr>
          <w:rFonts w:ascii="Arial" w:hAnsi="Arial" w:cs="Arial"/>
          <w:i/>
        </w:rPr>
        <w:t xml:space="preserve"> qualifications</w:t>
      </w:r>
      <w:r>
        <w:rPr>
          <w:rFonts w:ascii="Arial" w:hAnsi="Arial" w:cs="Arial"/>
          <w:i/>
        </w:rPr>
        <w:t xml:space="preserve"> do you have?</w:t>
      </w:r>
      <w:r>
        <w:rPr>
          <w:rFonts w:ascii="Arial" w:hAnsi="Arial" w:cs="Arial"/>
        </w:rPr>
        <w:t>” with a list of response options</w:t>
      </w:r>
      <w:r w:rsidR="006F4E05">
        <w:rPr>
          <w:rFonts w:ascii="Arial" w:hAnsi="Arial" w:cs="Arial"/>
        </w:rPr>
        <w:t xml:space="preserve">. This could be included in the absence of SIMD to test whether education level predicts need for </w:t>
      </w:r>
      <w:proofErr w:type="gramStart"/>
      <w:r w:rsidR="006F4E05">
        <w:rPr>
          <w:rFonts w:ascii="Arial" w:hAnsi="Arial" w:cs="Arial"/>
        </w:rPr>
        <w:t>Acute</w:t>
      </w:r>
      <w:proofErr w:type="gramEnd"/>
      <w:r w:rsidR="006F4E05">
        <w:rPr>
          <w:rFonts w:ascii="Arial" w:hAnsi="Arial" w:cs="Arial"/>
        </w:rPr>
        <w:t xml:space="preserve"> services.</w:t>
      </w:r>
    </w:p>
    <w:p w:rsidR="00DA20F7" w:rsidRPr="00170AAA" w:rsidRDefault="00BC04E6" w:rsidP="00935BAA">
      <w:pPr>
        <w:pStyle w:val="ListParagraph"/>
        <w:numPr>
          <w:ilvl w:val="0"/>
          <w:numId w:val="8"/>
        </w:numPr>
        <w:spacing w:after="240"/>
        <w:contextualSpacing w:val="0"/>
        <w:jc w:val="both"/>
        <w:rPr>
          <w:rFonts w:ascii="Arial" w:hAnsi="Arial" w:cs="Arial"/>
          <w:b/>
        </w:rPr>
      </w:pPr>
      <w:r>
        <w:rPr>
          <w:rFonts w:ascii="Arial" w:hAnsi="Arial" w:cs="Arial"/>
          <w:b/>
        </w:rPr>
        <w:t xml:space="preserve">Job seekers – </w:t>
      </w:r>
      <w:r w:rsidR="00176826">
        <w:rPr>
          <w:rFonts w:ascii="Arial" w:hAnsi="Arial" w:cs="Arial"/>
          <w:b/>
        </w:rPr>
        <w:t>question</w:t>
      </w:r>
      <w:r>
        <w:rPr>
          <w:rFonts w:ascii="Arial" w:hAnsi="Arial" w:cs="Arial"/>
          <w:b/>
        </w:rPr>
        <w:t xml:space="preserve"> </w:t>
      </w:r>
      <w:r w:rsidR="00176826">
        <w:rPr>
          <w:rFonts w:ascii="Arial" w:hAnsi="Arial" w:cs="Arial"/>
          <w:b/>
        </w:rPr>
        <w:t xml:space="preserve">25 </w:t>
      </w:r>
      <w:r w:rsidR="00176826">
        <w:rPr>
          <w:rFonts w:ascii="Arial" w:hAnsi="Arial" w:cs="Arial"/>
          <w:i/>
        </w:rPr>
        <w:t>“Were you actively looking for any kind of paid work during the last 4 weeks?”</w:t>
      </w:r>
      <w:r w:rsidR="006D6470">
        <w:rPr>
          <w:rFonts w:ascii="Arial" w:hAnsi="Arial" w:cs="Arial"/>
        </w:rPr>
        <w:t xml:space="preserve"> with response options </w:t>
      </w:r>
      <w:r w:rsidR="006D6470" w:rsidRPr="006D6470">
        <w:rPr>
          <w:rFonts w:ascii="Arial" w:hAnsi="Arial" w:cs="Arial"/>
          <w:i/>
        </w:rPr>
        <w:t>Yes</w:t>
      </w:r>
      <w:r w:rsidR="006D6470">
        <w:rPr>
          <w:rFonts w:ascii="Arial" w:hAnsi="Arial" w:cs="Arial"/>
        </w:rPr>
        <w:t xml:space="preserve"> or </w:t>
      </w:r>
      <w:r w:rsidR="006D6470" w:rsidRPr="006D6470">
        <w:rPr>
          <w:rFonts w:ascii="Arial" w:hAnsi="Arial" w:cs="Arial"/>
          <w:i/>
        </w:rPr>
        <w:t>No</w:t>
      </w:r>
      <w:r w:rsidR="006D6470">
        <w:rPr>
          <w:rFonts w:ascii="Arial" w:hAnsi="Arial" w:cs="Arial"/>
        </w:rPr>
        <w:t>.</w:t>
      </w:r>
      <w:r w:rsidR="00ED16EE">
        <w:rPr>
          <w:rFonts w:ascii="Arial" w:hAnsi="Arial" w:cs="Arial"/>
        </w:rPr>
        <w:t xml:space="preserve"> The data that has already been obtained from questions 24-28 identifies numbers of people who are unemployed but “economically active” i.e. seeking work.</w:t>
      </w:r>
      <w:r w:rsidR="006F4E05">
        <w:rPr>
          <w:rFonts w:ascii="Arial" w:hAnsi="Arial" w:cs="Arial"/>
        </w:rPr>
        <w:t xml:space="preserve"> This would be a completely different set of people from those identified as permanently sick, and could be used to check whether </w:t>
      </w:r>
      <w:r w:rsidR="00D71886">
        <w:rPr>
          <w:rFonts w:ascii="Arial" w:hAnsi="Arial" w:cs="Arial"/>
        </w:rPr>
        <w:t>high levels of unemployment correlate with need for Acute services</w:t>
      </w:r>
      <w:r w:rsidR="006F4E05">
        <w:rPr>
          <w:rFonts w:ascii="Arial" w:hAnsi="Arial" w:cs="Arial"/>
        </w:rPr>
        <w:t>.</w:t>
      </w:r>
    </w:p>
    <w:p w:rsidR="00170AAA" w:rsidRPr="00935BAA" w:rsidRDefault="00170AAA" w:rsidP="00935BAA">
      <w:pPr>
        <w:spacing w:after="240"/>
        <w:rPr>
          <w:rFonts w:ascii="Arial" w:hAnsi="Arial" w:cs="Arial"/>
          <w:b/>
        </w:rPr>
      </w:pPr>
    </w:p>
    <w:p w:rsidR="00EA27EA" w:rsidRPr="00EA27EA" w:rsidRDefault="00CC35CF" w:rsidP="00AA6A5B">
      <w:pPr>
        <w:spacing w:after="240"/>
        <w:rPr>
          <w:b/>
        </w:rPr>
      </w:pPr>
      <w:r>
        <w:rPr>
          <w:rFonts w:ascii="Arial" w:hAnsi="Arial" w:cs="Arial"/>
          <w:b/>
        </w:rPr>
        <w:t>3</w:t>
      </w:r>
      <w:r w:rsidR="00EA27EA" w:rsidRPr="00EA27EA">
        <w:rPr>
          <w:rFonts w:ascii="Arial" w:hAnsi="Arial" w:cs="Arial"/>
          <w:b/>
        </w:rPr>
        <w:t>. Supply variables calculation</w:t>
      </w:r>
    </w:p>
    <w:p w:rsidR="006D7AFF" w:rsidRDefault="00166F39" w:rsidP="00166F39">
      <w:pPr>
        <w:spacing w:after="240"/>
        <w:jc w:val="both"/>
        <w:rPr>
          <w:rFonts w:ascii="Arial" w:hAnsi="Arial" w:cs="Arial"/>
        </w:rPr>
      </w:pPr>
      <w:r>
        <w:rPr>
          <w:rFonts w:ascii="Arial" w:hAnsi="Arial" w:cs="Arial"/>
        </w:rPr>
        <w:t xml:space="preserve">All supply measures are based on contemporaneous supply and are mostly computed as the volume of the service provider (number of GPs in a practice, or episodes at a hospital) divided by some distance decay function, and summed over all Scottish providers. </w:t>
      </w:r>
      <w:r w:rsidR="006E095F">
        <w:rPr>
          <w:rFonts w:ascii="Arial" w:hAnsi="Arial" w:cs="Arial"/>
        </w:rPr>
        <w:t xml:space="preserve">All supply variables are defined in Annex D of Technical Report D. </w:t>
      </w:r>
      <w:r w:rsidR="003C6ADE">
        <w:rPr>
          <w:rFonts w:ascii="Arial" w:hAnsi="Arial" w:cs="Arial"/>
        </w:rPr>
        <w:t>(See the Annex for the exact formulation of these variables.)</w:t>
      </w:r>
    </w:p>
    <w:p w:rsidR="00166F39" w:rsidRPr="00C714ED" w:rsidRDefault="00166F39" w:rsidP="002E5502">
      <w:pPr>
        <w:spacing w:after="240"/>
        <w:jc w:val="both"/>
        <w:rPr>
          <w:rFonts w:ascii="Arial" w:hAnsi="Arial" w:cs="Arial"/>
          <w:b/>
          <w:u w:val="single"/>
        </w:rPr>
      </w:pPr>
      <w:r w:rsidRPr="00C714ED">
        <w:rPr>
          <w:rFonts w:ascii="Arial" w:hAnsi="Arial" w:cs="Arial"/>
          <w:b/>
          <w:u w:val="single"/>
        </w:rPr>
        <w:t>Supply of/access to General Practice</w:t>
      </w:r>
    </w:p>
    <w:p w:rsidR="009C3A89" w:rsidRPr="00E14418" w:rsidRDefault="009C3A89" w:rsidP="002E5502">
      <w:pPr>
        <w:pStyle w:val="ListParagraph"/>
        <w:numPr>
          <w:ilvl w:val="0"/>
          <w:numId w:val="5"/>
        </w:numPr>
        <w:spacing w:after="240"/>
        <w:contextualSpacing w:val="0"/>
        <w:jc w:val="both"/>
        <w:rPr>
          <w:rFonts w:ascii="Arial" w:hAnsi="Arial" w:cs="Arial"/>
        </w:rPr>
      </w:pPr>
      <w:r w:rsidRPr="00E14418">
        <w:rPr>
          <w:rFonts w:ascii="Arial" w:hAnsi="Arial" w:cs="Arial"/>
          <w:i/>
        </w:rPr>
        <w:t>“Numbe</w:t>
      </w:r>
      <w:r w:rsidR="00E14418" w:rsidRPr="00E14418">
        <w:rPr>
          <w:rFonts w:ascii="Arial" w:hAnsi="Arial" w:cs="Arial"/>
          <w:i/>
        </w:rPr>
        <w:t>r of GPs serving each Data Zone”</w:t>
      </w:r>
      <w:r w:rsidR="00E14418">
        <w:rPr>
          <w:rFonts w:ascii="Arial" w:hAnsi="Arial" w:cs="Arial"/>
          <w:i/>
        </w:rPr>
        <w:t>.</w:t>
      </w:r>
      <w:r w:rsidRPr="00E14418">
        <w:rPr>
          <w:rFonts w:ascii="Arial" w:hAnsi="Arial" w:cs="Arial"/>
        </w:rPr>
        <w:t xml:space="preserve"> </w:t>
      </w:r>
      <w:r w:rsidR="00166F39" w:rsidRPr="00E14418">
        <w:rPr>
          <w:rFonts w:ascii="Arial" w:hAnsi="Arial" w:cs="Arial"/>
        </w:rPr>
        <w:t>This variable is the sum of the number of practices serving each DZ weighted by the whole time equivalent number of GPs in each practice.</w:t>
      </w:r>
    </w:p>
    <w:p w:rsidR="009C3A89" w:rsidRDefault="009C3A89" w:rsidP="002E5502">
      <w:pPr>
        <w:pStyle w:val="ListParagraph"/>
        <w:numPr>
          <w:ilvl w:val="0"/>
          <w:numId w:val="5"/>
        </w:numPr>
        <w:spacing w:after="240"/>
        <w:contextualSpacing w:val="0"/>
        <w:jc w:val="both"/>
        <w:rPr>
          <w:rFonts w:ascii="Arial" w:hAnsi="Arial" w:cs="Arial"/>
        </w:rPr>
      </w:pPr>
      <w:r>
        <w:rPr>
          <w:rFonts w:ascii="Arial" w:hAnsi="Arial" w:cs="Arial"/>
          <w:i/>
        </w:rPr>
        <w:t xml:space="preserve">“GP </w:t>
      </w:r>
      <w:r w:rsidR="001378DA">
        <w:rPr>
          <w:rFonts w:ascii="Arial" w:hAnsi="Arial" w:cs="Arial"/>
          <w:i/>
        </w:rPr>
        <w:t>s</w:t>
      </w:r>
      <w:r>
        <w:rPr>
          <w:rFonts w:ascii="Arial" w:hAnsi="Arial" w:cs="Arial"/>
          <w:i/>
        </w:rPr>
        <w:t>upply</w:t>
      </w:r>
      <w:r w:rsidR="001378DA">
        <w:rPr>
          <w:rFonts w:ascii="Arial" w:hAnsi="Arial" w:cs="Arial"/>
          <w:i/>
        </w:rPr>
        <w:t>,</w:t>
      </w:r>
      <w:r>
        <w:rPr>
          <w:rFonts w:ascii="Arial" w:hAnsi="Arial" w:cs="Arial"/>
          <w:i/>
        </w:rPr>
        <w:t xml:space="preserve"> 1km</w:t>
      </w:r>
      <w:r w:rsidR="001378DA">
        <w:rPr>
          <w:rFonts w:ascii="Arial" w:hAnsi="Arial" w:cs="Arial"/>
          <w:i/>
        </w:rPr>
        <w:t xml:space="preserve"> </w:t>
      </w:r>
      <w:proofErr w:type="spellStart"/>
      <w:r w:rsidR="001378DA">
        <w:rPr>
          <w:rFonts w:ascii="Arial" w:hAnsi="Arial" w:cs="Arial"/>
          <w:i/>
        </w:rPr>
        <w:t>intrazonal</w:t>
      </w:r>
      <w:proofErr w:type="spellEnd"/>
      <w:r w:rsidR="001378DA">
        <w:rPr>
          <w:rFonts w:ascii="Arial" w:hAnsi="Arial" w:cs="Arial"/>
          <w:i/>
        </w:rPr>
        <w:t xml:space="preserve"> cost</w:t>
      </w:r>
      <w:r>
        <w:rPr>
          <w:rFonts w:ascii="Arial" w:hAnsi="Arial" w:cs="Arial"/>
          <w:i/>
        </w:rPr>
        <w:t xml:space="preserve">”, “GP </w:t>
      </w:r>
      <w:r w:rsidR="001378DA">
        <w:rPr>
          <w:rFonts w:ascii="Arial" w:hAnsi="Arial" w:cs="Arial"/>
          <w:i/>
        </w:rPr>
        <w:t>s</w:t>
      </w:r>
      <w:r>
        <w:rPr>
          <w:rFonts w:ascii="Arial" w:hAnsi="Arial" w:cs="Arial"/>
          <w:i/>
        </w:rPr>
        <w:t>upply</w:t>
      </w:r>
      <w:r w:rsidR="001378DA">
        <w:rPr>
          <w:rFonts w:ascii="Arial" w:hAnsi="Arial" w:cs="Arial"/>
          <w:i/>
        </w:rPr>
        <w:t>,</w:t>
      </w:r>
      <w:r>
        <w:rPr>
          <w:rFonts w:ascii="Arial" w:hAnsi="Arial" w:cs="Arial"/>
          <w:i/>
        </w:rPr>
        <w:t xml:space="preserve"> 5km</w:t>
      </w:r>
      <w:r w:rsidR="001378DA" w:rsidRPr="001378DA">
        <w:rPr>
          <w:rFonts w:ascii="Arial" w:hAnsi="Arial" w:cs="Arial"/>
          <w:i/>
        </w:rPr>
        <w:t xml:space="preserve"> </w:t>
      </w:r>
      <w:proofErr w:type="spellStart"/>
      <w:r w:rsidR="001378DA">
        <w:rPr>
          <w:rFonts w:ascii="Arial" w:hAnsi="Arial" w:cs="Arial"/>
          <w:i/>
        </w:rPr>
        <w:t>intrazonal</w:t>
      </w:r>
      <w:proofErr w:type="spellEnd"/>
      <w:r w:rsidR="001378DA">
        <w:rPr>
          <w:rFonts w:ascii="Arial" w:hAnsi="Arial" w:cs="Arial"/>
          <w:i/>
        </w:rPr>
        <w:t xml:space="preserve"> cost</w:t>
      </w:r>
      <w:r>
        <w:rPr>
          <w:rFonts w:ascii="Arial" w:hAnsi="Arial" w:cs="Arial"/>
          <w:i/>
        </w:rPr>
        <w:t xml:space="preserve">” and “GP </w:t>
      </w:r>
      <w:r w:rsidR="001378DA">
        <w:rPr>
          <w:rFonts w:ascii="Arial" w:hAnsi="Arial" w:cs="Arial"/>
          <w:i/>
        </w:rPr>
        <w:t>s</w:t>
      </w:r>
      <w:r>
        <w:rPr>
          <w:rFonts w:ascii="Arial" w:hAnsi="Arial" w:cs="Arial"/>
          <w:i/>
        </w:rPr>
        <w:t>upply</w:t>
      </w:r>
      <w:r w:rsidR="001378DA">
        <w:rPr>
          <w:rFonts w:ascii="Arial" w:hAnsi="Arial" w:cs="Arial"/>
          <w:i/>
        </w:rPr>
        <w:t>,</w:t>
      </w:r>
      <w:r>
        <w:rPr>
          <w:rFonts w:ascii="Arial" w:hAnsi="Arial" w:cs="Arial"/>
          <w:i/>
        </w:rPr>
        <w:t xml:space="preserve"> 10km</w:t>
      </w:r>
      <w:r w:rsidR="001378DA" w:rsidRPr="001378DA">
        <w:rPr>
          <w:rFonts w:ascii="Arial" w:hAnsi="Arial" w:cs="Arial"/>
          <w:i/>
        </w:rPr>
        <w:t xml:space="preserve"> </w:t>
      </w:r>
      <w:proofErr w:type="spellStart"/>
      <w:r w:rsidR="001378DA">
        <w:rPr>
          <w:rFonts w:ascii="Arial" w:hAnsi="Arial" w:cs="Arial"/>
          <w:i/>
        </w:rPr>
        <w:t>intrazonal</w:t>
      </w:r>
      <w:proofErr w:type="spellEnd"/>
      <w:r w:rsidR="001378DA">
        <w:rPr>
          <w:rFonts w:ascii="Arial" w:hAnsi="Arial" w:cs="Arial"/>
          <w:i/>
        </w:rPr>
        <w:t xml:space="preserve"> cost</w:t>
      </w:r>
      <w:r>
        <w:rPr>
          <w:rFonts w:ascii="Arial" w:hAnsi="Arial" w:cs="Arial"/>
          <w:i/>
        </w:rPr>
        <w:t>”</w:t>
      </w:r>
      <w:r w:rsidR="00E14418">
        <w:rPr>
          <w:rFonts w:ascii="Arial" w:hAnsi="Arial" w:cs="Arial"/>
          <w:i/>
        </w:rPr>
        <w:t>.</w:t>
      </w:r>
      <w:r>
        <w:rPr>
          <w:rFonts w:ascii="Arial" w:hAnsi="Arial" w:cs="Arial"/>
          <w:i/>
        </w:rPr>
        <w:t xml:space="preserve"> </w:t>
      </w:r>
      <w:r>
        <w:rPr>
          <w:rFonts w:ascii="Arial" w:hAnsi="Arial" w:cs="Arial"/>
        </w:rPr>
        <w:t xml:space="preserve">A function of the linear distance from the population grid </w:t>
      </w:r>
      <w:proofErr w:type="spellStart"/>
      <w:r>
        <w:rPr>
          <w:rFonts w:ascii="Arial" w:hAnsi="Arial" w:cs="Arial"/>
        </w:rPr>
        <w:t>centroid</w:t>
      </w:r>
      <w:proofErr w:type="spellEnd"/>
      <w:r>
        <w:rPr>
          <w:rFonts w:ascii="Arial" w:hAnsi="Arial" w:cs="Arial"/>
        </w:rPr>
        <w:t xml:space="preserve"> of the DZ to </w:t>
      </w:r>
      <w:r w:rsidR="003C6ADE">
        <w:rPr>
          <w:rFonts w:ascii="Arial" w:hAnsi="Arial" w:cs="Arial"/>
        </w:rPr>
        <w:t>each</w:t>
      </w:r>
      <w:r>
        <w:rPr>
          <w:rFonts w:ascii="Arial" w:hAnsi="Arial" w:cs="Arial"/>
        </w:rPr>
        <w:t xml:space="preserve"> surgery</w:t>
      </w:r>
      <w:r w:rsidR="003C6ADE">
        <w:rPr>
          <w:rFonts w:ascii="Arial" w:hAnsi="Arial" w:cs="Arial"/>
        </w:rPr>
        <w:t xml:space="preserve"> it is served by</w:t>
      </w:r>
      <w:r>
        <w:rPr>
          <w:rFonts w:ascii="Arial" w:hAnsi="Arial" w:cs="Arial"/>
        </w:rPr>
        <w:t xml:space="preserve">. </w:t>
      </w:r>
      <w:r w:rsidR="001378DA">
        <w:rPr>
          <w:rFonts w:ascii="Arial" w:hAnsi="Arial" w:cs="Arial"/>
        </w:rPr>
        <w:t xml:space="preserve">The </w:t>
      </w:r>
      <w:proofErr w:type="spellStart"/>
      <w:r w:rsidR="001378DA">
        <w:rPr>
          <w:rFonts w:ascii="Arial" w:hAnsi="Arial" w:cs="Arial"/>
        </w:rPr>
        <w:t>intrazonal</w:t>
      </w:r>
      <w:proofErr w:type="spellEnd"/>
      <w:r w:rsidR="001378DA">
        <w:rPr>
          <w:rFonts w:ascii="Arial" w:hAnsi="Arial" w:cs="Arial"/>
        </w:rPr>
        <w:t xml:space="preserve"> cost refers to the assumed travel within the small area, in addition to the distance from its </w:t>
      </w:r>
      <w:proofErr w:type="spellStart"/>
      <w:r w:rsidR="001378DA">
        <w:rPr>
          <w:rFonts w:ascii="Arial" w:hAnsi="Arial" w:cs="Arial"/>
        </w:rPr>
        <w:t>centroid</w:t>
      </w:r>
      <w:proofErr w:type="spellEnd"/>
      <w:r w:rsidR="001378DA">
        <w:rPr>
          <w:rFonts w:ascii="Arial" w:hAnsi="Arial" w:cs="Arial"/>
        </w:rPr>
        <w:t xml:space="preserve"> to the practice.</w:t>
      </w:r>
    </w:p>
    <w:p w:rsidR="000760EF" w:rsidRPr="00C714ED" w:rsidRDefault="000760EF" w:rsidP="002E5502">
      <w:pPr>
        <w:spacing w:after="240"/>
        <w:jc w:val="both"/>
        <w:rPr>
          <w:rFonts w:ascii="Arial" w:hAnsi="Arial" w:cs="Arial"/>
          <w:b/>
          <w:u w:val="single"/>
        </w:rPr>
      </w:pPr>
      <w:r w:rsidRPr="00C714ED">
        <w:rPr>
          <w:rFonts w:ascii="Arial" w:hAnsi="Arial" w:cs="Arial"/>
          <w:b/>
          <w:u w:val="single"/>
        </w:rPr>
        <w:t>Hospital supply</w:t>
      </w:r>
    </w:p>
    <w:p w:rsidR="009C3A89" w:rsidRPr="000760EF" w:rsidRDefault="000760EF" w:rsidP="002E5502">
      <w:pPr>
        <w:pStyle w:val="ListParagraph"/>
        <w:numPr>
          <w:ilvl w:val="0"/>
          <w:numId w:val="5"/>
        </w:numPr>
        <w:spacing w:after="240"/>
        <w:contextualSpacing w:val="0"/>
        <w:jc w:val="both"/>
        <w:rPr>
          <w:rFonts w:ascii="Arial" w:hAnsi="Arial" w:cs="Arial"/>
        </w:rPr>
      </w:pPr>
      <w:r>
        <w:rPr>
          <w:rFonts w:ascii="Arial" w:hAnsi="Arial" w:cs="Arial"/>
          <w:i/>
        </w:rPr>
        <w:t>“Inpatient/Outpatient Access –</w:t>
      </w:r>
      <w:r w:rsidR="00621EDD">
        <w:rPr>
          <w:rFonts w:ascii="Arial" w:hAnsi="Arial" w:cs="Arial"/>
          <w:i/>
        </w:rPr>
        <w:t xml:space="preserve"> nearest facility</w:t>
      </w:r>
      <w:r w:rsidR="002E5502">
        <w:rPr>
          <w:rFonts w:ascii="Arial" w:hAnsi="Arial" w:cs="Arial"/>
          <w:i/>
        </w:rPr>
        <w:t>”.</w:t>
      </w:r>
      <w:r>
        <w:rPr>
          <w:rFonts w:ascii="Arial" w:hAnsi="Arial" w:cs="Arial"/>
          <w:i/>
        </w:rPr>
        <w:t xml:space="preserve"> </w:t>
      </w:r>
      <w:r>
        <w:rPr>
          <w:rFonts w:ascii="Arial" w:hAnsi="Arial" w:cs="Arial"/>
        </w:rPr>
        <w:t>Size of the nearest inpatient/outpatient facility, where size is measured as the number of inpatient or outpatient episodes in the last year.</w:t>
      </w:r>
      <w:r w:rsidR="008324DA">
        <w:rPr>
          <w:rFonts w:ascii="Arial" w:hAnsi="Arial" w:cs="Arial"/>
        </w:rPr>
        <w:t xml:space="preserve"> Nearest here means closest to the DZ population </w:t>
      </w:r>
      <w:proofErr w:type="spellStart"/>
      <w:r w:rsidR="008324DA">
        <w:rPr>
          <w:rFonts w:ascii="Arial" w:hAnsi="Arial" w:cs="Arial"/>
        </w:rPr>
        <w:t>centroid</w:t>
      </w:r>
      <w:proofErr w:type="spellEnd"/>
      <w:r w:rsidR="008324DA">
        <w:rPr>
          <w:rFonts w:ascii="Arial" w:hAnsi="Arial" w:cs="Arial"/>
        </w:rPr>
        <w:t>.</w:t>
      </w:r>
      <w:r>
        <w:rPr>
          <w:rFonts w:ascii="Arial" w:hAnsi="Arial" w:cs="Arial"/>
        </w:rPr>
        <w:t xml:space="preserve"> This measure was not recommended in Technical Report D since it tends to be biased by institutions with very small capacity. </w:t>
      </w:r>
    </w:p>
    <w:p w:rsidR="002E5502" w:rsidRPr="002E5502" w:rsidRDefault="008729C8" w:rsidP="002E5502">
      <w:pPr>
        <w:pStyle w:val="ListParagraph"/>
        <w:numPr>
          <w:ilvl w:val="0"/>
          <w:numId w:val="5"/>
        </w:numPr>
        <w:spacing w:after="240"/>
        <w:contextualSpacing w:val="0"/>
        <w:jc w:val="both"/>
        <w:rPr>
          <w:rFonts w:ascii="Arial" w:hAnsi="Arial" w:cs="Arial"/>
          <w:i/>
        </w:rPr>
      </w:pPr>
      <w:r>
        <w:rPr>
          <w:rFonts w:ascii="Arial" w:hAnsi="Arial" w:cs="Arial"/>
          <w:i/>
        </w:rPr>
        <w:t>“</w:t>
      </w:r>
      <w:r w:rsidR="00AE228D">
        <w:rPr>
          <w:rFonts w:ascii="Arial" w:hAnsi="Arial" w:cs="Arial"/>
          <w:i/>
        </w:rPr>
        <w:t>IPACX/OPACX”</w:t>
      </w:r>
      <w:r w:rsidR="002E5502">
        <w:rPr>
          <w:rFonts w:ascii="Arial" w:hAnsi="Arial" w:cs="Arial"/>
          <w:i/>
        </w:rPr>
        <w:t xml:space="preserve">. </w:t>
      </w:r>
      <w:r w:rsidR="002E5502">
        <w:rPr>
          <w:rFonts w:ascii="Arial" w:hAnsi="Arial" w:cs="Arial"/>
        </w:rPr>
        <w:t xml:space="preserve">A function of the linear distance from the population grid </w:t>
      </w:r>
      <w:proofErr w:type="spellStart"/>
      <w:r w:rsidR="002E5502">
        <w:rPr>
          <w:rFonts w:ascii="Arial" w:hAnsi="Arial" w:cs="Arial"/>
        </w:rPr>
        <w:t>centroid</w:t>
      </w:r>
      <w:proofErr w:type="spellEnd"/>
      <w:r w:rsidR="002E5502">
        <w:rPr>
          <w:rFonts w:ascii="Arial" w:hAnsi="Arial" w:cs="Arial"/>
        </w:rPr>
        <w:t xml:space="preserve"> of the DZ to each inpatient (I) or outpatient (O) facility it is served by.</w:t>
      </w:r>
    </w:p>
    <w:p w:rsidR="002E5502" w:rsidRDefault="002E5502" w:rsidP="002E5502">
      <w:pPr>
        <w:pStyle w:val="ListParagraph"/>
        <w:numPr>
          <w:ilvl w:val="0"/>
          <w:numId w:val="5"/>
        </w:numPr>
        <w:spacing w:after="240"/>
        <w:contextualSpacing w:val="0"/>
        <w:jc w:val="both"/>
        <w:rPr>
          <w:rFonts w:ascii="Arial" w:hAnsi="Arial" w:cs="Arial"/>
        </w:rPr>
      </w:pPr>
      <w:r w:rsidRPr="002E5502">
        <w:rPr>
          <w:rFonts w:ascii="Arial" w:hAnsi="Arial" w:cs="Arial"/>
          <w:i/>
        </w:rPr>
        <w:t xml:space="preserve"> </w:t>
      </w:r>
      <w:r w:rsidR="00AE228D" w:rsidRPr="002E5502">
        <w:rPr>
          <w:rFonts w:ascii="Arial" w:hAnsi="Arial" w:cs="Arial"/>
          <w:i/>
        </w:rPr>
        <w:t>“IPAC/OPAC”</w:t>
      </w:r>
      <w:r w:rsidRPr="002E5502">
        <w:rPr>
          <w:rFonts w:ascii="Arial" w:hAnsi="Arial" w:cs="Arial"/>
          <w:i/>
        </w:rPr>
        <w:t xml:space="preserve">. </w:t>
      </w:r>
      <w:r w:rsidRPr="002E5502">
        <w:rPr>
          <w:rFonts w:ascii="Arial" w:hAnsi="Arial" w:cs="Arial"/>
        </w:rPr>
        <w:t>Similar to the above, but with an attempt at a correction for the size of the population served by each facility.</w:t>
      </w:r>
      <w:r>
        <w:rPr>
          <w:rFonts w:ascii="Arial" w:hAnsi="Arial" w:cs="Arial"/>
        </w:rPr>
        <w:t xml:space="preserve"> </w:t>
      </w:r>
      <w:r w:rsidR="006A1866" w:rsidRPr="002E5502">
        <w:rPr>
          <w:rFonts w:ascii="Arial" w:hAnsi="Arial" w:cs="Arial"/>
        </w:rPr>
        <w:t>It is st</w:t>
      </w:r>
      <w:r w:rsidR="00E14418" w:rsidRPr="002E5502">
        <w:rPr>
          <w:rFonts w:ascii="Arial" w:hAnsi="Arial" w:cs="Arial"/>
        </w:rPr>
        <w:t>ated in Technical Report D that:</w:t>
      </w:r>
    </w:p>
    <w:p w:rsidR="00166F39" w:rsidRPr="002E5502" w:rsidRDefault="00E14418" w:rsidP="002E5502">
      <w:pPr>
        <w:pStyle w:val="ListParagraph"/>
        <w:spacing w:after="240"/>
        <w:ind w:left="360"/>
        <w:contextualSpacing w:val="0"/>
        <w:jc w:val="both"/>
        <w:rPr>
          <w:rFonts w:ascii="Arial" w:hAnsi="Arial" w:cs="Arial"/>
        </w:rPr>
      </w:pPr>
      <w:r w:rsidRPr="002E5502">
        <w:rPr>
          <w:rFonts w:ascii="Arial" w:hAnsi="Arial" w:cs="Arial"/>
          <w:i/>
        </w:rPr>
        <w:lastRenderedPageBreak/>
        <w:t>“</w:t>
      </w:r>
      <w:r w:rsidR="006A1866" w:rsidRPr="002E5502">
        <w:rPr>
          <w:rFonts w:ascii="Arial" w:hAnsi="Arial" w:cs="Arial"/>
          <w:i/>
        </w:rPr>
        <w:t xml:space="preserve">Though intuitively attractive, this method appears to overcompensate for population effects – especially in the Western Isles and Shetland. Although the hospitals are relatively small, the numbers in the catchment populations are also small, leading to values for (population corrected supply) that exceed those in central Glasgow. Because of our concern at the scale of the attraction constrained correction, only the two uncorrected measures (OPACX and IPACX) were used in the index </w:t>
      </w:r>
      <w:proofErr w:type="gramStart"/>
      <w:r w:rsidR="006A1866" w:rsidRPr="002E5502">
        <w:rPr>
          <w:rFonts w:ascii="Arial" w:hAnsi="Arial" w:cs="Arial"/>
          <w:i/>
        </w:rPr>
        <w:t>development.</w:t>
      </w:r>
      <w:proofErr w:type="gramEnd"/>
      <w:r w:rsidRPr="002E5502">
        <w:rPr>
          <w:rFonts w:ascii="Arial" w:hAnsi="Arial" w:cs="Arial"/>
          <w:i/>
        </w:rPr>
        <w:t>”</w:t>
      </w:r>
    </w:p>
    <w:p w:rsidR="00C714ED" w:rsidRPr="00C714ED" w:rsidRDefault="00C714ED" w:rsidP="00C714ED">
      <w:pPr>
        <w:spacing w:after="240"/>
        <w:jc w:val="both"/>
        <w:rPr>
          <w:rFonts w:ascii="Arial" w:hAnsi="Arial" w:cs="Arial"/>
          <w:b/>
        </w:rPr>
      </w:pPr>
      <w:r w:rsidRPr="00C714ED">
        <w:rPr>
          <w:rFonts w:ascii="Arial" w:hAnsi="Arial" w:cs="Arial"/>
          <w:b/>
        </w:rPr>
        <w:t xml:space="preserve">The subgroup is asked to </w:t>
      </w:r>
      <w:r w:rsidR="00DF56C4">
        <w:rPr>
          <w:rFonts w:ascii="Arial" w:hAnsi="Arial" w:cs="Arial"/>
          <w:b/>
        </w:rPr>
        <w:t xml:space="preserve">consider excluding </w:t>
      </w:r>
      <w:r w:rsidRPr="00C714ED">
        <w:rPr>
          <w:rFonts w:ascii="Arial" w:hAnsi="Arial" w:cs="Arial"/>
          <w:b/>
        </w:rPr>
        <w:t xml:space="preserve">the potential </w:t>
      </w:r>
      <w:r>
        <w:rPr>
          <w:rFonts w:ascii="Arial" w:hAnsi="Arial" w:cs="Arial"/>
          <w:b/>
        </w:rPr>
        <w:t xml:space="preserve">hospital </w:t>
      </w:r>
      <w:r w:rsidRPr="00C714ED">
        <w:rPr>
          <w:rFonts w:ascii="Arial" w:hAnsi="Arial" w:cs="Arial"/>
          <w:b/>
        </w:rPr>
        <w:t>supply variables</w:t>
      </w:r>
      <w:r w:rsidR="002E5502">
        <w:rPr>
          <w:rFonts w:ascii="Arial" w:hAnsi="Arial" w:cs="Arial"/>
          <w:b/>
        </w:rPr>
        <w:t xml:space="preserve"> given in items 3 and 5 above</w:t>
      </w:r>
      <w:r w:rsidRPr="00C714ED">
        <w:rPr>
          <w:rFonts w:ascii="Arial" w:hAnsi="Arial" w:cs="Arial"/>
          <w:b/>
        </w:rPr>
        <w:t xml:space="preserve">. </w:t>
      </w:r>
    </w:p>
    <w:p w:rsidR="00C714ED" w:rsidRPr="00C714ED" w:rsidRDefault="00C714ED" w:rsidP="00D878FC">
      <w:pPr>
        <w:rPr>
          <w:rFonts w:ascii="Arial" w:hAnsi="Arial" w:cs="Arial"/>
        </w:rPr>
        <w:sectPr w:rsidR="00C714ED" w:rsidRPr="00C714ED" w:rsidSect="00AC246A">
          <w:headerReference w:type="default" r:id="rId8"/>
          <w:pgSz w:w="11906" w:h="16838"/>
          <w:pgMar w:top="1440" w:right="1440" w:bottom="1440" w:left="1440" w:header="708" w:footer="708" w:gutter="0"/>
          <w:cols w:space="708"/>
          <w:docGrid w:linePitch="360"/>
        </w:sectPr>
      </w:pPr>
    </w:p>
    <w:p w:rsidR="008E2DD5" w:rsidRPr="008E2DD5" w:rsidRDefault="008E2DD5" w:rsidP="00E97682">
      <w:pPr>
        <w:spacing w:after="120"/>
        <w:rPr>
          <w:rFonts w:ascii="Arial" w:hAnsi="Arial" w:cs="Arial"/>
          <w:i/>
        </w:rPr>
      </w:pPr>
      <w:proofErr w:type="gramStart"/>
      <w:r w:rsidRPr="000F2402">
        <w:rPr>
          <w:rFonts w:ascii="Arial" w:hAnsi="Arial" w:cs="Arial"/>
          <w:i/>
        </w:rPr>
        <w:lastRenderedPageBreak/>
        <w:t>Table 1.</w:t>
      </w:r>
      <w:proofErr w:type="gramEnd"/>
      <w:r w:rsidRPr="000F2402">
        <w:rPr>
          <w:rFonts w:ascii="Arial" w:hAnsi="Arial" w:cs="Arial"/>
          <w:i/>
        </w:rPr>
        <w:t xml:space="preserve"> </w:t>
      </w:r>
      <w:r w:rsidR="00097102">
        <w:rPr>
          <w:rFonts w:ascii="Arial" w:hAnsi="Arial" w:cs="Arial"/>
          <w:i/>
        </w:rPr>
        <w:t>Potential candidate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2551"/>
        <w:gridCol w:w="1196"/>
      </w:tblGrid>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b/>
                <w:sz w:val="20"/>
                <w:szCs w:val="20"/>
                <w:u w:val="single"/>
              </w:rPr>
            </w:pPr>
            <w:r w:rsidRPr="00072072">
              <w:rPr>
                <w:rFonts w:ascii="Arial" w:hAnsi="Arial" w:cs="Arial"/>
                <w:b/>
                <w:sz w:val="20"/>
                <w:szCs w:val="20"/>
                <w:u w:val="single"/>
              </w:rPr>
              <w:t>Indicator</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b/>
                <w:sz w:val="20"/>
                <w:szCs w:val="20"/>
                <w:u w:val="single"/>
              </w:rPr>
            </w:pPr>
            <w:r w:rsidRPr="00072072">
              <w:rPr>
                <w:rFonts w:ascii="Arial" w:hAnsi="Arial" w:cs="Arial"/>
                <w:b/>
                <w:sz w:val="20"/>
                <w:szCs w:val="20"/>
                <w:u w:val="single"/>
              </w:rPr>
              <w:t>Availability</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b/>
                <w:sz w:val="20"/>
                <w:szCs w:val="20"/>
                <w:u w:val="single"/>
              </w:rPr>
            </w:pPr>
            <w:r w:rsidRPr="00072072">
              <w:rPr>
                <w:rFonts w:ascii="Arial" w:hAnsi="Arial" w:cs="Arial"/>
                <w:b/>
                <w:sz w:val="20"/>
                <w:szCs w:val="20"/>
                <w:u w:val="single"/>
              </w:rPr>
              <w:t>Data Source</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nil"/>
            </w:tcBorders>
            <w:hideMark/>
          </w:tcPr>
          <w:p w:rsidR="00072072" w:rsidRPr="00072072" w:rsidRDefault="00072072" w:rsidP="00CF53A1">
            <w:pPr>
              <w:spacing w:after="0"/>
              <w:rPr>
                <w:rFonts w:ascii="Arial" w:hAnsi="Arial" w:cs="Arial"/>
                <w:sz w:val="20"/>
                <w:szCs w:val="20"/>
              </w:rPr>
            </w:pPr>
            <w:r w:rsidRPr="00072072">
              <w:rPr>
                <w:rFonts w:ascii="Arial" w:hAnsi="Arial" w:cs="Arial"/>
                <w:b/>
                <w:i/>
                <w:sz w:val="20"/>
                <w:szCs w:val="20"/>
              </w:rPr>
              <w:t>Morbidity:</w:t>
            </w:r>
          </w:p>
        </w:tc>
        <w:tc>
          <w:tcPr>
            <w:tcW w:w="1380" w:type="pct"/>
            <w:tcBorders>
              <w:top w:val="single" w:sz="4" w:space="0" w:color="auto"/>
              <w:left w:val="nil"/>
              <w:bottom w:val="single" w:sz="4" w:space="0" w:color="auto"/>
              <w:right w:val="nil"/>
            </w:tcBorders>
          </w:tcPr>
          <w:p w:rsidR="00072072" w:rsidRPr="00072072" w:rsidRDefault="00072072" w:rsidP="00072072">
            <w:pPr>
              <w:spacing w:after="0"/>
              <w:rPr>
                <w:rFonts w:ascii="Arial" w:hAnsi="Arial" w:cs="Arial"/>
                <w:sz w:val="20"/>
                <w:szCs w:val="20"/>
              </w:rPr>
            </w:pPr>
          </w:p>
        </w:tc>
        <w:tc>
          <w:tcPr>
            <w:tcW w:w="647" w:type="pct"/>
            <w:tcBorders>
              <w:top w:val="single" w:sz="4" w:space="0" w:color="auto"/>
              <w:left w:val="nil"/>
              <w:bottom w:val="single" w:sz="4" w:space="0" w:color="auto"/>
              <w:right w:val="single" w:sz="4" w:space="0" w:color="auto"/>
            </w:tcBorders>
          </w:tcPr>
          <w:p w:rsidR="00072072" w:rsidRPr="00072072" w:rsidRDefault="00072072" w:rsidP="00CF53A1">
            <w:pPr>
              <w:spacing w:after="0"/>
              <w:rPr>
                <w:rFonts w:ascii="Arial" w:hAnsi="Arial" w:cs="Arial"/>
                <w:sz w:val="20"/>
                <w:szCs w:val="20"/>
              </w:rPr>
            </w:pP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Low birth weight births</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Death rate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 xml:space="preserve">Death rate 0-74 Cancer </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Death rate 0-74 CHD</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Death rate 0-74 stroke</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All cause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All cause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All cause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Cancer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Cancer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Cancer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Heart Disease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Heart Disease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Heart Disease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Respiratory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Respiratory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Respiratory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Digestive System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Digestive System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Digestive System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Poison &amp; Injury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Poison &amp; Injury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Poison &amp; Injury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Other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Other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Other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Outpatient SMR 0-64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Outpatient SMR 0-69</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Outpatient SMR 0-74</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High Resource Individual counts</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Did Not Attend counts</w:t>
            </w:r>
          </w:p>
        </w:tc>
        <w:tc>
          <w:tcPr>
            <w:tcW w:w="1380"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rPr>
                <w:rFonts w:ascii="Arial" w:hAnsi="Arial" w:cs="Arial"/>
                <w:sz w:val="20"/>
                <w:szCs w:val="20"/>
              </w:rPr>
            </w:pPr>
            <w:r w:rsidRPr="00072072">
              <w:rPr>
                <w:rFonts w:ascii="Arial" w:hAnsi="Arial" w:cs="Arial"/>
                <w:sz w:val="20"/>
                <w:szCs w:val="20"/>
              </w:rPr>
              <w:t>Diabetes patients (prescribing data)</w:t>
            </w:r>
          </w:p>
        </w:tc>
        <w:tc>
          <w:tcPr>
            <w:tcW w:w="1380"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rPr>
                <w:rFonts w:ascii="Arial" w:hAnsi="Arial" w:cs="Arial"/>
                <w:sz w:val="20"/>
                <w:szCs w:val="20"/>
              </w:rPr>
            </w:pPr>
            <w:r w:rsidRPr="00072072">
              <w:rPr>
                <w:rFonts w:ascii="Arial" w:hAnsi="Arial" w:cs="Arial"/>
                <w:sz w:val="20"/>
                <w:szCs w:val="20"/>
              </w:rPr>
              <w:t>Dementia patients (prescribing data)</w:t>
            </w:r>
          </w:p>
        </w:tc>
        <w:tc>
          <w:tcPr>
            <w:tcW w:w="1380"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rPr>
                <w:rFonts w:ascii="Arial" w:hAnsi="Arial" w:cs="Arial"/>
                <w:sz w:val="20"/>
                <w:szCs w:val="20"/>
              </w:rPr>
            </w:pPr>
            <w:r w:rsidRPr="00072072">
              <w:rPr>
                <w:rFonts w:ascii="Arial" w:hAnsi="Arial" w:cs="Arial"/>
                <w:sz w:val="20"/>
                <w:szCs w:val="20"/>
              </w:rPr>
              <w:t>Respiratory patients (prescribing data)</w:t>
            </w:r>
          </w:p>
        </w:tc>
        <w:tc>
          <w:tcPr>
            <w:tcW w:w="1380"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Respondent long-term illness (Census 2011 question 20)</w:t>
            </w:r>
          </w:p>
        </w:tc>
        <w:tc>
          <w:tcPr>
            <w:tcW w:w="1380" w:type="pct"/>
            <w:tcBorders>
              <w:top w:val="single" w:sz="4" w:space="0" w:color="auto"/>
              <w:left w:val="single" w:sz="4" w:space="0" w:color="auto"/>
              <w:bottom w:val="single" w:sz="4" w:space="0" w:color="auto"/>
              <w:right w:val="single" w:sz="4" w:space="0" w:color="auto"/>
            </w:tcBorders>
            <w:vAlign w:val="center"/>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Census</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Limited activity (LLTI) (Census 2011 question 21)</w:t>
            </w:r>
          </w:p>
        </w:tc>
        <w:tc>
          <w:tcPr>
            <w:tcW w:w="1380" w:type="pct"/>
            <w:tcBorders>
              <w:top w:val="single" w:sz="4" w:space="0" w:color="auto"/>
              <w:left w:val="single" w:sz="4" w:space="0" w:color="auto"/>
              <w:bottom w:val="single" w:sz="4" w:space="0" w:color="auto"/>
              <w:right w:val="single" w:sz="4" w:space="0" w:color="auto"/>
            </w:tcBorders>
            <w:vAlign w:val="center"/>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Census</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 xml:space="preserve">Unemployed </w:t>
            </w:r>
            <w:r>
              <w:rPr>
                <w:rFonts w:ascii="Arial" w:hAnsi="Arial" w:cs="Arial"/>
                <w:sz w:val="20"/>
                <w:szCs w:val="20"/>
              </w:rPr>
              <w:t>p</w:t>
            </w:r>
            <w:r w:rsidRPr="00072072">
              <w:rPr>
                <w:rFonts w:ascii="Arial" w:hAnsi="Arial" w:cs="Arial"/>
                <w:sz w:val="20"/>
                <w:szCs w:val="20"/>
              </w:rPr>
              <w:t xml:space="preserve">ermanent sick </w:t>
            </w:r>
            <w:r>
              <w:rPr>
                <w:rFonts w:ascii="Arial" w:hAnsi="Arial" w:cs="Arial"/>
                <w:sz w:val="20"/>
                <w:szCs w:val="20"/>
              </w:rPr>
              <w:t>(</w:t>
            </w:r>
            <w:r w:rsidRPr="00072072">
              <w:rPr>
                <w:rFonts w:ascii="Arial" w:hAnsi="Arial" w:cs="Arial"/>
                <w:sz w:val="20"/>
                <w:szCs w:val="20"/>
              </w:rPr>
              <w:t>Census 2011 questions 24-28)</w:t>
            </w:r>
          </w:p>
        </w:tc>
        <w:tc>
          <w:tcPr>
            <w:tcW w:w="1380" w:type="pct"/>
            <w:tcBorders>
              <w:top w:val="single" w:sz="4" w:space="0" w:color="auto"/>
              <w:left w:val="single" w:sz="4" w:space="0" w:color="auto"/>
              <w:bottom w:val="single" w:sz="4" w:space="0" w:color="auto"/>
              <w:right w:val="single" w:sz="4" w:space="0" w:color="auto"/>
            </w:tcBorders>
            <w:vAlign w:val="center"/>
            <w:hideMark/>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Census</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nil"/>
            </w:tcBorders>
            <w:hideMark/>
          </w:tcPr>
          <w:p w:rsidR="00072072" w:rsidRPr="00072072" w:rsidRDefault="00072072" w:rsidP="00072072">
            <w:pPr>
              <w:spacing w:after="0"/>
              <w:rPr>
                <w:rFonts w:ascii="Arial" w:hAnsi="Arial" w:cs="Arial"/>
                <w:sz w:val="20"/>
                <w:szCs w:val="20"/>
              </w:rPr>
            </w:pPr>
            <w:r w:rsidRPr="00072072">
              <w:rPr>
                <w:rFonts w:ascii="Arial" w:hAnsi="Arial" w:cs="Arial"/>
                <w:b/>
                <w:i/>
                <w:sz w:val="20"/>
                <w:szCs w:val="20"/>
              </w:rPr>
              <w:t>Ethnicity:</w:t>
            </w:r>
          </w:p>
        </w:tc>
        <w:tc>
          <w:tcPr>
            <w:tcW w:w="1380" w:type="pct"/>
            <w:tcBorders>
              <w:top w:val="single" w:sz="4" w:space="0" w:color="auto"/>
              <w:left w:val="nil"/>
              <w:bottom w:val="single" w:sz="4" w:space="0" w:color="auto"/>
              <w:right w:val="nil"/>
            </w:tcBorders>
            <w:vAlign w:val="center"/>
          </w:tcPr>
          <w:p w:rsidR="00072072" w:rsidRPr="00072072" w:rsidRDefault="00072072" w:rsidP="00072072">
            <w:pPr>
              <w:spacing w:after="0"/>
              <w:rPr>
                <w:rFonts w:ascii="Arial" w:hAnsi="Arial" w:cs="Arial"/>
                <w:sz w:val="20"/>
                <w:szCs w:val="20"/>
              </w:rPr>
            </w:pPr>
          </w:p>
        </w:tc>
        <w:tc>
          <w:tcPr>
            <w:tcW w:w="647" w:type="pct"/>
            <w:tcBorders>
              <w:top w:val="single" w:sz="4" w:space="0" w:color="auto"/>
              <w:left w:val="nil"/>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p>
        </w:tc>
      </w:tr>
      <w:tr w:rsidR="00072072" w:rsidRPr="00072072" w:rsidTr="00072072">
        <w:trPr>
          <w:trHeight w:val="284"/>
          <w:jc w:val="center"/>
        </w:trPr>
        <w:tc>
          <w:tcPr>
            <w:tcW w:w="2973" w:type="pct"/>
            <w:tcBorders>
              <w:top w:val="single" w:sz="4" w:space="0" w:color="auto"/>
              <w:left w:val="single" w:sz="4" w:space="0" w:color="auto"/>
              <w:bottom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Non-white populations</w:t>
            </w:r>
            <w:r w:rsidRPr="00072072">
              <w:rPr>
                <w:rFonts w:ascii="Arial" w:hAnsi="Arial" w:cs="Arial"/>
                <w:b/>
                <w:i/>
                <w:sz w:val="20"/>
                <w:szCs w:val="20"/>
              </w:rPr>
              <w:t xml:space="preserve"> </w:t>
            </w:r>
            <w:r w:rsidRPr="00072072">
              <w:rPr>
                <w:rFonts w:ascii="Arial" w:hAnsi="Arial" w:cs="Arial"/>
                <w:sz w:val="20"/>
                <w:szCs w:val="20"/>
              </w:rPr>
              <w:t>(Census 2011 question 15)</w:t>
            </w:r>
          </w:p>
        </w:tc>
        <w:tc>
          <w:tcPr>
            <w:tcW w:w="1380" w:type="pct"/>
            <w:tcBorders>
              <w:top w:val="single" w:sz="4" w:space="0" w:color="auto"/>
              <w:left w:val="single" w:sz="4" w:space="0" w:color="auto"/>
              <w:bottom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tcBorders>
          </w:tcPr>
          <w:p w:rsidR="00072072" w:rsidRPr="00072072" w:rsidRDefault="00072072" w:rsidP="00072072">
            <w:pPr>
              <w:spacing w:after="0"/>
              <w:jc w:val="center"/>
              <w:rPr>
                <w:rFonts w:ascii="Arial" w:hAnsi="Arial" w:cs="Arial"/>
                <w:sz w:val="20"/>
                <w:szCs w:val="20"/>
              </w:rPr>
            </w:pPr>
            <w:r w:rsidRPr="00072072">
              <w:rPr>
                <w:rFonts w:ascii="Arial" w:hAnsi="Arial" w:cs="Arial"/>
                <w:sz w:val="20"/>
                <w:szCs w:val="20"/>
              </w:rPr>
              <w:t>Census</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nil"/>
            </w:tcBorders>
            <w:hideMark/>
          </w:tcPr>
          <w:p w:rsidR="00072072" w:rsidRPr="00072072" w:rsidRDefault="00072072" w:rsidP="00CF53A1">
            <w:pPr>
              <w:spacing w:after="0"/>
              <w:rPr>
                <w:rFonts w:ascii="Arial" w:hAnsi="Arial" w:cs="Arial"/>
                <w:sz w:val="20"/>
                <w:szCs w:val="20"/>
              </w:rPr>
            </w:pPr>
            <w:r w:rsidRPr="00072072">
              <w:rPr>
                <w:rFonts w:ascii="Arial" w:hAnsi="Arial" w:cs="Arial"/>
                <w:b/>
                <w:i/>
                <w:sz w:val="20"/>
                <w:szCs w:val="20"/>
              </w:rPr>
              <w:t>Supply Variables:</w:t>
            </w:r>
          </w:p>
        </w:tc>
        <w:tc>
          <w:tcPr>
            <w:tcW w:w="1380" w:type="pct"/>
            <w:tcBorders>
              <w:top w:val="single" w:sz="4" w:space="0" w:color="auto"/>
              <w:left w:val="nil"/>
              <w:bottom w:val="single" w:sz="4" w:space="0" w:color="auto"/>
              <w:right w:val="nil"/>
            </w:tcBorders>
          </w:tcPr>
          <w:p w:rsidR="00072072" w:rsidRPr="00072072" w:rsidRDefault="00072072" w:rsidP="00072072">
            <w:pPr>
              <w:spacing w:after="0"/>
              <w:rPr>
                <w:rFonts w:ascii="Arial" w:hAnsi="Arial" w:cs="Arial"/>
                <w:sz w:val="20"/>
                <w:szCs w:val="20"/>
              </w:rPr>
            </w:pPr>
          </w:p>
        </w:tc>
        <w:tc>
          <w:tcPr>
            <w:tcW w:w="647" w:type="pct"/>
            <w:tcBorders>
              <w:top w:val="single" w:sz="4" w:space="0" w:color="auto"/>
              <w:left w:val="nil"/>
              <w:bottom w:val="single" w:sz="4" w:space="0" w:color="auto"/>
              <w:right w:val="single" w:sz="4" w:space="0" w:color="auto"/>
            </w:tcBorders>
          </w:tcPr>
          <w:p w:rsidR="00072072" w:rsidRPr="00072072" w:rsidRDefault="00072072" w:rsidP="00CF53A1">
            <w:pPr>
              <w:spacing w:after="0"/>
              <w:rPr>
                <w:rFonts w:ascii="Arial" w:hAnsi="Arial" w:cs="Arial"/>
                <w:sz w:val="20"/>
                <w:szCs w:val="20"/>
              </w:rPr>
            </w:pP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rPr>
                <w:rFonts w:ascii="Arial" w:hAnsi="Arial" w:cs="Arial"/>
                <w:sz w:val="20"/>
                <w:szCs w:val="20"/>
              </w:rPr>
            </w:pPr>
            <w:r w:rsidRPr="00072072">
              <w:rPr>
                <w:rFonts w:ascii="Arial" w:hAnsi="Arial" w:cs="Arial"/>
                <w:sz w:val="20"/>
                <w:szCs w:val="20"/>
              </w:rPr>
              <w:t>Number of GPs serving each Data Zone</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1378DA">
            <w:pPr>
              <w:spacing w:after="0"/>
              <w:rPr>
                <w:rFonts w:ascii="Arial" w:hAnsi="Arial" w:cs="Arial"/>
                <w:sz w:val="20"/>
                <w:szCs w:val="20"/>
              </w:rPr>
            </w:pPr>
            <w:r w:rsidRPr="00072072">
              <w:rPr>
                <w:rFonts w:ascii="Arial" w:hAnsi="Arial" w:cs="Arial"/>
                <w:sz w:val="20"/>
                <w:szCs w:val="20"/>
              </w:rPr>
              <w:t xml:space="preserve">GP </w:t>
            </w:r>
            <w:r w:rsidR="001378DA">
              <w:rPr>
                <w:rFonts w:ascii="Arial" w:hAnsi="Arial" w:cs="Arial"/>
                <w:sz w:val="20"/>
                <w:szCs w:val="20"/>
              </w:rPr>
              <w:t>s</w:t>
            </w:r>
            <w:r w:rsidRPr="00072072">
              <w:rPr>
                <w:rFonts w:ascii="Arial" w:hAnsi="Arial" w:cs="Arial"/>
                <w:sz w:val="20"/>
                <w:szCs w:val="20"/>
              </w:rPr>
              <w:t>upply</w:t>
            </w:r>
            <w:r w:rsidR="001378DA">
              <w:rPr>
                <w:rFonts w:ascii="Arial" w:hAnsi="Arial" w:cs="Arial"/>
                <w:sz w:val="20"/>
                <w:szCs w:val="20"/>
              </w:rPr>
              <w:t>,</w:t>
            </w:r>
            <w:r w:rsidRPr="00072072">
              <w:rPr>
                <w:rFonts w:ascii="Arial" w:hAnsi="Arial" w:cs="Arial"/>
                <w:sz w:val="20"/>
                <w:szCs w:val="20"/>
              </w:rPr>
              <w:t xml:space="preserve"> 1km </w:t>
            </w:r>
            <w:proofErr w:type="spellStart"/>
            <w:r w:rsidR="001378DA">
              <w:rPr>
                <w:rFonts w:ascii="Arial" w:hAnsi="Arial" w:cs="Arial"/>
                <w:sz w:val="20"/>
                <w:szCs w:val="20"/>
              </w:rPr>
              <w:t>intrazonal</w:t>
            </w:r>
            <w:proofErr w:type="spellEnd"/>
            <w:r w:rsidR="001378DA">
              <w:rPr>
                <w:rFonts w:ascii="Arial" w:hAnsi="Arial" w:cs="Arial"/>
                <w:sz w:val="20"/>
                <w:szCs w:val="20"/>
              </w:rPr>
              <w:t xml:space="preserve"> cost</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1378DA">
            <w:pPr>
              <w:spacing w:after="0"/>
              <w:rPr>
                <w:rFonts w:ascii="Arial" w:hAnsi="Arial" w:cs="Arial"/>
                <w:sz w:val="20"/>
                <w:szCs w:val="20"/>
              </w:rPr>
            </w:pPr>
            <w:r w:rsidRPr="00072072">
              <w:rPr>
                <w:rFonts w:ascii="Arial" w:hAnsi="Arial" w:cs="Arial"/>
                <w:sz w:val="20"/>
                <w:szCs w:val="20"/>
              </w:rPr>
              <w:lastRenderedPageBreak/>
              <w:t xml:space="preserve">GP </w:t>
            </w:r>
            <w:r w:rsidR="001378DA">
              <w:rPr>
                <w:rFonts w:ascii="Arial" w:hAnsi="Arial" w:cs="Arial"/>
                <w:sz w:val="20"/>
                <w:szCs w:val="20"/>
              </w:rPr>
              <w:t>s</w:t>
            </w:r>
            <w:r w:rsidRPr="00072072">
              <w:rPr>
                <w:rFonts w:ascii="Arial" w:hAnsi="Arial" w:cs="Arial"/>
                <w:sz w:val="20"/>
                <w:szCs w:val="20"/>
              </w:rPr>
              <w:t>upply</w:t>
            </w:r>
            <w:r w:rsidR="001378DA">
              <w:rPr>
                <w:rFonts w:ascii="Arial" w:hAnsi="Arial" w:cs="Arial"/>
                <w:sz w:val="20"/>
                <w:szCs w:val="20"/>
              </w:rPr>
              <w:t>,</w:t>
            </w:r>
            <w:r w:rsidRPr="00072072">
              <w:rPr>
                <w:rFonts w:ascii="Arial" w:hAnsi="Arial" w:cs="Arial"/>
                <w:sz w:val="20"/>
                <w:szCs w:val="20"/>
              </w:rPr>
              <w:t xml:space="preserve"> 5km </w:t>
            </w:r>
            <w:proofErr w:type="spellStart"/>
            <w:r w:rsidR="001378DA">
              <w:rPr>
                <w:rFonts w:ascii="Arial" w:hAnsi="Arial" w:cs="Arial"/>
                <w:sz w:val="20"/>
                <w:szCs w:val="20"/>
              </w:rPr>
              <w:t>intrazonal</w:t>
            </w:r>
            <w:proofErr w:type="spellEnd"/>
            <w:r w:rsidR="001378DA">
              <w:rPr>
                <w:rFonts w:ascii="Arial" w:hAnsi="Arial" w:cs="Arial"/>
                <w:sz w:val="20"/>
                <w:szCs w:val="20"/>
              </w:rPr>
              <w:t xml:space="preserve"> cost</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1378DA">
            <w:pPr>
              <w:spacing w:after="0"/>
              <w:rPr>
                <w:rFonts w:ascii="Arial" w:hAnsi="Arial" w:cs="Arial"/>
                <w:sz w:val="20"/>
                <w:szCs w:val="20"/>
              </w:rPr>
            </w:pPr>
            <w:r w:rsidRPr="00072072">
              <w:rPr>
                <w:rFonts w:ascii="Arial" w:hAnsi="Arial" w:cs="Arial"/>
                <w:sz w:val="20"/>
                <w:szCs w:val="20"/>
              </w:rPr>
              <w:t xml:space="preserve">GP </w:t>
            </w:r>
            <w:r w:rsidR="001378DA">
              <w:rPr>
                <w:rFonts w:ascii="Arial" w:hAnsi="Arial" w:cs="Arial"/>
                <w:sz w:val="20"/>
                <w:szCs w:val="20"/>
              </w:rPr>
              <w:t>s</w:t>
            </w:r>
            <w:r w:rsidRPr="00072072">
              <w:rPr>
                <w:rFonts w:ascii="Arial" w:hAnsi="Arial" w:cs="Arial"/>
                <w:sz w:val="20"/>
                <w:szCs w:val="20"/>
              </w:rPr>
              <w:t>upply</w:t>
            </w:r>
            <w:r w:rsidR="001378DA">
              <w:rPr>
                <w:rFonts w:ascii="Arial" w:hAnsi="Arial" w:cs="Arial"/>
                <w:sz w:val="20"/>
                <w:szCs w:val="20"/>
              </w:rPr>
              <w:t>,</w:t>
            </w:r>
            <w:r w:rsidRPr="00072072">
              <w:rPr>
                <w:rFonts w:ascii="Arial" w:hAnsi="Arial" w:cs="Arial"/>
                <w:sz w:val="20"/>
                <w:szCs w:val="20"/>
              </w:rPr>
              <w:t xml:space="preserve"> 10km </w:t>
            </w:r>
            <w:proofErr w:type="spellStart"/>
            <w:r w:rsidR="001378DA">
              <w:rPr>
                <w:rFonts w:ascii="Arial" w:hAnsi="Arial" w:cs="Arial"/>
                <w:sz w:val="20"/>
                <w:szCs w:val="20"/>
              </w:rPr>
              <w:t>intrazonal</w:t>
            </w:r>
            <w:proofErr w:type="spellEnd"/>
            <w:r w:rsidR="001378DA">
              <w:rPr>
                <w:rFonts w:ascii="Arial" w:hAnsi="Arial" w:cs="Arial"/>
                <w:sz w:val="20"/>
                <w:szCs w:val="20"/>
              </w:rPr>
              <w:t xml:space="preserve"> cost</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 xml:space="preserve">IPAC </w:t>
            </w:r>
          </w:p>
        </w:tc>
        <w:tc>
          <w:tcPr>
            <w:tcW w:w="1380"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 xml:space="preserve">IPACX </w:t>
            </w:r>
          </w:p>
        </w:tc>
        <w:tc>
          <w:tcPr>
            <w:tcW w:w="1380" w:type="pct"/>
            <w:tcBorders>
              <w:top w:val="single" w:sz="4" w:space="0" w:color="auto"/>
              <w:left w:val="single" w:sz="4" w:space="0" w:color="auto"/>
              <w:bottom w:val="single" w:sz="4" w:space="0" w:color="auto"/>
              <w:right w:val="single" w:sz="4" w:space="0" w:color="auto"/>
            </w:tcBorders>
            <w:vAlign w:val="center"/>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 xml:space="preserve">OPAC </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After August 2015</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 xml:space="preserve">OPACX </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Inpatient Access – nearest facility</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single" w:sz="4" w:space="0" w:color="auto"/>
            </w:tcBorders>
            <w:hideMark/>
          </w:tcPr>
          <w:p w:rsidR="00072072" w:rsidRPr="00072072" w:rsidRDefault="00072072" w:rsidP="00CF53A1">
            <w:pPr>
              <w:spacing w:after="0"/>
              <w:rPr>
                <w:rFonts w:ascii="Arial" w:hAnsi="Arial" w:cs="Arial"/>
                <w:sz w:val="20"/>
                <w:szCs w:val="20"/>
              </w:rPr>
            </w:pPr>
            <w:r w:rsidRPr="00072072">
              <w:rPr>
                <w:rFonts w:ascii="Arial" w:hAnsi="Arial" w:cs="Arial"/>
                <w:sz w:val="20"/>
                <w:szCs w:val="20"/>
              </w:rPr>
              <w:t>Outpatient Access – nearest facility</w:t>
            </w:r>
          </w:p>
        </w:tc>
        <w:tc>
          <w:tcPr>
            <w:tcW w:w="1380" w:type="pct"/>
            <w:tcBorders>
              <w:top w:val="single" w:sz="4" w:space="0" w:color="auto"/>
              <w:left w:val="single" w:sz="4" w:space="0" w:color="auto"/>
              <w:bottom w:val="single" w:sz="4" w:space="0" w:color="auto"/>
              <w:right w:val="single" w:sz="4" w:space="0" w:color="auto"/>
            </w:tcBorders>
          </w:tcPr>
          <w:p w:rsidR="00072072" w:rsidRPr="00072072" w:rsidRDefault="00072072" w:rsidP="00072072">
            <w:pPr>
              <w:spacing w:after="0"/>
              <w:rPr>
                <w:rFonts w:ascii="Arial" w:hAnsi="Arial" w:cs="Arial"/>
                <w:sz w:val="20"/>
                <w:szCs w:val="20"/>
              </w:rPr>
            </w:pPr>
            <w:r w:rsidRPr="00072072">
              <w:rPr>
                <w:rFonts w:ascii="Arial" w:hAnsi="Arial" w:cs="Arial"/>
                <w:sz w:val="20"/>
                <w:szCs w:val="20"/>
              </w:rPr>
              <w:t>Can be recalculated now</w:t>
            </w:r>
          </w:p>
        </w:tc>
        <w:tc>
          <w:tcPr>
            <w:tcW w:w="647" w:type="pct"/>
            <w:tcBorders>
              <w:top w:val="single" w:sz="4" w:space="0" w:color="auto"/>
              <w:left w:val="single" w:sz="4" w:space="0" w:color="auto"/>
              <w:bottom w:val="single" w:sz="4" w:space="0" w:color="auto"/>
              <w:right w:val="single" w:sz="4" w:space="0" w:color="auto"/>
            </w:tcBorders>
          </w:tcPr>
          <w:p w:rsidR="00072072" w:rsidRPr="00072072" w:rsidRDefault="00072072" w:rsidP="00CF53A1">
            <w:pPr>
              <w:spacing w:after="0"/>
              <w:jc w:val="center"/>
              <w:rPr>
                <w:rFonts w:ascii="Arial" w:hAnsi="Arial" w:cs="Arial"/>
                <w:sz w:val="20"/>
                <w:szCs w:val="20"/>
              </w:rPr>
            </w:pPr>
            <w:r w:rsidRPr="00072072">
              <w:rPr>
                <w:rFonts w:ascii="Arial" w:hAnsi="Arial" w:cs="Arial"/>
                <w:sz w:val="20"/>
                <w:szCs w:val="20"/>
              </w:rPr>
              <w:t>ISD</w:t>
            </w:r>
          </w:p>
        </w:tc>
      </w:tr>
      <w:tr w:rsidR="00072072" w:rsidRPr="00072072" w:rsidTr="00072072">
        <w:trPr>
          <w:trHeight w:val="284"/>
          <w:jc w:val="center"/>
        </w:trPr>
        <w:tc>
          <w:tcPr>
            <w:tcW w:w="2973" w:type="pct"/>
            <w:tcBorders>
              <w:top w:val="single" w:sz="4" w:space="0" w:color="auto"/>
              <w:left w:val="single" w:sz="4" w:space="0" w:color="auto"/>
              <w:bottom w:val="single" w:sz="4" w:space="0" w:color="auto"/>
              <w:right w:val="nil"/>
            </w:tcBorders>
            <w:hideMark/>
          </w:tcPr>
          <w:p w:rsidR="00072072" w:rsidRPr="00072072" w:rsidRDefault="00072072" w:rsidP="00CF53A1">
            <w:pPr>
              <w:spacing w:after="0"/>
              <w:rPr>
                <w:rFonts w:ascii="Arial" w:hAnsi="Arial" w:cs="Arial"/>
                <w:sz w:val="20"/>
                <w:szCs w:val="20"/>
              </w:rPr>
            </w:pPr>
            <w:r w:rsidRPr="00072072">
              <w:rPr>
                <w:rFonts w:ascii="Arial" w:hAnsi="Arial" w:cs="Arial"/>
                <w:b/>
                <w:i/>
                <w:sz w:val="20"/>
                <w:szCs w:val="20"/>
              </w:rPr>
              <w:t>Health Board Dummy Variables</w:t>
            </w:r>
          </w:p>
        </w:tc>
        <w:tc>
          <w:tcPr>
            <w:tcW w:w="1380" w:type="pct"/>
            <w:tcBorders>
              <w:top w:val="single" w:sz="4" w:space="0" w:color="auto"/>
              <w:left w:val="nil"/>
              <w:bottom w:val="single" w:sz="4" w:space="0" w:color="auto"/>
              <w:right w:val="nil"/>
            </w:tcBorders>
          </w:tcPr>
          <w:p w:rsidR="00072072" w:rsidRPr="00072072" w:rsidRDefault="00072072" w:rsidP="00072072">
            <w:pPr>
              <w:spacing w:after="0"/>
              <w:rPr>
                <w:rFonts w:ascii="Arial" w:hAnsi="Arial" w:cs="Arial"/>
                <w:sz w:val="20"/>
                <w:szCs w:val="20"/>
              </w:rPr>
            </w:pPr>
          </w:p>
        </w:tc>
        <w:tc>
          <w:tcPr>
            <w:tcW w:w="647" w:type="pct"/>
            <w:tcBorders>
              <w:top w:val="single" w:sz="4" w:space="0" w:color="auto"/>
              <w:left w:val="nil"/>
              <w:bottom w:val="single" w:sz="4" w:space="0" w:color="auto"/>
              <w:right w:val="single" w:sz="4" w:space="0" w:color="auto"/>
            </w:tcBorders>
          </w:tcPr>
          <w:p w:rsidR="00072072" w:rsidRPr="00072072" w:rsidRDefault="00072072" w:rsidP="00CF53A1">
            <w:pPr>
              <w:spacing w:after="0"/>
              <w:rPr>
                <w:rFonts w:ascii="Arial" w:hAnsi="Arial" w:cs="Arial"/>
                <w:sz w:val="20"/>
                <w:szCs w:val="20"/>
              </w:rPr>
            </w:pPr>
          </w:p>
        </w:tc>
      </w:tr>
    </w:tbl>
    <w:p w:rsidR="00731654" w:rsidRDefault="00731654" w:rsidP="00AA6A5B">
      <w:pPr>
        <w:spacing w:after="240"/>
      </w:pPr>
    </w:p>
    <w:p w:rsidR="003C6ADE" w:rsidRDefault="003C6ADE">
      <w:r>
        <w:br w:type="page"/>
      </w:r>
    </w:p>
    <w:p w:rsidR="003C6ADE" w:rsidRPr="003C6ADE" w:rsidRDefault="003C6ADE" w:rsidP="00AA6A5B">
      <w:pPr>
        <w:spacing w:after="240"/>
        <w:rPr>
          <w:rFonts w:ascii="Arial" w:hAnsi="Arial" w:cs="Arial"/>
          <w:b/>
        </w:rPr>
      </w:pPr>
      <w:r w:rsidRPr="003C6ADE">
        <w:rPr>
          <w:rFonts w:ascii="Arial" w:hAnsi="Arial" w:cs="Arial"/>
          <w:b/>
        </w:rPr>
        <w:lastRenderedPageBreak/>
        <w:t>Annex</w:t>
      </w:r>
      <w:r>
        <w:rPr>
          <w:rFonts w:ascii="Arial" w:hAnsi="Arial" w:cs="Arial"/>
          <w:b/>
        </w:rPr>
        <w:t>: Supply variables calculation</w:t>
      </w:r>
    </w:p>
    <w:p w:rsidR="002E5502" w:rsidRPr="002E5502" w:rsidRDefault="002E5502" w:rsidP="003C6ADE">
      <w:pPr>
        <w:spacing w:after="240"/>
        <w:jc w:val="both"/>
        <w:rPr>
          <w:rFonts w:ascii="Arial" w:hAnsi="Arial" w:cs="Arial"/>
        </w:rPr>
      </w:pPr>
      <w:r w:rsidRPr="002E5502">
        <w:rPr>
          <w:rFonts w:ascii="Arial" w:hAnsi="Arial" w:cs="Arial"/>
        </w:rPr>
        <w:t xml:space="preserve">This is a repeat of section </w:t>
      </w:r>
      <w:r w:rsidR="00CC35CF">
        <w:rPr>
          <w:rFonts w:ascii="Arial" w:hAnsi="Arial" w:cs="Arial"/>
        </w:rPr>
        <w:t>3</w:t>
      </w:r>
      <w:r w:rsidRPr="002E5502">
        <w:rPr>
          <w:rFonts w:ascii="Arial" w:hAnsi="Arial" w:cs="Arial"/>
        </w:rPr>
        <w:t>, with more detail on the formulation of the supply variables.</w:t>
      </w:r>
    </w:p>
    <w:p w:rsidR="003C6ADE" w:rsidRPr="00C714ED" w:rsidRDefault="003C6ADE" w:rsidP="003C6ADE">
      <w:pPr>
        <w:spacing w:after="240"/>
        <w:jc w:val="both"/>
        <w:rPr>
          <w:rFonts w:ascii="Arial" w:hAnsi="Arial" w:cs="Arial"/>
          <w:b/>
          <w:u w:val="single"/>
        </w:rPr>
      </w:pPr>
      <w:r w:rsidRPr="00C714ED">
        <w:rPr>
          <w:rFonts w:ascii="Arial" w:hAnsi="Arial" w:cs="Arial"/>
          <w:b/>
          <w:u w:val="single"/>
        </w:rPr>
        <w:t>Supply of/access to General Practice</w:t>
      </w:r>
    </w:p>
    <w:p w:rsidR="003C6ADE" w:rsidRPr="00E14418" w:rsidRDefault="003C6ADE" w:rsidP="003C6ADE">
      <w:pPr>
        <w:pStyle w:val="ListParagraph"/>
        <w:numPr>
          <w:ilvl w:val="0"/>
          <w:numId w:val="9"/>
        </w:numPr>
        <w:spacing w:after="240"/>
        <w:jc w:val="both"/>
        <w:rPr>
          <w:rFonts w:ascii="Arial" w:hAnsi="Arial" w:cs="Arial"/>
        </w:rPr>
      </w:pPr>
      <w:r w:rsidRPr="00E14418">
        <w:rPr>
          <w:rFonts w:ascii="Arial" w:hAnsi="Arial" w:cs="Arial"/>
          <w:i/>
        </w:rPr>
        <w:t>“Number of GPs serving each Data Zone”</w:t>
      </w:r>
      <w:r>
        <w:rPr>
          <w:rFonts w:ascii="Arial" w:hAnsi="Arial" w:cs="Arial"/>
          <w:i/>
        </w:rPr>
        <w:t>.</w:t>
      </w:r>
      <w:r w:rsidRPr="00E14418">
        <w:rPr>
          <w:rFonts w:ascii="Arial" w:hAnsi="Arial" w:cs="Arial"/>
        </w:rPr>
        <w:t xml:space="preserve"> This variable is the sum of the number of practices serving each DZ weighted by the whole time equivalent number of GPs in each practice.</w:t>
      </w:r>
    </w:p>
    <w:p w:rsidR="003C6ADE" w:rsidRDefault="003C6ADE" w:rsidP="003C6ADE">
      <w:pPr>
        <w:pStyle w:val="ListParagraph"/>
        <w:spacing w:after="240"/>
        <w:ind w:left="360"/>
        <w:jc w:val="both"/>
        <w:rPr>
          <w:rFonts w:ascii="Arial" w:hAnsi="Arial" w:cs="Arial"/>
        </w:rPr>
      </w:pPr>
    </w:p>
    <w:p w:rsidR="003C6ADE" w:rsidRPr="001378DA" w:rsidRDefault="001378DA" w:rsidP="001378DA">
      <w:pPr>
        <w:pStyle w:val="ListParagraph"/>
        <w:numPr>
          <w:ilvl w:val="0"/>
          <w:numId w:val="5"/>
        </w:numPr>
        <w:spacing w:after="240"/>
        <w:contextualSpacing w:val="0"/>
        <w:jc w:val="both"/>
        <w:rPr>
          <w:rFonts w:ascii="Arial" w:hAnsi="Arial" w:cs="Arial"/>
        </w:rPr>
      </w:pPr>
      <w:r>
        <w:rPr>
          <w:rFonts w:ascii="Arial" w:hAnsi="Arial" w:cs="Arial"/>
          <w:i/>
        </w:rPr>
        <w:t xml:space="preserve">“GP supply, 1km </w:t>
      </w:r>
      <w:proofErr w:type="spellStart"/>
      <w:r>
        <w:rPr>
          <w:rFonts w:ascii="Arial" w:hAnsi="Arial" w:cs="Arial"/>
          <w:i/>
        </w:rPr>
        <w:t>intrazonal</w:t>
      </w:r>
      <w:proofErr w:type="spellEnd"/>
      <w:r>
        <w:rPr>
          <w:rFonts w:ascii="Arial" w:hAnsi="Arial" w:cs="Arial"/>
          <w:i/>
        </w:rPr>
        <w:t xml:space="preserve"> cost”, “GP supply, 5km</w:t>
      </w:r>
      <w:r w:rsidRPr="001378DA">
        <w:rPr>
          <w:rFonts w:ascii="Arial" w:hAnsi="Arial" w:cs="Arial"/>
          <w:i/>
        </w:rPr>
        <w:t xml:space="preserve"> </w:t>
      </w:r>
      <w:proofErr w:type="spellStart"/>
      <w:r>
        <w:rPr>
          <w:rFonts w:ascii="Arial" w:hAnsi="Arial" w:cs="Arial"/>
          <w:i/>
        </w:rPr>
        <w:t>intrazonal</w:t>
      </w:r>
      <w:proofErr w:type="spellEnd"/>
      <w:r>
        <w:rPr>
          <w:rFonts w:ascii="Arial" w:hAnsi="Arial" w:cs="Arial"/>
          <w:i/>
        </w:rPr>
        <w:t xml:space="preserve"> cost” and “GP supply, 10km</w:t>
      </w:r>
      <w:r w:rsidRPr="001378DA">
        <w:rPr>
          <w:rFonts w:ascii="Arial" w:hAnsi="Arial" w:cs="Arial"/>
          <w:i/>
        </w:rPr>
        <w:t xml:space="preserve"> </w:t>
      </w:r>
      <w:proofErr w:type="spellStart"/>
      <w:r>
        <w:rPr>
          <w:rFonts w:ascii="Arial" w:hAnsi="Arial" w:cs="Arial"/>
          <w:i/>
        </w:rPr>
        <w:t>intrazonal</w:t>
      </w:r>
      <w:proofErr w:type="spellEnd"/>
      <w:r>
        <w:rPr>
          <w:rFonts w:ascii="Arial" w:hAnsi="Arial" w:cs="Arial"/>
          <w:i/>
        </w:rPr>
        <w:t xml:space="preserve"> cost”.</w:t>
      </w:r>
      <w:r w:rsidR="003C6ADE">
        <w:rPr>
          <w:rFonts w:ascii="Arial" w:hAnsi="Arial" w:cs="Arial"/>
          <w:i/>
        </w:rPr>
        <w:t xml:space="preserve"> </w:t>
      </w:r>
      <w:r w:rsidR="003C6ADE">
        <w:rPr>
          <w:rFonts w:ascii="Arial" w:hAnsi="Arial" w:cs="Arial"/>
        </w:rPr>
        <w:t xml:space="preserve">A function of the linear distance from the population grid </w:t>
      </w:r>
      <w:proofErr w:type="spellStart"/>
      <w:r w:rsidR="003C6ADE">
        <w:rPr>
          <w:rFonts w:ascii="Arial" w:hAnsi="Arial" w:cs="Arial"/>
        </w:rPr>
        <w:t>centroid</w:t>
      </w:r>
      <w:proofErr w:type="spellEnd"/>
      <w:r w:rsidR="003C6ADE">
        <w:rPr>
          <w:rFonts w:ascii="Arial" w:hAnsi="Arial" w:cs="Arial"/>
        </w:rPr>
        <w:t xml:space="preserve"> of the DZ to each surgery it is served by. </w:t>
      </w:r>
      <w:r>
        <w:rPr>
          <w:rFonts w:ascii="Arial" w:hAnsi="Arial" w:cs="Arial"/>
        </w:rPr>
        <w:t xml:space="preserve">The </w:t>
      </w:r>
      <w:proofErr w:type="spellStart"/>
      <w:r>
        <w:rPr>
          <w:rFonts w:ascii="Arial" w:hAnsi="Arial" w:cs="Arial"/>
        </w:rPr>
        <w:t>intrazonal</w:t>
      </w:r>
      <w:proofErr w:type="spellEnd"/>
      <w:r>
        <w:rPr>
          <w:rFonts w:ascii="Arial" w:hAnsi="Arial" w:cs="Arial"/>
        </w:rPr>
        <w:t xml:space="preserve"> cost refers to the assumed travel within the small area, in addition to the distance from its </w:t>
      </w:r>
      <w:proofErr w:type="spellStart"/>
      <w:r>
        <w:rPr>
          <w:rFonts w:ascii="Arial" w:hAnsi="Arial" w:cs="Arial"/>
        </w:rPr>
        <w:t>centroid</w:t>
      </w:r>
      <w:proofErr w:type="spellEnd"/>
      <w:r>
        <w:rPr>
          <w:rFonts w:ascii="Arial" w:hAnsi="Arial" w:cs="Arial"/>
        </w:rPr>
        <w:t xml:space="preserve"> to the practice. </w:t>
      </w:r>
      <w:r w:rsidR="003C6ADE" w:rsidRPr="001378DA">
        <w:rPr>
          <w:rFonts w:ascii="Arial" w:hAnsi="Arial" w:cs="Arial"/>
        </w:rPr>
        <w:t>This can be expressed algebraically as:</w:t>
      </w:r>
    </w:p>
    <w:p w:rsidR="003C6ADE" w:rsidRDefault="003C6ADE" w:rsidP="003C6ADE">
      <w:pPr>
        <w:pStyle w:val="ListParagraph"/>
        <w:spacing w:after="240"/>
        <w:ind w:left="360"/>
        <w:jc w:val="both"/>
        <w:rPr>
          <w:rFonts w:ascii="Arial" w:hAnsi="Arial" w:cs="Arial"/>
        </w:rPr>
      </w:pPr>
    </w:p>
    <w:p w:rsidR="003C6ADE" w:rsidRPr="009C3A89" w:rsidRDefault="003C6ADE" w:rsidP="003C6ADE">
      <w:pPr>
        <w:pStyle w:val="ListParagraph"/>
        <w:spacing w:after="240"/>
        <w:ind w:left="360"/>
        <w:jc w:val="both"/>
        <w:rPr>
          <w:rFonts w:ascii="Arial" w:eastAsiaTheme="minorEastAsia" w:hAnsi="Arial" w:cs="Arial"/>
        </w:rPr>
      </w:pPr>
      <m:oMathPara>
        <m:oMath>
          <m:r>
            <m:rPr>
              <m:nor/>
            </m:rPr>
            <w:rPr>
              <w:rFonts w:ascii="Cambria Math" w:hAnsi="Cambria Math" w:cs="Arial"/>
              <w:sz w:val="24"/>
            </w:rPr>
            <m:t xml:space="preserve">GP supply </m:t>
          </m:r>
          <m:r>
            <w:rPr>
              <w:rFonts w:ascii="Cambria Math" w:hAnsi="Cambria Math" w:cs="Arial"/>
              <w:sz w:val="24"/>
            </w:rPr>
            <m:t xml:space="preserve">n </m:t>
          </m:r>
          <m:r>
            <m:rPr>
              <m:nor/>
            </m:rPr>
            <w:rPr>
              <w:rFonts w:ascii="Cambria Math" w:hAnsi="Cambria Math" w:cs="Arial"/>
              <w:sz w:val="24"/>
            </w:rPr>
            <m:t>km</m:t>
          </m:r>
          <m:r>
            <w:rPr>
              <w:rFonts w:ascii="Cambria Math" w:hAnsi="Cambria Math" w:cs="Arial"/>
              <w:sz w:val="24"/>
            </w:rPr>
            <m:t xml:space="preserve">= </m:t>
          </m:r>
          <m:nary>
            <m:naryPr>
              <m:chr m:val="∑"/>
              <m:limLoc m:val="undOvr"/>
              <m:supHide m:val="on"/>
              <m:ctrlPr>
                <w:rPr>
                  <w:rFonts w:ascii="Cambria Math" w:hAnsi="Cambria Math" w:cs="Arial"/>
                  <w:i/>
                  <w:sz w:val="24"/>
                </w:rPr>
              </m:ctrlPr>
            </m:naryPr>
            <m:sub>
              <m:r>
                <m:rPr>
                  <m:nor/>
                </m:rPr>
                <w:rPr>
                  <w:rFonts w:ascii="Cambria Math" w:hAnsi="Cambria Math" w:cs="Arial"/>
                  <w:sz w:val="24"/>
                </w:rPr>
                <m:t>all practices in the DZ</m:t>
              </m:r>
            </m:sub>
            <m:sup/>
            <m:e>
              <m:f>
                <m:fPr>
                  <m:ctrlPr>
                    <w:rPr>
                      <w:rFonts w:ascii="Cambria Math" w:hAnsi="Cambria Math" w:cs="Arial"/>
                      <w:i/>
                      <w:sz w:val="24"/>
                    </w:rPr>
                  </m:ctrlPr>
                </m:fPr>
                <m:num>
                  <m:r>
                    <m:rPr>
                      <m:nor/>
                    </m:rPr>
                    <w:rPr>
                      <w:rFonts w:ascii="Cambria Math" w:hAnsi="Cambria Math" w:cs="Arial"/>
                      <w:sz w:val="24"/>
                    </w:rPr>
                    <m:t>number of WTE GPs per practice</m:t>
                  </m:r>
                </m:num>
                <m:den>
                  <m:sSup>
                    <m:sSupPr>
                      <m:ctrlPr>
                        <w:rPr>
                          <w:rFonts w:ascii="Cambria Math" w:hAnsi="Cambria Math" w:cs="Arial"/>
                          <w:i/>
                          <w:sz w:val="24"/>
                        </w:rPr>
                      </m:ctrlPr>
                    </m:sSupPr>
                    <m:e>
                      <m:d>
                        <m:dPr>
                          <m:ctrlPr>
                            <w:rPr>
                              <w:rFonts w:ascii="Cambria Math" w:hAnsi="Cambria Math" w:cs="Arial"/>
                              <w:i/>
                              <w:sz w:val="24"/>
                            </w:rPr>
                          </m:ctrlPr>
                        </m:dPr>
                        <m:e>
                          <m:r>
                            <m:rPr>
                              <m:nor/>
                            </m:rPr>
                            <w:rPr>
                              <w:rFonts w:ascii="Cambria Math" w:hAnsi="Cambria Math" w:cs="Arial"/>
                              <w:sz w:val="24"/>
                            </w:rPr>
                            <m:t>distance to practice</m:t>
                          </m:r>
                          <m:r>
                            <w:rPr>
                              <w:rFonts w:ascii="Cambria Math" w:hAnsi="Cambria Math" w:cs="Arial"/>
                              <w:sz w:val="24"/>
                            </w:rPr>
                            <m:t>+n</m:t>
                          </m:r>
                        </m:e>
                      </m:d>
                    </m:e>
                    <m:sup>
                      <m:r>
                        <w:rPr>
                          <w:rFonts w:ascii="Cambria Math" w:hAnsi="Cambria Math" w:cs="Arial"/>
                          <w:sz w:val="24"/>
                        </w:rPr>
                        <m:t>2</m:t>
                      </m:r>
                    </m:sup>
                  </m:sSup>
                </m:den>
              </m:f>
            </m:e>
          </m:nary>
        </m:oMath>
      </m:oMathPara>
    </w:p>
    <w:p w:rsidR="003C6ADE" w:rsidRPr="009C3A89" w:rsidRDefault="003C6ADE" w:rsidP="003C6ADE">
      <w:pPr>
        <w:pStyle w:val="ListParagraph"/>
        <w:spacing w:after="240"/>
        <w:ind w:left="360"/>
        <w:jc w:val="both"/>
        <w:rPr>
          <w:rFonts w:ascii="Arial" w:eastAsiaTheme="minorEastAsia" w:hAnsi="Arial" w:cs="Arial"/>
        </w:rPr>
      </w:pPr>
    </w:p>
    <w:p w:rsidR="003C6ADE" w:rsidRDefault="003C6ADE" w:rsidP="003C6ADE">
      <w:pPr>
        <w:pStyle w:val="ListParagraph"/>
        <w:spacing w:after="240"/>
        <w:ind w:left="360"/>
        <w:jc w:val="both"/>
        <w:rPr>
          <w:rFonts w:ascii="Arial" w:hAnsi="Arial" w:cs="Arial"/>
        </w:rPr>
      </w:pPr>
      <w:proofErr w:type="gramStart"/>
      <w:r>
        <w:rPr>
          <w:rFonts w:ascii="Arial" w:hAnsi="Arial" w:cs="Arial"/>
        </w:rPr>
        <w:t>where</w:t>
      </w:r>
      <w:proofErr w:type="gramEnd"/>
      <w:r>
        <w:rPr>
          <w:rFonts w:ascii="Arial" w:hAnsi="Arial" w:cs="Arial"/>
        </w:rPr>
        <w:t xml:space="preserve"> </w:t>
      </w:r>
      <w:r w:rsidRPr="00E14418">
        <w:rPr>
          <w:rFonts w:ascii="Arial" w:hAnsi="Arial" w:cs="Arial"/>
          <w:i/>
        </w:rPr>
        <w:t>n</w:t>
      </w:r>
      <w:r>
        <w:rPr>
          <w:rFonts w:ascii="Arial" w:hAnsi="Arial" w:cs="Arial"/>
        </w:rPr>
        <w:t xml:space="preserve"> is 1, 5 or 10 kilometres, i.e. different buffer distances. </w:t>
      </w:r>
    </w:p>
    <w:p w:rsidR="003C6ADE" w:rsidRPr="00C714ED" w:rsidRDefault="003C6ADE" w:rsidP="003C6ADE">
      <w:pPr>
        <w:spacing w:after="240"/>
        <w:jc w:val="both"/>
        <w:rPr>
          <w:rFonts w:ascii="Arial" w:hAnsi="Arial" w:cs="Arial"/>
          <w:b/>
          <w:u w:val="single"/>
        </w:rPr>
      </w:pPr>
      <w:r w:rsidRPr="00C714ED">
        <w:rPr>
          <w:rFonts w:ascii="Arial" w:hAnsi="Arial" w:cs="Arial"/>
          <w:b/>
          <w:u w:val="single"/>
        </w:rPr>
        <w:t>Hospital supply</w:t>
      </w:r>
    </w:p>
    <w:p w:rsidR="003C6ADE" w:rsidRPr="000760EF" w:rsidRDefault="003C6ADE" w:rsidP="003C6ADE">
      <w:pPr>
        <w:pStyle w:val="ListParagraph"/>
        <w:numPr>
          <w:ilvl w:val="0"/>
          <w:numId w:val="9"/>
        </w:numPr>
        <w:spacing w:after="240"/>
        <w:jc w:val="both"/>
        <w:rPr>
          <w:rFonts w:ascii="Arial" w:hAnsi="Arial" w:cs="Arial"/>
        </w:rPr>
      </w:pPr>
      <w:r>
        <w:rPr>
          <w:rFonts w:ascii="Arial" w:hAnsi="Arial" w:cs="Arial"/>
          <w:i/>
        </w:rPr>
        <w:t>“Inpatient/Outpat</w:t>
      </w:r>
      <w:r w:rsidR="002E5502">
        <w:rPr>
          <w:rFonts w:ascii="Arial" w:hAnsi="Arial" w:cs="Arial"/>
          <w:i/>
        </w:rPr>
        <w:t>ient Access – nearest facility”.</w:t>
      </w:r>
      <w:r>
        <w:rPr>
          <w:rFonts w:ascii="Arial" w:hAnsi="Arial" w:cs="Arial"/>
          <w:i/>
        </w:rPr>
        <w:t xml:space="preserve"> </w:t>
      </w:r>
      <w:r>
        <w:rPr>
          <w:rFonts w:ascii="Arial" w:hAnsi="Arial" w:cs="Arial"/>
        </w:rPr>
        <w:t xml:space="preserve">Size of the nearest inpatient/outpatient facility, where size is measured as the number of inpatient or outpatient episodes in the last year. Nearest here means closest to the DZ population </w:t>
      </w:r>
      <w:proofErr w:type="spellStart"/>
      <w:r>
        <w:rPr>
          <w:rFonts w:ascii="Arial" w:hAnsi="Arial" w:cs="Arial"/>
        </w:rPr>
        <w:t>centroid</w:t>
      </w:r>
      <w:proofErr w:type="spellEnd"/>
      <w:r>
        <w:rPr>
          <w:rFonts w:ascii="Arial" w:hAnsi="Arial" w:cs="Arial"/>
        </w:rPr>
        <w:t xml:space="preserve">. This measure was not recommended in Technical Report D since it tends to be biased by institutions with very small capacity. </w:t>
      </w:r>
    </w:p>
    <w:p w:rsidR="003C6ADE" w:rsidRPr="000760EF" w:rsidRDefault="003C6ADE" w:rsidP="003C6ADE">
      <w:pPr>
        <w:pStyle w:val="ListParagraph"/>
        <w:spacing w:after="240"/>
        <w:ind w:left="360"/>
        <w:jc w:val="both"/>
        <w:rPr>
          <w:rFonts w:ascii="Arial" w:hAnsi="Arial" w:cs="Arial"/>
        </w:rPr>
      </w:pPr>
    </w:p>
    <w:p w:rsidR="003C6ADE" w:rsidRPr="003C6ADE" w:rsidRDefault="003C6ADE" w:rsidP="003C6ADE">
      <w:pPr>
        <w:pStyle w:val="ListParagraph"/>
        <w:numPr>
          <w:ilvl w:val="0"/>
          <w:numId w:val="9"/>
        </w:numPr>
        <w:spacing w:after="240"/>
        <w:jc w:val="both"/>
        <w:rPr>
          <w:rFonts w:ascii="Arial" w:hAnsi="Arial" w:cs="Arial"/>
        </w:rPr>
      </w:pPr>
      <w:r>
        <w:rPr>
          <w:rFonts w:ascii="Arial" w:hAnsi="Arial" w:cs="Arial"/>
          <w:i/>
        </w:rPr>
        <w:t xml:space="preserve">“IPACX/OPACX”. </w:t>
      </w:r>
      <w:r>
        <w:rPr>
          <w:rFonts w:ascii="Arial" w:hAnsi="Arial" w:cs="Arial"/>
        </w:rPr>
        <w:t xml:space="preserve">A function of the linear distance from the population grid </w:t>
      </w:r>
      <w:proofErr w:type="spellStart"/>
      <w:r>
        <w:rPr>
          <w:rFonts w:ascii="Arial" w:hAnsi="Arial" w:cs="Arial"/>
        </w:rPr>
        <w:t>centroid</w:t>
      </w:r>
      <w:proofErr w:type="spellEnd"/>
      <w:r>
        <w:rPr>
          <w:rFonts w:ascii="Arial" w:hAnsi="Arial" w:cs="Arial"/>
        </w:rPr>
        <w:t xml:space="preserve"> of the DZ to each inpatient (I) or outpatient (O) facility it is served by.</w:t>
      </w:r>
      <w:r w:rsidRPr="003C6ADE">
        <w:rPr>
          <w:rFonts w:ascii="Arial" w:hAnsi="Arial" w:cs="Arial"/>
        </w:rPr>
        <w:t xml:space="preserve"> </w:t>
      </w:r>
      <w:r>
        <w:rPr>
          <w:rFonts w:ascii="Arial" w:hAnsi="Arial" w:cs="Arial"/>
        </w:rPr>
        <w:t>This can be expressed algebraically as:</w:t>
      </w:r>
    </w:p>
    <w:p w:rsidR="003C6ADE" w:rsidRDefault="003C6ADE" w:rsidP="003C6ADE">
      <w:pPr>
        <w:spacing w:after="240"/>
        <w:jc w:val="both"/>
        <w:rPr>
          <w:rFonts w:ascii="Arial" w:hAnsi="Arial" w:cs="Arial"/>
          <w:i/>
          <w:sz w:val="24"/>
        </w:rPr>
      </w:pPr>
      <m:oMathPara>
        <m:oMath>
          <m:r>
            <m:rPr>
              <m:nor/>
            </m:rPr>
            <w:rPr>
              <w:rFonts w:ascii="Cambria Math" w:hAnsi="Cambria Math" w:cs="Arial"/>
              <w:sz w:val="24"/>
            </w:rPr>
            <m:t>IPACX/OPACX</m:t>
          </m:r>
          <m:r>
            <w:rPr>
              <w:rFonts w:ascii="Cambria Math" w:hAnsi="Cambria Math" w:cs="Arial"/>
              <w:sz w:val="24"/>
            </w:rPr>
            <m:t xml:space="preserve">= </m:t>
          </m:r>
          <m:nary>
            <m:naryPr>
              <m:chr m:val="∑"/>
              <m:limLoc m:val="undOvr"/>
              <m:supHide m:val="on"/>
              <m:ctrlPr>
                <w:rPr>
                  <w:rFonts w:ascii="Cambria Math" w:hAnsi="Cambria Math" w:cs="Arial"/>
                  <w:i/>
                  <w:sz w:val="24"/>
                </w:rPr>
              </m:ctrlPr>
            </m:naryPr>
            <m:sub>
              <m:r>
                <m:rPr>
                  <m:nor/>
                </m:rPr>
                <w:rPr>
                  <w:rFonts w:ascii="Cambria Math" w:hAnsi="Cambria Math" w:cs="Arial"/>
                  <w:sz w:val="24"/>
                </w:rPr>
                <m:t>all facilities in the DZ</m:t>
              </m:r>
            </m:sub>
            <m:sup/>
            <m:e>
              <m:f>
                <m:fPr>
                  <m:ctrlPr>
                    <w:rPr>
                      <w:rFonts w:ascii="Cambria Math" w:hAnsi="Cambria Math" w:cs="Arial"/>
                      <w:i/>
                      <w:sz w:val="24"/>
                    </w:rPr>
                  </m:ctrlPr>
                </m:fPr>
                <m:num>
                  <m:r>
                    <m:rPr>
                      <m:nor/>
                    </m:rPr>
                    <w:rPr>
                      <w:rFonts w:ascii="Cambria Math" w:hAnsi="Cambria Math" w:cs="Arial"/>
                      <w:sz w:val="24"/>
                    </w:rPr>
                    <m:t>number of episodes per facility</m:t>
                  </m:r>
                </m:num>
                <m:den>
                  <m:sSup>
                    <m:sSupPr>
                      <m:ctrlPr>
                        <w:rPr>
                          <w:rFonts w:ascii="Cambria Math" w:hAnsi="Cambria Math" w:cs="Arial"/>
                          <w:i/>
                          <w:sz w:val="24"/>
                        </w:rPr>
                      </m:ctrlPr>
                    </m:sSupPr>
                    <m:e>
                      <m:d>
                        <m:dPr>
                          <m:ctrlPr>
                            <w:rPr>
                              <w:rFonts w:ascii="Cambria Math" w:hAnsi="Cambria Math" w:cs="Arial"/>
                              <w:i/>
                              <w:sz w:val="24"/>
                            </w:rPr>
                          </m:ctrlPr>
                        </m:dPr>
                        <m:e>
                          <m:r>
                            <m:rPr>
                              <m:nor/>
                            </m:rPr>
                            <w:rPr>
                              <w:rFonts w:ascii="Cambria Math" w:hAnsi="Cambria Math" w:cs="Arial"/>
                              <w:sz w:val="24"/>
                            </w:rPr>
                            <m:t>distance to facility</m:t>
                          </m:r>
                          <m:r>
                            <w:rPr>
                              <w:rFonts w:ascii="Cambria Math" w:hAnsi="Cambria Math" w:cs="Arial"/>
                              <w:sz w:val="24"/>
                            </w:rPr>
                            <m:t>+10</m:t>
                          </m:r>
                        </m:e>
                      </m:d>
                    </m:e>
                    <m:sup>
                      <m:r>
                        <m:rPr>
                          <m:nor/>
                        </m:rPr>
                        <w:rPr>
                          <w:rFonts w:ascii="Cambria Math" w:hAnsi="Cambria Math" w:cs="Arial"/>
                          <w:sz w:val="24"/>
                        </w:rPr>
                        <m:t>2</m:t>
                      </m:r>
                    </m:sup>
                  </m:sSup>
                </m:den>
              </m:f>
            </m:e>
          </m:nary>
        </m:oMath>
      </m:oMathPara>
    </w:p>
    <w:p w:rsidR="003C6ADE" w:rsidRPr="003C6ADE" w:rsidRDefault="003C6ADE" w:rsidP="003C6ADE">
      <w:pPr>
        <w:pStyle w:val="ListParagraph"/>
        <w:numPr>
          <w:ilvl w:val="0"/>
          <w:numId w:val="9"/>
        </w:numPr>
        <w:spacing w:after="240"/>
        <w:jc w:val="both"/>
        <w:rPr>
          <w:rFonts w:ascii="Arial" w:hAnsi="Arial" w:cs="Arial"/>
        </w:rPr>
      </w:pPr>
      <w:r w:rsidRPr="003C6ADE">
        <w:rPr>
          <w:rFonts w:ascii="Arial" w:hAnsi="Arial" w:cs="Arial"/>
          <w:i/>
        </w:rPr>
        <w:t xml:space="preserve">“IPAC/OPAC”. </w:t>
      </w:r>
      <w:r w:rsidRPr="003C6ADE">
        <w:rPr>
          <w:rFonts w:ascii="Arial" w:hAnsi="Arial" w:cs="Arial"/>
        </w:rPr>
        <w:t xml:space="preserve">The same inverse decay function is used </w:t>
      </w:r>
      <w:r>
        <w:rPr>
          <w:rFonts w:ascii="Arial" w:hAnsi="Arial" w:cs="Arial"/>
        </w:rPr>
        <w:t>as for</w:t>
      </w:r>
      <w:r w:rsidRPr="003C6ADE">
        <w:rPr>
          <w:rFonts w:ascii="Arial" w:hAnsi="Arial" w:cs="Arial"/>
        </w:rPr>
        <w:t xml:space="preserve"> IPAXC and OPACX, but the volume of each hospital is “attraction cons</w:t>
      </w:r>
      <w:r>
        <w:rPr>
          <w:rFonts w:ascii="Arial" w:hAnsi="Arial" w:cs="Arial"/>
        </w:rPr>
        <w:t>trained”: t</w:t>
      </w:r>
      <w:r w:rsidRPr="003C6ADE">
        <w:rPr>
          <w:rFonts w:ascii="Arial" w:hAnsi="Arial" w:cs="Arial"/>
        </w:rPr>
        <w:t xml:space="preserve">he number of episodes at each hospital is weighted </w:t>
      </w:r>
      <w:r w:rsidR="002E5502">
        <w:rPr>
          <w:rFonts w:ascii="Arial" w:hAnsi="Arial" w:cs="Arial"/>
        </w:rPr>
        <w:t>according to</w:t>
      </w:r>
      <w:r w:rsidRPr="003C6ADE">
        <w:rPr>
          <w:rFonts w:ascii="Arial" w:hAnsi="Arial" w:cs="Arial"/>
        </w:rPr>
        <w:t xml:space="preserve"> the size of the population it serves. </w:t>
      </w:r>
      <w:r w:rsidR="002E5502">
        <w:rPr>
          <w:rFonts w:ascii="Arial" w:hAnsi="Arial" w:cs="Arial"/>
        </w:rPr>
        <w:t>This is</w:t>
      </w:r>
      <w:r w:rsidRPr="003C6ADE">
        <w:rPr>
          <w:rFonts w:ascii="Arial" w:hAnsi="Arial" w:cs="Arial"/>
        </w:rPr>
        <w:t xml:space="preserve"> the number of people in each DZ, weighted by the inverse square of the</w:t>
      </w:r>
      <w:r w:rsidR="002E5502">
        <w:rPr>
          <w:rFonts w:ascii="Arial" w:hAnsi="Arial" w:cs="Arial"/>
        </w:rPr>
        <w:t xml:space="preserve"> distance from the DZ </w:t>
      </w:r>
      <w:proofErr w:type="spellStart"/>
      <w:r w:rsidR="002E5502">
        <w:rPr>
          <w:rFonts w:ascii="Arial" w:hAnsi="Arial" w:cs="Arial"/>
        </w:rPr>
        <w:t>centroid</w:t>
      </w:r>
      <w:proofErr w:type="spellEnd"/>
      <w:r w:rsidR="002E5502">
        <w:rPr>
          <w:rFonts w:ascii="Arial" w:hAnsi="Arial" w:cs="Arial"/>
        </w:rPr>
        <w:t>:</w:t>
      </w:r>
    </w:p>
    <w:p w:rsidR="003C6ADE" w:rsidRPr="008729C8" w:rsidRDefault="003C6ADE" w:rsidP="003C6ADE">
      <w:pPr>
        <w:spacing w:after="240"/>
        <w:jc w:val="both"/>
        <w:rPr>
          <w:rFonts w:ascii="Arial" w:hAnsi="Arial" w:cs="Arial"/>
          <w:i/>
        </w:rPr>
      </w:pPr>
      <m:oMathPara>
        <m:oMath>
          <m:r>
            <m:rPr>
              <m:nor/>
            </m:rPr>
            <w:rPr>
              <w:rFonts w:ascii="Cambria Math" w:hAnsi="Cambria Math" w:cs="Arial"/>
              <w:sz w:val="24"/>
            </w:rPr>
            <m:t xml:space="preserve">IPAC/OPAC </m:t>
          </m:r>
          <m:r>
            <w:rPr>
              <w:rFonts w:ascii="Cambria Math" w:hAnsi="Cambria Math" w:cs="Arial"/>
              <w:sz w:val="24"/>
            </w:rPr>
            <m:t xml:space="preserve">= </m:t>
          </m:r>
          <m:nary>
            <m:naryPr>
              <m:chr m:val="∑"/>
              <m:limLoc m:val="undOvr"/>
              <m:supHide m:val="on"/>
              <m:ctrlPr>
                <w:rPr>
                  <w:rFonts w:ascii="Cambria Math" w:hAnsi="Cambria Math" w:cs="Arial"/>
                  <w:i/>
                  <w:sz w:val="24"/>
                </w:rPr>
              </m:ctrlPr>
            </m:naryPr>
            <m:sub>
              <m:r>
                <m:rPr>
                  <m:nor/>
                </m:rPr>
                <w:rPr>
                  <w:rFonts w:ascii="Cambria Math" w:hAnsi="Cambria Math" w:cs="Arial"/>
                  <w:sz w:val="24"/>
                </w:rPr>
                <m:t>all facilities in the DZ</m:t>
              </m:r>
            </m:sub>
            <m:sup/>
            <m:e>
              <m:f>
                <m:fPr>
                  <m:ctrlPr>
                    <w:rPr>
                      <w:rFonts w:ascii="Cambria Math" w:hAnsi="Cambria Math" w:cs="Arial"/>
                      <w:i/>
                      <w:sz w:val="24"/>
                    </w:rPr>
                  </m:ctrlPr>
                </m:fPr>
                <m:num>
                  <m:f>
                    <m:fPr>
                      <m:type m:val="lin"/>
                      <m:ctrlPr>
                        <w:rPr>
                          <w:rFonts w:ascii="Cambria Math" w:hAnsi="Cambria Math" w:cs="Arial"/>
                          <w:i/>
                          <w:sz w:val="24"/>
                        </w:rPr>
                      </m:ctrlPr>
                    </m:fPr>
                    <m:num>
                      <m:r>
                        <m:rPr>
                          <m:nor/>
                        </m:rPr>
                        <w:rPr>
                          <w:rFonts w:ascii="Cambria Math" w:hAnsi="Cambria Math" w:cs="Arial"/>
                          <w:sz w:val="24"/>
                        </w:rPr>
                        <m:t>number of episodes per facility</m:t>
                      </m:r>
                    </m:num>
                    <m:den>
                      <m:d>
                        <m:dPr>
                          <m:ctrlPr>
                            <w:rPr>
                              <w:rFonts w:ascii="Cambria Math" w:hAnsi="Cambria Math" w:cs="Arial"/>
                              <w:i/>
                              <w:sz w:val="24"/>
                            </w:rPr>
                          </m:ctrlPr>
                        </m:dPr>
                        <m:e>
                          <m:f>
                            <m:fPr>
                              <m:ctrlPr>
                                <w:rPr>
                                  <w:rFonts w:ascii="Cambria Math" w:hAnsi="Cambria Math" w:cs="Arial"/>
                                  <w:i/>
                                  <w:sz w:val="24"/>
                                </w:rPr>
                              </m:ctrlPr>
                            </m:fPr>
                            <m:num>
                              <m:r>
                                <m:rPr>
                                  <m:nor/>
                                </m:rPr>
                                <w:rPr>
                                  <w:rFonts w:ascii="Cambria Math" w:hAnsi="Cambria Math" w:cs="Arial"/>
                                  <w:sz w:val="24"/>
                                </w:rPr>
                                <m:t>DZ population</m:t>
                              </m:r>
                            </m:num>
                            <m:den>
                              <m:sSup>
                                <m:sSupPr>
                                  <m:ctrlPr>
                                    <w:rPr>
                                      <w:rFonts w:ascii="Cambria Math" w:hAnsi="Cambria Math" w:cs="Arial"/>
                                      <w:i/>
                                      <w:sz w:val="24"/>
                                    </w:rPr>
                                  </m:ctrlPr>
                                </m:sSupPr>
                                <m:e>
                                  <m:r>
                                    <m:rPr>
                                      <m:nor/>
                                    </m:rPr>
                                    <w:rPr>
                                      <w:rFonts w:ascii="Cambria Math" w:hAnsi="Cambria Math" w:cs="Arial"/>
                                      <w:sz w:val="24"/>
                                    </w:rPr>
                                    <m:t>distance to facility</m:t>
                                  </m:r>
                                </m:e>
                                <m:sup>
                                  <m:r>
                                    <w:rPr>
                                      <w:rFonts w:ascii="Cambria Math" w:hAnsi="Cambria Math" w:cs="Arial"/>
                                      <w:sz w:val="24"/>
                                    </w:rPr>
                                    <m:t>2</m:t>
                                  </m:r>
                                </m:sup>
                              </m:sSup>
                            </m:den>
                          </m:f>
                        </m:e>
                      </m:d>
                    </m:den>
                  </m:f>
                </m:num>
                <m:den>
                  <m:sSup>
                    <m:sSupPr>
                      <m:ctrlPr>
                        <w:rPr>
                          <w:rFonts w:ascii="Cambria Math" w:hAnsi="Cambria Math" w:cs="Arial"/>
                          <w:i/>
                          <w:sz w:val="24"/>
                        </w:rPr>
                      </m:ctrlPr>
                    </m:sSupPr>
                    <m:e>
                      <m:d>
                        <m:dPr>
                          <m:ctrlPr>
                            <w:rPr>
                              <w:rFonts w:ascii="Cambria Math" w:hAnsi="Cambria Math" w:cs="Arial"/>
                              <w:i/>
                              <w:sz w:val="24"/>
                            </w:rPr>
                          </m:ctrlPr>
                        </m:dPr>
                        <m:e>
                          <m:r>
                            <m:rPr>
                              <m:nor/>
                            </m:rPr>
                            <w:rPr>
                              <w:rFonts w:ascii="Cambria Math" w:hAnsi="Cambria Math" w:cs="Arial"/>
                              <w:sz w:val="24"/>
                            </w:rPr>
                            <m:t>distance to facility</m:t>
                          </m:r>
                          <m:r>
                            <w:rPr>
                              <w:rFonts w:ascii="Cambria Math" w:hAnsi="Cambria Math" w:cs="Arial"/>
                              <w:sz w:val="24"/>
                            </w:rPr>
                            <m:t>+10</m:t>
                          </m:r>
                        </m:e>
                      </m:d>
                    </m:e>
                    <m:sup>
                      <m:r>
                        <w:rPr>
                          <w:rFonts w:ascii="Cambria Math" w:hAnsi="Cambria Math" w:cs="Arial"/>
                          <w:sz w:val="24"/>
                        </w:rPr>
                        <m:t>2</m:t>
                      </m:r>
                    </m:sup>
                  </m:sSup>
                </m:den>
              </m:f>
            </m:e>
          </m:nary>
        </m:oMath>
      </m:oMathPara>
    </w:p>
    <w:p w:rsidR="002E5502" w:rsidRPr="002E5502" w:rsidRDefault="003C6ADE" w:rsidP="002E5502">
      <w:pPr>
        <w:pStyle w:val="ListParagraph"/>
        <w:spacing w:after="240"/>
        <w:ind w:left="360"/>
        <w:jc w:val="both"/>
        <w:rPr>
          <w:rFonts w:ascii="Arial" w:hAnsi="Arial" w:cs="Arial"/>
          <w:i/>
        </w:rPr>
      </w:pPr>
      <w:r w:rsidRPr="002E5502">
        <w:rPr>
          <w:rFonts w:ascii="Arial" w:hAnsi="Arial" w:cs="Arial"/>
        </w:rPr>
        <w:t>It is stated in Technical Report D that:</w:t>
      </w:r>
      <w:r w:rsidR="002E5502" w:rsidRPr="002E5502">
        <w:rPr>
          <w:rFonts w:ascii="Arial" w:hAnsi="Arial" w:cs="Arial"/>
        </w:rPr>
        <w:t xml:space="preserve"> </w:t>
      </w:r>
    </w:p>
    <w:p w:rsidR="002E5502" w:rsidRPr="002E5502" w:rsidRDefault="002E5502" w:rsidP="002E5502">
      <w:pPr>
        <w:pStyle w:val="ListParagraph"/>
        <w:spacing w:after="240"/>
        <w:ind w:left="360"/>
        <w:jc w:val="both"/>
        <w:rPr>
          <w:rFonts w:ascii="Arial" w:hAnsi="Arial" w:cs="Arial"/>
          <w:i/>
        </w:rPr>
      </w:pPr>
    </w:p>
    <w:p w:rsidR="003C6ADE" w:rsidRPr="002E5502" w:rsidRDefault="003C6ADE" w:rsidP="002E5502">
      <w:pPr>
        <w:pStyle w:val="ListParagraph"/>
        <w:spacing w:after="240"/>
        <w:ind w:left="360"/>
        <w:jc w:val="both"/>
        <w:rPr>
          <w:rFonts w:ascii="Arial" w:hAnsi="Arial" w:cs="Arial"/>
          <w:i/>
        </w:rPr>
      </w:pPr>
      <w:r w:rsidRPr="002E5502">
        <w:rPr>
          <w:rFonts w:ascii="Arial" w:hAnsi="Arial" w:cs="Arial"/>
          <w:i/>
        </w:rPr>
        <w:t xml:space="preserve">“Though intuitively attractive, this method appears to overcompensate for population effects – especially in the Western Isles and Shetland. Although the hospitals are relatively small, the numbers in the catchment populations are also small, leading to values for (population corrected supply) that exceed those in central Glasgow. Because of our concern at the scale of the attraction constrained correction, only the two uncorrected measures (OPACX and IPACX) were used in the index </w:t>
      </w:r>
      <w:proofErr w:type="gramStart"/>
      <w:r w:rsidRPr="002E5502">
        <w:rPr>
          <w:rFonts w:ascii="Arial" w:hAnsi="Arial" w:cs="Arial"/>
          <w:i/>
        </w:rPr>
        <w:t>development.</w:t>
      </w:r>
      <w:proofErr w:type="gramEnd"/>
      <w:r w:rsidRPr="002E5502">
        <w:rPr>
          <w:rFonts w:ascii="Arial" w:hAnsi="Arial" w:cs="Arial"/>
          <w:i/>
        </w:rPr>
        <w:t>”</w:t>
      </w:r>
    </w:p>
    <w:p w:rsidR="003C6ADE" w:rsidRDefault="003C6ADE" w:rsidP="00AA6A5B">
      <w:pPr>
        <w:spacing w:after="240"/>
      </w:pPr>
    </w:p>
    <w:sectPr w:rsidR="003C6ADE" w:rsidSect="00AC246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E1" w:rsidRDefault="007B7EE1" w:rsidP="00D77872">
      <w:pPr>
        <w:spacing w:after="0" w:line="240" w:lineRule="auto"/>
      </w:pPr>
      <w:r>
        <w:separator/>
      </w:r>
    </w:p>
  </w:endnote>
  <w:endnote w:type="continuationSeparator" w:id="0">
    <w:p w:rsidR="007B7EE1" w:rsidRDefault="007B7EE1" w:rsidP="00D77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E1" w:rsidRDefault="007B7EE1" w:rsidP="00D77872">
      <w:pPr>
        <w:spacing w:after="0" w:line="240" w:lineRule="auto"/>
      </w:pPr>
      <w:r>
        <w:separator/>
      </w:r>
    </w:p>
  </w:footnote>
  <w:footnote w:type="continuationSeparator" w:id="0">
    <w:p w:rsidR="007B7EE1" w:rsidRDefault="007B7EE1" w:rsidP="00D77872">
      <w:pPr>
        <w:spacing w:after="0" w:line="240" w:lineRule="auto"/>
      </w:pPr>
      <w:r>
        <w:continuationSeparator/>
      </w:r>
    </w:p>
  </w:footnote>
  <w:footnote w:id="1">
    <w:p w:rsidR="007B7EE1" w:rsidRDefault="007B7EE1">
      <w:pPr>
        <w:pStyle w:val="FootnoteText"/>
      </w:pPr>
      <w:r>
        <w:rPr>
          <w:rStyle w:val="FootnoteReference"/>
        </w:rPr>
        <w:footnoteRef/>
      </w:r>
      <w:r>
        <w:t xml:space="preserve"> Includes all drugs in BNF section 4.11</w:t>
      </w:r>
    </w:p>
  </w:footnote>
  <w:footnote w:id="2">
    <w:p w:rsidR="007B7EE1" w:rsidRDefault="007B7EE1">
      <w:pPr>
        <w:pStyle w:val="FootnoteText"/>
      </w:pPr>
      <w:r>
        <w:rPr>
          <w:rStyle w:val="FootnoteReference"/>
        </w:rPr>
        <w:footnoteRef/>
      </w:r>
      <w:r>
        <w:t xml:space="preserve"> Includes all insulin and </w:t>
      </w:r>
      <w:proofErr w:type="spellStart"/>
      <w:r>
        <w:t>antidiabetic</w:t>
      </w:r>
      <w:proofErr w:type="spellEnd"/>
      <w:r>
        <w:t xml:space="preserve"> drugs </w:t>
      </w:r>
    </w:p>
  </w:footnote>
  <w:footnote w:id="3">
    <w:p w:rsidR="007B7EE1" w:rsidRDefault="007B7EE1">
      <w:pPr>
        <w:pStyle w:val="FootnoteText"/>
      </w:pPr>
      <w:r>
        <w:rPr>
          <w:rStyle w:val="FootnoteReference"/>
        </w:rPr>
        <w:footnoteRef/>
      </w:r>
      <w:r>
        <w:t xml:space="preserve"> </w:t>
      </w:r>
      <w:r w:rsidRPr="007543FE">
        <w:t xml:space="preserve">includes all lama, </w:t>
      </w:r>
      <w:proofErr w:type="spellStart"/>
      <w:r w:rsidRPr="007543FE">
        <w:t>laba</w:t>
      </w:r>
      <w:proofErr w:type="spellEnd"/>
      <w:r w:rsidRPr="007543FE">
        <w:t xml:space="preserve"> and high strength steroid inhalers</w:t>
      </w:r>
    </w:p>
  </w:footnote>
  <w:footnote w:id="4">
    <w:p w:rsidR="007B7EE1" w:rsidRDefault="007B7EE1">
      <w:pPr>
        <w:pStyle w:val="FootnoteText"/>
      </w:pPr>
      <w:r>
        <w:rPr>
          <w:rStyle w:val="FootnoteReference"/>
        </w:rPr>
        <w:footnoteRef/>
      </w:r>
      <w:r>
        <w:t xml:space="preserve"> </w:t>
      </w:r>
      <w:r w:rsidRPr="003031B6">
        <w:rPr>
          <w:i/>
        </w:rPr>
        <w:t xml:space="preserve">Who is least likely to attend? An analysis of outpatient appointment ‘Did Not </w:t>
      </w:r>
      <w:proofErr w:type="gramStart"/>
      <w:r w:rsidRPr="003031B6">
        <w:rPr>
          <w:i/>
        </w:rPr>
        <w:t>Attend</w:t>
      </w:r>
      <w:proofErr w:type="gramEnd"/>
      <w:r w:rsidRPr="003031B6">
        <w:rPr>
          <w:i/>
        </w:rPr>
        <w:t>’ (DNA) data in Scotland.</w:t>
      </w:r>
      <w:r>
        <w:t xml:space="preserve"> March 2015. NHS Health Scotland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E1" w:rsidRDefault="0052602C" w:rsidP="00D77872">
    <w:pPr>
      <w:pStyle w:val="Header"/>
      <w:jc w:val="right"/>
      <w:rPr>
        <w:rFonts w:ascii="Arial" w:hAnsi="Arial" w:cs="Arial"/>
        <w:i/>
      </w:rPr>
    </w:pPr>
    <w:r>
      <w:rPr>
        <w:rFonts w:ascii="Arial" w:hAnsi="Arial" w:cs="Arial"/>
        <w:i/>
      </w:rPr>
      <w:t>TAMLC34</w:t>
    </w:r>
  </w:p>
  <w:p w:rsidR="0052602C" w:rsidRPr="00D77872" w:rsidRDefault="0052602C" w:rsidP="00D77872">
    <w:pPr>
      <w:pStyle w:val="Header"/>
      <w:jc w:val="right"/>
      <w:rPr>
        <w:rFonts w:ascii="Arial" w:hAnsi="Arial" w:cs="Arial"/>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D24"/>
    <w:multiLevelType w:val="multilevel"/>
    <w:tmpl w:val="C7EC3CE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C5F13BB"/>
    <w:multiLevelType w:val="hybridMultilevel"/>
    <w:tmpl w:val="0A26B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4527192"/>
    <w:multiLevelType w:val="hybridMultilevel"/>
    <w:tmpl w:val="69BA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4462EF"/>
    <w:multiLevelType w:val="hybridMultilevel"/>
    <w:tmpl w:val="866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A3E88"/>
    <w:multiLevelType w:val="hybridMultilevel"/>
    <w:tmpl w:val="4B0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D6289B"/>
    <w:multiLevelType w:val="hybridMultilevel"/>
    <w:tmpl w:val="DFF694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820637B"/>
    <w:multiLevelType w:val="hybridMultilevel"/>
    <w:tmpl w:val="9A983B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7C1E62A3"/>
    <w:multiLevelType w:val="hybridMultilevel"/>
    <w:tmpl w:val="8110ADB4"/>
    <w:lvl w:ilvl="0" w:tplc="3DDC8D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A92842"/>
    <w:multiLevelType w:val="hybridMultilevel"/>
    <w:tmpl w:val="6C0C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1"/>
  </w:num>
  <w:num w:numId="6">
    <w:abstractNumId w:val="5"/>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1654"/>
    <w:rsid w:val="00040FD3"/>
    <w:rsid w:val="0004172D"/>
    <w:rsid w:val="00072072"/>
    <w:rsid w:val="000760EF"/>
    <w:rsid w:val="00086066"/>
    <w:rsid w:val="00097102"/>
    <w:rsid w:val="000C588C"/>
    <w:rsid w:val="000D124D"/>
    <w:rsid w:val="0011561D"/>
    <w:rsid w:val="00117FBC"/>
    <w:rsid w:val="001311D7"/>
    <w:rsid w:val="00132A36"/>
    <w:rsid w:val="001378DA"/>
    <w:rsid w:val="00166F39"/>
    <w:rsid w:val="00170AAA"/>
    <w:rsid w:val="001762CF"/>
    <w:rsid w:val="00176826"/>
    <w:rsid w:val="0019555B"/>
    <w:rsid w:val="001D0ED9"/>
    <w:rsid w:val="001E603F"/>
    <w:rsid w:val="00245850"/>
    <w:rsid w:val="002472CC"/>
    <w:rsid w:val="00257AC2"/>
    <w:rsid w:val="002677D2"/>
    <w:rsid w:val="00280225"/>
    <w:rsid w:val="002828DA"/>
    <w:rsid w:val="002E5502"/>
    <w:rsid w:val="003031B6"/>
    <w:rsid w:val="00317C2E"/>
    <w:rsid w:val="00326BC2"/>
    <w:rsid w:val="003759EE"/>
    <w:rsid w:val="003C6ADE"/>
    <w:rsid w:val="003C6CE4"/>
    <w:rsid w:val="003E2A65"/>
    <w:rsid w:val="0048731A"/>
    <w:rsid w:val="004877A4"/>
    <w:rsid w:val="00493483"/>
    <w:rsid w:val="004A5AB5"/>
    <w:rsid w:val="004C6B4C"/>
    <w:rsid w:val="004D3AD5"/>
    <w:rsid w:val="005119FF"/>
    <w:rsid w:val="00522E66"/>
    <w:rsid w:val="0052602C"/>
    <w:rsid w:val="00542015"/>
    <w:rsid w:val="0056746B"/>
    <w:rsid w:val="005818BD"/>
    <w:rsid w:val="00584B57"/>
    <w:rsid w:val="005F6499"/>
    <w:rsid w:val="00600068"/>
    <w:rsid w:val="00621EDD"/>
    <w:rsid w:val="006A1866"/>
    <w:rsid w:val="006B78A7"/>
    <w:rsid w:val="006D6470"/>
    <w:rsid w:val="006D7AFF"/>
    <w:rsid w:val="006E095F"/>
    <w:rsid w:val="006F4E05"/>
    <w:rsid w:val="00731654"/>
    <w:rsid w:val="00742DB5"/>
    <w:rsid w:val="007543FE"/>
    <w:rsid w:val="007A14AD"/>
    <w:rsid w:val="007B7EE1"/>
    <w:rsid w:val="007F12B9"/>
    <w:rsid w:val="007F5D3C"/>
    <w:rsid w:val="00814A31"/>
    <w:rsid w:val="008324DA"/>
    <w:rsid w:val="00841436"/>
    <w:rsid w:val="00851CCE"/>
    <w:rsid w:val="00853E5C"/>
    <w:rsid w:val="008729C8"/>
    <w:rsid w:val="00880877"/>
    <w:rsid w:val="008D2979"/>
    <w:rsid w:val="008D4B30"/>
    <w:rsid w:val="008E2DD5"/>
    <w:rsid w:val="009031BD"/>
    <w:rsid w:val="00935BAA"/>
    <w:rsid w:val="00952970"/>
    <w:rsid w:val="00982875"/>
    <w:rsid w:val="009A1758"/>
    <w:rsid w:val="009A7537"/>
    <w:rsid w:val="009C3A89"/>
    <w:rsid w:val="00A54735"/>
    <w:rsid w:val="00AA6A5B"/>
    <w:rsid w:val="00AB4C18"/>
    <w:rsid w:val="00AC246A"/>
    <w:rsid w:val="00AE228D"/>
    <w:rsid w:val="00AF6BB3"/>
    <w:rsid w:val="00B20D68"/>
    <w:rsid w:val="00B674EA"/>
    <w:rsid w:val="00B77831"/>
    <w:rsid w:val="00BA716A"/>
    <w:rsid w:val="00BB003D"/>
    <w:rsid w:val="00BC04E6"/>
    <w:rsid w:val="00BE21DA"/>
    <w:rsid w:val="00C00526"/>
    <w:rsid w:val="00C138B0"/>
    <w:rsid w:val="00C3670C"/>
    <w:rsid w:val="00C704C3"/>
    <w:rsid w:val="00C714ED"/>
    <w:rsid w:val="00C96562"/>
    <w:rsid w:val="00C966F3"/>
    <w:rsid w:val="00CA55D1"/>
    <w:rsid w:val="00CC35CF"/>
    <w:rsid w:val="00CE7F34"/>
    <w:rsid w:val="00CF409A"/>
    <w:rsid w:val="00CF53A1"/>
    <w:rsid w:val="00D11461"/>
    <w:rsid w:val="00D12EE9"/>
    <w:rsid w:val="00D30805"/>
    <w:rsid w:val="00D71886"/>
    <w:rsid w:val="00D77872"/>
    <w:rsid w:val="00D878FC"/>
    <w:rsid w:val="00DA20F7"/>
    <w:rsid w:val="00DF56C4"/>
    <w:rsid w:val="00E14418"/>
    <w:rsid w:val="00E221C9"/>
    <w:rsid w:val="00E97682"/>
    <w:rsid w:val="00EA27EA"/>
    <w:rsid w:val="00ED16EE"/>
    <w:rsid w:val="00ED7F53"/>
    <w:rsid w:val="00F007C0"/>
    <w:rsid w:val="00FD5311"/>
    <w:rsid w:val="00FE63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1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8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872"/>
    <w:rPr>
      <w:rFonts w:eastAsiaTheme="minorEastAsia"/>
      <w:lang w:eastAsia="en-GB"/>
    </w:rPr>
  </w:style>
  <w:style w:type="paragraph" w:styleId="Footer">
    <w:name w:val="footer"/>
    <w:basedOn w:val="Normal"/>
    <w:link w:val="FooterChar"/>
    <w:uiPriority w:val="99"/>
    <w:semiHidden/>
    <w:unhideWhenUsed/>
    <w:rsid w:val="00D778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7872"/>
    <w:rPr>
      <w:rFonts w:eastAsiaTheme="minorEastAsia"/>
      <w:lang w:eastAsia="en-GB"/>
    </w:rPr>
  </w:style>
  <w:style w:type="character" w:styleId="CommentReference">
    <w:name w:val="annotation reference"/>
    <w:basedOn w:val="DefaultParagraphFont"/>
    <w:uiPriority w:val="99"/>
    <w:semiHidden/>
    <w:unhideWhenUsed/>
    <w:rsid w:val="00AF6BB3"/>
    <w:rPr>
      <w:sz w:val="16"/>
      <w:szCs w:val="16"/>
    </w:rPr>
  </w:style>
  <w:style w:type="paragraph" w:styleId="CommentText">
    <w:name w:val="annotation text"/>
    <w:basedOn w:val="Normal"/>
    <w:link w:val="CommentTextChar"/>
    <w:uiPriority w:val="99"/>
    <w:semiHidden/>
    <w:unhideWhenUsed/>
    <w:rsid w:val="00AF6BB3"/>
    <w:pPr>
      <w:spacing w:line="240" w:lineRule="auto"/>
    </w:pPr>
    <w:rPr>
      <w:sz w:val="20"/>
      <w:szCs w:val="20"/>
    </w:rPr>
  </w:style>
  <w:style w:type="character" w:customStyle="1" w:styleId="CommentTextChar">
    <w:name w:val="Comment Text Char"/>
    <w:basedOn w:val="DefaultParagraphFont"/>
    <w:link w:val="CommentText"/>
    <w:uiPriority w:val="99"/>
    <w:semiHidden/>
    <w:rsid w:val="00AF6BB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F6BB3"/>
    <w:rPr>
      <w:b/>
      <w:bCs/>
    </w:rPr>
  </w:style>
  <w:style w:type="character" w:customStyle="1" w:styleId="CommentSubjectChar">
    <w:name w:val="Comment Subject Char"/>
    <w:basedOn w:val="CommentTextChar"/>
    <w:link w:val="CommentSubject"/>
    <w:uiPriority w:val="99"/>
    <w:semiHidden/>
    <w:rsid w:val="00AF6BB3"/>
    <w:rPr>
      <w:b/>
      <w:bCs/>
    </w:rPr>
  </w:style>
  <w:style w:type="paragraph" w:styleId="BalloonText">
    <w:name w:val="Balloon Text"/>
    <w:basedOn w:val="Normal"/>
    <w:link w:val="BalloonTextChar"/>
    <w:uiPriority w:val="99"/>
    <w:semiHidden/>
    <w:unhideWhenUsed/>
    <w:rsid w:val="00AF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B3"/>
    <w:rPr>
      <w:rFonts w:ascii="Tahoma" w:eastAsiaTheme="minorEastAsia" w:hAnsi="Tahoma" w:cs="Tahoma"/>
      <w:sz w:val="16"/>
      <w:szCs w:val="16"/>
      <w:lang w:eastAsia="en-GB"/>
    </w:rPr>
  </w:style>
  <w:style w:type="paragraph" w:styleId="ListParagraph">
    <w:name w:val="List Paragraph"/>
    <w:basedOn w:val="Normal"/>
    <w:uiPriority w:val="34"/>
    <w:qFormat/>
    <w:rsid w:val="00086066"/>
    <w:pPr>
      <w:ind w:left="720"/>
      <w:contextualSpacing/>
    </w:pPr>
    <w:rPr>
      <w:rFonts w:eastAsiaTheme="minorHAnsi"/>
      <w:lang w:eastAsia="en-US"/>
    </w:rPr>
  </w:style>
  <w:style w:type="paragraph" w:customStyle="1" w:styleId="Default">
    <w:name w:val="Default"/>
    <w:rsid w:val="0084143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03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1B6"/>
    <w:rPr>
      <w:rFonts w:eastAsiaTheme="minorEastAsia"/>
      <w:sz w:val="20"/>
      <w:szCs w:val="20"/>
      <w:lang w:eastAsia="en-GB"/>
    </w:rPr>
  </w:style>
  <w:style w:type="character" w:styleId="FootnoteReference">
    <w:name w:val="footnote reference"/>
    <w:basedOn w:val="DefaultParagraphFont"/>
    <w:uiPriority w:val="99"/>
    <w:semiHidden/>
    <w:unhideWhenUsed/>
    <w:rsid w:val="003031B6"/>
    <w:rPr>
      <w:vertAlign w:val="superscript"/>
    </w:rPr>
  </w:style>
  <w:style w:type="character" w:styleId="PlaceholderText">
    <w:name w:val="Placeholder Text"/>
    <w:basedOn w:val="DefaultParagraphFont"/>
    <w:uiPriority w:val="99"/>
    <w:semiHidden/>
    <w:rsid w:val="009C3A89"/>
    <w:rPr>
      <w:color w:val="808080"/>
    </w:rPr>
  </w:style>
  <w:style w:type="character" w:styleId="Hyperlink">
    <w:name w:val="Hyperlink"/>
    <w:basedOn w:val="DefaultParagraphFont"/>
    <w:uiPriority w:val="99"/>
    <w:unhideWhenUsed/>
    <w:rsid w:val="00F007C0"/>
    <w:rPr>
      <w:color w:val="0000FF" w:themeColor="hyperlink"/>
      <w:u w:val="single"/>
    </w:rPr>
  </w:style>
  <w:style w:type="character" w:customStyle="1" w:styleId="bibref">
    <w:name w:val="bibref"/>
    <w:basedOn w:val="DefaultParagraphFont"/>
    <w:rsid w:val="00BB003D"/>
  </w:style>
  <w:style w:type="character" w:customStyle="1" w:styleId="apple-converted-space">
    <w:name w:val="apple-converted-space"/>
    <w:basedOn w:val="DefaultParagraphFont"/>
    <w:rsid w:val="00BB003D"/>
  </w:style>
  <w:style w:type="character" w:styleId="FollowedHyperlink">
    <w:name w:val="FollowedHyperlink"/>
    <w:basedOn w:val="DefaultParagraphFont"/>
    <w:uiPriority w:val="99"/>
    <w:semiHidden/>
    <w:unhideWhenUsed/>
    <w:rsid w:val="00BC04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75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182A9-0084-45B6-9F20-58D7F53F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10</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Kindalova</dc:creator>
  <cp:keywords/>
  <dc:description/>
  <cp:lastModifiedBy>Sarah Touati</cp:lastModifiedBy>
  <cp:revision>83</cp:revision>
  <dcterms:created xsi:type="dcterms:W3CDTF">2015-07-27T14:11:00Z</dcterms:created>
  <dcterms:modified xsi:type="dcterms:W3CDTF">2015-08-17T16:47:00Z</dcterms:modified>
</cp:coreProperties>
</file>