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FC" w:rsidRPr="00180CFC" w:rsidRDefault="009E599A" w:rsidP="001C2FD6">
      <w:pPr>
        <w:rPr>
          <w:rFonts w:ascii="Arial" w:hAnsi="Arial" w:cs="Arial"/>
          <w:b/>
        </w:rPr>
      </w:pPr>
      <w:r>
        <w:rPr>
          <w:rFonts w:ascii="Arial" w:hAnsi="Arial" w:cs="Arial"/>
          <w:b/>
        </w:rPr>
        <w:t xml:space="preserve">TAGRA ACUTE MLC SUBGROUP         </w:t>
      </w:r>
      <w:r w:rsidR="00AF5107">
        <w:rPr>
          <w:rFonts w:ascii="Arial" w:hAnsi="Arial" w:cs="Arial"/>
          <w:b/>
        </w:rPr>
        <w:t xml:space="preserve">                              </w:t>
      </w:r>
      <w:r>
        <w:rPr>
          <w:rFonts w:ascii="Arial" w:hAnsi="Arial" w:cs="Arial"/>
          <w:b/>
        </w:rPr>
        <w:t>Wednesday</w:t>
      </w:r>
      <w:r w:rsidRPr="00A144DF">
        <w:rPr>
          <w:rFonts w:ascii="Arial" w:hAnsi="Arial" w:cs="Arial"/>
          <w:b/>
        </w:rPr>
        <w:t xml:space="preserve"> </w:t>
      </w:r>
      <w:r w:rsidR="00AF5107">
        <w:rPr>
          <w:rFonts w:ascii="Arial" w:hAnsi="Arial" w:cs="Arial"/>
          <w:b/>
        </w:rPr>
        <w:t>20</w:t>
      </w:r>
      <w:r w:rsidR="00AF5107" w:rsidRPr="00AF5107">
        <w:rPr>
          <w:rFonts w:ascii="Arial" w:hAnsi="Arial" w:cs="Arial"/>
          <w:b/>
          <w:vertAlign w:val="superscript"/>
        </w:rPr>
        <w:t>th</w:t>
      </w:r>
      <w:r w:rsidR="00AF5107">
        <w:rPr>
          <w:rFonts w:ascii="Arial" w:hAnsi="Arial" w:cs="Arial"/>
          <w:b/>
        </w:rPr>
        <w:t xml:space="preserve"> </w:t>
      </w:r>
      <w:r>
        <w:rPr>
          <w:rFonts w:ascii="Arial" w:hAnsi="Arial" w:cs="Arial"/>
          <w:b/>
        </w:rPr>
        <w:t>January 2016</w:t>
      </w:r>
    </w:p>
    <w:p w:rsidR="001F335E" w:rsidRPr="001C6047" w:rsidRDefault="009E599A" w:rsidP="001C2FD6">
      <w:pPr>
        <w:spacing w:after="0"/>
        <w:rPr>
          <w:rFonts w:ascii="Arial" w:hAnsi="Arial" w:cs="Arial"/>
          <w:b/>
        </w:rPr>
      </w:pPr>
      <w:r>
        <w:rPr>
          <w:rFonts w:ascii="Arial" w:hAnsi="Arial" w:cs="Arial"/>
          <w:b/>
        </w:rPr>
        <w:t>REFERENCE MODEL ANALYSIS</w:t>
      </w:r>
    </w:p>
    <w:p w:rsidR="009D46D8" w:rsidRDefault="009D46D8" w:rsidP="001C2FD6">
      <w:pPr>
        <w:spacing w:after="0"/>
        <w:rPr>
          <w:rFonts w:ascii="Arial" w:hAnsi="Arial" w:cs="Arial"/>
          <w:b/>
        </w:rPr>
      </w:pPr>
    </w:p>
    <w:p w:rsidR="00696EE8" w:rsidRDefault="00696EE8" w:rsidP="001C2FD6">
      <w:pPr>
        <w:spacing w:after="0"/>
        <w:rPr>
          <w:rFonts w:ascii="Arial" w:hAnsi="Arial" w:cs="Arial"/>
          <w:b/>
        </w:rPr>
      </w:pPr>
    </w:p>
    <w:p w:rsidR="006F6417" w:rsidRPr="006F6417" w:rsidRDefault="005B1577"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Times New Roman"/>
          <w:b/>
        </w:rPr>
      </w:pPr>
      <w:r>
        <w:rPr>
          <w:rFonts w:ascii="Arial" w:eastAsia="Times New Roman" w:hAnsi="Arial" w:cs="Times New Roman"/>
          <w:b/>
        </w:rPr>
        <w:t xml:space="preserve">1. </w:t>
      </w:r>
      <w:r w:rsidR="00696EE8">
        <w:rPr>
          <w:rFonts w:ascii="Arial" w:eastAsia="Times New Roman" w:hAnsi="Arial" w:cs="Times New Roman"/>
          <w:b/>
        </w:rPr>
        <w:t>Background and summary</w:t>
      </w:r>
    </w:p>
    <w:p w:rsidR="00696EE8" w:rsidRDefault="00696EE8"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Times New Roman"/>
        </w:rPr>
      </w:pPr>
    </w:p>
    <w:p w:rsidR="006F6417" w:rsidRPr="006F6417" w:rsidRDefault="006F6417"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Times New Roman"/>
        </w:rPr>
      </w:pPr>
      <w:r w:rsidRPr="006F6417">
        <w:rPr>
          <w:rFonts w:ascii="Arial" w:eastAsia="Times New Roman" w:hAnsi="Arial" w:cs="Times New Roman"/>
        </w:rPr>
        <w:t xml:space="preserve">The MLC element of the formula reflects the effect of the socio-economic circumstances of the local population on their need for health care services, once the effects of age and sex have been </w:t>
      </w:r>
      <w:r w:rsidR="004558C5">
        <w:rPr>
          <w:rFonts w:ascii="Arial" w:eastAsia="Times New Roman" w:hAnsi="Arial" w:cs="Times New Roman"/>
        </w:rPr>
        <w:t>addressed</w:t>
      </w:r>
      <w:r w:rsidRPr="006F6417">
        <w:rPr>
          <w:rFonts w:ascii="Arial" w:eastAsia="Times New Roman" w:hAnsi="Arial" w:cs="Times New Roman"/>
        </w:rPr>
        <w:t>. There are two</w:t>
      </w:r>
      <w:r w:rsidR="00FC2236">
        <w:rPr>
          <w:rFonts w:ascii="Arial" w:eastAsia="Times New Roman" w:hAnsi="Arial" w:cs="Times New Roman"/>
        </w:rPr>
        <w:t xml:space="preserve"> main</w:t>
      </w:r>
      <w:r w:rsidRPr="006F6417">
        <w:rPr>
          <w:rFonts w:ascii="Arial" w:eastAsia="Times New Roman" w:hAnsi="Arial" w:cs="Times New Roman"/>
        </w:rPr>
        <w:t xml:space="preserve"> aspects to the development of an MLC adjustment: first, </w:t>
      </w:r>
      <w:r w:rsidR="004558C5">
        <w:rPr>
          <w:rFonts w:ascii="Arial" w:eastAsia="Times New Roman" w:hAnsi="Arial" w:cs="Times New Roman"/>
        </w:rPr>
        <w:t>identifying</w:t>
      </w:r>
      <w:r w:rsidRPr="006F6417">
        <w:rPr>
          <w:rFonts w:ascii="Arial" w:eastAsia="Times New Roman" w:hAnsi="Arial" w:cs="Times New Roman"/>
        </w:rPr>
        <w:t xml:space="preserve"> indicators of need (i.e. factors which are associated with variation in the level of need for services); second, </w:t>
      </w:r>
      <w:r w:rsidR="004558C5">
        <w:rPr>
          <w:rFonts w:ascii="Arial" w:eastAsia="Times New Roman" w:hAnsi="Arial" w:cs="Times New Roman"/>
        </w:rPr>
        <w:t>quantifying</w:t>
      </w:r>
      <w:r w:rsidRPr="006F6417">
        <w:rPr>
          <w:rFonts w:ascii="Arial" w:eastAsia="Times New Roman" w:hAnsi="Arial" w:cs="Times New Roman"/>
        </w:rPr>
        <w:t xml:space="preserve"> the size of the relationship between the indicators of need and the need for services (i.e. by how much does the need for services increase for a unit increase in the</w:t>
      </w:r>
      <w:r w:rsidR="004558C5">
        <w:rPr>
          <w:rFonts w:ascii="Arial" w:eastAsia="Times New Roman" w:hAnsi="Arial" w:cs="Times New Roman"/>
        </w:rPr>
        <w:t xml:space="preserve"> value of the</w:t>
      </w:r>
      <w:r w:rsidRPr="006F6417">
        <w:rPr>
          <w:rFonts w:ascii="Arial" w:eastAsia="Times New Roman" w:hAnsi="Arial" w:cs="Times New Roman"/>
        </w:rPr>
        <w:t xml:space="preserve"> indicator of need).  </w:t>
      </w:r>
    </w:p>
    <w:p w:rsidR="006F6417" w:rsidRPr="006F6417" w:rsidRDefault="006F6417"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Times New Roman"/>
        </w:rPr>
      </w:pPr>
    </w:p>
    <w:p w:rsidR="004558C5" w:rsidRDefault="006F6417"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Arial"/>
        </w:rPr>
      </w:pPr>
      <w:r w:rsidRPr="006F6417">
        <w:rPr>
          <w:rFonts w:ascii="Arial" w:eastAsia="Times New Roman" w:hAnsi="Arial" w:cs="Times New Roman"/>
        </w:rPr>
        <w:t xml:space="preserve">The current indicators of need for the </w:t>
      </w:r>
      <w:r w:rsidR="00FC2236">
        <w:rPr>
          <w:rFonts w:ascii="Arial" w:eastAsia="Times New Roman" w:hAnsi="Arial" w:cs="Times New Roman"/>
        </w:rPr>
        <w:t>A</w:t>
      </w:r>
      <w:r w:rsidRPr="006F6417">
        <w:rPr>
          <w:rFonts w:ascii="Arial" w:eastAsia="Times New Roman" w:hAnsi="Arial" w:cs="Times New Roman"/>
        </w:rPr>
        <w:t xml:space="preserve">cute </w:t>
      </w:r>
      <w:r w:rsidR="00FC2236">
        <w:rPr>
          <w:rFonts w:ascii="Arial" w:eastAsia="Times New Roman" w:hAnsi="Arial" w:cs="Times New Roman"/>
        </w:rPr>
        <w:t xml:space="preserve">MLC adjustment </w:t>
      </w:r>
      <w:r w:rsidRPr="006F6417">
        <w:rPr>
          <w:rFonts w:ascii="Arial" w:eastAsia="Times New Roman" w:hAnsi="Arial" w:cs="Times New Roman"/>
        </w:rPr>
        <w:t xml:space="preserve">are: </w:t>
      </w:r>
      <w:r w:rsidRPr="006F6417">
        <w:rPr>
          <w:rFonts w:ascii="Arial" w:eastAsia="Times New Roman" w:hAnsi="Arial" w:cs="Arial"/>
        </w:rPr>
        <w:t xml:space="preserve">all-cause standardised mortality ratio (SMR) in ages 0-74, obtained from death records; and limiting long-term illness (LLTI) ratio (age-sex standardised) from the Census. </w:t>
      </w:r>
      <w:r w:rsidR="004558C5">
        <w:rPr>
          <w:rFonts w:ascii="Arial" w:eastAsia="Times New Roman" w:hAnsi="Arial" w:cs="Arial"/>
        </w:rPr>
        <w:t xml:space="preserve">The </w:t>
      </w:r>
      <w:r w:rsidR="004558C5" w:rsidRPr="006F6417">
        <w:rPr>
          <w:rFonts w:ascii="Arial" w:eastAsia="Times New Roman" w:hAnsi="Arial" w:cs="Arial"/>
        </w:rPr>
        <w:t xml:space="preserve">size of the MLC adjustment </w:t>
      </w:r>
      <w:r w:rsidR="004558C5">
        <w:rPr>
          <w:rFonts w:ascii="Arial" w:eastAsia="Times New Roman" w:hAnsi="Arial" w:cs="Arial"/>
        </w:rPr>
        <w:t>is derived from r</w:t>
      </w:r>
      <w:r w:rsidRPr="006F6417">
        <w:rPr>
          <w:rFonts w:ascii="Arial" w:eastAsia="Times New Roman" w:hAnsi="Arial" w:cs="Arial"/>
        </w:rPr>
        <w:t xml:space="preserve">egression analysis of the relationship between these variables and the </w:t>
      </w:r>
      <w:proofErr w:type="spellStart"/>
      <w:r w:rsidRPr="006F6417">
        <w:rPr>
          <w:rFonts w:ascii="Arial" w:eastAsia="Times New Roman" w:hAnsi="Arial" w:cs="Arial"/>
        </w:rPr>
        <w:t>costed</w:t>
      </w:r>
      <w:proofErr w:type="spellEnd"/>
      <w:r w:rsidRPr="006F6417">
        <w:rPr>
          <w:rFonts w:ascii="Arial" w:eastAsia="Times New Roman" w:hAnsi="Arial" w:cs="Arial"/>
        </w:rPr>
        <w:t xml:space="preserve"> activity data (the prox</w:t>
      </w:r>
      <w:r w:rsidR="00696EE8">
        <w:rPr>
          <w:rFonts w:ascii="Arial" w:eastAsia="Times New Roman" w:hAnsi="Arial" w:cs="Arial"/>
        </w:rPr>
        <w:t xml:space="preserve">y for need) across data zones. </w:t>
      </w:r>
      <w:r w:rsidRPr="006F6417">
        <w:rPr>
          <w:rFonts w:ascii="Arial" w:eastAsia="Times New Roman" w:hAnsi="Arial" w:cs="Arial"/>
        </w:rPr>
        <w:t>The current formula regression model which includes both the indicators of need and the supply variables is referre</w:t>
      </w:r>
      <w:r w:rsidR="00696EE8">
        <w:rPr>
          <w:rFonts w:ascii="Arial" w:eastAsia="Times New Roman" w:hAnsi="Arial" w:cs="Arial"/>
        </w:rPr>
        <w:t xml:space="preserve">d to as the ‘reference model’. </w:t>
      </w:r>
      <w:r w:rsidR="005B1577" w:rsidRPr="006F6417">
        <w:rPr>
          <w:rFonts w:ascii="Arial" w:eastAsia="Times New Roman" w:hAnsi="Arial" w:cs="Times New Roman"/>
        </w:rPr>
        <w:t>The reference model provides the b</w:t>
      </w:r>
      <w:r w:rsidR="005B1577" w:rsidRPr="006F6417">
        <w:rPr>
          <w:rFonts w:ascii="Arial" w:eastAsia="Times New Roman" w:hAnsi="Arial" w:cs="Arial"/>
        </w:rPr>
        <w:t>ase</w:t>
      </w:r>
      <w:r w:rsidR="004558C5">
        <w:rPr>
          <w:rFonts w:ascii="Arial" w:eastAsia="Times New Roman" w:hAnsi="Arial" w:cs="Arial"/>
        </w:rPr>
        <w:t>line</w:t>
      </w:r>
      <w:r w:rsidR="005B1577" w:rsidRPr="006F6417">
        <w:rPr>
          <w:rFonts w:ascii="Arial" w:eastAsia="Times New Roman" w:hAnsi="Arial" w:cs="Arial"/>
        </w:rPr>
        <w:t xml:space="preserve"> against which we can assess the results </w:t>
      </w:r>
      <w:r w:rsidR="004558C5">
        <w:rPr>
          <w:rFonts w:ascii="Arial" w:eastAsia="Times New Roman" w:hAnsi="Arial" w:cs="Arial"/>
        </w:rPr>
        <w:t>from the new analysis</w:t>
      </w:r>
      <w:r w:rsidR="005B1577" w:rsidRPr="006F6417">
        <w:rPr>
          <w:rFonts w:ascii="Arial" w:eastAsia="Times New Roman" w:hAnsi="Arial" w:cs="Arial"/>
        </w:rPr>
        <w:t>.</w:t>
      </w:r>
    </w:p>
    <w:p w:rsidR="004558C5" w:rsidRDefault="004558C5"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Arial"/>
        </w:rPr>
      </w:pPr>
    </w:p>
    <w:p w:rsidR="006F6417" w:rsidRPr="006F6417" w:rsidRDefault="006F6417" w:rsidP="00696EE8">
      <w:pPr>
        <w:tabs>
          <w:tab w:val="left" w:pos="720"/>
          <w:tab w:val="left" w:pos="1440"/>
          <w:tab w:val="left" w:pos="2160"/>
          <w:tab w:val="left" w:pos="2880"/>
          <w:tab w:val="left" w:pos="4680"/>
          <w:tab w:val="left" w:pos="5400"/>
          <w:tab w:val="right" w:pos="9000"/>
        </w:tabs>
        <w:spacing w:after="0"/>
        <w:jc w:val="both"/>
        <w:rPr>
          <w:rFonts w:ascii="Arial" w:eastAsia="Times New Roman" w:hAnsi="Arial" w:cs="Times New Roman"/>
        </w:rPr>
      </w:pPr>
      <w:r w:rsidRPr="006F6417">
        <w:rPr>
          <w:rFonts w:ascii="Arial" w:eastAsia="Times New Roman" w:hAnsi="Arial" w:cs="Times New Roman"/>
        </w:rPr>
        <w:t xml:space="preserve">This paper reports the updating of the reference model to the specification agreed by the </w:t>
      </w:r>
      <w:r w:rsidR="001A6B43">
        <w:rPr>
          <w:rFonts w:ascii="Arial" w:eastAsia="Times New Roman" w:hAnsi="Arial" w:cs="Times New Roman"/>
        </w:rPr>
        <w:t>sub-group</w:t>
      </w:r>
      <w:r w:rsidRPr="006F6417">
        <w:rPr>
          <w:rFonts w:ascii="Arial" w:eastAsia="Times New Roman" w:hAnsi="Arial" w:cs="Times New Roman"/>
        </w:rPr>
        <w:t>:</w:t>
      </w:r>
      <w:r w:rsidR="00696EE8">
        <w:rPr>
          <w:rFonts w:ascii="Arial" w:eastAsia="Times New Roman" w:hAnsi="Arial" w:cs="Times New Roman"/>
        </w:rPr>
        <w:t xml:space="preserve"> firstly, t</w:t>
      </w:r>
      <w:r w:rsidR="009D2FD7">
        <w:rPr>
          <w:rFonts w:ascii="Arial" w:eastAsia="Times New Roman" w:hAnsi="Arial" w:cs="Times New Roman"/>
        </w:rPr>
        <w:t xml:space="preserve">he </w:t>
      </w:r>
      <w:r w:rsidRPr="006F6417">
        <w:rPr>
          <w:rFonts w:ascii="Arial" w:eastAsia="Times New Roman" w:hAnsi="Arial" w:cs="Times New Roman"/>
        </w:rPr>
        <w:t xml:space="preserve">LLTI </w:t>
      </w:r>
      <w:r w:rsidR="009D2FD7">
        <w:rPr>
          <w:rFonts w:ascii="Arial" w:eastAsia="Times New Roman" w:hAnsi="Arial" w:cs="Times New Roman"/>
        </w:rPr>
        <w:t xml:space="preserve">variable </w:t>
      </w:r>
      <w:r w:rsidR="00696EE8">
        <w:rPr>
          <w:rFonts w:ascii="Arial" w:eastAsia="Times New Roman" w:hAnsi="Arial" w:cs="Times New Roman"/>
        </w:rPr>
        <w:t>i</w:t>
      </w:r>
      <w:r w:rsidR="004558C5">
        <w:rPr>
          <w:rFonts w:ascii="Arial" w:eastAsia="Times New Roman" w:hAnsi="Arial" w:cs="Times New Roman"/>
        </w:rPr>
        <w:t>s</w:t>
      </w:r>
      <w:r w:rsidR="00696EE8">
        <w:rPr>
          <w:rFonts w:ascii="Arial" w:eastAsia="Times New Roman" w:hAnsi="Arial" w:cs="Times New Roman"/>
        </w:rPr>
        <w:t xml:space="preserve"> now</w:t>
      </w:r>
      <w:r w:rsidR="004558C5">
        <w:rPr>
          <w:rFonts w:ascii="Arial" w:eastAsia="Times New Roman" w:hAnsi="Arial" w:cs="Times New Roman"/>
        </w:rPr>
        <w:t xml:space="preserve"> </w:t>
      </w:r>
      <w:r w:rsidRPr="006F6417">
        <w:rPr>
          <w:rFonts w:ascii="Arial" w:eastAsia="Times New Roman" w:hAnsi="Arial" w:cs="Times New Roman"/>
        </w:rPr>
        <w:t xml:space="preserve">derived from </w:t>
      </w:r>
      <w:r w:rsidR="009D2FD7">
        <w:rPr>
          <w:rFonts w:ascii="Arial" w:eastAsia="Times New Roman" w:hAnsi="Arial" w:cs="Times New Roman"/>
        </w:rPr>
        <w:t xml:space="preserve">the </w:t>
      </w:r>
      <w:r w:rsidR="001A6B43" w:rsidRPr="006F6417">
        <w:rPr>
          <w:rFonts w:ascii="Arial" w:eastAsia="Times New Roman" w:hAnsi="Arial" w:cs="Times New Roman"/>
        </w:rPr>
        <w:t>2011</w:t>
      </w:r>
      <w:r w:rsidR="001A6B43">
        <w:rPr>
          <w:rFonts w:ascii="Arial" w:eastAsia="Times New Roman" w:hAnsi="Arial" w:cs="Times New Roman"/>
        </w:rPr>
        <w:t xml:space="preserve"> census</w:t>
      </w:r>
      <w:r w:rsidRPr="006F6417">
        <w:rPr>
          <w:rFonts w:ascii="Arial" w:eastAsia="Times New Roman" w:hAnsi="Arial" w:cs="Times New Roman"/>
        </w:rPr>
        <w:t xml:space="preserve"> data;</w:t>
      </w:r>
      <w:r w:rsidR="00696EE8">
        <w:rPr>
          <w:rFonts w:ascii="Arial" w:eastAsia="Times New Roman" w:hAnsi="Arial" w:cs="Times New Roman"/>
        </w:rPr>
        <w:t xml:space="preserve"> and secondly, t</w:t>
      </w:r>
      <w:r w:rsidR="009D2FD7">
        <w:rPr>
          <w:rFonts w:ascii="Arial" w:eastAsia="Times New Roman" w:hAnsi="Arial" w:cs="Times New Roman"/>
        </w:rPr>
        <w:t xml:space="preserve">he </w:t>
      </w:r>
      <w:r w:rsidR="001A6B43">
        <w:rPr>
          <w:rFonts w:ascii="Arial" w:eastAsia="Times New Roman" w:hAnsi="Arial" w:cs="Times New Roman"/>
        </w:rPr>
        <w:t xml:space="preserve">data zones </w:t>
      </w:r>
      <w:r w:rsidR="00696EE8">
        <w:rPr>
          <w:rFonts w:ascii="Arial" w:eastAsia="Times New Roman" w:hAnsi="Arial" w:cs="Times New Roman"/>
        </w:rPr>
        <w:t>have been</w:t>
      </w:r>
      <w:r w:rsidR="001A6B43">
        <w:rPr>
          <w:rFonts w:ascii="Arial" w:eastAsia="Times New Roman" w:hAnsi="Arial" w:cs="Times New Roman"/>
        </w:rPr>
        <w:t xml:space="preserve"> updated to the version calculated for the </w:t>
      </w:r>
      <w:r w:rsidRPr="006F6417">
        <w:rPr>
          <w:rFonts w:ascii="Arial" w:eastAsia="Times New Roman" w:hAnsi="Arial" w:cs="Times New Roman"/>
        </w:rPr>
        <w:t>2011 census</w:t>
      </w:r>
      <w:r w:rsidR="00696EE8">
        <w:rPr>
          <w:rFonts w:ascii="Arial" w:eastAsia="Times New Roman" w:hAnsi="Arial" w:cs="Times New Roman"/>
        </w:rPr>
        <w:t>.</w:t>
      </w:r>
    </w:p>
    <w:p w:rsidR="006F6417" w:rsidRDefault="006F6417"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Times New Roman"/>
        </w:rPr>
      </w:pPr>
    </w:p>
    <w:p w:rsidR="005B1577" w:rsidRPr="006F6417" w:rsidRDefault="005B1577"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Arial"/>
        </w:rPr>
      </w:pPr>
      <w:r>
        <w:rPr>
          <w:rFonts w:ascii="Arial" w:eastAsia="Times New Roman" w:hAnsi="Arial" w:cs="Times New Roman"/>
        </w:rPr>
        <w:t xml:space="preserve">The following section displays the updated data in </w:t>
      </w:r>
      <w:r w:rsidR="004558C5">
        <w:rPr>
          <w:rFonts w:ascii="Arial" w:eastAsia="Times New Roman" w:hAnsi="Arial" w:cs="Times New Roman"/>
        </w:rPr>
        <w:t xml:space="preserve">a set of </w:t>
      </w:r>
      <w:r>
        <w:rPr>
          <w:rFonts w:ascii="Arial" w:eastAsia="Times New Roman" w:hAnsi="Arial" w:cs="Times New Roman"/>
        </w:rPr>
        <w:t xml:space="preserve">scatter plots. Section 3 reports the results of the regression runs on both </w:t>
      </w:r>
      <w:r w:rsidRPr="006F6417">
        <w:rPr>
          <w:rFonts w:ascii="Arial" w:eastAsia="Times New Roman" w:hAnsi="Arial" w:cs="Times New Roman"/>
        </w:rPr>
        <w:t>2001 census data zones</w:t>
      </w:r>
      <w:r>
        <w:rPr>
          <w:rFonts w:ascii="Arial" w:eastAsia="Times New Roman" w:hAnsi="Arial" w:cs="Times New Roman"/>
        </w:rPr>
        <w:t xml:space="preserve"> </w:t>
      </w:r>
      <w:r w:rsidR="00696EE8">
        <w:rPr>
          <w:rFonts w:ascii="Arial" w:eastAsia="Times New Roman" w:hAnsi="Arial" w:cs="Times New Roman"/>
        </w:rPr>
        <w:t>(‘</w:t>
      </w:r>
      <w:r>
        <w:rPr>
          <w:rFonts w:ascii="Arial" w:eastAsia="Times New Roman" w:hAnsi="Arial" w:cs="Times New Roman"/>
        </w:rPr>
        <w:t>DZ2001</w:t>
      </w:r>
      <w:r w:rsidR="00696EE8">
        <w:rPr>
          <w:rFonts w:ascii="Arial" w:eastAsia="Times New Roman" w:hAnsi="Arial" w:cs="Times New Roman"/>
        </w:rPr>
        <w:t>’)</w:t>
      </w:r>
      <w:r>
        <w:rPr>
          <w:rFonts w:ascii="Arial" w:eastAsia="Times New Roman" w:hAnsi="Arial" w:cs="Times New Roman"/>
        </w:rPr>
        <w:t xml:space="preserve"> and </w:t>
      </w:r>
      <w:r w:rsidRPr="006F6417">
        <w:rPr>
          <w:rFonts w:ascii="Arial" w:eastAsia="Times New Roman" w:hAnsi="Arial" w:cs="Times New Roman"/>
        </w:rPr>
        <w:t>2011 census data zones (‘DZ2011’)</w:t>
      </w:r>
      <w:r>
        <w:rPr>
          <w:rFonts w:ascii="Arial" w:eastAsia="Times New Roman" w:hAnsi="Arial" w:cs="Times New Roman"/>
        </w:rPr>
        <w:t xml:space="preserve"> in terms of model fit (R</w:t>
      </w:r>
      <w:r w:rsidR="009D2FD7">
        <w:rPr>
          <w:rFonts w:ascii="Arial" w:eastAsia="Times New Roman" w:hAnsi="Arial" w:cs="Times New Roman"/>
        </w:rPr>
        <w:t>-squared</w:t>
      </w:r>
      <w:r>
        <w:rPr>
          <w:rFonts w:ascii="Arial" w:eastAsia="Times New Roman" w:hAnsi="Arial" w:cs="Times New Roman"/>
        </w:rPr>
        <w:t>), the estimated size of the relationship between indicators of need and the need for health care services</w:t>
      </w:r>
      <w:r w:rsidR="009D2FD7">
        <w:rPr>
          <w:rFonts w:ascii="Arial" w:eastAsia="Times New Roman" w:hAnsi="Arial" w:cs="Times New Roman"/>
        </w:rPr>
        <w:t>, and</w:t>
      </w:r>
      <w:r>
        <w:rPr>
          <w:rFonts w:ascii="Arial" w:eastAsia="Times New Roman" w:hAnsi="Arial" w:cs="Times New Roman"/>
        </w:rPr>
        <w:t xml:space="preserve"> </w:t>
      </w:r>
      <w:r w:rsidR="009D2FD7">
        <w:rPr>
          <w:rFonts w:ascii="Arial" w:eastAsia="Times New Roman" w:hAnsi="Arial" w:cs="Times New Roman"/>
        </w:rPr>
        <w:t>the number and influence of outliers.</w:t>
      </w:r>
    </w:p>
    <w:p w:rsidR="006F6417" w:rsidRPr="006F6417" w:rsidRDefault="006F6417" w:rsidP="001C2FD6">
      <w:pPr>
        <w:tabs>
          <w:tab w:val="left" w:pos="720"/>
          <w:tab w:val="left" w:pos="1440"/>
          <w:tab w:val="left" w:pos="2160"/>
          <w:tab w:val="left" w:pos="2880"/>
          <w:tab w:val="left" w:pos="4680"/>
          <w:tab w:val="left" w:pos="5400"/>
          <w:tab w:val="right" w:pos="9000"/>
        </w:tabs>
        <w:spacing w:after="0"/>
        <w:jc w:val="both"/>
        <w:rPr>
          <w:rFonts w:ascii="Arial" w:eastAsia="Times New Roman" w:hAnsi="Arial" w:cs="Arial"/>
        </w:rPr>
      </w:pPr>
    </w:p>
    <w:p w:rsidR="006F6417" w:rsidRPr="006F6417" w:rsidRDefault="005B1577" w:rsidP="00FC2236">
      <w:pPr>
        <w:tabs>
          <w:tab w:val="left" w:pos="720"/>
          <w:tab w:val="left" w:pos="1440"/>
          <w:tab w:val="left" w:pos="2160"/>
          <w:tab w:val="left" w:pos="2880"/>
          <w:tab w:val="left" w:pos="4680"/>
          <w:tab w:val="left" w:pos="5400"/>
          <w:tab w:val="right" w:pos="9000"/>
        </w:tabs>
        <w:spacing w:after="120"/>
        <w:jc w:val="both"/>
        <w:rPr>
          <w:rFonts w:ascii="Arial" w:eastAsia="Times New Roman" w:hAnsi="Arial" w:cs="Times New Roman"/>
        </w:rPr>
      </w:pPr>
      <w:r>
        <w:rPr>
          <w:rFonts w:ascii="Arial" w:eastAsia="Times New Roman" w:hAnsi="Arial" w:cs="Times New Roman"/>
        </w:rPr>
        <w:t>In summary the findings are</w:t>
      </w:r>
      <w:r w:rsidR="006F6417" w:rsidRPr="006F6417">
        <w:rPr>
          <w:rFonts w:ascii="Arial" w:eastAsia="Times New Roman" w:hAnsi="Arial" w:cs="Times New Roman"/>
        </w:rPr>
        <w:t>:</w:t>
      </w:r>
    </w:p>
    <w:p w:rsidR="006F6417" w:rsidRPr="006F6417" w:rsidRDefault="006F6417" w:rsidP="001C2FD6">
      <w:pPr>
        <w:numPr>
          <w:ilvl w:val="0"/>
          <w:numId w:val="9"/>
        </w:numPr>
        <w:tabs>
          <w:tab w:val="left" w:pos="720"/>
          <w:tab w:val="left" w:pos="1440"/>
          <w:tab w:val="left" w:pos="2160"/>
          <w:tab w:val="left" w:pos="2880"/>
          <w:tab w:val="left" w:pos="4680"/>
          <w:tab w:val="left" w:pos="5400"/>
          <w:tab w:val="right" w:pos="9000"/>
        </w:tabs>
        <w:spacing w:after="0"/>
        <w:contextualSpacing/>
        <w:jc w:val="both"/>
        <w:rPr>
          <w:rFonts w:ascii="Arial" w:eastAsia="Times New Roman" w:hAnsi="Arial" w:cs="Times New Roman"/>
        </w:rPr>
      </w:pPr>
      <w:r w:rsidRPr="006F6417">
        <w:rPr>
          <w:rFonts w:ascii="Arial" w:eastAsia="Times New Roman" w:hAnsi="Arial" w:cs="Times New Roman"/>
        </w:rPr>
        <w:t xml:space="preserve">The </w:t>
      </w:r>
      <w:r w:rsidR="005B1577">
        <w:rPr>
          <w:rFonts w:ascii="Arial" w:eastAsia="Times New Roman" w:hAnsi="Arial" w:cs="Times New Roman"/>
        </w:rPr>
        <w:t xml:space="preserve">regression </w:t>
      </w:r>
      <w:r w:rsidRPr="006F6417">
        <w:rPr>
          <w:rFonts w:ascii="Arial" w:eastAsia="Times New Roman" w:hAnsi="Arial" w:cs="Times New Roman"/>
        </w:rPr>
        <w:t xml:space="preserve">results are broadly </w:t>
      </w:r>
      <w:r w:rsidR="00107CDC">
        <w:rPr>
          <w:rFonts w:ascii="Arial" w:eastAsia="Times New Roman" w:hAnsi="Arial" w:cs="Times New Roman"/>
        </w:rPr>
        <w:t>similar</w:t>
      </w:r>
      <w:r w:rsidRPr="006F6417">
        <w:rPr>
          <w:rFonts w:ascii="Arial" w:eastAsia="Times New Roman" w:hAnsi="Arial" w:cs="Times New Roman"/>
        </w:rPr>
        <w:t xml:space="preserve"> across both </w:t>
      </w:r>
      <w:r w:rsidR="005B1577" w:rsidRPr="006F6417">
        <w:rPr>
          <w:rFonts w:ascii="Arial" w:eastAsia="Times New Roman" w:hAnsi="Arial" w:cs="Times New Roman"/>
        </w:rPr>
        <w:t>versions</w:t>
      </w:r>
      <w:r w:rsidR="005B1577">
        <w:rPr>
          <w:rFonts w:ascii="Arial" w:eastAsia="Times New Roman" w:hAnsi="Arial" w:cs="Times New Roman"/>
        </w:rPr>
        <w:t xml:space="preserve"> of</w:t>
      </w:r>
      <w:r w:rsidR="001A6B43">
        <w:rPr>
          <w:rFonts w:ascii="Arial" w:eastAsia="Times New Roman" w:hAnsi="Arial" w:cs="Times New Roman"/>
        </w:rPr>
        <w:t xml:space="preserve"> the</w:t>
      </w:r>
      <w:r w:rsidR="005B1577" w:rsidRPr="006F6417">
        <w:rPr>
          <w:rFonts w:ascii="Arial" w:eastAsia="Times New Roman" w:hAnsi="Arial" w:cs="Times New Roman"/>
        </w:rPr>
        <w:t xml:space="preserve"> </w:t>
      </w:r>
      <w:r w:rsidRPr="006F6417">
        <w:rPr>
          <w:rFonts w:ascii="Arial" w:eastAsia="Times New Roman" w:hAnsi="Arial" w:cs="Times New Roman"/>
        </w:rPr>
        <w:t>data zone</w:t>
      </w:r>
      <w:r w:rsidR="005B1577">
        <w:rPr>
          <w:rFonts w:ascii="Arial" w:eastAsia="Times New Roman" w:hAnsi="Arial" w:cs="Times New Roman"/>
        </w:rPr>
        <w:t>s</w:t>
      </w:r>
      <w:r w:rsidRPr="006F6417">
        <w:rPr>
          <w:rFonts w:ascii="Arial" w:eastAsia="Times New Roman" w:hAnsi="Arial" w:cs="Times New Roman"/>
        </w:rPr>
        <w:t>;</w:t>
      </w:r>
    </w:p>
    <w:p w:rsidR="006F6417" w:rsidRPr="006F6417" w:rsidRDefault="00107CDC" w:rsidP="001C2FD6">
      <w:pPr>
        <w:numPr>
          <w:ilvl w:val="0"/>
          <w:numId w:val="9"/>
        </w:numPr>
        <w:tabs>
          <w:tab w:val="left" w:pos="720"/>
          <w:tab w:val="left" w:pos="1440"/>
          <w:tab w:val="left" w:pos="2160"/>
          <w:tab w:val="left" w:pos="2880"/>
          <w:tab w:val="left" w:pos="4680"/>
          <w:tab w:val="left" w:pos="5400"/>
          <w:tab w:val="right" w:pos="9000"/>
        </w:tabs>
        <w:spacing w:after="0"/>
        <w:contextualSpacing/>
        <w:jc w:val="both"/>
        <w:rPr>
          <w:rFonts w:ascii="Arial" w:eastAsia="Times New Roman" w:hAnsi="Arial" w:cs="Times New Roman"/>
        </w:rPr>
      </w:pPr>
      <w:r>
        <w:rPr>
          <w:rFonts w:ascii="Arial" w:eastAsia="Times New Roman" w:hAnsi="Arial" w:cs="Times New Roman"/>
        </w:rPr>
        <w:t>The MLC adjustment coefficients are slightly higher</w:t>
      </w:r>
      <w:r w:rsidR="007D6133">
        <w:rPr>
          <w:rFonts w:ascii="Arial" w:eastAsia="Times New Roman" w:hAnsi="Arial" w:cs="Times New Roman"/>
        </w:rPr>
        <w:t xml:space="preserve"> across all diagnostic groups</w:t>
      </w:r>
      <w:r>
        <w:rPr>
          <w:rFonts w:ascii="Arial" w:eastAsia="Times New Roman" w:hAnsi="Arial" w:cs="Times New Roman"/>
        </w:rPr>
        <w:t xml:space="preserve"> </w:t>
      </w:r>
      <w:r w:rsidR="007D6133">
        <w:rPr>
          <w:rFonts w:ascii="Arial" w:eastAsia="Times New Roman" w:hAnsi="Arial" w:cs="Times New Roman"/>
        </w:rPr>
        <w:t>with</w:t>
      </w:r>
      <w:r>
        <w:rPr>
          <w:rFonts w:ascii="Arial" w:eastAsia="Times New Roman" w:hAnsi="Arial" w:cs="Times New Roman"/>
        </w:rPr>
        <w:t xml:space="preserve"> DZ2011;</w:t>
      </w:r>
    </w:p>
    <w:p w:rsidR="006F6417" w:rsidRPr="006F6417" w:rsidRDefault="00107CDC" w:rsidP="001C2FD6">
      <w:pPr>
        <w:numPr>
          <w:ilvl w:val="0"/>
          <w:numId w:val="9"/>
        </w:numPr>
        <w:tabs>
          <w:tab w:val="left" w:pos="720"/>
          <w:tab w:val="left" w:pos="1440"/>
          <w:tab w:val="left" w:pos="2160"/>
          <w:tab w:val="left" w:pos="2880"/>
          <w:tab w:val="left" w:pos="4680"/>
          <w:tab w:val="left" w:pos="5400"/>
          <w:tab w:val="right" w:pos="9000"/>
        </w:tabs>
        <w:spacing w:after="0"/>
        <w:contextualSpacing/>
        <w:jc w:val="both"/>
        <w:rPr>
          <w:rFonts w:ascii="Arial" w:eastAsia="Times New Roman" w:hAnsi="Arial" w:cs="Times New Roman"/>
        </w:rPr>
      </w:pPr>
      <w:r>
        <w:rPr>
          <w:rFonts w:ascii="Arial" w:eastAsia="Times New Roman" w:hAnsi="Arial" w:cs="Times New Roman"/>
        </w:rPr>
        <w:t>There are a number of outliers</w:t>
      </w:r>
      <w:r w:rsidR="005B6A94">
        <w:rPr>
          <w:rFonts w:ascii="Arial" w:eastAsia="Times New Roman" w:hAnsi="Arial" w:cs="Times New Roman"/>
        </w:rPr>
        <w:t xml:space="preserve"> at both geographies</w:t>
      </w:r>
      <w:r>
        <w:rPr>
          <w:rFonts w:ascii="Arial" w:eastAsia="Times New Roman" w:hAnsi="Arial" w:cs="Times New Roman"/>
        </w:rPr>
        <w:t>, but no influential points were found.</w:t>
      </w:r>
    </w:p>
    <w:p w:rsidR="001C6047" w:rsidRDefault="001C6047" w:rsidP="001C2FD6">
      <w:pPr>
        <w:spacing w:after="0"/>
        <w:jc w:val="both"/>
        <w:rPr>
          <w:rFonts w:ascii="Arial" w:hAnsi="Arial" w:cs="Arial"/>
        </w:rPr>
      </w:pPr>
    </w:p>
    <w:p w:rsidR="00696EE8" w:rsidRPr="001C6047" w:rsidRDefault="00696EE8" w:rsidP="001C2FD6">
      <w:pPr>
        <w:spacing w:after="0"/>
        <w:jc w:val="both"/>
        <w:rPr>
          <w:rFonts w:ascii="Arial" w:hAnsi="Arial" w:cs="Arial"/>
        </w:rPr>
      </w:pPr>
    </w:p>
    <w:p w:rsidR="0026245E" w:rsidRPr="001C6047" w:rsidRDefault="0026245E" w:rsidP="001C2FD6">
      <w:pPr>
        <w:spacing w:after="0"/>
        <w:jc w:val="both"/>
        <w:rPr>
          <w:rFonts w:ascii="Arial" w:hAnsi="Arial" w:cs="Arial"/>
          <w:b/>
        </w:rPr>
      </w:pPr>
      <w:r w:rsidRPr="001C6047">
        <w:rPr>
          <w:rFonts w:ascii="Arial" w:hAnsi="Arial" w:cs="Arial"/>
          <w:b/>
        </w:rPr>
        <w:t xml:space="preserve">2. </w:t>
      </w:r>
      <w:r w:rsidR="006F6417">
        <w:rPr>
          <w:rFonts w:ascii="Arial" w:hAnsi="Arial" w:cs="Arial"/>
          <w:b/>
        </w:rPr>
        <w:t>Indicators of need variables</w:t>
      </w:r>
      <w:r w:rsidRPr="001C6047">
        <w:rPr>
          <w:rFonts w:ascii="Arial" w:hAnsi="Arial" w:cs="Arial"/>
          <w:b/>
        </w:rPr>
        <w:t xml:space="preserve"> and data</w:t>
      </w:r>
    </w:p>
    <w:p w:rsidR="00696EE8" w:rsidRDefault="00696EE8" w:rsidP="001C2FD6">
      <w:pPr>
        <w:spacing w:after="0"/>
        <w:jc w:val="both"/>
        <w:rPr>
          <w:rFonts w:ascii="Arial" w:hAnsi="Arial" w:cs="Arial"/>
        </w:rPr>
      </w:pPr>
    </w:p>
    <w:p w:rsidR="001603C7" w:rsidRDefault="00B923B7" w:rsidP="001C2FD6">
      <w:pPr>
        <w:spacing w:after="0"/>
        <w:jc w:val="both"/>
        <w:rPr>
          <w:rFonts w:ascii="Arial" w:hAnsi="Arial" w:cs="Arial"/>
        </w:rPr>
      </w:pPr>
      <w:r w:rsidRPr="001C6047">
        <w:rPr>
          <w:rFonts w:ascii="Arial" w:hAnsi="Arial" w:cs="Arial"/>
        </w:rPr>
        <w:t>The current Acute MLC</w:t>
      </w:r>
      <w:r w:rsidR="00E43ABA" w:rsidRPr="001C6047">
        <w:rPr>
          <w:rFonts w:ascii="Arial" w:hAnsi="Arial" w:cs="Arial"/>
        </w:rPr>
        <w:t xml:space="preserve"> </w:t>
      </w:r>
      <w:r w:rsidR="00180CFC" w:rsidRPr="001C6047">
        <w:rPr>
          <w:rFonts w:ascii="Arial" w:hAnsi="Arial" w:cs="Arial"/>
        </w:rPr>
        <w:t xml:space="preserve">indicators of need </w:t>
      </w:r>
      <w:r w:rsidR="006F6417">
        <w:rPr>
          <w:rFonts w:ascii="Arial" w:hAnsi="Arial" w:cs="Arial"/>
        </w:rPr>
        <w:t xml:space="preserve">(ION) </w:t>
      </w:r>
      <w:r w:rsidR="004A018D" w:rsidRPr="001C6047">
        <w:rPr>
          <w:rFonts w:ascii="Arial" w:hAnsi="Arial" w:cs="Arial"/>
        </w:rPr>
        <w:t xml:space="preserve">are the </w:t>
      </w:r>
      <w:r w:rsidR="00813E50">
        <w:rPr>
          <w:rFonts w:ascii="Arial" w:hAnsi="Arial" w:cs="Arial"/>
        </w:rPr>
        <w:t>all-</w:t>
      </w:r>
      <w:r w:rsidR="00E43ABA" w:rsidRPr="001C6047">
        <w:rPr>
          <w:rFonts w:ascii="Arial" w:hAnsi="Arial" w:cs="Arial"/>
        </w:rPr>
        <w:t xml:space="preserve">cause </w:t>
      </w:r>
      <w:r w:rsidR="004A018D" w:rsidRPr="001C6047">
        <w:rPr>
          <w:rFonts w:ascii="Arial" w:hAnsi="Arial" w:cs="Arial"/>
        </w:rPr>
        <w:t>Standardised Mortality Ratio (SMR)</w:t>
      </w:r>
      <w:r w:rsidR="00D46BFD" w:rsidRPr="001C6047">
        <w:rPr>
          <w:rFonts w:ascii="Arial" w:hAnsi="Arial" w:cs="Arial"/>
        </w:rPr>
        <w:t xml:space="preserve"> in</w:t>
      </w:r>
      <w:r w:rsidR="00E43ABA" w:rsidRPr="001C6047">
        <w:rPr>
          <w:rFonts w:ascii="Arial" w:hAnsi="Arial" w:cs="Arial"/>
        </w:rPr>
        <w:t xml:space="preserve"> ages 0-74</w:t>
      </w:r>
      <w:r w:rsidR="00D46BFD" w:rsidRPr="001C6047">
        <w:rPr>
          <w:rFonts w:ascii="Arial" w:hAnsi="Arial" w:cs="Arial"/>
        </w:rPr>
        <w:t>,</w:t>
      </w:r>
      <w:r w:rsidR="004A018D" w:rsidRPr="001C6047">
        <w:rPr>
          <w:rFonts w:ascii="Arial" w:hAnsi="Arial" w:cs="Arial"/>
        </w:rPr>
        <w:t xml:space="preserve"> and the Limiting Long-Term I</w:t>
      </w:r>
      <w:r w:rsidR="00E43ABA" w:rsidRPr="001C6047">
        <w:rPr>
          <w:rFonts w:ascii="Arial" w:hAnsi="Arial" w:cs="Arial"/>
        </w:rPr>
        <w:t>llness (LLTI</w:t>
      </w:r>
      <w:r w:rsidR="004A018D" w:rsidRPr="001C6047">
        <w:rPr>
          <w:rFonts w:ascii="Arial" w:hAnsi="Arial" w:cs="Arial"/>
        </w:rPr>
        <w:t>)</w:t>
      </w:r>
      <w:r w:rsidR="00E43ABA" w:rsidRPr="001C6047">
        <w:rPr>
          <w:rFonts w:ascii="Arial" w:hAnsi="Arial" w:cs="Arial"/>
        </w:rPr>
        <w:t xml:space="preserve"> ratio</w:t>
      </w:r>
      <w:r w:rsidR="004A018D" w:rsidRPr="001C6047">
        <w:rPr>
          <w:rFonts w:ascii="Arial" w:hAnsi="Arial" w:cs="Arial"/>
        </w:rPr>
        <w:t xml:space="preserve">. </w:t>
      </w:r>
      <w:r w:rsidR="001603C7">
        <w:rPr>
          <w:rFonts w:ascii="Arial" w:hAnsi="Arial" w:cs="Arial"/>
        </w:rPr>
        <w:t xml:space="preserve">These were </w:t>
      </w:r>
      <w:r w:rsidR="001603C7">
        <w:rPr>
          <w:rFonts w:ascii="Arial" w:hAnsi="Arial" w:cs="Arial"/>
        </w:rPr>
        <w:lastRenderedPageBreak/>
        <w:t>included in the NRAC regressions as an index calculated as t</w:t>
      </w:r>
      <w:r w:rsidR="001603C7" w:rsidRPr="001C6047">
        <w:rPr>
          <w:rFonts w:ascii="Arial" w:hAnsi="Arial" w:cs="Arial"/>
        </w:rPr>
        <w:t xml:space="preserve">he sum of the z-scores of these two variables. </w:t>
      </w:r>
      <w:r w:rsidR="001603C7">
        <w:rPr>
          <w:rFonts w:ascii="Arial" w:hAnsi="Arial" w:cs="Arial"/>
        </w:rPr>
        <w:t xml:space="preserve"> </w:t>
      </w:r>
    </w:p>
    <w:p w:rsidR="001603C7" w:rsidRDefault="001603C7" w:rsidP="001C2FD6">
      <w:pPr>
        <w:spacing w:after="0"/>
        <w:jc w:val="both"/>
        <w:rPr>
          <w:rFonts w:ascii="Arial" w:hAnsi="Arial" w:cs="Arial"/>
        </w:rPr>
      </w:pPr>
    </w:p>
    <w:p w:rsidR="00363C2B" w:rsidRPr="001C6047" w:rsidRDefault="001603C7" w:rsidP="001C2FD6">
      <w:pPr>
        <w:spacing w:after="0"/>
        <w:jc w:val="both"/>
        <w:rPr>
          <w:rFonts w:ascii="Arial" w:hAnsi="Arial" w:cs="Arial"/>
        </w:rPr>
      </w:pPr>
      <w:r w:rsidRPr="001C6047">
        <w:rPr>
          <w:rFonts w:ascii="Arial" w:hAnsi="Arial" w:cs="Arial"/>
        </w:rPr>
        <w:t xml:space="preserve">The SMR is calculated using death records from </w:t>
      </w:r>
      <w:r>
        <w:rPr>
          <w:rFonts w:ascii="Arial" w:hAnsi="Arial" w:cs="Arial"/>
        </w:rPr>
        <w:t xml:space="preserve">five financial </w:t>
      </w:r>
      <w:r w:rsidRPr="001C6047">
        <w:rPr>
          <w:rFonts w:ascii="Arial" w:hAnsi="Arial" w:cs="Arial"/>
        </w:rPr>
        <w:t xml:space="preserve">years </w:t>
      </w:r>
      <w:r>
        <w:rPr>
          <w:rFonts w:ascii="Arial" w:hAnsi="Arial" w:cs="Arial"/>
        </w:rPr>
        <w:t>(</w:t>
      </w:r>
      <w:r w:rsidRPr="001C6047">
        <w:rPr>
          <w:rFonts w:ascii="Arial" w:hAnsi="Arial" w:cs="Arial"/>
        </w:rPr>
        <w:t>2009</w:t>
      </w:r>
      <w:r>
        <w:rPr>
          <w:rFonts w:ascii="Arial" w:hAnsi="Arial" w:cs="Arial"/>
        </w:rPr>
        <w:t>/10</w:t>
      </w:r>
      <w:r w:rsidRPr="001C6047">
        <w:rPr>
          <w:rFonts w:ascii="Arial" w:hAnsi="Arial" w:cs="Arial"/>
        </w:rPr>
        <w:t xml:space="preserve"> to 2013</w:t>
      </w:r>
      <w:r>
        <w:rPr>
          <w:rFonts w:ascii="Arial" w:hAnsi="Arial" w:cs="Arial"/>
        </w:rPr>
        <w:t>/14)</w:t>
      </w:r>
      <w:r w:rsidRPr="001C6047">
        <w:rPr>
          <w:rFonts w:ascii="Arial" w:hAnsi="Arial" w:cs="Arial"/>
        </w:rPr>
        <w:t xml:space="preserve">, and the LLTI ratio is calculated using 2011 Census data. </w:t>
      </w:r>
      <w:r>
        <w:rPr>
          <w:rFonts w:ascii="Arial" w:hAnsi="Arial" w:cs="Arial"/>
        </w:rPr>
        <w:t>For LLTI</w:t>
      </w:r>
      <w:r w:rsidR="00696EE8">
        <w:rPr>
          <w:rFonts w:ascii="Arial" w:hAnsi="Arial" w:cs="Arial"/>
        </w:rPr>
        <w:t>,</w:t>
      </w:r>
      <w:r>
        <w:rPr>
          <w:rFonts w:ascii="Arial" w:hAnsi="Arial" w:cs="Arial"/>
        </w:rPr>
        <w:t xml:space="preserve"> the AMLC sub-group </w:t>
      </w:r>
      <w:r w:rsidR="00696EE8">
        <w:rPr>
          <w:rFonts w:ascii="Arial" w:hAnsi="Arial" w:cs="Arial"/>
        </w:rPr>
        <w:t xml:space="preserve">previously </w:t>
      </w:r>
      <w:r>
        <w:rPr>
          <w:rFonts w:ascii="Arial" w:hAnsi="Arial" w:cs="Arial"/>
        </w:rPr>
        <w:t xml:space="preserve">agreed to use </w:t>
      </w:r>
      <w:r w:rsidRPr="001C6047">
        <w:rPr>
          <w:rFonts w:ascii="Arial" w:hAnsi="Arial" w:cs="Arial"/>
        </w:rPr>
        <w:t xml:space="preserve">the total number of positive responses </w:t>
      </w:r>
      <w:r>
        <w:rPr>
          <w:rFonts w:ascii="Arial" w:hAnsi="Arial" w:cs="Arial"/>
        </w:rPr>
        <w:t xml:space="preserve">to the limiting long-term illness question </w:t>
      </w:r>
      <w:r w:rsidRPr="001C6047">
        <w:rPr>
          <w:rFonts w:ascii="Arial" w:hAnsi="Arial" w:cs="Arial"/>
        </w:rPr>
        <w:t>(</w:t>
      </w:r>
      <w:r>
        <w:rPr>
          <w:rFonts w:ascii="Arial" w:hAnsi="Arial" w:cs="Arial"/>
        </w:rPr>
        <w:t>respondents stating either</w:t>
      </w:r>
      <w:r w:rsidRPr="001C6047">
        <w:rPr>
          <w:rFonts w:ascii="Arial" w:hAnsi="Arial" w:cs="Arial"/>
        </w:rPr>
        <w:t xml:space="preserve"> “Yes – a little” </w:t>
      </w:r>
      <w:r>
        <w:rPr>
          <w:rFonts w:ascii="Arial" w:hAnsi="Arial" w:cs="Arial"/>
        </w:rPr>
        <w:t xml:space="preserve">or </w:t>
      </w:r>
      <w:r w:rsidRPr="001C6047">
        <w:rPr>
          <w:rFonts w:ascii="Arial" w:hAnsi="Arial" w:cs="Arial"/>
        </w:rPr>
        <w:t>“Yes – a lot”)</w:t>
      </w:r>
      <w:r w:rsidR="00696EE8">
        <w:rPr>
          <w:rFonts w:ascii="Arial" w:hAnsi="Arial" w:cs="Arial"/>
        </w:rPr>
        <w:t xml:space="preserve"> in analysis with the reference model</w:t>
      </w:r>
      <w:r w:rsidRPr="001C6047">
        <w:rPr>
          <w:rFonts w:ascii="Arial" w:hAnsi="Arial" w:cs="Arial"/>
        </w:rPr>
        <w:t>.</w:t>
      </w:r>
      <w:r>
        <w:rPr>
          <w:rFonts w:ascii="Arial" w:hAnsi="Arial" w:cs="Arial"/>
        </w:rPr>
        <w:t xml:space="preserve">  </w:t>
      </w:r>
    </w:p>
    <w:p w:rsidR="001C6047" w:rsidRDefault="001C6047" w:rsidP="001C2FD6">
      <w:pPr>
        <w:spacing w:after="0"/>
        <w:jc w:val="both"/>
        <w:rPr>
          <w:rFonts w:ascii="Arial" w:hAnsi="Arial" w:cs="Arial"/>
        </w:rPr>
      </w:pPr>
    </w:p>
    <w:p w:rsidR="00AA728C" w:rsidRDefault="0075177D" w:rsidP="001C2FD6">
      <w:pPr>
        <w:spacing w:after="0"/>
        <w:jc w:val="both"/>
        <w:rPr>
          <w:rFonts w:ascii="Arial" w:hAnsi="Arial" w:cs="Arial"/>
        </w:rPr>
      </w:pPr>
      <w:r w:rsidRPr="001C6047">
        <w:rPr>
          <w:rFonts w:ascii="Arial" w:hAnsi="Arial" w:cs="Arial"/>
        </w:rPr>
        <w:t>The utilisation of healthcare</w:t>
      </w:r>
      <w:r w:rsidR="006F6417">
        <w:rPr>
          <w:rFonts w:ascii="Arial" w:hAnsi="Arial" w:cs="Arial"/>
        </w:rPr>
        <w:t xml:space="preserve"> (the proxy for need)</w:t>
      </w:r>
      <w:r w:rsidRPr="001C6047">
        <w:rPr>
          <w:rFonts w:ascii="Arial" w:hAnsi="Arial" w:cs="Arial"/>
        </w:rPr>
        <w:t xml:space="preserve"> is represented by the ratio of the actual costs of healthcare (taking into account activity type and length of stay in that specific neighbourhood) to the expected costs (based on </w:t>
      </w:r>
      <w:r w:rsidR="006F6417">
        <w:rPr>
          <w:rFonts w:ascii="Arial" w:hAnsi="Arial" w:cs="Arial"/>
        </w:rPr>
        <w:t xml:space="preserve">age/sex composition of </w:t>
      </w:r>
      <w:r w:rsidRPr="001C6047">
        <w:rPr>
          <w:rFonts w:ascii="Arial" w:hAnsi="Arial" w:cs="Arial"/>
        </w:rPr>
        <w:t xml:space="preserve">the neighbourhood’s population and national age/sex average cost per head). </w:t>
      </w:r>
      <w:r w:rsidR="001603C7" w:rsidRPr="001C6047">
        <w:rPr>
          <w:rFonts w:ascii="Arial" w:hAnsi="Arial" w:cs="Arial"/>
        </w:rPr>
        <w:t xml:space="preserve">The cost ratios are calculated using 2011/12, 2012/13 and 2013/14 cost and activity data, with </w:t>
      </w:r>
      <w:r w:rsidR="001603C7">
        <w:rPr>
          <w:rFonts w:ascii="Arial" w:hAnsi="Arial" w:cs="Arial"/>
        </w:rPr>
        <w:t xml:space="preserve">2011, 2012 and 2013 </w:t>
      </w:r>
      <w:r w:rsidR="001603C7" w:rsidRPr="001C6047">
        <w:rPr>
          <w:rFonts w:ascii="Arial" w:hAnsi="Arial" w:cs="Arial"/>
        </w:rPr>
        <w:t>population data (</w:t>
      </w:r>
      <w:r w:rsidR="001603C7">
        <w:rPr>
          <w:rFonts w:ascii="Arial" w:hAnsi="Arial" w:cs="Arial"/>
        </w:rPr>
        <w:t xml:space="preserve">a mean of the three </w:t>
      </w:r>
      <w:r w:rsidR="001603C7" w:rsidRPr="001C6047">
        <w:rPr>
          <w:rFonts w:ascii="Arial" w:hAnsi="Arial" w:cs="Arial"/>
        </w:rPr>
        <w:t>mid-year estimates</w:t>
      </w:r>
      <w:r w:rsidR="001603C7">
        <w:rPr>
          <w:rFonts w:ascii="Arial" w:hAnsi="Arial" w:cs="Arial"/>
        </w:rPr>
        <w:t xml:space="preserve"> is used</w:t>
      </w:r>
      <w:r w:rsidR="001603C7" w:rsidRPr="001C6047">
        <w:rPr>
          <w:rFonts w:ascii="Arial" w:hAnsi="Arial" w:cs="Arial"/>
        </w:rPr>
        <w:t>).</w:t>
      </w:r>
    </w:p>
    <w:p w:rsidR="001C6047" w:rsidRPr="001C6047" w:rsidRDefault="001C6047" w:rsidP="001C2FD6">
      <w:pPr>
        <w:spacing w:after="0"/>
        <w:jc w:val="both"/>
        <w:rPr>
          <w:rFonts w:ascii="Arial" w:hAnsi="Arial" w:cs="Arial"/>
        </w:rPr>
      </w:pPr>
    </w:p>
    <w:p w:rsidR="004470A8" w:rsidRDefault="006F6417" w:rsidP="001C2FD6">
      <w:pPr>
        <w:autoSpaceDE w:val="0"/>
        <w:autoSpaceDN w:val="0"/>
        <w:adjustRightInd w:val="0"/>
        <w:spacing w:after="0"/>
        <w:jc w:val="both"/>
        <w:rPr>
          <w:rFonts w:ascii="Arial" w:hAnsi="Arial" w:cs="Arial"/>
        </w:rPr>
      </w:pPr>
      <w:r>
        <w:rPr>
          <w:rFonts w:ascii="Arial" w:hAnsi="Arial" w:cs="Arial"/>
        </w:rPr>
        <w:t>These cost and ION variables are displayed in the following s</w:t>
      </w:r>
      <w:r w:rsidR="009C65CF">
        <w:rPr>
          <w:rFonts w:ascii="Arial" w:hAnsi="Arial" w:cs="Arial"/>
        </w:rPr>
        <w:t>catter plots of cost r</w:t>
      </w:r>
      <w:r w:rsidR="00180CFC" w:rsidRPr="00180CFC">
        <w:rPr>
          <w:rFonts w:ascii="Arial" w:hAnsi="Arial" w:cs="Arial"/>
        </w:rPr>
        <w:t xml:space="preserve">atios for all diagnostic groups at </w:t>
      </w:r>
      <w:r w:rsidR="00846AAA">
        <w:rPr>
          <w:rFonts w:ascii="Arial" w:hAnsi="Arial" w:cs="Arial"/>
        </w:rPr>
        <w:t>DZ</w:t>
      </w:r>
      <w:r w:rsidR="002C54DB">
        <w:rPr>
          <w:rFonts w:ascii="Arial" w:hAnsi="Arial" w:cs="Arial"/>
        </w:rPr>
        <w:t>2011 level</w:t>
      </w:r>
      <w:r w:rsidR="00180CFC" w:rsidRPr="00180CFC">
        <w:rPr>
          <w:rFonts w:ascii="Arial" w:hAnsi="Arial" w:cs="Arial"/>
        </w:rPr>
        <w:t>.</w:t>
      </w:r>
      <w:r w:rsidR="00696EE8">
        <w:rPr>
          <w:rFonts w:ascii="Arial" w:hAnsi="Arial" w:cs="Arial"/>
        </w:rPr>
        <w:t xml:space="preserve"> </w:t>
      </w:r>
      <w:r w:rsidR="00180CFC" w:rsidRPr="00180CFC">
        <w:rPr>
          <w:rFonts w:ascii="Arial" w:hAnsi="Arial" w:cs="Arial"/>
        </w:rPr>
        <w:t xml:space="preserve">All scatter plots suggest the same overall impression that there is a positive relationship between </w:t>
      </w:r>
      <w:r w:rsidR="001E4A9F">
        <w:rPr>
          <w:rFonts w:ascii="Arial" w:hAnsi="Arial" w:cs="Arial"/>
        </w:rPr>
        <w:t>the exp</w:t>
      </w:r>
      <w:r w:rsidR="009C65CF">
        <w:rPr>
          <w:rFonts w:ascii="Arial" w:hAnsi="Arial" w:cs="Arial"/>
        </w:rPr>
        <w:t>lanatory variables and the cost r</w:t>
      </w:r>
      <w:r w:rsidR="001E4A9F">
        <w:rPr>
          <w:rFonts w:ascii="Arial" w:hAnsi="Arial" w:cs="Arial"/>
        </w:rPr>
        <w:t>atios</w:t>
      </w:r>
      <w:r w:rsidR="00180CFC" w:rsidRPr="00180CFC">
        <w:rPr>
          <w:rFonts w:ascii="Arial" w:hAnsi="Arial" w:cs="Arial"/>
        </w:rPr>
        <w:t xml:space="preserve">. </w:t>
      </w:r>
      <w:r w:rsidR="0066482C">
        <w:rPr>
          <w:rFonts w:ascii="Arial" w:hAnsi="Arial" w:cs="Arial"/>
        </w:rPr>
        <w:t xml:space="preserve">The </w:t>
      </w:r>
      <w:r w:rsidR="00D71669">
        <w:rPr>
          <w:rFonts w:ascii="Arial" w:hAnsi="Arial" w:cs="Arial"/>
        </w:rPr>
        <w:t xml:space="preserve">scatter plots are </w:t>
      </w:r>
      <w:r w:rsidR="007A0D18">
        <w:rPr>
          <w:rFonts w:ascii="Arial" w:hAnsi="Arial" w:cs="Arial"/>
        </w:rPr>
        <w:t>shown</w:t>
      </w:r>
      <w:r w:rsidR="00B57E4A">
        <w:rPr>
          <w:rFonts w:ascii="Arial" w:hAnsi="Arial" w:cs="Arial"/>
        </w:rPr>
        <w:t xml:space="preserve"> below (Figure 1</w:t>
      </w:r>
      <w:r w:rsidR="00180CFC" w:rsidRPr="00180CFC">
        <w:rPr>
          <w:rFonts w:ascii="Arial" w:hAnsi="Arial" w:cs="Arial"/>
        </w:rPr>
        <w:t xml:space="preserve">). </w:t>
      </w:r>
    </w:p>
    <w:p w:rsidR="001C6047" w:rsidRDefault="001C6047" w:rsidP="001C2FD6">
      <w:pPr>
        <w:autoSpaceDE w:val="0"/>
        <w:autoSpaceDN w:val="0"/>
        <w:adjustRightInd w:val="0"/>
        <w:spacing w:after="0"/>
        <w:jc w:val="both"/>
        <w:rPr>
          <w:rFonts w:ascii="Arial" w:hAnsi="Arial" w:cs="Arial"/>
        </w:rPr>
      </w:pPr>
    </w:p>
    <w:p w:rsidR="002E26D2" w:rsidRDefault="005C7E02" w:rsidP="001C2FD6">
      <w:pPr>
        <w:autoSpaceDE w:val="0"/>
        <w:autoSpaceDN w:val="0"/>
        <w:adjustRightInd w:val="0"/>
        <w:jc w:val="both"/>
        <w:rPr>
          <w:rFonts w:ascii="Arial" w:hAnsi="Arial" w:cs="Arial"/>
        </w:rPr>
      </w:pPr>
      <w:r>
        <w:rPr>
          <w:noProof/>
          <w:lang w:eastAsia="en-GB"/>
        </w:rPr>
        <w:drawing>
          <wp:inline distT="0" distB="0" distL="0" distR="0">
            <wp:extent cx="2783416" cy="2259106"/>
            <wp:effectExtent l="19050" t="0" r="0" b="0"/>
            <wp:docPr id="78" name="Picture 58"/>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8" cstate="print"/>
                    <a:srcRect/>
                    <a:stretch>
                      <a:fillRect/>
                    </a:stretch>
                  </pic:blipFill>
                  <pic:spPr bwMode="auto">
                    <a:xfrm>
                      <a:off x="0" y="0"/>
                      <a:ext cx="2783416" cy="2259106"/>
                    </a:xfrm>
                    <a:prstGeom prst="rect">
                      <a:avLst/>
                    </a:prstGeom>
                    <a:noFill/>
                  </pic:spPr>
                </pic:pic>
              </a:graphicData>
            </a:graphic>
          </wp:inline>
        </w:drawing>
      </w:r>
      <w:r w:rsidR="00334915" w:rsidRPr="00334915">
        <w:rPr>
          <w:rFonts w:ascii="Arial" w:hAnsi="Arial" w:cs="Arial"/>
          <w:noProof/>
          <w:lang w:eastAsia="en-GB"/>
        </w:rPr>
        <w:drawing>
          <wp:inline distT="0" distB="0" distL="0" distR="0">
            <wp:extent cx="2703830" cy="2256486"/>
            <wp:effectExtent l="19050" t="0" r="1270" b="0"/>
            <wp:docPr id="49"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cstate="print"/>
                    <a:srcRect/>
                    <a:stretch>
                      <a:fillRect/>
                    </a:stretch>
                  </pic:blipFill>
                  <pic:spPr bwMode="auto">
                    <a:xfrm>
                      <a:off x="0" y="0"/>
                      <a:ext cx="2703830" cy="2256486"/>
                    </a:xfrm>
                    <a:prstGeom prst="rect">
                      <a:avLst/>
                    </a:prstGeom>
                    <a:noFill/>
                  </pic:spPr>
                </pic:pic>
              </a:graphicData>
            </a:graphic>
          </wp:inline>
        </w:drawing>
      </w:r>
    </w:p>
    <w:p w:rsidR="005C7E02" w:rsidRDefault="005C7E02" w:rsidP="001C2FD6">
      <w:pPr>
        <w:autoSpaceDE w:val="0"/>
        <w:autoSpaceDN w:val="0"/>
        <w:adjustRightInd w:val="0"/>
        <w:jc w:val="both"/>
        <w:rPr>
          <w:rFonts w:ascii="Arial" w:hAnsi="Arial" w:cs="Arial"/>
        </w:rPr>
      </w:pPr>
      <w:r>
        <w:rPr>
          <w:noProof/>
          <w:lang w:eastAsia="en-GB"/>
        </w:rPr>
        <w:drawing>
          <wp:inline distT="0" distB="0" distL="0" distR="0">
            <wp:extent cx="2785565" cy="2276829"/>
            <wp:effectExtent l="19050" t="0" r="0" b="0"/>
            <wp:docPr id="80" name="Picture 60"/>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stretch>
                      <a:fillRect/>
                    </a:stretch>
                  </pic:blipFill>
                  <pic:spPr>
                    <a:xfrm>
                      <a:off x="0" y="0"/>
                      <a:ext cx="2785132" cy="2276475"/>
                    </a:xfrm>
                    <a:prstGeom prst="rect">
                      <a:avLst/>
                    </a:prstGeom>
                  </pic:spPr>
                </pic:pic>
              </a:graphicData>
            </a:graphic>
          </wp:inline>
        </w:drawing>
      </w:r>
      <w:r w:rsidR="00334915" w:rsidRPr="00334915">
        <w:rPr>
          <w:rFonts w:ascii="Arial" w:hAnsi="Arial" w:cs="Arial"/>
          <w:noProof/>
          <w:lang w:eastAsia="en-GB"/>
        </w:rPr>
        <w:drawing>
          <wp:inline distT="0" distB="0" distL="0" distR="0">
            <wp:extent cx="2703830" cy="2276475"/>
            <wp:effectExtent l="19050" t="0" r="1270" b="0"/>
            <wp:docPr id="50"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stretch>
                      <a:fillRect/>
                    </a:stretch>
                  </pic:blipFill>
                  <pic:spPr>
                    <a:xfrm>
                      <a:off x="0" y="0"/>
                      <a:ext cx="2705263" cy="2277682"/>
                    </a:xfrm>
                    <a:prstGeom prst="rect">
                      <a:avLst/>
                    </a:prstGeom>
                  </pic:spPr>
                </pic:pic>
              </a:graphicData>
            </a:graphic>
          </wp:inline>
        </w:drawing>
      </w:r>
    </w:p>
    <w:p w:rsidR="005C7E02" w:rsidRDefault="005C7E02" w:rsidP="001C2FD6">
      <w:pPr>
        <w:autoSpaceDE w:val="0"/>
        <w:autoSpaceDN w:val="0"/>
        <w:adjustRightInd w:val="0"/>
        <w:jc w:val="both"/>
        <w:rPr>
          <w:rFonts w:ascii="Arial" w:hAnsi="Arial" w:cs="Arial"/>
        </w:rPr>
      </w:pPr>
      <w:r>
        <w:rPr>
          <w:noProof/>
          <w:lang w:eastAsia="en-GB"/>
        </w:rPr>
        <w:lastRenderedPageBreak/>
        <w:drawing>
          <wp:inline distT="0" distB="0" distL="0" distR="0">
            <wp:extent cx="2698749" cy="2274370"/>
            <wp:effectExtent l="19050" t="0" r="6351" b="0"/>
            <wp:docPr id="82" name="Picture 62"/>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stretch>
                      <a:fillRect/>
                    </a:stretch>
                  </pic:blipFill>
                  <pic:spPr>
                    <a:xfrm>
                      <a:off x="0" y="0"/>
                      <a:ext cx="2698749" cy="2274370"/>
                    </a:xfrm>
                    <a:prstGeom prst="rect">
                      <a:avLst/>
                    </a:prstGeom>
                  </pic:spPr>
                </pic:pic>
              </a:graphicData>
            </a:graphic>
          </wp:inline>
        </w:drawing>
      </w:r>
      <w:r w:rsidR="00334915" w:rsidRPr="00334915">
        <w:rPr>
          <w:rFonts w:ascii="Arial" w:hAnsi="Arial" w:cs="Arial"/>
          <w:noProof/>
          <w:lang w:eastAsia="en-GB"/>
        </w:rPr>
        <w:drawing>
          <wp:inline distT="0" distB="0" distL="0" distR="0">
            <wp:extent cx="2886075" cy="2276475"/>
            <wp:effectExtent l="19050" t="0" r="9525" b="0"/>
            <wp:docPr id="51" name="Picture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stretch>
                      <a:fillRect/>
                    </a:stretch>
                  </pic:blipFill>
                  <pic:spPr>
                    <a:xfrm>
                      <a:off x="0" y="0"/>
                      <a:ext cx="2886075" cy="2276475"/>
                    </a:xfrm>
                    <a:prstGeom prst="rect">
                      <a:avLst/>
                    </a:prstGeom>
                  </pic:spPr>
                </pic:pic>
              </a:graphicData>
            </a:graphic>
          </wp:inline>
        </w:drawing>
      </w:r>
    </w:p>
    <w:p w:rsidR="005C7E02" w:rsidRDefault="005C7E02" w:rsidP="001C2FD6">
      <w:pPr>
        <w:autoSpaceDE w:val="0"/>
        <w:autoSpaceDN w:val="0"/>
        <w:adjustRightInd w:val="0"/>
        <w:jc w:val="both"/>
        <w:rPr>
          <w:rFonts w:ascii="Arial" w:hAnsi="Arial" w:cs="Arial"/>
        </w:rPr>
      </w:pPr>
      <w:r>
        <w:rPr>
          <w:noProof/>
          <w:lang w:eastAsia="en-GB"/>
        </w:rPr>
        <w:drawing>
          <wp:inline distT="0" distB="0" distL="0" distR="0">
            <wp:extent cx="2688166" cy="2266950"/>
            <wp:effectExtent l="19050" t="0" r="0" b="0"/>
            <wp:docPr id="84" name="Picture 64"/>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cstate="print"/>
                    <a:stretch>
                      <a:fillRect/>
                    </a:stretch>
                  </pic:blipFill>
                  <pic:spPr>
                    <a:xfrm>
                      <a:off x="0" y="0"/>
                      <a:ext cx="2688166" cy="2266950"/>
                    </a:xfrm>
                    <a:prstGeom prst="rect">
                      <a:avLst/>
                    </a:prstGeom>
                  </pic:spPr>
                </pic:pic>
              </a:graphicData>
            </a:graphic>
          </wp:inline>
        </w:drawing>
      </w:r>
      <w:r w:rsidR="00334915" w:rsidRPr="00334915">
        <w:rPr>
          <w:rFonts w:ascii="Arial" w:hAnsi="Arial" w:cs="Arial"/>
          <w:noProof/>
          <w:lang w:eastAsia="en-GB"/>
        </w:rPr>
        <w:drawing>
          <wp:inline distT="0" distB="0" distL="0" distR="0">
            <wp:extent cx="2905125" cy="2266950"/>
            <wp:effectExtent l="19050" t="0" r="9525" b="0"/>
            <wp:docPr id="52" name="Picture 4"/>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cstate="print"/>
                    <a:stretch>
                      <a:fillRect/>
                    </a:stretch>
                  </pic:blipFill>
                  <pic:spPr>
                    <a:xfrm>
                      <a:off x="0" y="0"/>
                      <a:ext cx="2905125" cy="2266950"/>
                    </a:xfrm>
                    <a:prstGeom prst="rect">
                      <a:avLst/>
                    </a:prstGeom>
                  </pic:spPr>
                </pic:pic>
              </a:graphicData>
            </a:graphic>
          </wp:inline>
        </w:drawing>
      </w:r>
    </w:p>
    <w:p w:rsidR="00926DDF" w:rsidRDefault="005C7E02" w:rsidP="001C2FD6">
      <w:pPr>
        <w:autoSpaceDE w:val="0"/>
        <w:autoSpaceDN w:val="0"/>
        <w:adjustRightInd w:val="0"/>
        <w:jc w:val="both"/>
        <w:rPr>
          <w:rFonts w:ascii="Arial" w:hAnsi="Arial" w:cs="Arial"/>
          <w:i/>
        </w:rPr>
      </w:pPr>
      <w:r>
        <w:rPr>
          <w:noProof/>
          <w:lang w:eastAsia="en-GB"/>
        </w:rPr>
        <w:drawing>
          <wp:inline distT="0" distB="0" distL="0" distR="0">
            <wp:extent cx="2698749" cy="2257425"/>
            <wp:effectExtent l="19050" t="0" r="6351" b="0"/>
            <wp:docPr id="86" name="Picture 66"/>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stretch>
                      <a:fillRect/>
                    </a:stretch>
                  </pic:blipFill>
                  <pic:spPr>
                    <a:xfrm>
                      <a:off x="0" y="0"/>
                      <a:ext cx="2698749" cy="2257425"/>
                    </a:xfrm>
                    <a:prstGeom prst="rect">
                      <a:avLst/>
                    </a:prstGeom>
                  </pic:spPr>
                </pic:pic>
              </a:graphicData>
            </a:graphic>
          </wp:inline>
        </w:drawing>
      </w:r>
      <w:r w:rsidR="00334915" w:rsidRPr="00334915">
        <w:rPr>
          <w:rFonts w:ascii="Arial" w:hAnsi="Arial" w:cs="Arial"/>
          <w:i/>
          <w:noProof/>
          <w:lang w:eastAsia="en-GB"/>
        </w:rPr>
        <w:drawing>
          <wp:inline distT="0" distB="0" distL="0" distR="0">
            <wp:extent cx="2886075" cy="2257425"/>
            <wp:effectExtent l="19050" t="0" r="9525" b="0"/>
            <wp:docPr id="53"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7" cstate="print"/>
                    <a:stretch>
                      <a:fillRect/>
                    </a:stretch>
                  </pic:blipFill>
                  <pic:spPr>
                    <a:xfrm>
                      <a:off x="0" y="0"/>
                      <a:ext cx="2886075" cy="2257425"/>
                    </a:xfrm>
                    <a:prstGeom prst="rect">
                      <a:avLst/>
                    </a:prstGeom>
                  </pic:spPr>
                </pic:pic>
              </a:graphicData>
            </a:graphic>
          </wp:inline>
        </w:drawing>
      </w:r>
    </w:p>
    <w:p w:rsidR="00846AAA" w:rsidRDefault="005C7E02" w:rsidP="001C2FD6">
      <w:pPr>
        <w:autoSpaceDE w:val="0"/>
        <w:autoSpaceDN w:val="0"/>
        <w:adjustRightInd w:val="0"/>
        <w:jc w:val="both"/>
        <w:rPr>
          <w:rFonts w:ascii="Arial" w:hAnsi="Arial" w:cs="Arial"/>
          <w:i/>
        </w:rPr>
      </w:pPr>
      <w:r>
        <w:rPr>
          <w:noProof/>
          <w:lang w:eastAsia="en-GB"/>
        </w:rPr>
        <w:lastRenderedPageBreak/>
        <w:drawing>
          <wp:inline distT="0" distB="0" distL="0" distR="0">
            <wp:extent cx="2838251" cy="2271704"/>
            <wp:effectExtent l="19050" t="0" r="199" b="0"/>
            <wp:docPr id="90" name="Picture 70"/>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cstate="print"/>
                    <a:stretch>
                      <a:fillRect/>
                    </a:stretch>
                  </pic:blipFill>
                  <pic:spPr>
                    <a:xfrm>
                      <a:off x="0" y="0"/>
                      <a:ext cx="2839060" cy="2272352"/>
                    </a:xfrm>
                    <a:prstGeom prst="rect">
                      <a:avLst/>
                    </a:prstGeom>
                  </pic:spPr>
                </pic:pic>
              </a:graphicData>
            </a:graphic>
          </wp:inline>
        </w:drawing>
      </w:r>
      <w:r w:rsidR="00334915" w:rsidRPr="00334915">
        <w:rPr>
          <w:rFonts w:ascii="Arial" w:hAnsi="Arial" w:cs="Arial"/>
          <w:i/>
          <w:noProof/>
          <w:lang w:eastAsia="en-GB"/>
        </w:rPr>
        <w:drawing>
          <wp:inline distT="0" distB="0" distL="0" distR="0">
            <wp:extent cx="2838450" cy="2266950"/>
            <wp:effectExtent l="19050" t="0" r="0" b="0"/>
            <wp:docPr id="54" name="Picture 6"/>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9" cstate="print"/>
                    <a:stretch>
                      <a:fillRect/>
                    </a:stretch>
                  </pic:blipFill>
                  <pic:spPr>
                    <a:xfrm>
                      <a:off x="0" y="0"/>
                      <a:ext cx="2838450" cy="2266950"/>
                    </a:xfrm>
                    <a:prstGeom prst="rect">
                      <a:avLst/>
                    </a:prstGeom>
                  </pic:spPr>
                </pic:pic>
              </a:graphicData>
            </a:graphic>
          </wp:inline>
        </w:drawing>
      </w:r>
    </w:p>
    <w:p w:rsidR="00D66E94" w:rsidRPr="00C715B4" w:rsidRDefault="00B12473" w:rsidP="001C2FD6">
      <w:pPr>
        <w:autoSpaceDE w:val="0"/>
        <w:autoSpaceDN w:val="0"/>
        <w:adjustRightInd w:val="0"/>
        <w:spacing w:after="0"/>
        <w:jc w:val="both"/>
        <w:rPr>
          <w:rFonts w:ascii="Arial" w:hAnsi="Arial" w:cs="Arial"/>
        </w:rPr>
      </w:pPr>
      <w:r w:rsidRPr="00B12473">
        <w:rPr>
          <w:rFonts w:ascii="Arial" w:hAnsi="Arial" w:cs="Arial"/>
          <w:i/>
          <w:noProof/>
          <w:lang w:eastAsia="en-GB"/>
        </w:rPr>
        <w:drawing>
          <wp:inline distT="0" distB="0" distL="0" distR="0">
            <wp:extent cx="2725947" cy="2380028"/>
            <wp:effectExtent l="19050" t="0" r="0" b="0"/>
            <wp:docPr id="139" name="Picture 75"/>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20" cstate="print"/>
                    <a:srcRect/>
                    <a:stretch>
                      <a:fillRect/>
                    </a:stretch>
                  </pic:blipFill>
                  <pic:spPr bwMode="auto">
                    <a:xfrm>
                      <a:off x="0" y="0"/>
                      <a:ext cx="2732256" cy="2385536"/>
                    </a:xfrm>
                    <a:prstGeom prst="rect">
                      <a:avLst/>
                    </a:prstGeom>
                    <a:noFill/>
                  </pic:spPr>
                </pic:pic>
              </a:graphicData>
            </a:graphic>
          </wp:inline>
        </w:drawing>
      </w:r>
      <w:r w:rsidR="00334915" w:rsidRPr="00334915">
        <w:rPr>
          <w:rFonts w:ascii="Arial" w:hAnsi="Arial" w:cs="Arial"/>
          <w:i/>
          <w:noProof/>
          <w:lang w:eastAsia="en-GB"/>
        </w:rPr>
        <w:drawing>
          <wp:inline distT="0" distB="0" distL="0" distR="0">
            <wp:extent cx="2834388" cy="2379389"/>
            <wp:effectExtent l="19050" t="0" r="4062" b="0"/>
            <wp:docPr id="55" name="Picture 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1" cstate="print"/>
                    <a:stretch>
                      <a:fillRect/>
                    </a:stretch>
                  </pic:blipFill>
                  <pic:spPr>
                    <a:xfrm>
                      <a:off x="0" y="0"/>
                      <a:ext cx="2838450" cy="2382799"/>
                    </a:xfrm>
                    <a:prstGeom prst="rect">
                      <a:avLst/>
                    </a:prstGeom>
                  </pic:spPr>
                </pic:pic>
              </a:graphicData>
            </a:graphic>
          </wp:inline>
        </w:drawing>
      </w:r>
      <w:proofErr w:type="gramStart"/>
      <w:r w:rsidR="00B57E4A">
        <w:rPr>
          <w:rFonts w:ascii="Arial" w:hAnsi="Arial" w:cs="Arial"/>
          <w:i/>
        </w:rPr>
        <w:t>Figure 1</w:t>
      </w:r>
      <w:r w:rsidR="00085390">
        <w:rPr>
          <w:rFonts w:ascii="Arial" w:hAnsi="Arial" w:cs="Arial"/>
          <w:i/>
        </w:rPr>
        <w:t>.</w:t>
      </w:r>
      <w:proofErr w:type="gramEnd"/>
      <w:r w:rsidR="00085390">
        <w:rPr>
          <w:rFonts w:ascii="Arial" w:hAnsi="Arial" w:cs="Arial"/>
          <w:i/>
        </w:rPr>
        <w:t xml:space="preserve"> Scatter plots of </w:t>
      </w:r>
      <w:r w:rsidR="00402310">
        <w:rPr>
          <w:rFonts w:ascii="Arial" w:hAnsi="Arial" w:cs="Arial"/>
          <w:i/>
        </w:rPr>
        <w:t>diagnostic groups’</w:t>
      </w:r>
      <w:r w:rsidR="00085390">
        <w:rPr>
          <w:rFonts w:ascii="Arial" w:hAnsi="Arial" w:cs="Arial"/>
          <w:i/>
        </w:rPr>
        <w:t xml:space="preserve"> cost r</w:t>
      </w:r>
      <w:r w:rsidR="008726EC">
        <w:rPr>
          <w:rFonts w:ascii="Arial" w:hAnsi="Arial" w:cs="Arial"/>
          <w:i/>
        </w:rPr>
        <w:t>atio</w:t>
      </w:r>
      <w:r w:rsidR="00402310">
        <w:rPr>
          <w:rFonts w:ascii="Arial" w:hAnsi="Arial" w:cs="Arial"/>
          <w:i/>
        </w:rPr>
        <w:t>s</w:t>
      </w:r>
      <w:r w:rsidR="00180CFC" w:rsidRPr="00180CFC">
        <w:rPr>
          <w:rFonts w:ascii="Arial" w:hAnsi="Arial" w:cs="Arial"/>
          <w:i/>
        </w:rPr>
        <w:t xml:space="preserve"> against SMR</w:t>
      </w:r>
      <w:r w:rsidR="006000AA">
        <w:rPr>
          <w:rFonts w:ascii="Arial" w:hAnsi="Arial" w:cs="Arial"/>
          <w:i/>
        </w:rPr>
        <w:t xml:space="preserve"> and against LLTI.</w:t>
      </w:r>
    </w:p>
    <w:p w:rsidR="001C6047" w:rsidRDefault="001C6047" w:rsidP="001C2FD6">
      <w:pPr>
        <w:autoSpaceDE w:val="0"/>
        <w:autoSpaceDN w:val="0"/>
        <w:adjustRightInd w:val="0"/>
        <w:spacing w:after="0"/>
        <w:jc w:val="both"/>
        <w:rPr>
          <w:rFonts w:ascii="Arial" w:hAnsi="Arial" w:cs="Arial"/>
        </w:rPr>
      </w:pPr>
    </w:p>
    <w:p w:rsidR="0031781D" w:rsidRDefault="0031781D" w:rsidP="001C2FD6">
      <w:pPr>
        <w:autoSpaceDE w:val="0"/>
        <w:autoSpaceDN w:val="0"/>
        <w:adjustRightInd w:val="0"/>
        <w:spacing w:after="0"/>
        <w:jc w:val="both"/>
        <w:rPr>
          <w:rFonts w:ascii="Arial" w:hAnsi="Arial" w:cs="Arial"/>
        </w:rPr>
      </w:pPr>
      <w:r>
        <w:rPr>
          <w:rFonts w:ascii="Arial" w:hAnsi="Arial" w:cs="Arial"/>
        </w:rPr>
        <w:t xml:space="preserve">The cost ratios </w:t>
      </w:r>
      <w:r w:rsidR="00E50826">
        <w:rPr>
          <w:rFonts w:ascii="Arial" w:hAnsi="Arial" w:cs="Arial"/>
        </w:rPr>
        <w:t>are also</w:t>
      </w:r>
      <w:r>
        <w:rPr>
          <w:rFonts w:ascii="Arial" w:hAnsi="Arial" w:cs="Arial"/>
        </w:rPr>
        <w:t xml:space="preserve"> plotted against the </w:t>
      </w:r>
      <w:r w:rsidR="00F15CE2">
        <w:rPr>
          <w:rFonts w:ascii="Arial" w:hAnsi="Arial" w:cs="Arial"/>
        </w:rPr>
        <w:t xml:space="preserve">two variables combined in the form of the </w:t>
      </w:r>
      <w:r>
        <w:rPr>
          <w:rFonts w:ascii="Arial" w:hAnsi="Arial" w:cs="Arial"/>
        </w:rPr>
        <w:t xml:space="preserve">current </w:t>
      </w:r>
      <w:r w:rsidR="00E50826">
        <w:rPr>
          <w:rFonts w:ascii="Arial" w:hAnsi="Arial" w:cs="Arial"/>
        </w:rPr>
        <w:t>A</w:t>
      </w:r>
      <w:r>
        <w:rPr>
          <w:rFonts w:ascii="Arial" w:hAnsi="Arial" w:cs="Arial"/>
        </w:rPr>
        <w:t>cut</w:t>
      </w:r>
      <w:r w:rsidR="00BE0E7A">
        <w:rPr>
          <w:rFonts w:ascii="Arial" w:hAnsi="Arial" w:cs="Arial"/>
        </w:rPr>
        <w:t xml:space="preserve">e </w:t>
      </w:r>
      <w:r w:rsidR="00E50826">
        <w:rPr>
          <w:rFonts w:ascii="Arial" w:hAnsi="Arial" w:cs="Arial"/>
        </w:rPr>
        <w:t xml:space="preserve">needs index </w:t>
      </w:r>
      <w:r>
        <w:rPr>
          <w:rFonts w:ascii="Arial" w:hAnsi="Arial" w:cs="Arial"/>
        </w:rPr>
        <w:t>(Figure 2</w:t>
      </w:r>
      <w:r w:rsidRPr="00180CFC">
        <w:rPr>
          <w:rFonts w:ascii="Arial" w:hAnsi="Arial" w:cs="Arial"/>
        </w:rPr>
        <w:t xml:space="preserve">). </w:t>
      </w:r>
      <w:r w:rsidR="00455529">
        <w:rPr>
          <w:rFonts w:ascii="Arial" w:hAnsi="Arial" w:cs="Arial"/>
        </w:rPr>
        <w:t>As we would expect, a</w:t>
      </w:r>
      <w:r w:rsidR="00455529" w:rsidRPr="00180CFC">
        <w:rPr>
          <w:rFonts w:ascii="Arial" w:hAnsi="Arial" w:cs="Arial"/>
        </w:rPr>
        <w:t xml:space="preserve">ll scatter plots suggest the same overall impression that there is a positive relationship between </w:t>
      </w:r>
      <w:r w:rsidR="00455529">
        <w:rPr>
          <w:rFonts w:ascii="Arial" w:hAnsi="Arial" w:cs="Arial"/>
        </w:rPr>
        <w:t>the explanatory variables and the cost ratios</w:t>
      </w:r>
      <w:r w:rsidR="00455529" w:rsidRPr="00180CFC">
        <w:rPr>
          <w:rFonts w:ascii="Arial" w:hAnsi="Arial" w:cs="Arial"/>
        </w:rPr>
        <w:t>.</w:t>
      </w:r>
      <w:r w:rsidR="00BE0E7A" w:rsidRPr="00BE0E7A">
        <w:rPr>
          <w:rFonts w:ascii="Arial" w:hAnsi="Arial" w:cs="Arial"/>
        </w:rPr>
        <w:t xml:space="preserve"> </w:t>
      </w:r>
    </w:p>
    <w:p w:rsidR="001C6047" w:rsidRPr="00180CFC" w:rsidRDefault="001C6047" w:rsidP="001C2FD6">
      <w:pPr>
        <w:autoSpaceDE w:val="0"/>
        <w:autoSpaceDN w:val="0"/>
        <w:adjustRightInd w:val="0"/>
        <w:spacing w:after="0"/>
        <w:jc w:val="both"/>
        <w:rPr>
          <w:rFonts w:ascii="Arial" w:hAnsi="Arial" w:cs="Arial"/>
        </w:rPr>
      </w:pPr>
    </w:p>
    <w:p w:rsidR="0031781D" w:rsidRDefault="00D255AB" w:rsidP="001C2FD6">
      <w:pPr>
        <w:autoSpaceDE w:val="0"/>
        <w:autoSpaceDN w:val="0"/>
        <w:adjustRightInd w:val="0"/>
        <w:spacing w:after="0"/>
        <w:jc w:val="center"/>
        <w:rPr>
          <w:rFonts w:ascii="Times New Roman" w:hAnsi="Times New Roman" w:cs="Times New Roman"/>
          <w:sz w:val="24"/>
          <w:szCs w:val="24"/>
        </w:rPr>
      </w:pPr>
      <w:r w:rsidRPr="00D255AB">
        <w:rPr>
          <w:rFonts w:ascii="Times New Roman" w:hAnsi="Times New Roman" w:cs="Times New Roman"/>
          <w:noProof/>
          <w:sz w:val="24"/>
          <w:szCs w:val="24"/>
          <w:lang w:eastAsia="en-GB"/>
        </w:rPr>
        <w:drawing>
          <wp:inline distT="0" distB="0" distL="0" distR="0">
            <wp:extent cx="2734574" cy="2068653"/>
            <wp:effectExtent l="19050" t="0" r="8626" b="0"/>
            <wp:docPr id="132" name="Picture 68"/>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22" cstate="print"/>
                    <a:stretch>
                      <a:fillRect/>
                    </a:stretch>
                  </pic:blipFill>
                  <pic:spPr>
                    <a:xfrm>
                      <a:off x="0" y="0"/>
                      <a:ext cx="2737835" cy="2071120"/>
                    </a:xfrm>
                    <a:prstGeom prst="rect">
                      <a:avLst/>
                    </a:prstGeom>
                  </pic:spPr>
                </pic:pic>
              </a:graphicData>
            </a:graphic>
          </wp:inline>
        </w:drawing>
      </w:r>
      <w:r w:rsidRPr="00D255AB">
        <w:rPr>
          <w:rFonts w:ascii="Times New Roman" w:hAnsi="Times New Roman" w:cs="Times New Roman"/>
          <w:noProof/>
          <w:sz w:val="24"/>
          <w:szCs w:val="24"/>
          <w:lang w:eastAsia="en-GB"/>
        </w:rPr>
        <w:drawing>
          <wp:inline distT="0" distB="0" distL="0" distR="0">
            <wp:extent cx="2836294" cy="2068654"/>
            <wp:effectExtent l="19050" t="0" r="2156" b="0"/>
            <wp:docPr id="133" name="Picture 69"/>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23" cstate="print"/>
                    <a:stretch>
                      <a:fillRect/>
                    </a:stretch>
                  </pic:blipFill>
                  <pic:spPr>
                    <a:xfrm>
                      <a:off x="0" y="0"/>
                      <a:ext cx="2839677" cy="2071121"/>
                    </a:xfrm>
                    <a:prstGeom prst="rect">
                      <a:avLst/>
                    </a:prstGeom>
                  </pic:spPr>
                </pic:pic>
              </a:graphicData>
            </a:graphic>
          </wp:inline>
        </w:drawing>
      </w:r>
    </w:p>
    <w:p w:rsidR="00D255AB" w:rsidRDefault="00D255AB" w:rsidP="001C2FD6">
      <w:pPr>
        <w:autoSpaceDE w:val="0"/>
        <w:autoSpaceDN w:val="0"/>
        <w:adjustRightInd w:val="0"/>
        <w:spacing w:after="0"/>
        <w:jc w:val="center"/>
        <w:rPr>
          <w:rFonts w:ascii="Times New Roman" w:hAnsi="Times New Roman" w:cs="Times New Roman"/>
          <w:sz w:val="24"/>
          <w:szCs w:val="24"/>
        </w:rPr>
      </w:pPr>
      <w:r w:rsidRPr="00D255AB">
        <w:rPr>
          <w:rFonts w:ascii="Times New Roman" w:hAnsi="Times New Roman" w:cs="Times New Roman"/>
          <w:noProof/>
          <w:sz w:val="24"/>
          <w:szCs w:val="24"/>
          <w:lang w:eastAsia="en-GB"/>
        </w:rPr>
        <w:lastRenderedPageBreak/>
        <w:drawing>
          <wp:inline distT="0" distB="0" distL="0" distR="0">
            <wp:extent cx="2790990" cy="1949570"/>
            <wp:effectExtent l="19050" t="0" r="9360" b="0"/>
            <wp:docPr id="134" name="Picture 70"/>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pic:cNvPicPr>
                  </pic:nvPicPr>
                  <pic:blipFill>
                    <a:blip r:embed="rId24" cstate="print"/>
                    <a:stretch>
                      <a:fillRect/>
                    </a:stretch>
                  </pic:blipFill>
                  <pic:spPr>
                    <a:xfrm>
                      <a:off x="0" y="0"/>
                      <a:ext cx="2789485" cy="1948518"/>
                    </a:xfrm>
                    <a:prstGeom prst="rect">
                      <a:avLst/>
                    </a:prstGeom>
                  </pic:spPr>
                </pic:pic>
              </a:graphicData>
            </a:graphic>
          </wp:inline>
        </w:drawing>
      </w:r>
      <w:r w:rsidRPr="00D255AB">
        <w:rPr>
          <w:rFonts w:ascii="Times New Roman" w:hAnsi="Times New Roman" w:cs="Times New Roman"/>
          <w:noProof/>
          <w:sz w:val="24"/>
          <w:szCs w:val="24"/>
          <w:lang w:eastAsia="en-GB"/>
        </w:rPr>
        <w:drawing>
          <wp:inline distT="0" distB="0" distL="0" distR="0">
            <wp:extent cx="2767282" cy="1915064"/>
            <wp:effectExtent l="19050" t="0" r="0" b="0"/>
            <wp:docPr id="135" name="Picture 7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5" cstate="print"/>
                    <a:stretch>
                      <a:fillRect/>
                    </a:stretch>
                  </pic:blipFill>
                  <pic:spPr>
                    <a:xfrm>
                      <a:off x="0" y="0"/>
                      <a:ext cx="2767034" cy="1914892"/>
                    </a:xfrm>
                    <a:prstGeom prst="rect">
                      <a:avLst/>
                    </a:prstGeom>
                  </pic:spPr>
                </pic:pic>
              </a:graphicData>
            </a:graphic>
          </wp:inline>
        </w:drawing>
      </w:r>
    </w:p>
    <w:p w:rsidR="00D255AB" w:rsidRDefault="00D255AB" w:rsidP="001C2FD6">
      <w:pPr>
        <w:autoSpaceDE w:val="0"/>
        <w:autoSpaceDN w:val="0"/>
        <w:adjustRightInd w:val="0"/>
        <w:spacing w:after="0"/>
        <w:jc w:val="center"/>
        <w:rPr>
          <w:rFonts w:ascii="Times New Roman" w:hAnsi="Times New Roman" w:cs="Times New Roman"/>
          <w:sz w:val="24"/>
          <w:szCs w:val="24"/>
        </w:rPr>
      </w:pPr>
      <w:r w:rsidRPr="00D255AB">
        <w:rPr>
          <w:rFonts w:ascii="Times New Roman" w:hAnsi="Times New Roman" w:cs="Times New Roman"/>
          <w:noProof/>
          <w:sz w:val="24"/>
          <w:szCs w:val="24"/>
          <w:lang w:eastAsia="en-GB"/>
        </w:rPr>
        <w:drawing>
          <wp:inline distT="0" distB="0" distL="0" distR="0">
            <wp:extent cx="2767282" cy="2034148"/>
            <wp:effectExtent l="19050" t="0" r="0" b="0"/>
            <wp:docPr id="136" name="Picture 72"/>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6" cstate="print"/>
                    <a:stretch>
                      <a:fillRect/>
                    </a:stretch>
                  </pic:blipFill>
                  <pic:spPr>
                    <a:xfrm>
                      <a:off x="0" y="0"/>
                      <a:ext cx="2770582" cy="2036574"/>
                    </a:xfrm>
                    <a:prstGeom prst="rect">
                      <a:avLst/>
                    </a:prstGeom>
                  </pic:spPr>
                </pic:pic>
              </a:graphicData>
            </a:graphic>
          </wp:inline>
        </w:drawing>
      </w:r>
      <w:r w:rsidRPr="00D255AB">
        <w:rPr>
          <w:rFonts w:ascii="Times New Roman" w:hAnsi="Times New Roman" w:cs="Times New Roman"/>
          <w:noProof/>
          <w:sz w:val="24"/>
          <w:szCs w:val="24"/>
          <w:lang w:eastAsia="en-GB"/>
        </w:rPr>
        <w:drawing>
          <wp:inline distT="0" distB="0" distL="0" distR="0">
            <wp:extent cx="2715524" cy="2035834"/>
            <wp:effectExtent l="19050" t="0" r="8626" b="0"/>
            <wp:docPr id="137" name="Picture 73"/>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27" cstate="print"/>
                    <a:stretch>
                      <a:fillRect/>
                    </a:stretch>
                  </pic:blipFill>
                  <pic:spPr>
                    <a:xfrm>
                      <a:off x="0" y="0"/>
                      <a:ext cx="2718880" cy="2038350"/>
                    </a:xfrm>
                    <a:prstGeom prst="rect">
                      <a:avLst/>
                    </a:prstGeom>
                  </pic:spPr>
                </pic:pic>
              </a:graphicData>
            </a:graphic>
          </wp:inline>
        </w:drawing>
      </w:r>
    </w:p>
    <w:p w:rsidR="00D66E94" w:rsidRDefault="00D255AB" w:rsidP="001C2FD6">
      <w:pPr>
        <w:autoSpaceDE w:val="0"/>
        <w:autoSpaceDN w:val="0"/>
        <w:adjustRightInd w:val="0"/>
        <w:spacing w:after="0"/>
        <w:jc w:val="center"/>
        <w:rPr>
          <w:rFonts w:ascii="Times New Roman" w:hAnsi="Times New Roman" w:cs="Times New Roman"/>
          <w:sz w:val="24"/>
          <w:szCs w:val="24"/>
        </w:rPr>
      </w:pPr>
      <w:r w:rsidRPr="00D255AB">
        <w:rPr>
          <w:rFonts w:ascii="Times New Roman" w:hAnsi="Times New Roman" w:cs="Times New Roman"/>
          <w:noProof/>
          <w:sz w:val="24"/>
          <w:szCs w:val="24"/>
          <w:lang w:eastAsia="en-GB"/>
        </w:rPr>
        <w:drawing>
          <wp:inline distT="0" distB="0" distL="0" distR="0">
            <wp:extent cx="2727806" cy="1966822"/>
            <wp:effectExtent l="19050" t="0" r="0" b="0"/>
            <wp:docPr id="138" name="Picture 74"/>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28" cstate="print"/>
                    <a:stretch>
                      <a:fillRect/>
                    </a:stretch>
                  </pic:blipFill>
                  <pic:spPr>
                    <a:xfrm>
                      <a:off x="0" y="0"/>
                      <a:ext cx="2733536" cy="1970954"/>
                    </a:xfrm>
                    <a:prstGeom prst="rect">
                      <a:avLst/>
                    </a:prstGeom>
                  </pic:spPr>
                </pic:pic>
              </a:graphicData>
            </a:graphic>
          </wp:inline>
        </w:drawing>
      </w:r>
    </w:p>
    <w:p w:rsidR="00455529" w:rsidRDefault="00455529" w:rsidP="001C2FD6">
      <w:pPr>
        <w:autoSpaceDE w:val="0"/>
        <w:autoSpaceDN w:val="0"/>
        <w:adjustRightInd w:val="0"/>
        <w:spacing w:after="0"/>
        <w:rPr>
          <w:rFonts w:ascii="Arial" w:hAnsi="Arial" w:cs="Arial"/>
          <w:i/>
        </w:rPr>
      </w:pPr>
      <w:proofErr w:type="gramStart"/>
      <w:r>
        <w:rPr>
          <w:rFonts w:ascii="Arial" w:hAnsi="Arial" w:cs="Arial"/>
          <w:i/>
        </w:rPr>
        <w:t>Figure 2.</w:t>
      </w:r>
      <w:proofErr w:type="gramEnd"/>
      <w:r>
        <w:rPr>
          <w:rFonts w:ascii="Arial" w:hAnsi="Arial" w:cs="Arial"/>
          <w:i/>
        </w:rPr>
        <w:t xml:space="preserve"> Scatter plots of </w:t>
      </w:r>
      <w:r w:rsidR="00402310">
        <w:rPr>
          <w:rFonts w:ascii="Arial" w:hAnsi="Arial" w:cs="Arial"/>
          <w:i/>
        </w:rPr>
        <w:t>diagnostic groups’ cost ratios</w:t>
      </w:r>
      <w:r w:rsidR="00402310" w:rsidRPr="00180CFC">
        <w:rPr>
          <w:rFonts w:ascii="Arial" w:hAnsi="Arial" w:cs="Arial"/>
          <w:i/>
        </w:rPr>
        <w:t xml:space="preserve"> </w:t>
      </w:r>
      <w:r w:rsidRPr="00180CFC">
        <w:rPr>
          <w:rFonts w:ascii="Arial" w:hAnsi="Arial" w:cs="Arial"/>
          <w:i/>
        </w:rPr>
        <w:t xml:space="preserve">against </w:t>
      </w:r>
      <w:r w:rsidR="005B6A94">
        <w:rPr>
          <w:rFonts w:ascii="Arial" w:hAnsi="Arial" w:cs="Arial"/>
          <w:i/>
        </w:rPr>
        <w:t>current A</w:t>
      </w:r>
      <w:r>
        <w:rPr>
          <w:rFonts w:ascii="Arial" w:hAnsi="Arial" w:cs="Arial"/>
          <w:i/>
        </w:rPr>
        <w:t xml:space="preserve">cute </w:t>
      </w:r>
      <w:r w:rsidR="005B6A94">
        <w:rPr>
          <w:rFonts w:ascii="Arial" w:hAnsi="Arial" w:cs="Arial"/>
          <w:i/>
        </w:rPr>
        <w:t xml:space="preserve">needs </w:t>
      </w:r>
      <w:r>
        <w:rPr>
          <w:rFonts w:ascii="Arial" w:hAnsi="Arial" w:cs="Arial"/>
          <w:i/>
        </w:rPr>
        <w:t>index.</w:t>
      </w:r>
    </w:p>
    <w:p w:rsidR="001C6047" w:rsidRDefault="001C6047" w:rsidP="001C2FD6">
      <w:pPr>
        <w:autoSpaceDE w:val="0"/>
        <w:autoSpaceDN w:val="0"/>
        <w:adjustRightInd w:val="0"/>
        <w:spacing w:after="0"/>
        <w:rPr>
          <w:rFonts w:ascii="Arial" w:hAnsi="Arial" w:cs="Arial"/>
        </w:rPr>
      </w:pPr>
    </w:p>
    <w:p w:rsidR="001C6047" w:rsidRDefault="00455529" w:rsidP="001C2FD6">
      <w:pPr>
        <w:autoSpaceDE w:val="0"/>
        <w:autoSpaceDN w:val="0"/>
        <w:adjustRightInd w:val="0"/>
        <w:spacing w:after="0"/>
        <w:rPr>
          <w:rFonts w:ascii="Arial" w:hAnsi="Arial" w:cs="Arial"/>
        </w:rPr>
      </w:pPr>
      <w:r w:rsidRPr="00191A3D">
        <w:rPr>
          <w:rFonts w:ascii="Arial" w:hAnsi="Arial" w:cs="Arial"/>
        </w:rPr>
        <w:t xml:space="preserve">From both </w:t>
      </w:r>
      <w:r w:rsidR="00E50826">
        <w:rPr>
          <w:rFonts w:ascii="Arial" w:hAnsi="Arial" w:cs="Arial"/>
        </w:rPr>
        <w:t>F</w:t>
      </w:r>
      <w:r w:rsidRPr="00191A3D">
        <w:rPr>
          <w:rFonts w:ascii="Arial" w:hAnsi="Arial" w:cs="Arial"/>
        </w:rPr>
        <w:t xml:space="preserve">igure 1 and </w:t>
      </w:r>
      <w:r w:rsidR="00E50826">
        <w:rPr>
          <w:rFonts w:ascii="Arial" w:hAnsi="Arial" w:cs="Arial"/>
        </w:rPr>
        <w:t>F</w:t>
      </w:r>
      <w:r w:rsidRPr="00191A3D">
        <w:rPr>
          <w:rFonts w:ascii="Arial" w:hAnsi="Arial" w:cs="Arial"/>
        </w:rPr>
        <w:t xml:space="preserve">igure 2, we notice several outliers for the cost ratios which deviate </w:t>
      </w:r>
      <w:r w:rsidR="00E50826">
        <w:rPr>
          <w:rFonts w:ascii="Arial" w:hAnsi="Arial" w:cs="Arial"/>
        </w:rPr>
        <w:t xml:space="preserve">substantially </w:t>
      </w:r>
      <w:r w:rsidR="005E731D">
        <w:rPr>
          <w:rFonts w:ascii="Arial" w:hAnsi="Arial" w:cs="Arial"/>
        </w:rPr>
        <w:t>from the linear trend: t</w:t>
      </w:r>
      <w:r w:rsidR="002F19FA">
        <w:rPr>
          <w:rFonts w:ascii="Arial" w:hAnsi="Arial" w:cs="Arial"/>
        </w:rPr>
        <w:t xml:space="preserve">hese are discussed in section </w:t>
      </w:r>
      <w:r w:rsidR="005E731D">
        <w:rPr>
          <w:rFonts w:ascii="Arial" w:hAnsi="Arial" w:cs="Arial"/>
        </w:rPr>
        <w:t>3.3</w:t>
      </w:r>
      <w:r w:rsidR="002F19FA">
        <w:rPr>
          <w:rFonts w:ascii="Arial" w:hAnsi="Arial" w:cs="Arial"/>
        </w:rPr>
        <w:t xml:space="preserve">. </w:t>
      </w:r>
    </w:p>
    <w:p w:rsidR="00D255AB" w:rsidRDefault="00D255AB" w:rsidP="001C2FD6">
      <w:pPr>
        <w:autoSpaceDE w:val="0"/>
        <w:autoSpaceDN w:val="0"/>
        <w:adjustRightInd w:val="0"/>
        <w:spacing w:after="0"/>
        <w:rPr>
          <w:rFonts w:ascii="Arial" w:hAnsi="Arial" w:cs="Arial"/>
        </w:rPr>
      </w:pPr>
    </w:p>
    <w:p w:rsidR="00696EE8" w:rsidRPr="00191A3D" w:rsidRDefault="00696EE8" w:rsidP="001C2FD6">
      <w:pPr>
        <w:autoSpaceDE w:val="0"/>
        <w:autoSpaceDN w:val="0"/>
        <w:adjustRightInd w:val="0"/>
        <w:spacing w:after="0"/>
        <w:rPr>
          <w:rFonts w:ascii="Arial" w:hAnsi="Arial" w:cs="Arial"/>
        </w:rPr>
      </w:pPr>
    </w:p>
    <w:p w:rsidR="00E50826" w:rsidRPr="00180CFC" w:rsidRDefault="006F6417" w:rsidP="001C2FD6">
      <w:pPr>
        <w:autoSpaceDE w:val="0"/>
        <w:autoSpaceDN w:val="0"/>
        <w:adjustRightInd w:val="0"/>
        <w:spacing w:after="0"/>
        <w:rPr>
          <w:rFonts w:ascii="Arial" w:hAnsi="Arial" w:cs="Arial"/>
        </w:rPr>
      </w:pPr>
      <w:r>
        <w:rPr>
          <w:rFonts w:ascii="Arial" w:hAnsi="Arial" w:cs="Arial"/>
          <w:b/>
        </w:rPr>
        <w:t>3</w:t>
      </w:r>
      <w:r w:rsidR="00E50826">
        <w:rPr>
          <w:rFonts w:ascii="Arial" w:hAnsi="Arial" w:cs="Arial"/>
          <w:b/>
        </w:rPr>
        <w:t>.</w:t>
      </w:r>
      <w:r w:rsidR="00E50826" w:rsidRPr="00180CFC">
        <w:rPr>
          <w:rFonts w:ascii="Arial" w:hAnsi="Arial" w:cs="Arial"/>
          <w:b/>
        </w:rPr>
        <w:t xml:space="preserve"> </w:t>
      </w:r>
      <w:r w:rsidR="00E50826">
        <w:rPr>
          <w:rFonts w:ascii="Arial" w:hAnsi="Arial" w:cs="Arial"/>
          <w:b/>
        </w:rPr>
        <w:t xml:space="preserve">Performance of reference model (adjusted </w:t>
      </w:r>
      <w:r w:rsidR="00E50826" w:rsidRPr="00180CFC">
        <w:rPr>
          <w:rFonts w:ascii="Arial" w:hAnsi="Arial" w:cs="Arial"/>
          <w:b/>
        </w:rPr>
        <w:t>R-squared values</w:t>
      </w:r>
      <w:r w:rsidR="00E50826">
        <w:rPr>
          <w:rFonts w:ascii="Arial" w:hAnsi="Arial" w:cs="Arial"/>
          <w:b/>
        </w:rPr>
        <w:t>)</w:t>
      </w:r>
    </w:p>
    <w:p w:rsidR="00696EE8" w:rsidRDefault="00696EE8" w:rsidP="001C2FD6">
      <w:pPr>
        <w:spacing w:after="0"/>
        <w:jc w:val="both"/>
        <w:rPr>
          <w:rFonts w:ascii="Arial" w:hAnsi="Arial" w:cs="Arial"/>
        </w:rPr>
      </w:pPr>
    </w:p>
    <w:p w:rsidR="006F6417" w:rsidRDefault="006F6417" w:rsidP="001C2FD6">
      <w:pPr>
        <w:spacing w:after="0"/>
        <w:jc w:val="both"/>
        <w:rPr>
          <w:rFonts w:ascii="Arial" w:hAnsi="Arial" w:cs="Arial"/>
        </w:rPr>
      </w:pPr>
      <w:r w:rsidRPr="001C6047">
        <w:rPr>
          <w:rFonts w:ascii="Arial" w:hAnsi="Arial" w:cs="Arial"/>
        </w:rPr>
        <w:t xml:space="preserve">The </w:t>
      </w:r>
      <w:r w:rsidR="00DF215B">
        <w:rPr>
          <w:rFonts w:ascii="Arial" w:hAnsi="Arial" w:cs="Arial"/>
        </w:rPr>
        <w:t xml:space="preserve">current </w:t>
      </w:r>
      <w:r w:rsidRPr="001C6047">
        <w:rPr>
          <w:rFonts w:ascii="Arial" w:hAnsi="Arial" w:cs="Arial"/>
        </w:rPr>
        <w:t xml:space="preserve">Acute MLC adjustment is </w:t>
      </w:r>
      <w:r w:rsidR="005E731D">
        <w:rPr>
          <w:rFonts w:ascii="Arial" w:hAnsi="Arial" w:cs="Arial"/>
        </w:rPr>
        <w:t>derived from</w:t>
      </w:r>
      <w:r w:rsidRPr="001C6047">
        <w:rPr>
          <w:rFonts w:ascii="Arial" w:hAnsi="Arial" w:cs="Arial"/>
        </w:rPr>
        <w:t xml:space="preserve"> regression of the cos</w:t>
      </w:r>
      <w:r w:rsidR="005B1577">
        <w:rPr>
          <w:rFonts w:ascii="Arial" w:hAnsi="Arial" w:cs="Arial"/>
        </w:rPr>
        <w:t xml:space="preserve">t ratios </w:t>
      </w:r>
      <w:r w:rsidR="005E731D">
        <w:rPr>
          <w:rFonts w:ascii="Arial" w:hAnsi="Arial" w:cs="Arial"/>
        </w:rPr>
        <w:t>on</w:t>
      </w:r>
      <w:r w:rsidR="005B1577">
        <w:rPr>
          <w:rFonts w:ascii="Arial" w:hAnsi="Arial" w:cs="Arial"/>
        </w:rPr>
        <w:t xml:space="preserve"> the needs </w:t>
      </w:r>
      <w:r w:rsidR="005B6A94">
        <w:rPr>
          <w:rFonts w:ascii="Arial" w:hAnsi="Arial" w:cs="Arial"/>
        </w:rPr>
        <w:t xml:space="preserve">index. </w:t>
      </w:r>
      <w:r w:rsidRPr="001C6047">
        <w:rPr>
          <w:rFonts w:ascii="Arial" w:hAnsi="Arial" w:cs="Arial"/>
        </w:rPr>
        <w:t xml:space="preserve">Health board ‘dummy’ variables and supply variables are </w:t>
      </w:r>
      <w:r w:rsidR="005E731D">
        <w:rPr>
          <w:rFonts w:ascii="Arial" w:hAnsi="Arial" w:cs="Arial"/>
        </w:rPr>
        <w:t xml:space="preserve">also </w:t>
      </w:r>
      <w:r w:rsidRPr="001C6047">
        <w:rPr>
          <w:rFonts w:ascii="Arial" w:hAnsi="Arial" w:cs="Arial"/>
        </w:rPr>
        <w:t xml:space="preserve">included in the regressions, to </w:t>
      </w:r>
      <w:r w:rsidR="005B6A94">
        <w:rPr>
          <w:rFonts w:ascii="Arial" w:hAnsi="Arial" w:cs="Arial"/>
        </w:rPr>
        <w:t xml:space="preserve">account for </w:t>
      </w:r>
      <w:r w:rsidRPr="001C6047">
        <w:rPr>
          <w:rFonts w:ascii="Arial" w:hAnsi="Arial" w:cs="Arial"/>
        </w:rPr>
        <w:t>variations in supply</w:t>
      </w:r>
      <w:r w:rsidR="005E731D">
        <w:rPr>
          <w:rFonts w:ascii="Arial" w:hAnsi="Arial" w:cs="Arial"/>
        </w:rPr>
        <w:t xml:space="preserve"> influencing the estimate of the MLC adjustment</w:t>
      </w:r>
      <w:r w:rsidRPr="001C6047">
        <w:rPr>
          <w:rFonts w:ascii="Arial" w:hAnsi="Arial" w:cs="Arial"/>
        </w:rPr>
        <w:t xml:space="preserve">; the supply variables (IPACX &amp; OPACX) are statistical measures representing the </w:t>
      </w:r>
      <w:r w:rsidR="001A6B43">
        <w:rPr>
          <w:rFonts w:ascii="Arial" w:hAnsi="Arial" w:cs="Arial"/>
        </w:rPr>
        <w:t xml:space="preserve">size of health care facilities serving the data zone weighted by the (inverse of the) </w:t>
      </w:r>
      <w:r w:rsidRPr="001C6047">
        <w:rPr>
          <w:rFonts w:ascii="Arial" w:hAnsi="Arial" w:cs="Arial"/>
        </w:rPr>
        <w:t>distance between the population grid centroid and the facilit</w:t>
      </w:r>
      <w:r w:rsidR="001A6B43">
        <w:rPr>
          <w:rFonts w:ascii="Arial" w:hAnsi="Arial" w:cs="Arial"/>
        </w:rPr>
        <w:t>ies</w:t>
      </w:r>
      <w:r w:rsidRPr="001C6047">
        <w:rPr>
          <w:rFonts w:ascii="Arial" w:hAnsi="Arial" w:cs="Arial"/>
        </w:rPr>
        <w:t xml:space="preserve">. </w:t>
      </w:r>
      <w:r w:rsidRPr="005E731D">
        <w:rPr>
          <w:rFonts w:ascii="Arial" w:hAnsi="Arial" w:cs="Arial"/>
        </w:rPr>
        <w:t>The health board dummies, supply variables and the needs index are together known as the ‘reference model’.</w:t>
      </w:r>
    </w:p>
    <w:p w:rsidR="005E731D" w:rsidRDefault="005E731D" w:rsidP="001C2FD6">
      <w:pPr>
        <w:spacing w:after="0"/>
        <w:jc w:val="both"/>
        <w:rPr>
          <w:rFonts w:ascii="Arial" w:hAnsi="Arial" w:cs="Arial"/>
        </w:rPr>
      </w:pPr>
    </w:p>
    <w:p w:rsidR="005E731D" w:rsidRPr="001C6047" w:rsidRDefault="005E731D" w:rsidP="001C2FD6">
      <w:pPr>
        <w:spacing w:after="0"/>
        <w:jc w:val="both"/>
        <w:rPr>
          <w:rFonts w:ascii="Arial" w:hAnsi="Arial" w:cs="Arial"/>
        </w:rPr>
      </w:pPr>
      <w:r>
        <w:rPr>
          <w:rFonts w:ascii="Arial" w:hAnsi="Arial" w:cs="Arial"/>
        </w:rPr>
        <w:t xml:space="preserve">The following sections consider in turn: model fit; the size of the estimated relationship; and, outliers. </w:t>
      </w:r>
      <w:r w:rsidR="00DF323F">
        <w:rPr>
          <w:rFonts w:ascii="Arial" w:hAnsi="Arial" w:cs="Arial"/>
        </w:rPr>
        <w:t>In each of these, the reference model results at DZ2011 are compared with those previously obtained at DZ2001.</w:t>
      </w:r>
    </w:p>
    <w:p w:rsidR="006F6417" w:rsidRDefault="006F6417" w:rsidP="001C2FD6">
      <w:pPr>
        <w:spacing w:after="0"/>
        <w:jc w:val="both"/>
        <w:rPr>
          <w:rFonts w:ascii="Arial" w:hAnsi="Arial" w:cs="Arial"/>
        </w:rPr>
      </w:pPr>
    </w:p>
    <w:p w:rsidR="005E731D" w:rsidRPr="005B1577" w:rsidRDefault="005E731D" w:rsidP="005E731D">
      <w:pPr>
        <w:spacing w:after="0"/>
        <w:jc w:val="both"/>
        <w:rPr>
          <w:rFonts w:ascii="Arial" w:hAnsi="Arial" w:cs="Arial"/>
          <w:b/>
          <w:i/>
        </w:rPr>
      </w:pPr>
      <w:r w:rsidRPr="005B1577">
        <w:rPr>
          <w:rFonts w:ascii="Arial" w:hAnsi="Arial" w:cs="Arial"/>
          <w:b/>
          <w:i/>
        </w:rPr>
        <w:t>3.1 Model Fit:</w:t>
      </w:r>
    </w:p>
    <w:p w:rsidR="00180CFC" w:rsidRPr="00180CFC" w:rsidRDefault="005B6A94" w:rsidP="005E731D">
      <w:pPr>
        <w:autoSpaceDE w:val="0"/>
        <w:autoSpaceDN w:val="0"/>
        <w:adjustRightInd w:val="0"/>
        <w:spacing w:after="0"/>
        <w:jc w:val="both"/>
        <w:rPr>
          <w:rFonts w:ascii="Arial" w:hAnsi="Arial" w:cs="Arial"/>
        </w:rPr>
      </w:pPr>
      <w:r>
        <w:rPr>
          <w:rFonts w:ascii="Arial" w:hAnsi="Arial" w:cs="Arial"/>
        </w:rPr>
        <w:t>Linear models have been fitted</w:t>
      </w:r>
      <w:r w:rsidR="00E50826" w:rsidRPr="00180CFC">
        <w:rPr>
          <w:rFonts w:ascii="Arial" w:hAnsi="Arial" w:cs="Arial"/>
        </w:rPr>
        <w:t xml:space="preserve"> </w:t>
      </w:r>
      <w:r w:rsidR="002F19FA">
        <w:rPr>
          <w:rFonts w:ascii="Arial" w:hAnsi="Arial" w:cs="Arial"/>
        </w:rPr>
        <w:t>to the data</w:t>
      </w:r>
      <w:r w:rsidR="00E50826">
        <w:rPr>
          <w:rFonts w:ascii="Arial" w:hAnsi="Arial" w:cs="Arial"/>
        </w:rPr>
        <w:t>,</w:t>
      </w:r>
      <w:r w:rsidR="00E50826" w:rsidRPr="00180CFC">
        <w:rPr>
          <w:rFonts w:ascii="Arial" w:hAnsi="Arial" w:cs="Arial"/>
        </w:rPr>
        <w:t xml:space="preserve"> </w:t>
      </w:r>
      <w:r w:rsidR="00E50826">
        <w:rPr>
          <w:rFonts w:ascii="Arial" w:hAnsi="Arial" w:cs="Arial"/>
        </w:rPr>
        <w:t>testing SMR and the LLTI r</w:t>
      </w:r>
      <w:r w:rsidR="00E50826" w:rsidRPr="00180CFC">
        <w:rPr>
          <w:rFonts w:ascii="Arial" w:hAnsi="Arial" w:cs="Arial"/>
        </w:rPr>
        <w:t xml:space="preserve">atio </w:t>
      </w:r>
      <w:r w:rsidR="00E50826">
        <w:rPr>
          <w:rFonts w:ascii="Arial" w:hAnsi="Arial" w:cs="Arial"/>
        </w:rPr>
        <w:t>– separately, as well as combined in the current needs index (sum of the z-scores of SMR and LLTI) – as explanatory variables for the cost ratios</w:t>
      </w:r>
      <w:r w:rsidR="00E50826" w:rsidRPr="00180CFC">
        <w:rPr>
          <w:rFonts w:ascii="Arial" w:hAnsi="Arial" w:cs="Arial"/>
        </w:rPr>
        <w:t>.</w:t>
      </w:r>
      <w:r w:rsidR="000C2D64">
        <w:rPr>
          <w:rFonts w:ascii="Arial" w:hAnsi="Arial" w:cs="Arial"/>
        </w:rPr>
        <w:t xml:space="preserve"> In addition, a multivariate model </w:t>
      </w:r>
      <w:r>
        <w:rPr>
          <w:rFonts w:ascii="Arial" w:hAnsi="Arial" w:cs="Arial"/>
        </w:rPr>
        <w:t>including</w:t>
      </w:r>
      <w:r w:rsidR="000C2D64">
        <w:rPr>
          <w:rFonts w:ascii="Arial" w:hAnsi="Arial" w:cs="Arial"/>
        </w:rPr>
        <w:t xml:space="preserve"> SMR and the LLTI ratio </w:t>
      </w:r>
      <w:r>
        <w:rPr>
          <w:rFonts w:ascii="Arial" w:hAnsi="Arial" w:cs="Arial"/>
        </w:rPr>
        <w:t xml:space="preserve">as separate variables </w:t>
      </w:r>
      <w:r w:rsidR="000C2D64">
        <w:rPr>
          <w:rFonts w:ascii="Arial" w:hAnsi="Arial" w:cs="Arial"/>
        </w:rPr>
        <w:t xml:space="preserve">is fitted for further comparison. </w:t>
      </w:r>
      <w:r w:rsidR="00180CFC" w:rsidRPr="00180CFC">
        <w:rPr>
          <w:rFonts w:ascii="Arial" w:hAnsi="Arial" w:cs="Arial"/>
        </w:rPr>
        <w:t xml:space="preserve">Adjusted R-squared values </w:t>
      </w:r>
      <w:r w:rsidR="001F335E">
        <w:rPr>
          <w:rFonts w:ascii="Arial" w:hAnsi="Arial" w:cs="Arial"/>
        </w:rPr>
        <w:t xml:space="preserve">– </w:t>
      </w:r>
      <w:r w:rsidR="005C1566">
        <w:rPr>
          <w:rFonts w:ascii="Arial" w:hAnsi="Arial" w:cs="Arial"/>
        </w:rPr>
        <w:t>the</w:t>
      </w:r>
      <w:r w:rsidR="001F335E">
        <w:rPr>
          <w:rFonts w:ascii="Arial" w:hAnsi="Arial" w:cs="Arial"/>
        </w:rPr>
        <w:t xml:space="preserve"> </w:t>
      </w:r>
      <w:r w:rsidR="005C1566">
        <w:rPr>
          <w:rFonts w:ascii="Arial" w:hAnsi="Arial" w:cs="Arial"/>
        </w:rPr>
        <w:t>percentage of vari</w:t>
      </w:r>
      <w:r w:rsidR="008F6335">
        <w:rPr>
          <w:rFonts w:ascii="Arial" w:hAnsi="Arial" w:cs="Arial"/>
        </w:rPr>
        <w:t>ance in the cost ratios that is</w:t>
      </w:r>
      <w:r w:rsidR="005C1566">
        <w:rPr>
          <w:rFonts w:ascii="Arial" w:hAnsi="Arial" w:cs="Arial"/>
        </w:rPr>
        <w:t xml:space="preserve"> explained by the model</w:t>
      </w:r>
      <w:r w:rsidR="001F335E">
        <w:rPr>
          <w:rFonts w:ascii="Arial" w:hAnsi="Arial" w:cs="Arial"/>
        </w:rPr>
        <w:t xml:space="preserve"> – </w:t>
      </w:r>
      <w:r w:rsidR="001F335E" w:rsidRPr="00180CFC">
        <w:rPr>
          <w:rFonts w:ascii="Arial" w:hAnsi="Arial" w:cs="Arial"/>
        </w:rPr>
        <w:t>are</w:t>
      </w:r>
      <w:r w:rsidR="001F335E">
        <w:rPr>
          <w:rFonts w:ascii="Arial" w:hAnsi="Arial" w:cs="Arial"/>
        </w:rPr>
        <w:t xml:space="preserve"> </w:t>
      </w:r>
      <w:r w:rsidR="001F335E" w:rsidRPr="00180CFC">
        <w:rPr>
          <w:rFonts w:ascii="Arial" w:hAnsi="Arial" w:cs="Arial"/>
        </w:rPr>
        <w:t>used as a goodness of fit measure</w:t>
      </w:r>
      <w:r w:rsidR="00846AAA">
        <w:rPr>
          <w:rFonts w:ascii="Arial" w:hAnsi="Arial" w:cs="Arial"/>
        </w:rPr>
        <w:t xml:space="preserve">. These </w:t>
      </w:r>
      <w:r w:rsidR="00180CFC" w:rsidRPr="00180CFC">
        <w:rPr>
          <w:rFonts w:ascii="Arial" w:hAnsi="Arial" w:cs="Arial"/>
        </w:rPr>
        <w:t xml:space="preserve">are shown in Table </w:t>
      </w:r>
      <w:r w:rsidR="003C6BC2">
        <w:rPr>
          <w:rFonts w:ascii="Arial" w:hAnsi="Arial" w:cs="Arial"/>
        </w:rPr>
        <w:t>2</w:t>
      </w:r>
      <w:r w:rsidR="00D27BEC">
        <w:rPr>
          <w:rFonts w:ascii="Arial" w:hAnsi="Arial" w:cs="Arial"/>
        </w:rPr>
        <w:t xml:space="preserve"> below for all</w:t>
      </w:r>
      <w:r w:rsidR="00180CFC" w:rsidRPr="00180CFC">
        <w:rPr>
          <w:rFonts w:ascii="Arial" w:hAnsi="Arial" w:cs="Arial"/>
        </w:rPr>
        <w:t xml:space="preserve"> diagnostic groups.</w:t>
      </w:r>
      <w:r w:rsidR="007B6B9F">
        <w:rPr>
          <w:rFonts w:ascii="Arial" w:hAnsi="Arial" w:cs="Arial"/>
        </w:rPr>
        <w:t xml:space="preserve"> The</w:t>
      </w:r>
      <w:r w:rsidR="008E6C9D">
        <w:rPr>
          <w:rFonts w:ascii="Arial" w:hAnsi="Arial" w:cs="Arial"/>
        </w:rPr>
        <w:t xml:space="preserve"> values for the</w:t>
      </w:r>
      <w:r w:rsidR="007B6B9F">
        <w:rPr>
          <w:rFonts w:ascii="Arial" w:hAnsi="Arial" w:cs="Arial"/>
        </w:rPr>
        <w:t xml:space="preserve"> supply model</w:t>
      </w:r>
      <w:r w:rsidR="002C0A0A">
        <w:rPr>
          <w:rFonts w:ascii="Arial" w:eastAsia="Times New Roman" w:hAnsi="Arial" w:cs="Arial"/>
          <w:color w:val="000000"/>
          <w:lang w:eastAsia="en-GB"/>
        </w:rPr>
        <w:t xml:space="preserve"> </w:t>
      </w:r>
      <w:r w:rsidR="007B6B9F">
        <w:rPr>
          <w:rFonts w:ascii="Arial" w:hAnsi="Arial" w:cs="Arial"/>
        </w:rPr>
        <w:t>+ current index</w:t>
      </w:r>
      <w:r w:rsidR="006A7BB6">
        <w:rPr>
          <w:rFonts w:ascii="Arial" w:hAnsi="Arial" w:cs="Arial"/>
        </w:rPr>
        <w:t xml:space="preserve"> (</w:t>
      </w:r>
      <w:r w:rsidR="00587203">
        <w:rPr>
          <w:rFonts w:ascii="Arial" w:hAnsi="Arial" w:cs="Arial"/>
        </w:rPr>
        <w:t xml:space="preserve">i.e. the </w:t>
      </w:r>
      <w:r w:rsidR="006A7BB6">
        <w:rPr>
          <w:rFonts w:ascii="Arial" w:hAnsi="Arial" w:cs="Arial"/>
        </w:rPr>
        <w:t>reference model)</w:t>
      </w:r>
      <w:r w:rsidR="008E6C9D">
        <w:rPr>
          <w:rFonts w:ascii="Arial" w:hAnsi="Arial" w:cs="Arial"/>
        </w:rPr>
        <w:t xml:space="preserve"> are</w:t>
      </w:r>
      <w:r w:rsidR="007B6B9F">
        <w:rPr>
          <w:rFonts w:ascii="Arial" w:hAnsi="Arial" w:cs="Arial"/>
        </w:rPr>
        <w:t xml:space="preserve"> highlighted in red.</w:t>
      </w:r>
    </w:p>
    <w:p w:rsidR="00846AAA" w:rsidRDefault="00846AAA" w:rsidP="001C2FD6">
      <w:pPr>
        <w:spacing w:after="0"/>
        <w:rPr>
          <w:rFonts w:ascii="Arial" w:hAnsi="Arial" w:cs="Arial"/>
          <w:i/>
        </w:rPr>
      </w:pPr>
    </w:p>
    <w:p w:rsidR="00180CFC" w:rsidRPr="00180CFC" w:rsidRDefault="00180CFC" w:rsidP="001C2FD6">
      <w:pPr>
        <w:spacing w:after="0"/>
        <w:rPr>
          <w:rFonts w:ascii="Arial" w:hAnsi="Arial" w:cs="Arial"/>
          <w:i/>
        </w:rPr>
      </w:pPr>
      <w:proofErr w:type="gramStart"/>
      <w:r w:rsidRPr="00180CFC">
        <w:rPr>
          <w:rFonts w:ascii="Arial" w:hAnsi="Arial" w:cs="Arial"/>
          <w:i/>
        </w:rPr>
        <w:t xml:space="preserve">Table </w:t>
      </w:r>
      <w:r w:rsidR="003C6BC2">
        <w:rPr>
          <w:rFonts w:ascii="Arial" w:hAnsi="Arial" w:cs="Arial"/>
          <w:i/>
        </w:rPr>
        <w:t>2</w:t>
      </w:r>
      <w:r w:rsidRPr="00180CFC">
        <w:rPr>
          <w:rFonts w:ascii="Arial" w:hAnsi="Arial" w:cs="Arial"/>
          <w:i/>
        </w:rPr>
        <w:t>.</w:t>
      </w:r>
      <w:proofErr w:type="gramEnd"/>
      <w:r w:rsidRPr="00180CFC">
        <w:rPr>
          <w:rFonts w:ascii="Arial" w:hAnsi="Arial" w:cs="Arial"/>
          <w:i/>
        </w:rPr>
        <w:t xml:space="preserve"> </w:t>
      </w:r>
      <w:proofErr w:type="gramStart"/>
      <w:r w:rsidRPr="00180CFC">
        <w:rPr>
          <w:rFonts w:ascii="Arial" w:hAnsi="Arial" w:cs="Arial"/>
          <w:i/>
        </w:rPr>
        <w:t>Adjusted R-squared values of models com</w:t>
      </w:r>
      <w:r w:rsidR="006000AA">
        <w:rPr>
          <w:rFonts w:ascii="Arial" w:hAnsi="Arial" w:cs="Arial"/>
          <w:i/>
        </w:rPr>
        <w:t>paring LLTI and SMR performance.</w:t>
      </w:r>
      <w:proofErr w:type="gramEnd"/>
    </w:p>
    <w:tbl>
      <w:tblPr>
        <w:tblW w:w="0" w:type="auto"/>
        <w:tblInd w:w="-459" w:type="dxa"/>
        <w:tblLayout w:type="fixed"/>
        <w:tblLook w:val="04A0"/>
      </w:tblPr>
      <w:tblGrid>
        <w:gridCol w:w="1276"/>
        <w:gridCol w:w="2552"/>
        <w:gridCol w:w="850"/>
        <w:gridCol w:w="851"/>
        <w:gridCol w:w="850"/>
        <w:gridCol w:w="851"/>
        <w:gridCol w:w="850"/>
        <w:gridCol w:w="851"/>
        <w:gridCol w:w="770"/>
      </w:tblGrid>
      <w:tr w:rsidR="00200B62" w:rsidRPr="00F45667" w:rsidTr="00CE1FD7">
        <w:trPr>
          <w:cantSplit/>
          <w:trHeight w:val="129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62" w:rsidRPr="00D27BEC" w:rsidRDefault="00200B62" w:rsidP="001C2FD6">
            <w:pPr>
              <w:spacing w:after="0"/>
              <w:rPr>
                <w:rFonts w:ascii="Arial" w:eastAsia="Times New Roman" w:hAnsi="Arial" w:cs="Arial"/>
                <w:b/>
                <w:bCs/>
                <w:color w:val="000000"/>
                <w:sz w:val="20"/>
                <w:szCs w:val="18"/>
                <w:lang w:eastAsia="en-GB"/>
              </w:rPr>
            </w:pPr>
            <w:bookmarkStart w:id="0" w:name="OLE_LINK1"/>
            <w:r w:rsidRPr="00D27BEC">
              <w:rPr>
                <w:rFonts w:ascii="Arial" w:eastAsia="Times New Roman" w:hAnsi="Arial" w:cs="Arial"/>
                <w:b/>
                <w:bCs/>
                <w:color w:val="000000"/>
                <w:sz w:val="20"/>
                <w:szCs w:val="18"/>
                <w:lang w:eastAsia="en-GB"/>
              </w:rPr>
              <w:t xml:space="preserve">Adjusted </w:t>
            </w:r>
          </w:p>
          <w:p w:rsidR="00200B62" w:rsidRPr="00D27BEC" w:rsidRDefault="00200B62" w:rsidP="001C2FD6">
            <w:pPr>
              <w:spacing w:after="0"/>
              <w:rPr>
                <w:rFonts w:ascii="Arial" w:eastAsia="Times New Roman" w:hAnsi="Arial" w:cs="Arial"/>
                <w:b/>
                <w:bCs/>
                <w:color w:val="000000"/>
                <w:sz w:val="20"/>
                <w:szCs w:val="18"/>
                <w:lang w:eastAsia="en-GB"/>
              </w:rPr>
            </w:pPr>
            <w:r w:rsidRPr="00D27BEC">
              <w:rPr>
                <w:rFonts w:ascii="Arial" w:eastAsia="Times New Roman" w:hAnsi="Arial" w:cs="Arial"/>
                <w:b/>
                <w:bCs/>
                <w:color w:val="000000"/>
                <w:sz w:val="20"/>
                <w:szCs w:val="18"/>
                <w:lang w:eastAsia="en-GB"/>
              </w:rPr>
              <w:t>R-squared</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00B62" w:rsidRPr="00D27BEC" w:rsidRDefault="00200B62" w:rsidP="001C2FD6">
            <w:pPr>
              <w:spacing w:after="0"/>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Predictors</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0B62" w:rsidRPr="00D27BEC" w:rsidRDefault="00200B62" w:rsidP="001C2FD6">
            <w:pPr>
              <w:spacing w:after="0"/>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Cancer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0B62" w:rsidRPr="00D27BEC" w:rsidRDefault="00200B62" w:rsidP="001C2FD6">
            <w:pPr>
              <w:spacing w:after="0"/>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Heart</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0B62" w:rsidRPr="00D27BEC" w:rsidRDefault="00200B62" w:rsidP="001C2FD6">
            <w:pPr>
              <w:spacing w:after="0"/>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Digestive</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0B62" w:rsidRPr="00D27BEC" w:rsidRDefault="00200B62" w:rsidP="001C2FD6">
            <w:pPr>
              <w:spacing w:after="0"/>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Injury</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0B62" w:rsidRPr="00D27BEC" w:rsidRDefault="00200B62" w:rsidP="001C2FD6">
            <w:pPr>
              <w:spacing w:after="0"/>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Other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0B62" w:rsidRPr="00D27BEC" w:rsidRDefault="00200B62" w:rsidP="001C2FD6">
            <w:pPr>
              <w:spacing w:after="0"/>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Respiratory</w:t>
            </w:r>
          </w:p>
        </w:tc>
        <w:tc>
          <w:tcPr>
            <w:tcW w:w="77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00B62" w:rsidRPr="00D27BEC" w:rsidRDefault="00200B62" w:rsidP="001C2FD6">
            <w:pPr>
              <w:spacing w:after="0"/>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Outpatients</w:t>
            </w:r>
          </w:p>
        </w:tc>
      </w:tr>
      <w:tr w:rsidR="00522B7E" w:rsidRPr="00F45667" w:rsidTr="005435AB">
        <w:trPr>
          <w:trHeight w:val="300"/>
        </w:trPr>
        <w:tc>
          <w:tcPr>
            <w:tcW w:w="1276" w:type="dxa"/>
            <w:tcBorders>
              <w:left w:val="single" w:sz="4" w:space="0" w:color="auto"/>
              <w:right w:val="single" w:sz="4" w:space="0" w:color="auto"/>
            </w:tcBorders>
            <w:shd w:val="clear" w:color="auto" w:fill="auto"/>
            <w:noWrap/>
            <w:vAlign w:val="center"/>
            <w:hideMark/>
          </w:tcPr>
          <w:p w:rsidR="00522B7E" w:rsidRPr="00F45667" w:rsidRDefault="00522B7E" w:rsidP="001C2FD6">
            <w:pPr>
              <w:spacing w:after="0"/>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supply model</w:t>
            </w:r>
            <w:r>
              <w:rPr>
                <w:rFonts w:ascii="Arial" w:eastAsia="Times New Roman" w:hAnsi="Arial" w:cs="Arial"/>
                <w:color w:val="000000"/>
                <w:sz w:val="18"/>
                <w:szCs w:val="18"/>
                <w:lang w:eastAsia="en-GB"/>
              </w:rPr>
              <w:t xml:space="preserve"> (IPACX &amp; OPACX)</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6.9%</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3.2%</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18.2%</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4.0%</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15.9%</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10.9%</w:t>
            </w:r>
          </w:p>
        </w:tc>
        <w:tc>
          <w:tcPr>
            <w:tcW w:w="770"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4</w:t>
            </w:r>
            <w:r w:rsidR="00A17F3E">
              <w:rPr>
                <w:rFonts w:ascii="Arial" w:eastAsia="Times New Roman" w:hAnsi="Arial" w:cs="Arial"/>
                <w:sz w:val="18"/>
                <w:szCs w:val="18"/>
                <w:lang w:eastAsia="en-GB"/>
              </w:rPr>
              <w:t>0</w:t>
            </w:r>
            <w:r w:rsidRPr="00522B7E">
              <w:rPr>
                <w:rFonts w:ascii="Arial" w:eastAsia="Times New Roman" w:hAnsi="Arial" w:cs="Arial"/>
                <w:sz w:val="18"/>
                <w:szCs w:val="18"/>
                <w:lang w:eastAsia="en-GB"/>
              </w:rPr>
              <w:t>.</w:t>
            </w:r>
            <w:r w:rsidR="00A17F3E">
              <w:rPr>
                <w:rFonts w:ascii="Arial" w:eastAsia="Times New Roman" w:hAnsi="Arial" w:cs="Arial"/>
                <w:sz w:val="18"/>
                <w:szCs w:val="18"/>
                <w:lang w:eastAsia="en-GB"/>
              </w:rPr>
              <w:t>3</w:t>
            </w:r>
            <w:r w:rsidRPr="00522B7E">
              <w:rPr>
                <w:rFonts w:ascii="Arial" w:eastAsia="Times New Roman" w:hAnsi="Arial" w:cs="Arial"/>
                <w:sz w:val="18"/>
                <w:szCs w:val="18"/>
                <w:lang w:eastAsia="en-GB"/>
              </w:rPr>
              <w:t>%</w:t>
            </w:r>
          </w:p>
        </w:tc>
      </w:tr>
      <w:tr w:rsidR="00522B7E" w:rsidRPr="00F45667" w:rsidTr="005435AB">
        <w:trPr>
          <w:trHeight w:val="300"/>
        </w:trPr>
        <w:tc>
          <w:tcPr>
            <w:tcW w:w="1276" w:type="dxa"/>
            <w:vMerge w:val="restart"/>
            <w:tcBorders>
              <w:left w:val="single" w:sz="4" w:space="0" w:color="auto"/>
              <w:right w:val="single" w:sz="4" w:space="0" w:color="auto"/>
            </w:tcBorders>
            <w:shd w:val="clear" w:color="auto" w:fill="auto"/>
            <w:noWrap/>
            <w:vAlign w:val="center"/>
            <w:hideMark/>
          </w:tcPr>
          <w:p w:rsidR="00522B7E" w:rsidRPr="00AF437C" w:rsidRDefault="00522B7E" w:rsidP="001C2FD6">
            <w:pPr>
              <w:spacing w:after="0"/>
              <w:rPr>
                <w:rFonts w:ascii="Arial" w:eastAsia="Times New Roman" w:hAnsi="Arial" w:cs="Arial"/>
                <w:b/>
                <w:color w:val="000000"/>
                <w:sz w:val="18"/>
                <w:szCs w:val="18"/>
                <w:lang w:eastAsia="en-GB"/>
              </w:rPr>
            </w:pPr>
            <w:r w:rsidRPr="00AF437C">
              <w:rPr>
                <w:rFonts w:ascii="Arial" w:eastAsia="Times New Roman" w:hAnsi="Arial" w:cs="Arial"/>
                <w:b/>
                <w:color w:val="000000"/>
                <w:sz w:val="18"/>
                <w:szCs w:val="18"/>
                <w:lang w:eastAsia="en-GB"/>
              </w:rPr>
              <w:t>3 years Data Zones 2011</w:t>
            </w:r>
          </w:p>
        </w:tc>
        <w:tc>
          <w:tcPr>
            <w:tcW w:w="2552"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w:t>
            </w:r>
            <w:r>
              <w:rPr>
                <w:rFonts w:ascii="Arial" w:eastAsia="Times New Roman" w:hAnsi="Arial" w:cs="Arial"/>
                <w:color w:val="000000"/>
                <w:sz w:val="18"/>
                <w:szCs w:val="18"/>
                <w:lang w:eastAsia="en-GB"/>
              </w:rPr>
              <w:t xml:space="preserve">(IPACX &amp; OPACX) </w:t>
            </w:r>
            <w:r w:rsidRPr="00F45667">
              <w:rPr>
                <w:rFonts w:ascii="Arial" w:eastAsia="Times New Roman" w:hAnsi="Arial" w:cs="Arial"/>
                <w:color w:val="000000"/>
                <w:sz w:val="18"/>
                <w:szCs w:val="18"/>
                <w:lang w:eastAsia="en-GB"/>
              </w:rPr>
              <w:t>+ SMR</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11.1</w:t>
            </w:r>
            <w:r w:rsidRPr="00F45667">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1</w:t>
            </w:r>
            <w:r w:rsidR="00E439A7">
              <w:rPr>
                <w:rFonts w:ascii="Arial" w:eastAsia="Times New Roman" w:hAnsi="Arial" w:cs="Arial"/>
                <w:sz w:val="18"/>
                <w:szCs w:val="18"/>
                <w:lang w:eastAsia="en-GB"/>
              </w:rPr>
              <w:t>5</w:t>
            </w:r>
            <w:r>
              <w:rPr>
                <w:rFonts w:ascii="Arial" w:eastAsia="Times New Roman" w:hAnsi="Arial" w:cs="Arial"/>
                <w:sz w:val="18"/>
                <w:szCs w:val="18"/>
                <w:lang w:eastAsia="en-GB"/>
              </w:rPr>
              <w:t>.</w:t>
            </w:r>
            <w:r w:rsidR="00E439A7">
              <w:rPr>
                <w:rFonts w:ascii="Arial" w:eastAsia="Times New Roman" w:hAnsi="Arial" w:cs="Arial"/>
                <w:sz w:val="18"/>
                <w:szCs w:val="18"/>
                <w:lang w:eastAsia="en-GB"/>
              </w:rPr>
              <w:t>9</w:t>
            </w:r>
            <w:r w:rsidRPr="00F45667">
              <w:rPr>
                <w:rFonts w:ascii="Arial" w:eastAsia="Times New Roman" w:hAnsi="Arial" w:cs="Arial"/>
                <w:sz w:val="18"/>
                <w:szCs w:val="18"/>
                <w:lang w:eastAsia="en-GB"/>
              </w:rPr>
              <w:t>%</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w:t>
            </w:r>
            <w:r w:rsidR="00E439A7">
              <w:rPr>
                <w:rFonts w:ascii="Arial" w:eastAsia="Times New Roman" w:hAnsi="Arial" w:cs="Arial"/>
                <w:sz w:val="18"/>
                <w:szCs w:val="18"/>
                <w:lang w:eastAsia="en-GB"/>
              </w:rPr>
              <w:t>2</w:t>
            </w:r>
            <w:r w:rsidRPr="00F45667">
              <w:rPr>
                <w:rFonts w:ascii="Arial" w:eastAsia="Times New Roman" w:hAnsi="Arial" w:cs="Arial"/>
                <w:sz w:val="18"/>
                <w:szCs w:val="18"/>
                <w:lang w:eastAsia="en-GB"/>
              </w:rPr>
              <w:t>.</w:t>
            </w:r>
            <w:r w:rsidR="00E439A7">
              <w:rPr>
                <w:rFonts w:ascii="Arial" w:eastAsia="Times New Roman" w:hAnsi="Arial" w:cs="Arial"/>
                <w:sz w:val="18"/>
                <w:szCs w:val="18"/>
                <w:lang w:eastAsia="en-GB"/>
              </w:rPr>
              <w:t>9</w:t>
            </w:r>
            <w:r w:rsidRPr="00F45667">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w:t>
            </w:r>
            <w:r w:rsidR="00E439A7">
              <w:rPr>
                <w:rFonts w:ascii="Arial" w:eastAsia="Times New Roman" w:hAnsi="Arial" w:cs="Arial"/>
                <w:sz w:val="18"/>
                <w:szCs w:val="18"/>
                <w:lang w:eastAsia="en-GB"/>
              </w:rPr>
              <w:t>9</w:t>
            </w:r>
            <w:r w:rsidRPr="00F45667">
              <w:rPr>
                <w:rFonts w:ascii="Arial" w:eastAsia="Times New Roman" w:hAnsi="Arial" w:cs="Arial"/>
                <w:sz w:val="18"/>
                <w:szCs w:val="18"/>
                <w:lang w:eastAsia="en-GB"/>
              </w:rPr>
              <w:t>.</w:t>
            </w:r>
            <w:r w:rsidR="00E439A7">
              <w:rPr>
                <w:rFonts w:ascii="Arial" w:eastAsia="Times New Roman" w:hAnsi="Arial" w:cs="Arial"/>
                <w:sz w:val="18"/>
                <w:szCs w:val="18"/>
                <w:lang w:eastAsia="en-GB"/>
              </w:rPr>
              <w:t>8</w:t>
            </w:r>
            <w:r w:rsidRPr="00F45667">
              <w:rPr>
                <w:rFonts w:ascii="Arial" w:eastAsia="Times New Roman" w:hAnsi="Arial" w:cs="Arial"/>
                <w:sz w:val="18"/>
                <w:szCs w:val="18"/>
                <w:lang w:eastAsia="en-GB"/>
              </w:rPr>
              <w:t>%</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3</w:t>
            </w:r>
            <w:r w:rsidR="00E439A7">
              <w:rPr>
                <w:rFonts w:ascii="Arial" w:eastAsia="Times New Roman" w:hAnsi="Arial" w:cs="Arial"/>
                <w:sz w:val="18"/>
                <w:szCs w:val="18"/>
                <w:lang w:eastAsia="en-GB"/>
              </w:rPr>
              <w:t>6</w:t>
            </w:r>
            <w:r>
              <w:rPr>
                <w:rFonts w:ascii="Arial" w:eastAsia="Times New Roman" w:hAnsi="Arial" w:cs="Arial"/>
                <w:sz w:val="18"/>
                <w:szCs w:val="18"/>
                <w:lang w:eastAsia="en-GB"/>
              </w:rPr>
              <w:t>.</w:t>
            </w:r>
            <w:r w:rsidR="00E439A7">
              <w:rPr>
                <w:rFonts w:ascii="Arial" w:eastAsia="Times New Roman" w:hAnsi="Arial" w:cs="Arial"/>
                <w:sz w:val="18"/>
                <w:szCs w:val="18"/>
                <w:lang w:eastAsia="en-GB"/>
              </w:rPr>
              <w:t>4</w:t>
            </w:r>
            <w:r w:rsidRPr="00F45667">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3</w:t>
            </w:r>
            <w:r w:rsidR="00E439A7">
              <w:rPr>
                <w:rFonts w:ascii="Arial" w:eastAsia="Times New Roman" w:hAnsi="Arial" w:cs="Arial"/>
                <w:sz w:val="18"/>
                <w:szCs w:val="18"/>
                <w:lang w:eastAsia="en-GB"/>
              </w:rPr>
              <w:t>1</w:t>
            </w:r>
            <w:r>
              <w:rPr>
                <w:rFonts w:ascii="Arial" w:eastAsia="Times New Roman" w:hAnsi="Arial" w:cs="Arial"/>
                <w:sz w:val="18"/>
                <w:szCs w:val="18"/>
                <w:lang w:eastAsia="en-GB"/>
              </w:rPr>
              <w:t>.</w:t>
            </w:r>
            <w:r w:rsidR="00E439A7">
              <w:rPr>
                <w:rFonts w:ascii="Arial" w:eastAsia="Times New Roman" w:hAnsi="Arial" w:cs="Arial"/>
                <w:sz w:val="18"/>
                <w:szCs w:val="18"/>
                <w:lang w:eastAsia="en-GB"/>
              </w:rPr>
              <w:t>2</w:t>
            </w:r>
            <w:r w:rsidRPr="00F45667">
              <w:rPr>
                <w:rFonts w:ascii="Arial" w:eastAsia="Times New Roman" w:hAnsi="Arial" w:cs="Arial"/>
                <w:sz w:val="18"/>
                <w:szCs w:val="18"/>
                <w:lang w:eastAsia="en-GB"/>
              </w:rPr>
              <w:t>%</w:t>
            </w:r>
          </w:p>
        </w:tc>
        <w:tc>
          <w:tcPr>
            <w:tcW w:w="770"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4</w:t>
            </w:r>
            <w:r w:rsidR="00A17F3E">
              <w:rPr>
                <w:rFonts w:ascii="Arial" w:eastAsia="Times New Roman" w:hAnsi="Arial" w:cs="Arial"/>
                <w:sz w:val="18"/>
                <w:szCs w:val="18"/>
                <w:lang w:eastAsia="en-GB"/>
              </w:rPr>
              <w:t>5</w:t>
            </w:r>
            <w:r>
              <w:rPr>
                <w:rFonts w:ascii="Arial" w:eastAsia="Times New Roman" w:hAnsi="Arial" w:cs="Arial"/>
                <w:sz w:val="18"/>
                <w:szCs w:val="18"/>
                <w:lang w:eastAsia="en-GB"/>
              </w:rPr>
              <w:t>.</w:t>
            </w:r>
            <w:r w:rsidR="00E439A7">
              <w:rPr>
                <w:rFonts w:ascii="Arial" w:eastAsia="Times New Roman" w:hAnsi="Arial" w:cs="Arial"/>
                <w:sz w:val="18"/>
                <w:szCs w:val="18"/>
                <w:lang w:eastAsia="en-GB"/>
              </w:rPr>
              <w:t>5</w:t>
            </w:r>
            <w:r w:rsidRPr="00F45667">
              <w:rPr>
                <w:rFonts w:ascii="Arial" w:eastAsia="Times New Roman" w:hAnsi="Arial" w:cs="Arial"/>
                <w:sz w:val="18"/>
                <w:szCs w:val="18"/>
                <w:lang w:eastAsia="en-GB"/>
              </w:rPr>
              <w:t>%</w:t>
            </w:r>
          </w:p>
        </w:tc>
      </w:tr>
      <w:tr w:rsidR="00522B7E" w:rsidRPr="00F45667" w:rsidTr="005435AB">
        <w:trPr>
          <w:trHeight w:val="300"/>
        </w:trPr>
        <w:tc>
          <w:tcPr>
            <w:tcW w:w="1276" w:type="dxa"/>
            <w:vMerge/>
            <w:tcBorders>
              <w:left w:val="single" w:sz="4" w:space="0" w:color="auto"/>
              <w:right w:val="single" w:sz="4" w:space="0" w:color="auto"/>
            </w:tcBorders>
            <w:vAlign w:val="center"/>
            <w:hideMark/>
          </w:tcPr>
          <w:p w:rsidR="00522B7E" w:rsidRPr="00AF437C" w:rsidRDefault="00522B7E" w:rsidP="001C2FD6">
            <w:pPr>
              <w:spacing w:after="0"/>
              <w:rPr>
                <w:rFonts w:ascii="Arial" w:eastAsia="Times New Roman" w:hAnsi="Arial" w:cs="Arial"/>
                <w:b/>
                <w:color w:val="000000"/>
                <w:sz w:val="18"/>
                <w:szCs w:val="18"/>
                <w:lang w:eastAsia="en-GB"/>
              </w:rPr>
            </w:pPr>
          </w:p>
        </w:tc>
        <w:tc>
          <w:tcPr>
            <w:tcW w:w="2552" w:type="dxa"/>
            <w:tcBorders>
              <w:top w:val="nil"/>
              <w:left w:val="nil"/>
              <w:bottom w:val="single" w:sz="4" w:space="0" w:color="auto"/>
              <w:right w:val="single" w:sz="4" w:space="0" w:color="auto"/>
            </w:tcBorders>
            <w:shd w:val="clear" w:color="000000" w:fill="D7E4BC"/>
            <w:noWrap/>
            <w:vAlign w:val="bottom"/>
            <w:hideMark/>
          </w:tcPr>
          <w:p w:rsidR="00522B7E" w:rsidRPr="00F45667" w:rsidRDefault="00522B7E"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w:t>
            </w:r>
            <w:r>
              <w:rPr>
                <w:rFonts w:ascii="Arial" w:eastAsia="Times New Roman" w:hAnsi="Arial" w:cs="Arial"/>
                <w:color w:val="000000"/>
                <w:sz w:val="18"/>
                <w:szCs w:val="18"/>
                <w:lang w:eastAsia="en-GB"/>
              </w:rPr>
              <w:t xml:space="preserve">(IPACX &amp; OPACX) </w:t>
            </w:r>
            <w:r w:rsidRPr="00F45667">
              <w:rPr>
                <w:rFonts w:ascii="Arial" w:eastAsia="Times New Roman" w:hAnsi="Arial" w:cs="Arial"/>
                <w:color w:val="000000"/>
                <w:sz w:val="18"/>
                <w:szCs w:val="18"/>
                <w:lang w:eastAsia="en-GB"/>
              </w:rPr>
              <w:t>+ LLTI</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9.5%</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20.2%</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38.2%</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25.6%</w:t>
            </w:r>
          </w:p>
        </w:tc>
        <w:tc>
          <w:tcPr>
            <w:tcW w:w="850"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45.1%</w:t>
            </w:r>
          </w:p>
        </w:tc>
        <w:tc>
          <w:tcPr>
            <w:tcW w:w="851" w:type="dxa"/>
            <w:tcBorders>
              <w:top w:val="nil"/>
              <w:left w:val="nil"/>
              <w:bottom w:val="single" w:sz="4" w:space="0" w:color="auto"/>
              <w:right w:val="single" w:sz="4" w:space="0" w:color="auto"/>
            </w:tcBorders>
            <w:shd w:val="clear" w:color="000000" w:fill="D7E4BC"/>
            <w:noWrap/>
            <w:vAlign w:val="bottom"/>
            <w:hideMark/>
          </w:tcPr>
          <w:p w:rsidR="00522B7E" w:rsidRPr="00522B7E" w:rsidRDefault="00522B7E"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36.1%</w:t>
            </w:r>
          </w:p>
        </w:tc>
        <w:tc>
          <w:tcPr>
            <w:tcW w:w="770" w:type="dxa"/>
            <w:tcBorders>
              <w:top w:val="nil"/>
              <w:left w:val="nil"/>
              <w:bottom w:val="single" w:sz="4" w:space="0" w:color="auto"/>
              <w:right w:val="single" w:sz="4" w:space="0" w:color="auto"/>
            </w:tcBorders>
            <w:shd w:val="clear" w:color="000000" w:fill="D7E4BC"/>
            <w:noWrap/>
            <w:vAlign w:val="bottom"/>
            <w:hideMark/>
          </w:tcPr>
          <w:p w:rsidR="00522B7E" w:rsidRPr="00522B7E" w:rsidRDefault="00A17F3E"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50</w:t>
            </w:r>
            <w:r w:rsidR="00522B7E" w:rsidRPr="00522B7E">
              <w:rPr>
                <w:rFonts w:ascii="Arial" w:eastAsia="Times New Roman" w:hAnsi="Arial" w:cs="Arial"/>
                <w:sz w:val="18"/>
                <w:szCs w:val="18"/>
                <w:lang w:eastAsia="en-GB"/>
              </w:rPr>
              <w:t>.</w:t>
            </w:r>
            <w:r>
              <w:rPr>
                <w:rFonts w:ascii="Arial" w:eastAsia="Times New Roman" w:hAnsi="Arial" w:cs="Arial"/>
                <w:sz w:val="18"/>
                <w:szCs w:val="18"/>
                <w:lang w:eastAsia="en-GB"/>
              </w:rPr>
              <w:t>2</w:t>
            </w:r>
            <w:r w:rsidR="00522B7E" w:rsidRPr="00522B7E">
              <w:rPr>
                <w:rFonts w:ascii="Arial" w:eastAsia="Times New Roman" w:hAnsi="Arial" w:cs="Arial"/>
                <w:sz w:val="18"/>
                <w:szCs w:val="18"/>
                <w:lang w:eastAsia="en-GB"/>
              </w:rPr>
              <w:t>%</w:t>
            </w:r>
          </w:p>
        </w:tc>
      </w:tr>
      <w:tr w:rsidR="005E1E3C" w:rsidRPr="00F45667" w:rsidTr="005435AB">
        <w:trPr>
          <w:trHeight w:val="300"/>
        </w:trPr>
        <w:tc>
          <w:tcPr>
            <w:tcW w:w="1276" w:type="dxa"/>
            <w:vMerge/>
            <w:tcBorders>
              <w:left w:val="single" w:sz="4" w:space="0" w:color="auto"/>
              <w:right w:val="single" w:sz="4" w:space="0" w:color="auto"/>
            </w:tcBorders>
            <w:vAlign w:val="center"/>
            <w:hideMark/>
          </w:tcPr>
          <w:p w:rsidR="005E1E3C" w:rsidRPr="00AF437C" w:rsidRDefault="005E1E3C" w:rsidP="001C2FD6">
            <w:pPr>
              <w:spacing w:after="0"/>
              <w:rPr>
                <w:rFonts w:ascii="Arial" w:eastAsia="Times New Roman" w:hAnsi="Arial" w:cs="Arial"/>
                <w:b/>
                <w:color w:val="000000"/>
                <w:sz w:val="18"/>
                <w:szCs w:val="18"/>
                <w:lang w:eastAsia="en-GB"/>
              </w:rPr>
            </w:pPr>
          </w:p>
        </w:tc>
        <w:tc>
          <w:tcPr>
            <w:tcW w:w="2552" w:type="dxa"/>
            <w:tcBorders>
              <w:top w:val="nil"/>
              <w:left w:val="nil"/>
              <w:bottom w:val="single" w:sz="4" w:space="0" w:color="auto"/>
              <w:right w:val="single" w:sz="4" w:space="0" w:color="auto"/>
            </w:tcBorders>
            <w:shd w:val="clear" w:color="000000" w:fill="D7E4BC"/>
            <w:noWrap/>
            <w:vAlign w:val="bottom"/>
            <w:hideMark/>
          </w:tcPr>
          <w:p w:rsidR="005E1E3C" w:rsidRPr="00F45667" w:rsidRDefault="005E1E3C"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w:t>
            </w:r>
            <w:r>
              <w:rPr>
                <w:rFonts w:ascii="Arial" w:eastAsia="Times New Roman" w:hAnsi="Arial" w:cs="Arial"/>
                <w:color w:val="000000"/>
                <w:sz w:val="18"/>
                <w:szCs w:val="18"/>
                <w:lang w:eastAsia="en-GB"/>
              </w:rPr>
              <w:t xml:space="preserve">(IPACX &amp; OPACX) </w:t>
            </w:r>
            <w:r w:rsidRPr="00F45667">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 xml:space="preserve">SMR + </w:t>
            </w:r>
            <w:r w:rsidRPr="00F45667">
              <w:rPr>
                <w:rFonts w:ascii="Arial" w:eastAsia="Times New Roman" w:hAnsi="Arial" w:cs="Arial"/>
                <w:color w:val="000000"/>
                <w:sz w:val="18"/>
                <w:szCs w:val="18"/>
                <w:lang w:eastAsia="en-GB"/>
              </w:rPr>
              <w:t>LLTI</w:t>
            </w:r>
          </w:p>
        </w:tc>
        <w:tc>
          <w:tcPr>
            <w:tcW w:w="850" w:type="dxa"/>
            <w:tcBorders>
              <w:top w:val="nil"/>
              <w:left w:val="nil"/>
              <w:bottom w:val="single" w:sz="4" w:space="0" w:color="auto"/>
              <w:right w:val="single" w:sz="4" w:space="0" w:color="auto"/>
            </w:tcBorders>
            <w:shd w:val="clear" w:color="000000" w:fill="D7E4BC"/>
            <w:noWrap/>
            <w:vAlign w:val="bottom"/>
            <w:hideMark/>
          </w:tcPr>
          <w:p w:rsidR="005E1E3C" w:rsidRPr="00522B7E" w:rsidRDefault="005E1E3C"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1</w:t>
            </w:r>
            <w:r>
              <w:rPr>
                <w:rFonts w:ascii="Arial" w:eastAsia="Times New Roman" w:hAnsi="Arial" w:cs="Arial"/>
                <w:sz w:val="18"/>
                <w:szCs w:val="18"/>
                <w:lang w:eastAsia="en-GB"/>
              </w:rPr>
              <w:t>1</w:t>
            </w:r>
            <w:r w:rsidRPr="00522B7E">
              <w:rPr>
                <w:rFonts w:ascii="Arial" w:eastAsia="Times New Roman" w:hAnsi="Arial" w:cs="Arial"/>
                <w:sz w:val="18"/>
                <w:szCs w:val="18"/>
                <w:lang w:eastAsia="en-GB"/>
              </w:rPr>
              <w:t>.</w:t>
            </w:r>
            <w:r>
              <w:rPr>
                <w:rFonts w:ascii="Arial" w:eastAsia="Times New Roman" w:hAnsi="Arial" w:cs="Arial"/>
                <w:sz w:val="18"/>
                <w:szCs w:val="18"/>
                <w:lang w:eastAsia="en-GB"/>
              </w:rPr>
              <w:t>1</w:t>
            </w:r>
            <w:r w:rsidRPr="00522B7E">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D7E4BC"/>
            <w:noWrap/>
            <w:vAlign w:val="bottom"/>
            <w:hideMark/>
          </w:tcPr>
          <w:p w:rsidR="005E1E3C" w:rsidRPr="00522B7E" w:rsidRDefault="005E1E3C"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21</w:t>
            </w:r>
            <w:r w:rsidRPr="00522B7E">
              <w:rPr>
                <w:rFonts w:ascii="Arial" w:eastAsia="Times New Roman" w:hAnsi="Arial" w:cs="Arial"/>
                <w:sz w:val="18"/>
                <w:szCs w:val="18"/>
                <w:lang w:eastAsia="en-GB"/>
              </w:rPr>
              <w:t>.</w:t>
            </w:r>
            <w:r>
              <w:rPr>
                <w:rFonts w:ascii="Arial" w:eastAsia="Times New Roman" w:hAnsi="Arial" w:cs="Arial"/>
                <w:sz w:val="18"/>
                <w:szCs w:val="18"/>
                <w:lang w:eastAsia="en-GB"/>
              </w:rPr>
              <w:t>1</w:t>
            </w:r>
            <w:r w:rsidRPr="00522B7E">
              <w:rPr>
                <w:rFonts w:ascii="Arial" w:eastAsia="Times New Roman" w:hAnsi="Arial" w:cs="Arial"/>
                <w:sz w:val="18"/>
                <w:szCs w:val="18"/>
                <w:lang w:eastAsia="en-GB"/>
              </w:rPr>
              <w:t>%</w:t>
            </w:r>
          </w:p>
        </w:tc>
        <w:tc>
          <w:tcPr>
            <w:tcW w:w="850" w:type="dxa"/>
            <w:tcBorders>
              <w:top w:val="nil"/>
              <w:left w:val="nil"/>
              <w:bottom w:val="single" w:sz="4" w:space="0" w:color="auto"/>
              <w:right w:val="single" w:sz="4" w:space="0" w:color="auto"/>
            </w:tcBorders>
            <w:shd w:val="clear" w:color="000000" w:fill="D7E4BC"/>
            <w:noWrap/>
            <w:vAlign w:val="bottom"/>
            <w:hideMark/>
          </w:tcPr>
          <w:p w:rsidR="005E1E3C" w:rsidRPr="00522B7E" w:rsidRDefault="005E1E3C"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3</w:t>
            </w:r>
            <w:r>
              <w:rPr>
                <w:rFonts w:ascii="Arial" w:eastAsia="Times New Roman" w:hAnsi="Arial" w:cs="Arial"/>
                <w:sz w:val="18"/>
                <w:szCs w:val="18"/>
                <w:lang w:eastAsia="en-GB"/>
              </w:rPr>
              <w:t>9</w:t>
            </w:r>
            <w:r w:rsidRPr="00522B7E">
              <w:rPr>
                <w:rFonts w:ascii="Arial" w:eastAsia="Times New Roman" w:hAnsi="Arial" w:cs="Arial"/>
                <w:sz w:val="18"/>
                <w:szCs w:val="18"/>
                <w:lang w:eastAsia="en-GB"/>
              </w:rPr>
              <w:t>.</w:t>
            </w:r>
            <w:r>
              <w:rPr>
                <w:rFonts w:ascii="Arial" w:eastAsia="Times New Roman" w:hAnsi="Arial" w:cs="Arial"/>
                <w:sz w:val="18"/>
                <w:szCs w:val="18"/>
                <w:lang w:eastAsia="en-GB"/>
              </w:rPr>
              <w:t>1</w:t>
            </w:r>
            <w:r w:rsidRPr="00522B7E">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D7E4BC"/>
            <w:noWrap/>
            <w:vAlign w:val="bottom"/>
            <w:hideMark/>
          </w:tcPr>
          <w:p w:rsidR="005E1E3C" w:rsidRPr="00522B7E" w:rsidRDefault="005E1E3C"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2</w:t>
            </w:r>
            <w:r>
              <w:rPr>
                <w:rFonts w:ascii="Arial" w:eastAsia="Times New Roman" w:hAnsi="Arial" w:cs="Arial"/>
                <w:sz w:val="18"/>
                <w:szCs w:val="18"/>
                <w:lang w:eastAsia="en-GB"/>
              </w:rPr>
              <w:t>6</w:t>
            </w:r>
            <w:r w:rsidRPr="00522B7E">
              <w:rPr>
                <w:rFonts w:ascii="Arial" w:eastAsia="Times New Roman" w:hAnsi="Arial" w:cs="Arial"/>
                <w:sz w:val="18"/>
                <w:szCs w:val="18"/>
                <w:lang w:eastAsia="en-GB"/>
              </w:rPr>
              <w:t>.</w:t>
            </w:r>
            <w:r>
              <w:rPr>
                <w:rFonts w:ascii="Arial" w:eastAsia="Times New Roman" w:hAnsi="Arial" w:cs="Arial"/>
                <w:sz w:val="18"/>
                <w:szCs w:val="18"/>
                <w:lang w:eastAsia="en-GB"/>
              </w:rPr>
              <w:t>6</w:t>
            </w:r>
            <w:r w:rsidRPr="00522B7E">
              <w:rPr>
                <w:rFonts w:ascii="Arial" w:eastAsia="Times New Roman" w:hAnsi="Arial" w:cs="Arial"/>
                <w:sz w:val="18"/>
                <w:szCs w:val="18"/>
                <w:lang w:eastAsia="en-GB"/>
              </w:rPr>
              <w:t>%</w:t>
            </w:r>
          </w:p>
        </w:tc>
        <w:tc>
          <w:tcPr>
            <w:tcW w:w="850" w:type="dxa"/>
            <w:tcBorders>
              <w:top w:val="nil"/>
              <w:left w:val="nil"/>
              <w:bottom w:val="single" w:sz="4" w:space="0" w:color="auto"/>
              <w:right w:val="single" w:sz="4" w:space="0" w:color="auto"/>
            </w:tcBorders>
            <w:shd w:val="clear" w:color="000000" w:fill="D7E4BC"/>
            <w:noWrap/>
            <w:vAlign w:val="bottom"/>
            <w:hideMark/>
          </w:tcPr>
          <w:p w:rsidR="005E1E3C" w:rsidRPr="00522B7E" w:rsidRDefault="005E1E3C"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4</w:t>
            </w:r>
            <w:r>
              <w:rPr>
                <w:rFonts w:ascii="Arial" w:eastAsia="Times New Roman" w:hAnsi="Arial" w:cs="Arial"/>
                <w:sz w:val="18"/>
                <w:szCs w:val="18"/>
                <w:lang w:eastAsia="en-GB"/>
              </w:rPr>
              <w:t>6</w:t>
            </w:r>
            <w:r w:rsidRPr="00522B7E">
              <w:rPr>
                <w:rFonts w:ascii="Arial" w:eastAsia="Times New Roman" w:hAnsi="Arial" w:cs="Arial"/>
                <w:sz w:val="18"/>
                <w:szCs w:val="18"/>
                <w:lang w:eastAsia="en-GB"/>
              </w:rPr>
              <w:t>.</w:t>
            </w:r>
            <w:r>
              <w:rPr>
                <w:rFonts w:ascii="Arial" w:eastAsia="Times New Roman" w:hAnsi="Arial" w:cs="Arial"/>
                <w:sz w:val="18"/>
                <w:szCs w:val="18"/>
                <w:lang w:eastAsia="en-GB"/>
              </w:rPr>
              <w:t>1</w:t>
            </w:r>
            <w:r w:rsidRPr="00522B7E">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D7E4BC"/>
            <w:noWrap/>
            <w:vAlign w:val="bottom"/>
            <w:hideMark/>
          </w:tcPr>
          <w:p w:rsidR="005E1E3C" w:rsidRPr="00522B7E" w:rsidRDefault="005E1E3C"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3</w:t>
            </w:r>
            <w:r>
              <w:rPr>
                <w:rFonts w:ascii="Arial" w:eastAsia="Times New Roman" w:hAnsi="Arial" w:cs="Arial"/>
                <w:sz w:val="18"/>
                <w:szCs w:val="18"/>
                <w:lang w:eastAsia="en-GB"/>
              </w:rPr>
              <w:t>8</w:t>
            </w:r>
            <w:r w:rsidRPr="00522B7E">
              <w:rPr>
                <w:rFonts w:ascii="Arial" w:eastAsia="Times New Roman" w:hAnsi="Arial" w:cs="Arial"/>
                <w:sz w:val="18"/>
                <w:szCs w:val="18"/>
                <w:lang w:eastAsia="en-GB"/>
              </w:rPr>
              <w:t>.</w:t>
            </w:r>
            <w:r>
              <w:rPr>
                <w:rFonts w:ascii="Arial" w:eastAsia="Times New Roman" w:hAnsi="Arial" w:cs="Arial"/>
                <w:sz w:val="18"/>
                <w:szCs w:val="18"/>
                <w:lang w:eastAsia="en-GB"/>
              </w:rPr>
              <w:t>0</w:t>
            </w:r>
            <w:r w:rsidRPr="00522B7E">
              <w:rPr>
                <w:rFonts w:ascii="Arial" w:eastAsia="Times New Roman" w:hAnsi="Arial" w:cs="Arial"/>
                <w:sz w:val="18"/>
                <w:szCs w:val="18"/>
                <w:lang w:eastAsia="en-GB"/>
              </w:rPr>
              <w:t>%</w:t>
            </w:r>
          </w:p>
        </w:tc>
        <w:tc>
          <w:tcPr>
            <w:tcW w:w="770" w:type="dxa"/>
            <w:tcBorders>
              <w:top w:val="nil"/>
              <w:left w:val="nil"/>
              <w:bottom w:val="single" w:sz="4" w:space="0" w:color="auto"/>
              <w:right w:val="single" w:sz="4" w:space="0" w:color="auto"/>
            </w:tcBorders>
            <w:shd w:val="clear" w:color="000000" w:fill="D7E4BC"/>
            <w:noWrap/>
            <w:vAlign w:val="bottom"/>
            <w:hideMark/>
          </w:tcPr>
          <w:p w:rsidR="005E1E3C" w:rsidRPr="00522B7E" w:rsidRDefault="005E1E3C"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50</w:t>
            </w:r>
            <w:r w:rsidRPr="00522B7E">
              <w:rPr>
                <w:rFonts w:ascii="Arial" w:eastAsia="Times New Roman" w:hAnsi="Arial" w:cs="Arial"/>
                <w:sz w:val="18"/>
                <w:szCs w:val="18"/>
                <w:lang w:eastAsia="en-GB"/>
              </w:rPr>
              <w:t>.</w:t>
            </w:r>
            <w:r>
              <w:rPr>
                <w:rFonts w:ascii="Arial" w:eastAsia="Times New Roman" w:hAnsi="Arial" w:cs="Arial"/>
                <w:sz w:val="18"/>
                <w:szCs w:val="18"/>
                <w:lang w:eastAsia="en-GB"/>
              </w:rPr>
              <w:t>2</w:t>
            </w:r>
            <w:r w:rsidRPr="00522B7E">
              <w:rPr>
                <w:rFonts w:ascii="Arial" w:eastAsia="Times New Roman" w:hAnsi="Arial" w:cs="Arial"/>
                <w:sz w:val="18"/>
                <w:szCs w:val="18"/>
                <w:lang w:eastAsia="en-GB"/>
              </w:rPr>
              <w:t>%</w:t>
            </w:r>
          </w:p>
        </w:tc>
      </w:tr>
      <w:tr w:rsidR="003633C0" w:rsidRPr="00F45667" w:rsidTr="005435AB">
        <w:trPr>
          <w:trHeight w:val="300"/>
        </w:trPr>
        <w:tc>
          <w:tcPr>
            <w:tcW w:w="1276" w:type="dxa"/>
            <w:vMerge/>
            <w:tcBorders>
              <w:left w:val="single" w:sz="4" w:space="0" w:color="auto"/>
              <w:bottom w:val="single" w:sz="4" w:space="0" w:color="auto"/>
              <w:right w:val="single" w:sz="4" w:space="0" w:color="auto"/>
            </w:tcBorders>
            <w:vAlign w:val="center"/>
            <w:hideMark/>
          </w:tcPr>
          <w:p w:rsidR="003633C0" w:rsidRPr="00AF437C" w:rsidRDefault="003633C0" w:rsidP="001C2FD6">
            <w:pPr>
              <w:spacing w:after="0"/>
              <w:rPr>
                <w:rFonts w:ascii="Arial" w:eastAsia="Times New Roman" w:hAnsi="Arial" w:cs="Arial"/>
                <w:b/>
                <w:color w:val="000000"/>
                <w:sz w:val="18"/>
                <w:szCs w:val="18"/>
                <w:lang w:eastAsia="en-GB"/>
              </w:rPr>
            </w:pPr>
          </w:p>
        </w:tc>
        <w:tc>
          <w:tcPr>
            <w:tcW w:w="2552" w:type="dxa"/>
            <w:tcBorders>
              <w:top w:val="nil"/>
              <w:left w:val="nil"/>
              <w:bottom w:val="single" w:sz="4" w:space="0" w:color="auto"/>
              <w:right w:val="single" w:sz="4" w:space="0" w:color="auto"/>
            </w:tcBorders>
            <w:shd w:val="clear" w:color="000000" w:fill="E6B9B8"/>
            <w:noWrap/>
            <w:vAlign w:val="center"/>
            <w:hideMark/>
          </w:tcPr>
          <w:p w:rsidR="003633C0" w:rsidRPr="00F45667" w:rsidRDefault="003633C0"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w:t>
            </w:r>
            <w:r>
              <w:rPr>
                <w:rFonts w:ascii="Arial" w:eastAsia="Times New Roman" w:hAnsi="Arial" w:cs="Arial"/>
                <w:color w:val="000000"/>
                <w:sz w:val="18"/>
                <w:szCs w:val="18"/>
                <w:lang w:eastAsia="en-GB"/>
              </w:rPr>
              <w:t xml:space="preserve">(IPACX &amp; OPACX) </w:t>
            </w:r>
            <w:r w:rsidRPr="00F45667">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current</w:t>
            </w:r>
            <w:r w:rsidRPr="00F45667">
              <w:rPr>
                <w:rFonts w:ascii="Arial" w:eastAsia="Times New Roman" w:hAnsi="Arial" w:cs="Arial"/>
                <w:color w:val="000000"/>
                <w:sz w:val="18"/>
                <w:szCs w:val="18"/>
                <w:lang w:eastAsia="en-GB"/>
              </w:rPr>
              <w:t xml:space="preserve"> index</w:t>
            </w:r>
          </w:p>
        </w:tc>
        <w:tc>
          <w:tcPr>
            <w:tcW w:w="850" w:type="dxa"/>
            <w:tcBorders>
              <w:top w:val="nil"/>
              <w:left w:val="nil"/>
              <w:bottom w:val="single" w:sz="4" w:space="0" w:color="auto"/>
              <w:right w:val="single" w:sz="4" w:space="0" w:color="auto"/>
            </w:tcBorders>
            <w:shd w:val="clear" w:color="000000" w:fill="E6B9B8"/>
            <w:noWrap/>
            <w:vAlign w:val="bottom"/>
            <w:hideMark/>
          </w:tcPr>
          <w:p w:rsidR="003633C0" w:rsidRPr="00522B7E" w:rsidRDefault="003633C0"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1</w:t>
            </w:r>
            <w:r w:rsidR="005E1E3C">
              <w:rPr>
                <w:rFonts w:ascii="Arial" w:eastAsia="Times New Roman" w:hAnsi="Arial" w:cs="Arial"/>
                <w:sz w:val="18"/>
                <w:szCs w:val="18"/>
                <w:lang w:eastAsia="en-GB"/>
              </w:rPr>
              <w:t>0</w:t>
            </w:r>
            <w:r w:rsidRPr="00522B7E">
              <w:rPr>
                <w:rFonts w:ascii="Arial" w:eastAsia="Times New Roman" w:hAnsi="Arial" w:cs="Arial"/>
                <w:sz w:val="18"/>
                <w:szCs w:val="18"/>
                <w:lang w:eastAsia="en-GB"/>
              </w:rPr>
              <w:t>.</w:t>
            </w:r>
            <w:r w:rsidR="005E1E3C">
              <w:rPr>
                <w:rFonts w:ascii="Arial" w:eastAsia="Times New Roman" w:hAnsi="Arial" w:cs="Arial"/>
                <w:sz w:val="18"/>
                <w:szCs w:val="18"/>
                <w:lang w:eastAsia="en-GB"/>
              </w:rPr>
              <w:t>8</w:t>
            </w:r>
            <w:r w:rsidRPr="00522B7E">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E6B9B8"/>
            <w:noWrap/>
            <w:vAlign w:val="bottom"/>
            <w:hideMark/>
          </w:tcPr>
          <w:p w:rsidR="003633C0" w:rsidRPr="00522B7E" w:rsidRDefault="00303C58"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2</w:t>
            </w:r>
            <w:r w:rsidR="005E1E3C">
              <w:rPr>
                <w:rFonts w:ascii="Arial" w:eastAsia="Times New Roman" w:hAnsi="Arial" w:cs="Arial"/>
                <w:sz w:val="18"/>
                <w:szCs w:val="18"/>
                <w:lang w:eastAsia="en-GB"/>
              </w:rPr>
              <w:t>0</w:t>
            </w:r>
            <w:r w:rsidR="003633C0" w:rsidRPr="00522B7E">
              <w:rPr>
                <w:rFonts w:ascii="Arial" w:eastAsia="Times New Roman" w:hAnsi="Arial" w:cs="Arial"/>
                <w:sz w:val="18"/>
                <w:szCs w:val="18"/>
                <w:lang w:eastAsia="en-GB"/>
              </w:rPr>
              <w:t>.</w:t>
            </w:r>
            <w:r w:rsidR="005E1E3C">
              <w:rPr>
                <w:rFonts w:ascii="Arial" w:eastAsia="Times New Roman" w:hAnsi="Arial" w:cs="Arial"/>
                <w:sz w:val="18"/>
                <w:szCs w:val="18"/>
                <w:lang w:eastAsia="en-GB"/>
              </w:rPr>
              <w:t>5</w:t>
            </w:r>
            <w:r w:rsidR="003633C0" w:rsidRPr="00522B7E">
              <w:rPr>
                <w:rFonts w:ascii="Arial" w:eastAsia="Times New Roman" w:hAnsi="Arial" w:cs="Arial"/>
                <w:sz w:val="18"/>
                <w:szCs w:val="18"/>
                <w:lang w:eastAsia="en-GB"/>
              </w:rPr>
              <w:t>%</w:t>
            </w:r>
          </w:p>
        </w:tc>
        <w:tc>
          <w:tcPr>
            <w:tcW w:w="850" w:type="dxa"/>
            <w:tcBorders>
              <w:top w:val="nil"/>
              <w:left w:val="nil"/>
              <w:bottom w:val="single" w:sz="4" w:space="0" w:color="auto"/>
              <w:right w:val="single" w:sz="4" w:space="0" w:color="auto"/>
            </w:tcBorders>
            <w:shd w:val="clear" w:color="000000" w:fill="E6B9B8"/>
            <w:noWrap/>
            <w:vAlign w:val="bottom"/>
            <w:hideMark/>
          </w:tcPr>
          <w:p w:rsidR="003633C0" w:rsidRPr="00522B7E" w:rsidRDefault="003633C0"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3</w:t>
            </w:r>
            <w:r w:rsidR="005E1E3C">
              <w:rPr>
                <w:rFonts w:ascii="Arial" w:eastAsia="Times New Roman" w:hAnsi="Arial" w:cs="Arial"/>
                <w:sz w:val="18"/>
                <w:szCs w:val="18"/>
                <w:lang w:eastAsia="en-GB"/>
              </w:rPr>
              <w:t>8</w:t>
            </w:r>
            <w:r w:rsidRPr="00522B7E">
              <w:rPr>
                <w:rFonts w:ascii="Arial" w:eastAsia="Times New Roman" w:hAnsi="Arial" w:cs="Arial"/>
                <w:sz w:val="18"/>
                <w:szCs w:val="18"/>
                <w:lang w:eastAsia="en-GB"/>
              </w:rPr>
              <w:t>.</w:t>
            </w:r>
            <w:r w:rsidR="005E1E3C">
              <w:rPr>
                <w:rFonts w:ascii="Arial" w:eastAsia="Times New Roman" w:hAnsi="Arial" w:cs="Arial"/>
                <w:sz w:val="18"/>
                <w:szCs w:val="18"/>
                <w:lang w:eastAsia="en-GB"/>
              </w:rPr>
              <w:t>4</w:t>
            </w:r>
            <w:r w:rsidRPr="00522B7E">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E6B9B8"/>
            <w:noWrap/>
            <w:vAlign w:val="bottom"/>
            <w:hideMark/>
          </w:tcPr>
          <w:p w:rsidR="003633C0" w:rsidRPr="00522B7E" w:rsidRDefault="003633C0"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2</w:t>
            </w:r>
            <w:r w:rsidR="005E1E3C">
              <w:rPr>
                <w:rFonts w:ascii="Arial" w:eastAsia="Times New Roman" w:hAnsi="Arial" w:cs="Arial"/>
                <w:sz w:val="18"/>
                <w:szCs w:val="18"/>
                <w:lang w:eastAsia="en-GB"/>
              </w:rPr>
              <w:t>5</w:t>
            </w:r>
            <w:r w:rsidRPr="00522B7E">
              <w:rPr>
                <w:rFonts w:ascii="Arial" w:eastAsia="Times New Roman" w:hAnsi="Arial" w:cs="Arial"/>
                <w:sz w:val="18"/>
                <w:szCs w:val="18"/>
                <w:lang w:eastAsia="en-GB"/>
              </w:rPr>
              <w:t>.</w:t>
            </w:r>
            <w:r w:rsidR="005E1E3C">
              <w:rPr>
                <w:rFonts w:ascii="Arial" w:eastAsia="Times New Roman" w:hAnsi="Arial" w:cs="Arial"/>
                <w:sz w:val="18"/>
                <w:szCs w:val="18"/>
                <w:lang w:eastAsia="en-GB"/>
              </w:rPr>
              <w:t>8</w:t>
            </w:r>
            <w:r w:rsidRPr="00522B7E">
              <w:rPr>
                <w:rFonts w:ascii="Arial" w:eastAsia="Times New Roman" w:hAnsi="Arial" w:cs="Arial"/>
                <w:sz w:val="18"/>
                <w:szCs w:val="18"/>
                <w:lang w:eastAsia="en-GB"/>
              </w:rPr>
              <w:t>%</w:t>
            </w:r>
          </w:p>
        </w:tc>
        <w:tc>
          <w:tcPr>
            <w:tcW w:w="850" w:type="dxa"/>
            <w:tcBorders>
              <w:top w:val="nil"/>
              <w:left w:val="nil"/>
              <w:bottom w:val="single" w:sz="4" w:space="0" w:color="auto"/>
              <w:right w:val="single" w:sz="4" w:space="0" w:color="auto"/>
            </w:tcBorders>
            <w:shd w:val="clear" w:color="000000" w:fill="E6B9B8"/>
            <w:noWrap/>
            <w:vAlign w:val="bottom"/>
            <w:hideMark/>
          </w:tcPr>
          <w:p w:rsidR="003633C0" w:rsidRPr="00522B7E" w:rsidRDefault="003633C0"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4</w:t>
            </w:r>
            <w:r w:rsidR="005E1E3C">
              <w:rPr>
                <w:rFonts w:ascii="Arial" w:eastAsia="Times New Roman" w:hAnsi="Arial" w:cs="Arial"/>
                <w:sz w:val="18"/>
                <w:szCs w:val="18"/>
                <w:lang w:eastAsia="en-GB"/>
              </w:rPr>
              <w:t>4</w:t>
            </w:r>
            <w:r w:rsidRPr="00522B7E">
              <w:rPr>
                <w:rFonts w:ascii="Arial" w:eastAsia="Times New Roman" w:hAnsi="Arial" w:cs="Arial"/>
                <w:sz w:val="18"/>
                <w:szCs w:val="18"/>
                <w:lang w:eastAsia="en-GB"/>
              </w:rPr>
              <w:t>.</w:t>
            </w:r>
            <w:r w:rsidR="005E1E3C">
              <w:rPr>
                <w:rFonts w:ascii="Arial" w:eastAsia="Times New Roman" w:hAnsi="Arial" w:cs="Arial"/>
                <w:sz w:val="18"/>
                <w:szCs w:val="18"/>
                <w:lang w:eastAsia="en-GB"/>
              </w:rPr>
              <w:t>8</w:t>
            </w:r>
            <w:r w:rsidRPr="00522B7E">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000000" w:fill="E6B9B8"/>
            <w:noWrap/>
            <w:vAlign w:val="bottom"/>
            <w:hideMark/>
          </w:tcPr>
          <w:p w:rsidR="003633C0" w:rsidRPr="00522B7E" w:rsidRDefault="003633C0" w:rsidP="001C2FD6">
            <w:pPr>
              <w:spacing w:after="0"/>
              <w:jc w:val="right"/>
              <w:rPr>
                <w:rFonts w:ascii="Arial" w:eastAsia="Times New Roman" w:hAnsi="Arial" w:cs="Arial"/>
                <w:sz w:val="18"/>
                <w:szCs w:val="18"/>
                <w:lang w:eastAsia="en-GB"/>
              </w:rPr>
            </w:pPr>
            <w:r w:rsidRPr="00522B7E">
              <w:rPr>
                <w:rFonts w:ascii="Arial" w:eastAsia="Times New Roman" w:hAnsi="Arial" w:cs="Arial"/>
                <w:sz w:val="18"/>
                <w:szCs w:val="18"/>
                <w:lang w:eastAsia="en-GB"/>
              </w:rPr>
              <w:t>3</w:t>
            </w:r>
            <w:r w:rsidR="005E1E3C">
              <w:rPr>
                <w:rFonts w:ascii="Arial" w:eastAsia="Times New Roman" w:hAnsi="Arial" w:cs="Arial"/>
                <w:sz w:val="18"/>
                <w:szCs w:val="18"/>
                <w:lang w:eastAsia="en-GB"/>
              </w:rPr>
              <w:t>7</w:t>
            </w:r>
            <w:r w:rsidRPr="00522B7E">
              <w:rPr>
                <w:rFonts w:ascii="Arial" w:eastAsia="Times New Roman" w:hAnsi="Arial" w:cs="Arial"/>
                <w:sz w:val="18"/>
                <w:szCs w:val="18"/>
                <w:lang w:eastAsia="en-GB"/>
              </w:rPr>
              <w:t>.</w:t>
            </w:r>
            <w:r w:rsidR="005E1E3C">
              <w:rPr>
                <w:rFonts w:ascii="Arial" w:eastAsia="Times New Roman" w:hAnsi="Arial" w:cs="Arial"/>
                <w:sz w:val="18"/>
                <w:szCs w:val="18"/>
                <w:lang w:eastAsia="en-GB"/>
              </w:rPr>
              <w:t>5</w:t>
            </w:r>
            <w:r w:rsidRPr="00522B7E">
              <w:rPr>
                <w:rFonts w:ascii="Arial" w:eastAsia="Times New Roman" w:hAnsi="Arial" w:cs="Arial"/>
                <w:sz w:val="18"/>
                <w:szCs w:val="18"/>
                <w:lang w:eastAsia="en-GB"/>
              </w:rPr>
              <w:t>%</w:t>
            </w:r>
          </w:p>
        </w:tc>
        <w:tc>
          <w:tcPr>
            <w:tcW w:w="770" w:type="dxa"/>
            <w:tcBorders>
              <w:top w:val="nil"/>
              <w:left w:val="nil"/>
              <w:bottom w:val="single" w:sz="4" w:space="0" w:color="auto"/>
              <w:right w:val="single" w:sz="4" w:space="0" w:color="auto"/>
            </w:tcBorders>
            <w:shd w:val="clear" w:color="000000" w:fill="E6B9B8"/>
            <w:noWrap/>
            <w:vAlign w:val="bottom"/>
            <w:hideMark/>
          </w:tcPr>
          <w:p w:rsidR="003633C0" w:rsidRPr="00522B7E" w:rsidRDefault="005E1E3C" w:rsidP="001C2FD6">
            <w:pPr>
              <w:spacing w:after="0"/>
              <w:jc w:val="right"/>
              <w:rPr>
                <w:rFonts w:ascii="Arial" w:eastAsia="Times New Roman" w:hAnsi="Arial" w:cs="Arial"/>
                <w:sz w:val="18"/>
                <w:szCs w:val="18"/>
                <w:lang w:eastAsia="en-GB"/>
              </w:rPr>
            </w:pPr>
            <w:r>
              <w:rPr>
                <w:rFonts w:ascii="Arial" w:eastAsia="Times New Roman" w:hAnsi="Arial" w:cs="Arial"/>
                <w:sz w:val="18"/>
                <w:szCs w:val="18"/>
                <w:lang w:eastAsia="en-GB"/>
              </w:rPr>
              <w:t>48</w:t>
            </w:r>
            <w:r w:rsidR="003633C0" w:rsidRPr="00522B7E">
              <w:rPr>
                <w:rFonts w:ascii="Arial" w:eastAsia="Times New Roman" w:hAnsi="Arial" w:cs="Arial"/>
                <w:sz w:val="18"/>
                <w:szCs w:val="18"/>
                <w:lang w:eastAsia="en-GB"/>
              </w:rPr>
              <w:t>.</w:t>
            </w:r>
            <w:r>
              <w:rPr>
                <w:rFonts w:ascii="Arial" w:eastAsia="Times New Roman" w:hAnsi="Arial" w:cs="Arial"/>
                <w:sz w:val="18"/>
                <w:szCs w:val="18"/>
                <w:lang w:eastAsia="en-GB"/>
              </w:rPr>
              <w:t>9</w:t>
            </w:r>
            <w:r w:rsidR="003633C0" w:rsidRPr="00522B7E">
              <w:rPr>
                <w:rFonts w:ascii="Arial" w:eastAsia="Times New Roman" w:hAnsi="Arial" w:cs="Arial"/>
                <w:sz w:val="18"/>
                <w:szCs w:val="18"/>
                <w:lang w:eastAsia="en-GB"/>
              </w:rPr>
              <w:t>%</w:t>
            </w:r>
          </w:p>
        </w:tc>
      </w:tr>
      <w:tr w:rsidR="003633C0" w:rsidRPr="00F45667" w:rsidTr="00EF7CF6">
        <w:trPr>
          <w:trHeight w:val="300"/>
        </w:trPr>
        <w:tc>
          <w:tcPr>
            <w:tcW w:w="1276" w:type="dxa"/>
            <w:vMerge w:val="restart"/>
            <w:tcBorders>
              <w:left w:val="single" w:sz="4" w:space="0" w:color="auto"/>
              <w:right w:val="single" w:sz="4" w:space="0" w:color="auto"/>
            </w:tcBorders>
            <w:shd w:val="clear" w:color="auto" w:fill="auto"/>
            <w:vAlign w:val="center"/>
            <w:hideMark/>
          </w:tcPr>
          <w:p w:rsidR="003633C0" w:rsidRPr="00AF437C" w:rsidRDefault="003633C0" w:rsidP="001C2FD6">
            <w:pPr>
              <w:spacing w:after="0"/>
              <w:rPr>
                <w:rFonts w:ascii="Arial" w:eastAsia="Times New Roman" w:hAnsi="Arial" w:cs="Arial"/>
                <w:b/>
                <w:color w:val="000000"/>
                <w:sz w:val="18"/>
                <w:szCs w:val="18"/>
                <w:lang w:eastAsia="en-GB"/>
              </w:rPr>
            </w:pPr>
            <w:r w:rsidRPr="00AF437C">
              <w:rPr>
                <w:rFonts w:ascii="Arial" w:eastAsia="Times New Roman" w:hAnsi="Arial" w:cs="Arial"/>
                <w:b/>
                <w:color w:val="000000"/>
                <w:sz w:val="18"/>
                <w:szCs w:val="18"/>
                <w:lang w:eastAsia="en-GB"/>
              </w:rPr>
              <w:t>3 years Data Zones 2001</w:t>
            </w:r>
          </w:p>
        </w:tc>
        <w:tc>
          <w:tcPr>
            <w:tcW w:w="2552" w:type="dxa"/>
            <w:tcBorders>
              <w:top w:val="nil"/>
              <w:left w:val="nil"/>
              <w:bottom w:val="single" w:sz="4" w:space="0" w:color="auto"/>
              <w:right w:val="single" w:sz="4" w:space="0" w:color="auto"/>
            </w:tcBorders>
            <w:shd w:val="clear" w:color="auto" w:fill="D6E3BC" w:themeFill="accent3" w:themeFillTint="66"/>
            <w:noWrap/>
            <w:vAlign w:val="center"/>
            <w:hideMark/>
          </w:tcPr>
          <w:p w:rsidR="003633C0" w:rsidRPr="00F45667" w:rsidRDefault="003633C0"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supply model</w:t>
            </w:r>
            <w:r>
              <w:rPr>
                <w:rFonts w:ascii="Arial" w:eastAsia="Times New Roman" w:hAnsi="Arial" w:cs="Arial"/>
                <w:color w:val="000000"/>
                <w:sz w:val="18"/>
                <w:szCs w:val="18"/>
                <w:lang w:eastAsia="en-GB"/>
              </w:rPr>
              <w:t xml:space="preserve"> (IPACX &amp; OPACX)</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4.7%</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1.2%</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10.3%</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1.6%</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8.2%</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sz w:val="18"/>
                <w:szCs w:val="18"/>
                <w:lang w:eastAsia="en-GB"/>
              </w:rPr>
            </w:pPr>
            <w:r w:rsidRPr="00EF7CF6">
              <w:rPr>
                <w:rFonts w:ascii="Arial" w:eastAsia="Times New Roman" w:hAnsi="Arial" w:cs="Arial"/>
                <w:sz w:val="18"/>
                <w:szCs w:val="18"/>
                <w:lang w:eastAsia="en-GB"/>
              </w:rPr>
              <w:t>5.8%</w:t>
            </w:r>
          </w:p>
        </w:tc>
        <w:tc>
          <w:tcPr>
            <w:tcW w:w="77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39.8%</w:t>
            </w:r>
          </w:p>
        </w:tc>
      </w:tr>
      <w:tr w:rsidR="003633C0" w:rsidRPr="00F45667" w:rsidTr="00EF7CF6">
        <w:trPr>
          <w:trHeight w:val="300"/>
        </w:trPr>
        <w:tc>
          <w:tcPr>
            <w:tcW w:w="1276" w:type="dxa"/>
            <w:vMerge/>
            <w:tcBorders>
              <w:left w:val="single" w:sz="4" w:space="0" w:color="auto"/>
              <w:right w:val="single" w:sz="4" w:space="0" w:color="auto"/>
            </w:tcBorders>
            <w:shd w:val="clear" w:color="auto" w:fill="auto"/>
            <w:vAlign w:val="center"/>
            <w:hideMark/>
          </w:tcPr>
          <w:p w:rsidR="003633C0" w:rsidRPr="00F45667" w:rsidRDefault="003633C0" w:rsidP="001C2FD6">
            <w:pPr>
              <w:spacing w:after="0"/>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auto" w:fill="D6E3BC" w:themeFill="accent3" w:themeFillTint="66"/>
            <w:noWrap/>
            <w:vAlign w:val="center"/>
            <w:hideMark/>
          </w:tcPr>
          <w:p w:rsidR="003633C0" w:rsidRPr="00F45667" w:rsidRDefault="003633C0"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w:t>
            </w:r>
            <w:r>
              <w:rPr>
                <w:rFonts w:ascii="Arial" w:eastAsia="Times New Roman" w:hAnsi="Arial" w:cs="Arial"/>
                <w:color w:val="000000"/>
                <w:sz w:val="18"/>
                <w:szCs w:val="18"/>
                <w:lang w:eastAsia="en-GB"/>
              </w:rPr>
              <w:t xml:space="preserve">(IPACX &amp; OPACX) </w:t>
            </w:r>
            <w:r w:rsidRPr="00F45667">
              <w:rPr>
                <w:rFonts w:ascii="Arial" w:eastAsia="Times New Roman" w:hAnsi="Arial" w:cs="Arial"/>
                <w:color w:val="000000"/>
                <w:sz w:val="18"/>
                <w:szCs w:val="18"/>
                <w:lang w:eastAsia="en-GB"/>
              </w:rPr>
              <w:t xml:space="preserve">+ SMR </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12.3%</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13.3%</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31.5%</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16.7%</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32.8%</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28.8%</w:t>
            </w:r>
          </w:p>
        </w:tc>
        <w:tc>
          <w:tcPr>
            <w:tcW w:w="77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53.9%</w:t>
            </w:r>
          </w:p>
        </w:tc>
      </w:tr>
      <w:tr w:rsidR="003633C0" w:rsidRPr="00F45667" w:rsidTr="00EF7CF6">
        <w:trPr>
          <w:trHeight w:val="300"/>
        </w:trPr>
        <w:tc>
          <w:tcPr>
            <w:tcW w:w="1276" w:type="dxa"/>
            <w:vMerge/>
            <w:tcBorders>
              <w:left w:val="single" w:sz="4" w:space="0" w:color="auto"/>
              <w:right w:val="single" w:sz="4" w:space="0" w:color="auto"/>
            </w:tcBorders>
            <w:vAlign w:val="center"/>
            <w:hideMark/>
          </w:tcPr>
          <w:p w:rsidR="003633C0" w:rsidRPr="00F45667" w:rsidRDefault="003633C0" w:rsidP="001C2FD6">
            <w:pPr>
              <w:spacing w:after="0"/>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auto" w:fill="D6E3BC" w:themeFill="accent3" w:themeFillTint="66"/>
            <w:noWrap/>
            <w:vAlign w:val="center"/>
            <w:hideMark/>
          </w:tcPr>
          <w:p w:rsidR="003633C0" w:rsidRPr="00F45667" w:rsidRDefault="003633C0"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w:t>
            </w:r>
            <w:r>
              <w:rPr>
                <w:rFonts w:ascii="Arial" w:eastAsia="Times New Roman" w:hAnsi="Arial" w:cs="Arial"/>
                <w:color w:val="000000"/>
                <w:sz w:val="18"/>
                <w:szCs w:val="18"/>
                <w:lang w:eastAsia="en-GB"/>
              </w:rPr>
              <w:t xml:space="preserve">(IPACX &amp; OPACX) </w:t>
            </w:r>
            <w:r w:rsidRPr="00F45667">
              <w:rPr>
                <w:rFonts w:ascii="Arial" w:eastAsia="Times New Roman" w:hAnsi="Arial" w:cs="Arial"/>
                <w:color w:val="000000"/>
                <w:sz w:val="18"/>
                <w:szCs w:val="18"/>
                <w:lang w:eastAsia="en-GB"/>
              </w:rPr>
              <w:t>+ LLTI</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12.3%</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20.0%</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39.3%</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25.4%</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44.4%</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37.7%</w:t>
            </w:r>
          </w:p>
        </w:tc>
        <w:tc>
          <w:tcPr>
            <w:tcW w:w="77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57.6%</w:t>
            </w:r>
          </w:p>
        </w:tc>
      </w:tr>
      <w:tr w:rsidR="003633C0" w:rsidRPr="00F45667" w:rsidTr="00EF7CF6">
        <w:trPr>
          <w:trHeight w:val="300"/>
        </w:trPr>
        <w:tc>
          <w:tcPr>
            <w:tcW w:w="1276" w:type="dxa"/>
            <w:vMerge/>
            <w:tcBorders>
              <w:left w:val="single" w:sz="4" w:space="0" w:color="auto"/>
              <w:right w:val="single" w:sz="4" w:space="0" w:color="auto"/>
            </w:tcBorders>
            <w:vAlign w:val="center"/>
            <w:hideMark/>
          </w:tcPr>
          <w:p w:rsidR="003633C0" w:rsidRPr="00F45667" w:rsidRDefault="003633C0" w:rsidP="001C2FD6">
            <w:pPr>
              <w:spacing w:after="0"/>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auto" w:fill="D6E3BC" w:themeFill="accent3" w:themeFillTint="66"/>
            <w:noWrap/>
            <w:vAlign w:val="center"/>
            <w:hideMark/>
          </w:tcPr>
          <w:p w:rsidR="003633C0" w:rsidRPr="00F45667" w:rsidRDefault="003633C0"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w:t>
            </w:r>
            <w:r>
              <w:rPr>
                <w:rFonts w:ascii="Arial" w:eastAsia="Times New Roman" w:hAnsi="Arial" w:cs="Arial"/>
                <w:color w:val="000000"/>
                <w:sz w:val="18"/>
                <w:szCs w:val="18"/>
                <w:lang w:eastAsia="en-GB"/>
              </w:rPr>
              <w:t xml:space="preserve">(IPACX &amp; OPACX) </w:t>
            </w:r>
            <w:r w:rsidRPr="00F45667">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 xml:space="preserve">SMR + </w:t>
            </w:r>
            <w:r w:rsidRPr="00F45667">
              <w:rPr>
                <w:rFonts w:ascii="Arial" w:eastAsia="Times New Roman" w:hAnsi="Arial" w:cs="Arial"/>
                <w:color w:val="000000"/>
                <w:sz w:val="18"/>
                <w:szCs w:val="18"/>
                <w:lang w:eastAsia="en-GB"/>
              </w:rPr>
              <w:t>LLTI</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EF7CF6" w:rsidRDefault="003633C0" w:rsidP="001C2FD6">
            <w:pPr>
              <w:spacing w:after="0"/>
              <w:jc w:val="right"/>
              <w:rPr>
                <w:rFonts w:ascii="Arial" w:eastAsia="Times New Roman" w:hAnsi="Arial" w:cs="Arial"/>
                <w:color w:val="000000"/>
                <w:sz w:val="18"/>
                <w:szCs w:val="18"/>
                <w:lang w:eastAsia="en-GB"/>
              </w:rPr>
            </w:pPr>
            <w:r w:rsidRPr="00EF7CF6">
              <w:rPr>
                <w:rFonts w:ascii="Arial" w:eastAsia="Times New Roman" w:hAnsi="Arial" w:cs="Arial"/>
                <w:color w:val="000000"/>
                <w:sz w:val="18"/>
                <w:szCs w:val="18"/>
                <w:lang w:eastAsia="en-GB"/>
              </w:rPr>
              <w:t>12.</w:t>
            </w:r>
            <w:r>
              <w:rPr>
                <w:rFonts w:ascii="Arial" w:eastAsia="Times New Roman" w:hAnsi="Arial" w:cs="Arial"/>
                <w:color w:val="000000"/>
                <w:sz w:val="18"/>
                <w:szCs w:val="18"/>
                <w:lang w:eastAsia="en-GB"/>
              </w:rPr>
              <w:t>8</w:t>
            </w:r>
            <w:r w:rsidRPr="00EF7CF6">
              <w:rPr>
                <w:rFonts w:ascii="Arial" w:eastAsia="Times New Roman" w:hAnsi="Arial" w:cs="Arial"/>
                <w:color w:val="000000"/>
                <w:sz w:val="18"/>
                <w:szCs w:val="18"/>
                <w:lang w:eastAsia="en-GB"/>
              </w:rPr>
              <w:t>%</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20.</w:t>
            </w:r>
            <w:r>
              <w:rPr>
                <w:rFonts w:ascii="Arial" w:eastAsia="Times New Roman" w:hAnsi="Arial" w:cs="Arial"/>
                <w:sz w:val="18"/>
                <w:szCs w:val="18"/>
                <w:lang w:eastAsia="en-GB"/>
              </w:rPr>
              <w:t>3</w:t>
            </w:r>
            <w:r w:rsidRPr="00F45667">
              <w:rPr>
                <w:rFonts w:ascii="Arial" w:eastAsia="Times New Roman" w:hAnsi="Arial" w:cs="Arial"/>
                <w:sz w:val="18"/>
                <w:szCs w:val="18"/>
                <w:lang w:eastAsia="en-GB"/>
              </w:rPr>
              <w:t>%</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39.</w:t>
            </w:r>
            <w:r>
              <w:rPr>
                <w:rFonts w:ascii="Arial" w:eastAsia="Times New Roman" w:hAnsi="Arial" w:cs="Arial"/>
                <w:sz w:val="18"/>
                <w:szCs w:val="18"/>
                <w:lang w:eastAsia="en-GB"/>
              </w:rPr>
              <w:t>6</w:t>
            </w:r>
            <w:r w:rsidRPr="00F45667">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25.</w:t>
            </w:r>
            <w:r>
              <w:rPr>
                <w:rFonts w:ascii="Arial" w:eastAsia="Times New Roman" w:hAnsi="Arial" w:cs="Arial"/>
                <w:sz w:val="18"/>
                <w:szCs w:val="18"/>
                <w:lang w:eastAsia="en-GB"/>
              </w:rPr>
              <w:t>8</w:t>
            </w:r>
            <w:r w:rsidRPr="00F45667">
              <w:rPr>
                <w:rFonts w:ascii="Arial" w:eastAsia="Times New Roman" w:hAnsi="Arial" w:cs="Arial"/>
                <w:sz w:val="18"/>
                <w:szCs w:val="18"/>
                <w:lang w:eastAsia="en-GB"/>
              </w:rPr>
              <w:t>%</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44.</w:t>
            </w:r>
            <w:r>
              <w:rPr>
                <w:rFonts w:ascii="Arial" w:eastAsia="Times New Roman" w:hAnsi="Arial" w:cs="Arial"/>
                <w:sz w:val="18"/>
                <w:szCs w:val="18"/>
                <w:lang w:eastAsia="en-GB"/>
              </w:rPr>
              <w:t>9</w:t>
            </w:r>
            <w:r w:rsidRPr="00F45667">
              <w:rPr>
                <w:rFonts w:ascii="Arial" w:eastAsia="Times New Roman" w:hAnsi="Arial" w:cs="Arial"/>
                <w:sz w:val="18"/>
                <w:szCs w:val="18"/>
                <w:lang w:eastAsia="en-GB"/>
              </w:rPr>
              <w:t>%</w:t>
            </w:r>
          </w:p>
        </w:tc>
        <w:tc>
          <w:tcPr>
            <w:tcW w:w="851"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w:t>
            </w:r>
            <w:r>
              <w:rPr>
                <w:rFonts w:ascii="Arial" w:eastAsia="Times New Roman" w:hAnsi="Arial" w:cs="Arial"/>
                <w:sz w:val="18"/>
                <w:szCs w:val="18"/>
                <w:lang w:eastAsia="en-GB"/>
              </w:rPr>
              <w:t>8</w:t>
            </w:r>
            <w:r w:rsidRPr="00F45667">
              <w:rPr>
                <w:rFonts w:ascii="Arial" w:eastAsia="Times New Roman" w:hAnsi="Arial" w:cs="Arial"/>
                <w:sz w:val="18"/>
                <w:szCs w:val="18"/>
                <w:lang w:eastAsia="en-GB"/>
              </w:rPr>
              <w:t>.</w:t>
            </w:r>
            <w:r>
              <w:rPr>
                <w:rFonts w:ascii="Arial" w:eastAsia="Times New Roman" w:hAnsi="Arial" w:cs="Arial"/>
                <w:sz w:val="18"/>
                <w:szCs w:val="18"/>
                <w:lang w:eastAsia="en-GB"/>
              </w:rPr>
              <w:t>6</w:t>
            </w:r>
            <w:r w:rsidRPr="00F45667">
              <w:rPr>
                <w:rFonts w:ascii="Arial" w:eastAsia="Times New Roman" w:hAnsi="Arial" w:cs="Arial"/>
                <w:sz w:val="18"/>
                <w:szCs w:val="18"/>
                <w:lang w:eastAsia="en-GB"/>
              </w:rPr>
              <w:t>%</w:t>
            </w:r>
          </w:p>
        </w:tc>
        <w:tc>
          <w:tcPr>
            <w:tcW w:w="770" w:type="dxa"/>
            <w:tcBorders>
              <w:top w:val="nil"/>
              <w:left w:val="nil"/>
              <w:bottom w:val="single" w:sz="4" w:space="0" w:color="auto"/>
              <w:right w:val="single" w:sz="4" w:space="0" w:color="auto"/>
            </w:tcBorders>
            <w:shd w:val="clear" w:color="auto" w:fill="D6E3BC" w:themeFill="accent3" w:themeFillTint="66"/>
            <w:noWrap/>
            <w:vAlign w:val="bottom"/>
            <w:hideMark/>
          </w:tcPr>
          <w:p w:rsidR="003633C0" w:rsidRPr="00F45667" w:rsidRDefault="003633C0" w:rsidP="001C2FD6">
            <w:pPr>
              <w:spacing w:after="0"/>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57.6%</w:t>
            </w:r>
          </w:p>
        </w:tc>
      </w:tr>
      <w:tr w:rsidR="003633C0" w:rsidRPr="00F45667" w:rsidTr="00EF7CF6">
        <w:trPr>
          <w:trHeight w:val="300"/>
        </w:trPr>
        <w:tc>
          <w:tcPr>
            <w:tcW w:w="1276" w:type="dxa"/>
            <w:vMerge/>
            <w:tcBorders>
              <w:left w:val="single" w:sz="4" w:space="0" w:color="auto"/>
              <w:bottom w:val="single" w:sz="4" w:space="0" w:color="auto"/>
              <w:right w:val="single" w:sz="4" w:space="0" w:color="auto"/>
            </w:tcBorders>
            <w:vAlign w:val="center"/>
            <w:hideMark/>
          </w:tcPr>
          <w:p w:rsidR="003633C0" w:rsidRPr="00F45667" w:rsidRDefault="003633C0" w:rsidP="001C2FD6">
            <w:pPr>
              <w:spacing w:after="0"/>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000000" w:fill="E6B9B8"/>
            <w:noWrap/>
            <w:vAlign w:val="center"/>
            <w:hideMark/>
          </w:tcPr>
          <w:p w:rsidR="003633C0" w:rsidRPr="00F45667" w:rsidRDefault="003633C0" w:rsidP="001C2FD6">
            <w:pPr>
              <w:spacing w:after="0"/>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w:t>
            </w:r>
            <w:r>
              <w:rPr>
                <w:rFonts w:ascii="Arial" w:eastAsia="Times New Roman" w:hAnsi="Arial" w:cs="Arial"/>
                <w:color w:val="000000"/>
                <w:sz w:val="18"/>
                <w:szCs w:val="18"/>
                <w:lang w:eastAsia="en-GB"/>
              </w:rPr>
              <w:t xml:space="preserve">(IPACX &amp; OPACX) </w:t>
            </w:r>
            <w:r w:rsidRPr="00F45667">
              <w:rPr>
                <w:rFonts w:ascii="Arial" w:eastAsia="Times New Roman" w:hAnsi="Arial" w:cs="Arial"/>
                <w:color w:val="000000"/>
                <w:sz w:val="18"/>
                <w:szCs w:val="18"/>
                <w:lang w:eastAsia="en-GB"/>
              </w:rPr>
              <w:t>+ current index</w:t>
            </w:r>
          </w:p>
        </w:tc>
        <w:tc>
          <w:tcPr>
            <w:tcW w:w="850" w:type="dxa"/>
            <w:tcBorders>
              <w:top w:val="nil"/>
              <w:left w:val="nil"/>
              <w:bottom w:val="single" w:sz="4" w:space="0" w:color="auto"/>
              <w:right w:val="single" w:sz="4" w:space="0" w:color="auto"/>
            </w:tcBorders>
            <w:shd w:val="clear" w:color="000000" w:fill="E6B9B8"/>
            <w:noWrap/>
            <w:vAlign w:val="bottom"/>
            <w:hideMark/>
          </w:tcPr>
          <w:p w:rsidR="003633C0" w:rsidRPr="00F45667" w:rsidRDefault="003633C0" w:rsidP="001C2FD6">
            <w:pPr>
              <w:spacing w:after="0"/>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12.8%</w:t>
            </w:r>
          </w:p>
        </w:tc>
        <w:tc>
          <w:tcPr>
            <w:tcW w:w="851" w:type="dxa"/>
            <w:tcBorders>
              <w:top w:val="nil"/>
              <w:left w:val="nil"/>
              <w:bottom w:val="single" w:sz="4" w:space="0" w:color="auto"/>
              <w:right w:val="single" w:sz="4" w:space="0" w:color="auto"/>
            </w:tcBorders>
            <w:shd w:val="clear" w:color="000000" w:fill="E6B9B8"/>
            <w:noWrap/>
            <w:vAlign w:val="bottom"/>
            <w:hideMark/>
          </w:tcPr>
          <w:p w:rsidR="003633C0" w:rsidRPr="00EF7CF6" w:rsidRDefault="003633C0" w:rsidP="001C2FD6">
            <w:pPr>
              <w:spacing w:after="0"/>
              <w:jc w:val="right"/>
              <w:rPr>
                <w:rFonts w:ascii="Arial" w:eastAsia="Times New Roman" w:hAnsi="Arial" w:cs="Arial"/>
                <w:sz w:val="18"/>
                <w:szCs w:val="18"/>
                <w:lang w:eastAsia="en-GB"/>
              </w:rPr>
            </w:pPr>
            <w:r w:rsidRPr="00EF7CF6">
              <w:rPr>
                <w:rFonts w:ascii="Arial" w:eastAsia="Times New Roman" w:hAnsi="Arial" w:cs="Arial"/>
                <w:sz w:val="18"/>
                <w:szCs w:val="18"/>
                <w:lang w:eastAsia="en-GB"/>
              </w:rPr>
              <w:t>18.9%</w:t>
            </w:r>
          </w:p>
        </w:tc>
        <w:tc>
          <w:tcPr>
            <w:tcW w:w="850" w:type="dxa"/>
            <w:tcBorders>
              <w:top w:val="nil"/>
              <w:left w:val="nil"/>
              <w:bottom w:val="single" w:sz="4" w:space="0" w:color="auto"/>
              <w:right w:val="single" w:sz="4" w:space="0" w:color="auto"/>
            </w:tcBorders>
            <w:shd w:val="clear" w:color="000000" w:fill="E6B9B8"/>
            <w:noWrap/>
            <w:vAlign w:val="bottom"/>
            <w:hideMark/>
          </w:tcPr>
          <w:p w:rsidR="003633C0" w:rsidRPr="00EF7CF6" w:rsidRDefault="003633C0" w:rsidP="001C2FD6">
            <w:pPr>
              <w:spacing w:after="0"/>
              <w:jc w:val="right"/>
              <w:rPr>
                <w:rFonts w:ascii="Arial" w:eastAsia="Times New Roman" w:hAnsi="Arial" w:cs="Arial"/>
                <w:sz w:val="18"/>
                <w:szCs w:val="18"/>
                <w:lang w:eastAsia="en-GB"/>
              </w:rPr>
            </w:pPr>
            <w:r w:rsidRPr="00EF7CF6">
              <w:rPr>
                <w:rFonts w:ascii="Arial" w:eastAsia="Times New Roman" w:hAnsi="Arial" w:cs="Arial"/>
                <w:sz w:val="18"/>
                <w:szCs w:val="18"/>
                <w:lang w:eastAsia="en-GB"/>
              </w:rPr>
              <w:t>38.1%</w:t>
            </w:r>
          </w:p>
        </w:tc>
        <w:tc>
          <w:tcPr>
            <w:tcW w:w="851" w:type="dxa"/>
            <w:tcBorders>
              <w:top w:val="nil"/>
              <w:left w:val="nil"/>
              <w:bottom w:val="single" w:sz="4" w:space="0" w:color="auto"/>
              <w:right w:val="single" w:sz="4" w:space="0" w:color="auto"/>
            </w:tcBorders>
            <w:shd w:val="clear" w:color="000000" w:fill="E6B9B8"/>
            <w:noWrap/>
            <w:vAlign w:val="bottom"/>
            <w:hideMark/>
          </w:tcPr>
          <w:p w:rsidR="003633C0" w:rsidRPr="00EF7CF6" w:rsidRDefault="003633C0" w:rsidP="001C2FD6">
            <w:pPr>
              <w:spacing w:after="0"/>
              <w:jc w:val="right"/>
              <w:rPr>
                <w:rFonts w:ascii="Arial" w:eastAsia="Times New Roman" w:hAnsi="Arial" w:cs="Arial"/>
                <w:sz w:val="18"/>
                <w:szCs w:val="18"/>
                <w:lang w:eastAsia="en-GB"/>
              </w:rPr>
            </w:pPr>
            <w:r w:rsidRPr="00EF7CF6">
              <w:rPr>
                <w:rFonts w:ascii="Arial" w:eastAsia="Times New Roman" w:hAnsi="Arial" w:cs="Arial"/>
                <w:sz w:val="18"/>
                <w:szCs w:val="18"/>
                <w:lang w:eastAsia="en-GB"/>
              </w:rPr>
              <w:t>24.0%</w:t>
            </w:r>
          </w:p>
        </w:tc>
        <w:tc>
          <w:tcPr>
            <w:tcW w:w="850" w:type="dxa"/>
            <w:tcBorders>
              <w:top w:val="nil"/>
              <w:left w:val="nil"/>
              <w:bottom w:val="single" w:sz="4" w:space="0" w:color="auto"/>
              <w:right w:val="single" w:sz="4" w:space="0" w:color="auto"/>
            </w:tcBorders>
            <w:shd w:val="clear" w:color="000000" w:fill="E6B9B8"/>
            <w:noWrap/>
            <w:vAlign w:val="bottom"/>
            <w:hideMark/>
          </w:tcPr>
          <w:p w:rsidR="003633C0" w:rsidRPr="00EF7CF6" w:rsidRDefault="003633C0" w:rsidP="001C2FD6">
            <w:pPr>
              <w:spacing w:after="0"/>
              <w:jc w:val="right"/>
              <w:rPr>
                <w:rFonts w:ascii="Arial" w:eastAsia="Times New Roman" w:hAnsi="Arial" w:cs="Arial"/>
                <w:sz w:val="18"/>
                <w:szCs w:val="18"/>
                <w:lang w:eastAsia="en-GB"/>
              </w:rPr>
            </w:pPr>
            <w:r w:rsidRPr="00EF7CF6">
              <w:rPr>
                <w:rFonts w:ascii="Arial" w:eastAsia="Times New Roman" w:hAnsi="Arial" w:cs="Arial"/>
                <w:sz w:val="18"/>
                <w:szCs w:val="18"/>
                <w:lang w:eastAsia="en-GB"/>
              </w:rPr>
              <w:t>42.5%</w:t>
            </w:r>
          </w:p>
        </w:tc>
        <w:tc>
          <w:tcPr>
            <w:tcW w:w="851" w:type="dxa"/>
            <w:tcBorders>
              <w:top w:val="nil"/>
              <w:left w:val="nil"/>
              <w:bottom w:val="single" w:sz="4" w:space="0" w:color="auto"/>
              <w:right w:val="single" w:sz="4" w:space="0" w:color="auto"/>
            </w:tcBorders>
            <w:shd w:val="clear" w:color="000000" w:fill="E6B9B8"/>
            <w:noWrap/>
            <w:vAlign w:val="bottom"/>
            <w:hideMark/>
          </w:tcPr>
          <w:p w:rsidR="003633C0" w:rsidRPr="00EF7CF6" w:rsidRDefault="003633C0" w:rsidP="001C2FD6">
            <w:pPr>
              <w:spacing w:after="0"/>
              <w:jc w:val="right"/>
              <w:rPr>
                <w:rFonts w:ascii="Arial" w:eastAsia="Times New Roman" w:hAnsi="Arial" w:cs="Arial"/>
                <w:sz w:val="18"/>
                <w:szCs w:val="18"/>
                <w:lang w:eastAsia="en-GB"/>
              </w:rPr>
            </w:pPr>
            <w:r w:rsidRPr="00EF7CF6">
              <w:rPr>
                <w:rFonts w:ascii="Arial" w:eastAsia="Times New Roman" w:hAnsi="Arial" w:cs="Arial"/>
                <w:sz w:val="18"/>
                <w:szCs w:val="18"/>
                <w:lang w:eastAsia="en-GB"/>
              </w:rPr>
              <w:t>37.0%</w:t>
            </w:r>
          </w:p>
        </w:tc>
        <w:tc>
          <w:tcPr>
            <w:tcW w:w="770" w:type="dxa"/>
            <w:tcBorders>
              <w:top w:val="nil"/>
              <w:left w:val="nil"/>
              <w:bottom w:val="single" w:sz="4" w:space="0" w:color="auto"/>
              <w:right w:val="single" w:sz="4" w:space="0" w:color="auto"/>
            </w:tcBorders>
            <w:shd w:val="clear" w:color="000000" w:fill="E6B9B8"/>
            <w:noWrap/>
            <w:vAlign w:val="bottom"/>
            <w:hideMark/>
          </w:tcPr>
          <w:p w:rsidR="003633C0" w:rsidRPr="00EF7CF6" w:rsidRDefault="003633C0" w:rsidP="001C2FD6">
            <w:pPr>
              <w:spacing w:after="0"/>
              <w:jc w:val="right"/>
              <w:rPr>
                <w:rFonts w:ascii="Arial" w:eastAsia="Times New Roman" w:hAnsi="Arial" w:cs="Arial"/>
                <w:sz w:val="18"/>
                <w:szCs w:val="18"/>
                <w:lang w:eastAsia="en-GB"/>
              </w:rPr>
            </w:pPr>
            <w:r w:rsidRPr="00EF7CF6">
              <w:rPr>
                <w:rFonts w:ascii="Arial" w:eastAsia="Times New Roman" w:hAnsi="Arial" w:cs="Arial"/>
                <w:sz w:val="18"/>
                <w:szCs w:val="18"/>
                <w:lang w:eastAsia="en-GB"/>
              </w:rPr>
              <w:t>56.3%</w:t>
            </w:r>
          </w:p>
        </w:tc>
      </w:tr>
      <w:bookmarkEnd w:id="0"/>
    </w:tbl>
    <w:p w:rsidR="001C6047" w:rsidRDefault="001C6047" w:rsidP="001C2FD6">
      <w:pPr>
        <w:spacing w:after="0"/>
        <w:jc w:val="both"/>
        <w:rPr>
          <w:rFonts w:ascii="Arial" w:hAnsi="Arial" w:cs="Arial"/>
        </w:rPr>
      </w:pPr>
    </w:p>
    <w:p w:rsidR="001C6047" w:rsidRDefault="00D27BEC" w:rsidP="001C2FD6">
      <w:pPr>
        <w:spacing w:after="0"/>
        <w:jc w:val="both"/>
        <w:rPr>
          <w:rFonts w:ascii="Arial" w:hAnsi="Arial" w:cs="Arial"/>
        </w:rPr>
      </w:pPr>
      <w:r>
        <w:rPr>
          <w:rFonts w:ascii="Arial" w:hAnsi="Arial" w:cs="Arial"/>
        </w:rPr>
        <w:t xml:space="preserve">The regression results </w:t>
      </w:r>
      <w:r w:rsidR="00180CFC" w:rsidRPr="00180CFC">
        <w:rPr>
          <w:rFonts w:ascii="Arial" w:hAnsi="Arial" w:cs="Arial"/>
        </w:rPr>
        <w:t>suggest tha</w:t>
      </w:r>
      <w:r w:rsidR="002D189E">
        <w:rPr>
          <w:rFonts w:ascii="Arial" w:hAnsi="Arial" w:cs="Arial"/>
        </w:rPr>
        <w:t>t</w:t>
      </w:r>
      <w:r w:rsidR="00E50826">
        <w:rPr>
          <w:rFonts w:ascii="Arial" w:hAnsi="Arial" w:cs="Arial"/>
        </w:rPr>
        <w:t>, at both geographies,</w:t>
      </w:r>
      <w:r w:rsidR="002D189E">
        <w:rPr>
          <w:rFonts w:ascii="Arial" w:hAnsi="Arial" w:cs="Arial"/>
        </w:rPr>
        <w:t xml:space="preserve"> SMR is</w:t>
      </w:r>
      <w:r w:rsidR="00E50826">
        <w:rPr>
          <w:rFonts w:ascii="Arial" w:hAnsi="Arial" w:cs="Arial"/>
        </w:rPr>
        <w:t xml:space="preserve"> mostly</w:t>
      </w:r>
      <w:r w:rsidR="002D189E">
        <w:rPr>
          <w:rFonts w:ascii="Arial" w:hAnsi="Arial" w:cs="Arial"/>
        </w:rPr>
        <w:t xml:space="preserve"> a weaker predictor of c</w:t>
      </w:r>
      <w:r w:rsidR="00180CFC" w:rsidRPr="00180CFC">
        <w:rPr>
          <w:rFonts w:ascii="Arial" w:hAnsi="Arial" w:cs="Arial"/>
        </w:rPr>
        <w:t>os</w:t>
      </w:r>
      <w:r w:rsidR="002D189E">
        <w:rPr>
          <w:rFonts w:ascii="Arial" w:hAnsi="Arial" w:cs="Arial"/>
        </w:rPr>
        <w:t>t ratios compared to</w:t>
      </w:r>
      <w:r w:rsidR="00F15CE2">
        <w:rPr>
          <w:rFonts w:ascii="Arial" w:hAnsi="Arial" w:cs="Arial"/>
        </w:rPr>
        <w:t xml:space="preserve"> the</w:t>
      </w:r>
      <w:r w:rsidR="002D189E">
        <w:rPr>
          <w:rFonts w:ascii="Arial" w:hAnsi="Arial" w:cs="Arial"/>
        </w:rPr>
        <w:t xml:space="preserve"> LLTI r</w:t>
      </w:r>
      <w:r>
        <w:rPr>
          <w:rFonts w:ascii="Arial" w:hAnsi="Arial" w:cs="Arial"/>
        </w:rPr>
        <w:t>atio</w:t>
      </w:r>
      <w:r w:rsidR="002D189E">
        <w:rPr>
          <w:rFonts w:ascii="Arial" w:hAnsi="Arial" w:cs="Arial"/>
        </w:rPr>
        <w:t xml:space="preserve">. SMR and LLTI </w:t>
      </w:r>
      <w:r w:rsidR="00180CFC" w:rsidRPr="00180CFC">
        <w:rPr>
          <w:rFonts w:ascii="Arial" w:hAnsi="Arial" w:cs="Arial"/>
        </w:rPr>
        <w:t xml:space="preserve">are </w:t>
      </w:r>
      <w:r w:rsidR="00691B12">
        <w:rPr>
          <w:rFonts w:ascii="Arial" w:hAnsi="Arial" w:cs="Arial"/>
        </w:rPr>
        <w:t xml:space="preserve">however </w:t>
      </w:r>
      <w:r w:rsidR="00180CFC" w:rsidRPr="00180CFC">
        <w:rPr>
          <w:rFonts w:ascii="Arial" w:hAnsi="Arial" w:cs="Arial"/>
        </w:rPr>
        <w:t>highly correlated</w:t>
      </w:r>
      <w:r w:rsidR="005B6A94">
        <w:rPr>
          <w:rFonts w:ascii="Arial" w:hAnsi="Arial" w:cs="Arial"/>
        </w:rPr>
        <w:t xml:space="preserve">, </w:t>
      </w:r>
      <w:r w:rsidR="00180CFC" w:rsidRPr="00180CFC">
        <w:rPr>
          <w:rFonts w:ascii="Arial" w:hAnsi="Arial" w:cs="Arial"/>
        </w:rPr>
        <w:t xml:space="preserve">which explains </w:t>
      </w:r>
      <w:r w:rsidR="00587203">
        <w:rPr>
          <w:rFonts w:ascii="Arial" w:hAnsi="Arial" w:cs="Arial"/>
        </w:rPr>
        <w:t xml:space="preserve">why </w:t>
      </w:r>
      <w:r w:rsidR="00180CFC" w:rsidRPr="00180CFC">
        <w:rPr>
          <w:rFonts w:ascii="Arial" w:hAnsi="Arial" w:cs="Arial"/>
        </w:rPr>
        <w:t xml:space="preserve">the adjusted R-squared values </w:t>
      </w:r>
      <w:r w:rsidR="00587203">
        <w:rPr>
          <w:rFonts w:ascii="Arial" w:hAnsi="Arial" w:cs="Arial"/>
        </w:rPr>
        <w:t xml:space="preserve">are not </w:t>
      </w:r>
      <w:r w:rsidR="002F19FA">
        <w:rPr>
          <w:rFonts w:ascii="Arial" w:hAnsi="Arial" w:cs="Arial"/>
        </w:rPr>
        <w:t>substantially higher</w:t>
      </w:r>
      <w:r w:rsidR="00587203">
        <w:rPr>
          <w:rFonts w:ascii="Arial" w:hAnsi="Arial" w:cs="Arial"/>
        </w:rPr>
        <w:t xml:space="preserve"> when combining </w:t>
      </w:r>
      <w:r w:rsidR="00180CFC" w:rsidRPr="00180CFC">
        <w:rPr>
          <w:rFonts w:ascii="Arial" w:hAnsi="Arial" w:cs="Arial"/>
        </w:rPr>
        <w:t>both variables</w:t>
      </w:r>
      <w:r>
        <w:rPr>
          <w:rFonts w:ascii="Arial" w:hAnsi="Arial" w:cs="Arial"/>
        </w:rPr>
        <w:t xml:space="preserve"> in an index</w:t>
      </w:r>
      <w:r w:rsidR="00180CFC" w:rsidRPr="00180CFC">
        <w:rPr>
          <w:rFonts w:ascii="Arial" w:hAnsi="Arial" w:cs="Arial"/>
        </w:rPr>
        <w:t>.</w:t>
      </w:r>
      <w:r w:rsidR="001A6414">
        <w:rPr>
          <w:rFonts w:ascii="Arial" w:hAnsi="Arial" w:cs="Arial"/>
        </w:rPr>
        <w:t xml:space="preserve"> </w:t>
      </w:r>
    </w:p>
    <w:p w:rsidR="008F41C5" w:rsidRDefault="008F41C5" w:rsidP="001C2FD6">
      <w:pPr>
        <w:spacing w:after="0"/>
        <w:jc w:val="both"/>
        <w:rPr>
          <w:rFonts w:ascii="Arial" w:eastAsia="Times New Roman" w:hAnsi="Arial" w:cs="Arial"/>
          <w:color w:val="000000"/>
          <w:lang w:eastAsia="en-GB"/>
        </w:rPr>
      </w:pPr>
    </w:p>
    <w:p w:rsidR="006E2C11" w:rsidRDefault="00E50826" w:rsidP="001C2FD6">
      <w:pPr>
        <w:spacing w:after="0"/>
        <w:jc w:val="both"/>
        <w:rPr>
          <w:rFonts w:ascii="Arial" w:eastAsia="Times New Roman" w:hAnsi="Arial" w:cs="Arial"/>
          <w:color w:val="000000"/>
          <w:lang w:eastAsia="en-GB"/>
        </w:rPr>
      </w:pPr>
      <w:r>
        <w:rPr>
          <w:rFonts w:ascii="Arial" w:eastAsia="Times New Roman" w:hAnsi="Arial" w:cs="Arial"/>
          <w:color w:val="000000"/>
          <w:lang w:eastAsia="en-GB"/>
        </w:rPr>
        <w:t xml:space="preserve">Across all diagnostic groups, </w:t>
      </w:r>
      <w:r w:rsidR="008F41C5">
        <w:rPr>
          <w:rFonts w:ascii="Arial" w:eastAsia="Times New Roman" w:hAnsi="Arial" w:cs="Arial"/>
          <w:color w:val="000000"/>
          <w:lang w:eastAsia="en-GB"/>
        </w:rPr>
        <w:t xml:space="preserve">broadly </w:t>
      </w:r>
      <w:r>
        <w:rPr>
          <w:rFonts w:ascii="Arial" w:eastAsia="Times New Roman" w:hAnsi="Arial" w:cs="Arial"/>
          <w:color w:val="000000"/>
          <w:lang w:eastAsia="en-GB"/>
        </w:rPr>
        <w:t>s</w:t>
      </w:r>
      <w:r w:rsidR="002C0A0A">
        <w:rPr>
          <w:rFonts w:ascii="Arial" w:eastAsia="Times New Roman" w:hAnsi="Arial" w:cs="Arial"/>
          <w:color w:val="000000"/>
          <w:lang w:eastAsia="en-GB"/>
        </w:rPr>
        <w:t xml:space="preserve">imilar </w:t>
      </w:r>
      <w:r w:rsidR="00471B74">
        <w:rPr>
          <w:rFonts w:ascii="Arial" w:eastAsia="Times New Roman" w:hAnsi="Arial" w:cs="Arial"/>
          <w:color w:val="000000"/>
          <w:lang w:eastAsia="en-GB"/>
        </w:rPr>
        <w:t xml:space="preserve">R-squared values are obtained </w:t>
      </w:r>
      <w:r>
        <w:rPr>
          <w:rFonts w:ascii="Arial" w:eastAsia="Times New Roman" w:hAnsi="Arial" w:cs="Arial"/>
          <w:color w:val="000000"/>
          <w:lang w:eastAsia="en-GB"/>
        </w:rPr>
        <w:t>between the DZ2001 and DZ2011 analysis, except Outpatients, which</w:t>
      </w:r>
      <w:r w:rsidR="008F41C5">
        <w:rPr>
          <w:rFonts w:ascii="Arial" w:eastAsia="Times New Roman" w:hAnsi="Arial" w:cs="Arial"/>
          <w:color w:val="000000"/>
          <w:lang w:eastAsia="en-GB"/>
        </w:rPr>
        <w:t xml:space="preserve"> generally</w:t>
      </w:r>
      <w:r>
        <w:rPr>
          <w:rFonts w:ascii="Arial" w:eastAsia="Times New Roman" w:hAnsi="Arial" w:cs="Arial"/>
          <w:color w:val="000000"/>
          <w:lang w:eastAsia="en-GB"/>
        </w:rPr>
        <w:t xml:space="preserve"> has </w:t>
      </w:r>
      <w:r w:rsidR="00471B74">
        <w:rPr>
          <w:rFonts w:ascii="Arial" w:eastAsia="Times New Roman" w:hAnsi="Arial" w:cs="Arial"/>
          <w:color w:val="000000"/>
          <w:lang w:eastAsia="en-GB"/>
        </w:rPr>
        <w:t>lower values</w:t>
      </w:r>
      <w:r>
        <w:rPr>
          <w:rFonts w:ascii="Arial" w:eastAsia="Times New Roman" w:hAnsi="Arial" w:cs="Arial"/>
          <w:color w:val="000000"/>
          <w:lang w:eastAsia="en-GB"/>
        </w:rPr>
        <w:t xml:space="preserve"> at DZ2011</w:t>
      </w:r>
      <w:r w:rsidR="00471B74">
        <w:rPr>
          <w:rFonts w:ascii="Arial" w:eastAsia="Times New Roman" w:hAnsi="Arial" w:cs="Arial"/>
          <w:color w:val="000000"/>
          <w:lang w:eastAsia="en-GB"/>
        </w:rPr>
        <w:t xml:space="preserve">. </w:t>
      </w:r>
      <w:r w:rsidR="008F41C5">
        <w:rPr>
          <w:rFonts w:ascii="Arial" w:eastAsia="Times New Roman" w:hAnsi="Arial" w:cs="Arial"/>
          <w:color w:val="000000"/>
          <w:lang w:eastAsia="en-GB"/>
        </w:rPr>
        <w:t xml:space="preserve"> </w:t>
      </w:r>
    </w:p>
    <w:p w:rsidR="000D3BE0" w:rsidRDefault="000D3BE0" w:rsidP="001C2FD6">
      <w:pPr>
        <w:spacing w:after="0"/>
        <w:jc w:val="both"/>
        <w:rPr>
          <w:rFonts w:ascii="Arial" w:eastAsia="Times New Roman" w:hAnsi="Arial" w:cs="Arial"/>
          <w:color w:val="000000"/>
          <w:lang w:eastAsia="en-GB"/>
        </w:rPr>
      </w:pPr>
    </w:p>
    <w:p w:rsidR="000D3BE0" w:rsidRDefault="000D3BE0" w:rsidP="001C2FD6">
      <w:pPr>
        <w:spacing w:after="0"/>
        <w:jc w:val="both"/>
        <w:rPr>
          <w:rFonts w:ascii="Arial" w:eastAsia="Times New Roman" w:hAnsi="Arial" w:cs="Arial"/>
          <w:color w:val="000000"/>
          <w:lang w:eastAsia="en-GB"/>
        </w:rPr>
      </w:pPr>
      <w:r>
        <w:rPr>
          <w:rFonts w:ascii="Arial" w:eastAsia="Times New Roman" w:hAnsi="Arial" w:cs="Arial"/>
          <w:color w:val="000000"/>
          <w:lang w:eastAsia="en-GB"/>
        </w:rPr>
        <w:lastRenderedPageBreak/>
        <w:t xml:space="preserve">As we would expect, entering the </w:t>
      </w:r>
      <w:r w:rsidR="00793F81">
        <w:rPr>
          <w:rFonts w:ascii="Arial" w:eastAsia="Times New Roman" w:hAnsi="Arial" w:cs="Arial"/>
          <w:color w:val="000000"/>
          <w:lang w:eastAsia="en-GB"/>
        </w:rPr>
        <w:t xml:space="preserve">ION </w:t>
      </w:r>
      <w:r>
        <w:rPr>
          <w:rFonts w:ascii="Arial" w:eastAsia="Times New Roman" w:hAnsi="Arial" w:cs="Arial"/>
          <w:color w:val="000000"/>
          <w:lang w:eastAsia="en-GB"/>
        </w:rPr>
        <w:t xml:space="preserve">variables separately – rather than as a combined z-scores index – increases the R-squared slightly: on average across </w:t>
      </w:r>
      <w:r w:rsidR="00BF60EC">
        <w:rPr>
          <w:rFonts w:ascii="Arial" w:eastAsia="Times New Roman" w:hAnsi="Arial" w:cs="Arial"/>
          <w:color w:val="000000"/>
          <w:lang w:eastAsia="en-GB"/>
        </w:rPr>
        <w:t xml:space="preserve">all </w:t>
      </w:r>
      <w:r>
        <w:rPr>
          <w:rFonts w:ascii="Arial" w:eastAsia="Times New Roman" w:hAnsi="Arial" w:cs="Arial"/>
          <w:color w:val="000000"/>
          <w:lang w:eastAsia="en-GB"/>
        </w:rPr>
        <w:t>diagnostic groups by 0.</w:t>
      </w:r>
      <w:r w:rsidR="00793F81">
        <w:rPr>
          <w:rFonts w:ascii="Arial" w:eastAsia="Times New Roman" w:hAnsi="Arial" w:cs="Arial"/>
          <w:color w:val="000000"/>
          <w:lang w:eastAsia="en-GB"/>
        </w:rPr>
        <w:t>8</w:t>
      </w:r>
      <w:r>
        <w:rPr>
          <w:rFonts w:ascii="Arial" w:eastAsia="Times New Roman" w:hAnsi="Arial" w:cs="Arial"/>
          <w:color w:val="000000"/>
          <w:lang w:eastAsia="en-GB"/>
        </w:rPr>
        <w:t xml:space="preserve"> percentage points or </w:t>
      </w:r>
      <w:r w:rsidR="00793F81">
        <w:rPr>
          <w:rFonts w:ascii="Arial" w:eastAsia="Times New Roman" w:hAnsi="Arial" w:cs="Arial"/>
          <w:color w:val="000000"/>
          <w:lang w:eastAsia="en-GB"/>
        </w:rPr>
        <w:t>2.5</w:t>
      </w:r>
      <w:r>
        <w:rPr>
          <w:rFonts w:ascii="Arial" w:eastAsia="Times New Roman" w:hAnsi="Arial" w:cs="Arial"/>
          <w:color w:val="000000"/>
          <w:lang w:eastAsia="en-GB"/>
        </w:rPr>
        <w:t xml:space="preserve">%.  </w:t>
      </w:r>
    </w:p>
    <w:p w:rsidR="001C6047" w:rsidRDefault="001C6047" w:rsidP="001C2FD6">
      <w:pPr>
        <w:spacing w:after="0"/>
        <w:jc w:val="both"/>
        <w:rPr>
          <w:rFonts w:ascii="Arial" w:hAnsi="Arial" w:cs="Arial"/>
        </w:rPr>
      </w:pPr>
    </w:p>
    <w:p w:rsidR="00691B12" w:rsidRPr="005B1577" w:rsidRDefault="00691B12" w:rsidP="001C2FD6">
      <w:pPr>
        <w:spacing w:after="0"/>
        <w:jc w:val="both"/>
        <w:rPr>
          <w:rFonts w:ascii="Arial" w:hAnsi="Arial" w:cs="Arial"/>
          <w:b/>
          <w:i/>
        </w:rPr>
      </w:pPr>
      <w:r w:rsidRPr="005B1577">
        <w:rPr>
          <w:rFonts w:ascii="Arial" w:hAnsi="Arial" w:cs="Arial"/>
          <w:b/>
          <w:i/>
        </w:rPr>
        <w:t>3.</w:t>
      </w:r>
      <w:r>
        <w:rPr>
          <w:rFonts w:ascii="Arial" w:hAnsi="Arial" w:cs="Arial"/>
          <w:b/>
          <w:i/>
        </w:rPr>
        <w:t>2</w:t>
      </w:r>
      <w:r w:rsidRPr="005B1577">
        <w:rPr>
          <w:rFonts w:ascii="Arial" w:hAnsi="Arial" w:cs="Arial"/>
          <w:b/>
          <w:i/>
        </w:rPr>
        <w:t xml:space="preserve"> </w:t>
      </w:r>
      <w:r>
        <w:rPr>
          <w:rFonts w:ascii="Arial" w:hAnsi="Arial" w:cs="Arial"/>
          <w:b/>
          <w:i/>
        </w:rPr>
        <w:t>Size of the relationship</w:t>
      </w:r>
      <w:r w:rsidR="00696EE8">
        <w:rPr>
          <w:rFonts w:ascii="Arial" w:hAnsi="Arial" w:cs="Arial"/>
          <w:b/>
          <w:i/>
        </w:rPr>
        <w:t>:</w:t>
      </w:r>
    </w:p>
    <w:p w:rsidR="00691B12" w:rsidRDefault="00691B12" w:rsidP="001C2FD6">
      <w:pPr>
        <w:spacing w:after="0"/>
        <w:jc w:val="both"/>
        <w:rPr>
          <w:rFonts w:ascii="Arial" w:hAnsi="Arial" w:cs="Arial"/>
        </w:rPr>
      </w:pPr>
      <w:r>
        <w:rPr>
          <w:rFonts w:ascii="Arial" w:hAnsi="Arial" w:cs="Arial"/>
        </w:rPr>
        <w:t xml:space="preserve">The current </w:t>
      </w:r>
      <w:proofErr w:type="gramStart"/>
      <w:r>
        <w:rPr>
          <w:rFonts w:ascii="Arial" w:hAnsi="Arial" w:cs="Arial"/>
        </w:rPr>
        <w:t>Acute</w:t>
      </w:r>
      <w:proofErr w:type="gramEnd"/>
      <w:r>
        <w:rPr>
          <w:rFonts w:ascii="Arial" w:hAnsi="Arial" w:cs="Arial"/>
        </w:rPr>
        <w:t xml:space="preserve"> needs index coefficients (‘</w:t>
      </w:r>
      <w:r w:rsidRPr="003E5857">
        <w:rPr>
          <w:rFonts w:ascii="Arial" w:hAnsi="Arial" w:cs="Arial"/>
          <w:i/>
        </w:rPr>
        <w:t>B</w:t>
      </w:r>
      <w:r>
        <w:rPr>
          <w:rFonts w:ascii="Arial" w:hAnsi="Arial" w:cs="Arial"/>
        </w:rPr>
        <w:t xml:space="preserve">’) </w:t>
      </w:r>
      <w:r w:rsidR="005B6A94">
        <w:rPr>
          <w:rFonts w:ascii="Arial" w:hAnsi="Arial" w:cs="Arial"/>
        </w:rPr>
        <w:t>obtained from fitting</w:t>
      </w:r>
      <w:r>
        <w:rPr>
          <w:rFonts w:ascii="Arial" w:hAnsi="Arial" w:cs="Arial"/>
        </w:rPr>
        <w:t xml:space="preserve"> the reference model at DZ2011 are shown in Table 3, along with the coefficients obtained at DZ2001 for comparison. We can interpret a coefficient value </w:t>
      </w:r>
      <w:r w:rsidRPr="002F3D90">
        <w:rPr>
          <w:rFonts w:ascii="Arial" w:hAnsi="Arial" w:cs="Arial"/>
          <w:i/>
        </w:rPr>
        <w:t>B</w:t>
      </w:r>
      <w:r>
        <w:rPr>
          <w:rFonts w:ascii="Arial" w:hAnsi="Arial" w:cs="Arial"/>
        </w:rPr>
        <w:t xml:space="preserve"> as meaning that a unit increase in the needs index will be associated with an increase of </w:t>
      </w:r>
      <w:r w:rsidRPr="002F3D90">
        <w:rPr>
          <w:rFonts w:ascii="Arial" w:hAnsi="Arial" w:cs="Arial"/>
          <w:i/>
        </w:rPr>
        <w:t>B</w:t>
      </w:r>
      <w:r>
        <w:rPr>
          <w:rFonts w:ascii="Arial" w:hAnsi="Arial" w:cs="Arial"/>
        </w:rPr>
        <w:t xml:space="preserve"> units to the cost ratio. Thus it gives an indication of the cost ratios’ sensitivity to the needs index and the strength of the relationship.</w:t>
      </w:r>
    </w:p>
    <w:p w:rsidR="00691B12" w:rsidRDefault="00691B12" w:rsidP="001C2FD6">
      <w:pPr>
        <w:spacing w:after="0"/>
        <w:jc w:val="both"/>
        <w:rPr>
          <w:rFonts w:ascii="Arial" w:hAnsi="Arial" w:cs="Arial"/>
        </w:rPr>
      </w:pPr>
    </w:p>
    <w:p w:rsidR="00691B12" w:rsidRDefault="00691B12" w:rsidP="001C2FD6">
      <w:pPr>
        <w:spacing w:after="0"/>
        <w:jc w:val="both"/>
        <w:rPr>
          <w:rFonts w:ascii="Arial" w:hAnsi="Arial" w:cs="Arial"/>
        </w:rPr>
      </w:pPr>
      <w:r>
        <w:rPr>
          <w:rFonts w:ascii="Arial" w:hAnsi="Arial" w:cs="Arial"/>
        </w:rPr>
        <w:t>All coefficients are significantly different from 0, but are not particularly high. A 95% confidence interval for the coefficients is given; it appears that these intervals are quite narrow. The highest coefficient values are for Respiratory, Injury, Digestive and Heart; the lowest are for Outpatients and Cancer.</w:t>
      </w:r>
    </w:p>
    <w:p w:rsidR="00691B12" w:rsidRDefault="00691B12" w:rsidP="001C2FD6">
      <w:pPr>
        <w:spacing w:after="0"/>
        <w:jc w:val="both"/>
        <w:rPr>
          <w:rFonts w:ascii="Arial" w:hAnsi="Arial" w:cs="Arial"/>
        </w:rPr>
      </w:pPr>
    </w:p>
    <w:p w:rsidR="00691B12" w:rsidRDefault="00691B12" w:rsidP="001C2FD6">
      <w:pPr>
        <w:spacing w:after="0"/>
        <w:jc w:val="both"/>
        <w:rPr>
          <w:rFonts w:ascii="Arial" w:hAnsi="Arial" w:cs="Arial"/>
        </w:rPr>
      </w:pPr>
      <w:r>
        <w:rPr>
          <w:rFonts w:ascii="Arial" w:hAnsi="Arial" w:cs="Arial"/>
        </w:rPr>
        <w:t>The coefficients for the reference model at DZ2011 are higher than at DZ2001 for all diagnostic groups (although this increase is not significant for Digestive and Respiratory). This suggests a more sensitive response</w:t>
      </w:r>
      <w:r w:rsidR="00793F81">
        <w:rPr>
          <w:rFonts w:ascii="Arial" w:hAnsi="Arial" w:cs="Arial"/>
        </w:rPr>
        <w:t xml:space="preserve">: on average across all diagnostic groups the increase in the coefficient is around 8%.  </w:t>
      </w:r>
    </w:p>
    <w:p w:rsidR="00691B12" w:rsidRPr="0040698B" w:rsidRDefault="00691B12" w:rsidP="001C2FD6">
      <w:pPr>
        <w:spacing w:after="0"/>
        <w:jc w:val="both"/>
        <w:rPr>
          <w:rFonts w:ascii="Arial" w:hAnsi="Arial" w:cs="Arial"/>
        </w:rPr>
      </w:pPr>
    </w:p>
    <w:p w:rsidR="00691B12" w:rsidRPr="00CE1FD7" w:rsidRDefault="00691B12" w:rsidP="001C2FD6">
      <w:pPr>
        <w:spacing w:after="0"/>
        <w:rPr>
          <w:rFonts w:ascii="Arial" w:hAnsi="Arial" w:cs="Arial"/>
          <w:i/>
        </w:rPr>
      </w:pPr>
      <w:proofErr w:type="gramStart"/>
      <w:r w:rsidRPr="00180CFC">
        <w:rPr>
          <w:rFonts w:ascii="Arial" w:hAnsi="Arial" w:cs="Arial"/>
          <w:i/>
        </w:rPr>
        <w:t xml:space="preserve">Table </w:t>
      </w:r>
      <w:r>
        <w:rPr>
          <w:rFonts w:ascii="Arial" w:hAnsi="Arial" w:cs="Arial"/>
          <w:i/>
        </w:rPr>
        <w:t>3</w:t>
      </w:r>
      <w:r w:rsidRPr="00180CFC">
        <w:rPr>
          <w:rFonts w:ascii="Arial" w:hAnsi="Arial" w:cs="Arial"/>
          <w:i/>
        </w:rPr>
        <w:t>.</w:t>
      </w:r>
      <w:proofErr w:type="gramEnd"/>
      <w:r w:rsidRPr="00180CFC">
        <w:rPr>
          <w:rFonts w:ascii="Arial" w:hAnsi="Arial" w:cs="Arial"/>
          <w:i/>
        </w:rPr>
        <w:t xml:space="preserve"> </w:t>
      </w:r>
      <w:r>
        <w:rPr>
          <w:rFonts w:ascii="Arial" w:hAnsi="Arial" w:cs="Arial"/>
          <w:i/>
        </w:rPr>
        <w:t xml:space="preserve">Current Acute needs index coefficients for the reference </w:t>
      </w:r>
      <w:r w:rsidRPr="00CE1FD7">
        <w:rPr>
          <w:rFonts w:ascii="Arial" w:hAnsi="Arial" w:cs="Arial"/>
          <w:i/>
        </w:rPr>
        <w:t xml:space="preserve">model at DZ2011 and DZ2001.  </w:t>
      </w:r>
    </w:p>
    <w:tbl>
      <w:tblPr>
        <w:tblW w:w="8137" w:type="dxa"/>
        <w:tblLayout w:type="fixed"/>
        <w:tblLook w:val="04A0"/>
      </w:tblPr>
      <w:tblGrid>
        <w:gridCol w:w="1328"/>
        <w:gridCol w:w="1139"/>
        <w:gridCol w:w="1134"/>
        <w:gridCol w:w="1134"/>
        <w:gridCol w:w="1134"/>
        <w:gridCol w:w="1134"/>
        <w:gridCol w:w="1134"/>
      </w:tblGrid>
      <w:tr w:rsidR="00691B12" w:rsidRPr="00E577A3" w:rsidTr="00691B12">
        <w:trPr>
          <w:trHeight w:val="330"/>
        </w:trPr>
        <w:tc>
          <w:tcPr>
            <w:tcW w:w="1328" w:type="dxa"/>
            <w:vMerge w:val="restart"/>
            <w:tcBorders>
              <w:top w:val="single" w:sz="12" w:space="0" w:color="000000"/>
              <w:left w:val="single" w:sz="12" w:space="0" w:color="000000"/>
              <w:bottom w:val="single" w:sz="12" w:space="0" w:color="000000"/>
              <w:right w:val="nil"/>
            </w:tcBorders>
            <w:shd w:val="clear" w:color="auto" w:fill="auto"/>
            <w:hideMark/>
          </w:tcPr>
          <w:p w:rsidR="00691B12" w:rsidRPr="00E577A3" w:rsidRDefault="00691B12" w:rsidP="001C2FD6">
            <w:pPr>
              <w:spacing w:after="0"/>
              <w:jc w:val="center"/>
              <w:rPr>
                <w:rFonts w:ascii="Arial" w:eastAsia="Times New Roman" w:hAnsi="Arial" w:cs="Arial"/>
                <w:b/>
                <w:bCs/>
                <w:color w:val="000000"/>
                <w:sz w:val="20"/>
                <w:szCs w:val="20"/>
                <w:lang w:eastAsia="en-GB"/>
              </w:rPr>
            </w:pPr>
            <w:bookmarkStart w:id="1" w:name="OLE_LINK2"/>
            <w:r w:rsidRPr="00E577A3">
              <w:rPr>
                <w:rFonts w:ascii="Arial" w:eastAsia="Times New Roman" w:hAnsi="Arial" w:cs="Arial"/>
                <w:b/>
                <w:bCs/>
                <w:color w:val="000000"/>
                <w:sz w:val="20"/>
                <w:szCs w:val="20"/>
                <w:lang w:eastAsia="en-GB"/>
              </w:rPr>
              <w:t xml:space="preserve">Current Acute Index </w:t>
            </w:r>
          </w:p>
        </w:tc>
        <w:tc>
          <w:tcPr>
            <w:tcW w:w="3407" w:type="dxa"/>
            <w:gridSpan w:val="3"/>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rsidR="00691B12" w:rsidRPr="00E577A3" w:rsidRDefault="00691B12" w:rsidP="001C2FD6">
            <w:pPr>
              <w:spacing w:after="0"/>
              <w:jc w:val="center"/>
              <w:rPr>
                <w:rFonts w:ascii="Calibri" w:eastAsia="Times New Roman" w:hAnsi="Calibri" w:cs="Times New Roman"/>
                <w:b/>
                <w:bCs/>
                <w:color w:val="000000"/>
                <w:lang w:eastAsia="en-GB"/>
              </w:rPr>
            </w:pPr>
            <w:r w:rsidRPr="00E577A3">
              <w:rPr>
                <w:rFonts w:ascii="Calibri" w:eastAsia="Times New Roman" w:hAnsi="Calibri" w:cs="Times New Roman"/>
                <w:b/>
                <w:bCs/>
                <w:color w:val="000000"/>
                <w:lang w:eastAsia="en-GB"/>
              </w:rPr>
              <w:t>3 years Data Zones 2011</w:t>
            </w:r>
          </w:p>
        </w:tc>
        <w:tc>
          <w:tcPr>
            <w:tcW w:w="3402" w:type="dxa"/>
            <w:gridSpan w:val="3"/>
            <w:tcBorders>
              <w:top w:val="single" w:sz="12" w:space="0" w:color="000000"/>
              <w:left w:val="nil"/>
              <w:bottom w:val="single" w:sz="12" w:space="0" w:color="000000"/>
              <w:right w:val="single" w:sz="12" w:space="0" w:color="000000"/>
            </w:tcBorders>
            <w:shd w:val="clear" w:color="auto" w:fill="auto"/>
            <w:noWrap/>
            <w:vAlign w:val="bottom"/>
            <w:hideMark/>
          </w:tcPr>
          <w:p w:rsidR="00691B12" w:rsidRPr="00E577A3" w:rsidRDefault="00691B12" w:rsidP="001C2FD6">
            <w:pPr>
              <w:spacing w:after="0"/>
              <w:jc w:val="center"/>
              <w:rPr>
                <w:rFonts w:ascii="Calibri" w:eastAsia="Times New Roman" w:hAnsi="Calibri" w:cs="Times New Roman"/>
                <w:b/>
                <w:bCs/>
                <w:color w:val="000000"/>
                <w:lang w:eastAsia="en-GB"/>
              </w:rPr>
            </w:pPr>
            <w:r w:rsidRPr="00E577A3">
              <w:rPr>
                <w:rFonts w:ascii="Calibri" w:eastAsia="Times New Roman" w:hAnsi="Calibri" w:cs="Times New Roman"/>
                <w:b/>
                <w:bCs/>
                <w:color w:val="000000"/>
                <w:lang w:eastAsia="en-GB"/>
              </w:rPr>
              <w:t>3 years Data Zones 2001</w:t>
            </w:r>
          </w:p>
        </w:tc>
      </w:tr>
      <w:tr w:rsidR="00691B12" w:rsidRPr="00E577A3" w:rsidTr="00691B12">
        <w:trPr>
          <w:trHeight w:val="510"/>
        </w:trPr>
        <w:tc>
          <w:tcPr>
            <w:tcW w:w="1328" w:type="dxa"/>
            <w:vMerge/>
            <w:tcBorders>
              <w:top w:val="single" w:sz="12" w:space="0" w:color="000000"/>
              <w:left w:val="single" w:sz="12" w:space="0" w:color="000000"/>
              <w:bottom w:val="single" w:sz="12" w:space="0" w:color="000000"/>
              <w:right w:val="nil"/>
            </w:tcBorders>
            <w:vAlign w:val="center"/>
            <w:hideMark/>
          </w:tcPr>
          <w:p w:rsidR="00691B12" w:rsidRPr="00E577A3" w:rsidRDefault="00691B12" w:rsidP="001C2FD6">
            <w:pPr>
              <w:spacing w:after="0"/>
              <w:rPr>
                <w:rFonts w:ascii="Arial" w:eastAsia="Times New Roman" w:hAnsi="Arial" w:cs="Arial"/>
                <w:b/>
                <w:bCs/>
                <w:color w:val="000000"/>
                <w:sz w:val="20"/>
                <w:szCs w:val="20"/>
                <w:lang w:eastAsia="en-GB"/>
              </w:rPr>
            </w:pPr>
          </w:p>
        </w:tc>
        <w:tc>
          <w:tcPr>
            <w:tcW w:w="1139" w:type="dxa"/>
            <w:vMerge w:val="restart"/>
            <w:tcBorders>
              <w:top w:val="nil"/>
              <w:left w:val="single" w:sz="12" w:space="0" w:color="000000"/>
              <w:bottom w:val="single" w:sz="12" w:space="0" w:color="000000"/>
              <w:right w:val="single" w:sz="4" w:space="0" w:color="000000"/>
            </w:tcBorders>
            <w:shd w:val="clear" w:color="auto" w:fill="D6E3BC" w:themeFill="accent3" w:themeFillTint="66"/>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B</w:t>
            </w:r>
          </w:p>
        </w:tc>
        <w:tc>
          <w:tcPr>
            <w:tcW w:w="2268" w:type="dxa"/>
            <w:gridSpan w:val="2"/>
            <w:tcBorders>
              <w:top w:val="single" w:sz="12" w:space="0" w:color="000000"/>
              <w:left w:val="single" w:sz="4" w:space="0" w:color="000000"/>
              <w:bottom w:val="single" w:sz="8" w:space="0" w:color="000000"/>
              <w:right w:val="single" w:sz="12" w:space="0" w:color="000000"/>
            </w:tcBorders>
            <w:shd w:val="clear" w:color="auto" w:fill="auto"/>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95.0% Confidence Interval for B</w:t>
            </w:r>
          </w:p>
        </w:tc>
        <w:tc>
          <w:tcPr>
            <w:tcW w:w="1134" w:type="dxa"/>
            <w:vMerge w:val="restart"/>
            <w:tcBorders>
              <w:top w:val="nil"/>
              <w:left w:val="nil"/>
              <w:bottom w:val="single" w:sz="12" w:space="0" w:color="000000"/>
              <w:right w:val="single" w:sz="4" w:space="0" w:color="000000"/>
            </w:tcBorders>
            <w:shd w:val="clear" w:color="auto" w:fill="D6E3BC" w:themeFill="accent3" w:themeFillTint="66"/>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B</w:t>
            </w:r>
          </w:p>
        </w:tc>
        <w:tc>
          <w:tcPr>
            <w:tcW w:w="2268" w:type="dxa"/>
            <w:gridSpan w:val="2"/>
            <w:tcBorders>
              <w:top w:val="single" w:sz="12" w:space="0" w:color="000000"/>
              <w:left w:val="single" w:sz="4" w:space="0" w:color="000000"/>
              <w:bottom w:val="single" w:sz="8" w:space="0" w:color="000000"/>
              <w:right w:val="single" w:sz="12" w:space="0" w:color="000000"/>
            </w:tcBorders>
            <w:shd w:val="clear" w:color="auto" w:fill="auto"/>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95.0% Confidence Interval for B</w:t>
            </w:r>
          </w:p>
        </w:tc>
      </w:tr>
      <w:tr w:rsidR="00691B12" w:rsidRPr="00E577A3" w:rsidTr="00691B12">
        <w:trPr>
          <w:trHeight w:val="525"/>
        </w:trPr>
        <w:tc>
          <w:tcPr>
            <w:tcW w:w="1328" w:type="dxa"/>
            <w:vMerge/>
            <w:tcBorders>
              <w:top w:val="single" w:sz="12" w:space="0" w:color="000000"/>
              <w:left w:val="single" w:sz="12" w:space="0" w:color="000000"/>
              <w:bottom w:val="single" w:sz="12" w:space="0" w:color="000000"/>
              <w:right w:val="nil"/>
            </w:tcBorders>
            <w:vAlign w:val="center"/>
            <w:hideMark/>
          </w:tcPr>
          <w:p w:rsidR="00691B12" w:rsidRPr="00E577A3" w:rsidRDefault="00691B12" w:rsidP="001C2FD6">
            <w:pPr>
              <w:spacing w:after="0"/>
              <w:rPr>
                <w:rFonts w:ascii="Arial" w:eastAsia="Times New Roman" w:hAnsi="Arial" w:cs="Arial"/>
                <w:b/>
                <w:bCs/>
                <w:color w:val="000000"/>
                <w:sz w:val="20"/>
                <w:szCs w:val="20"/>
                <w:lang w:eastAsia="en-GB"/>
              </w:rPr>
            </w:pPr>
          </w:p>
        </w:tc>
        <w:tc>
          <w:tcPr>
            <w:tcW w:w="1139" w:type="dxa"/>
            <w:vMerge/>
            <w:tcBorders>
              <w:left w:val="single" w:sz="12" w:space="0" w:color="000000"/>
              <w:bottom w:val="single" w:sz="12" w:space="0" w:color="000000"/>
              <w:right w:val="single" w:sz="4" w:space="0" w:color="000000"/>
            </w:tcBorders>
            <w:shd w:val="clear" w:color="auto" w:fill="D6E3BC" w:themeFill="accent3" w:themeFillTint="66"/>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p>
        </w:tc>
        <w:tc>
          <w:tcPr>
            <w:tcW w:w="1134" w:type="dxa"/>
            <w:tcBorders>
              <w:top w:val="nil"/>
              <w:left w:val="single" w:sz="4" w:space="0" w:color="000000"/>
              <w:bottom w:val="single" w:sz="12" w:space="0" w:color="000000"/>
              <w:right w:val="single" w:sz="8" w:space="0" w:color="000000"/>
            </w:tcBorders>
            <w:shd w:val="clear" w:color="auto" w:fill="auto"/>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Lower Bound</w:t>
            </w:r>
          </w:p>
        </w:tc>
        <w:tc>
          <w:tcPr>
            <w:tcW w:w="1134" w:type="dxa"/>
            <w:tcBorders>
              <w:top w:val="nil"/>
              <w:left w:val="nil"/>
              <w:bottom w:val="single" w:sz="12" w:space="0" w:color="000000"/>
              <w:right w:val="single" w:sz="12" w:space="0" w:color="000000"/>
            </w:tcBorders>
            <w:shd w:val="clear" w:color="auto" w:fill="auto"/>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Upper Bound</w:t>
            </w:r>
          </w:p>
        </w:tc>
        <w:tc>
          <w:tcPr>
            <w:tcW w:w="1134" w:type="dxa"/>
            <w:vMerge/>
            <w:tcBorders>
              <w:left w:val="nil"/>
              <w:bottom w:val="single" w:sz="12" w:space="0" w:color="000000"/>
              <w:right w:val="single" w:sz="4" w:space="0" w:color="000000"/>
            </w:tcBorders>
            <w:shd w:val="clear" w:color="auto" w:fill="D6E3BC" w:themeFill="accent3" w:themeFillTint="66"/>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p>
        </w:tc>
        <w:tc>
          <w:tcPr>
            <w:tcW w:w="1134" w:type="dxa"/>
            <w:tcBorders>
              <w:top w:val="nil"/>
              <w:left w:val="single" w:sz="4" w:space="0" w:color="000000"/>
              <w:bottom w:val="single" w:sz="12" w:space="0" w:color="000000"/>
              <w:right w:val="single" w:sz="8" w:space="0" w:color="000000"/>
            </w:tcBorders>
            <w:shd w:val="clear" w:color="auto" w:fill="auto"/>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Lower Bound</w:t>
            </w:r>
          </w:p>
        </w:tc>
        <w:tc>
          <w:tcPr>
            <w:tcW w:w="1134" w:type="dxa"/>
            <w:tcBorders>
              <w:top w:val="nil"/>
              <w:left w:val="nil"/>
              <w:bottom w:val="single" w:sz="12" w:space="0" w:color="000000"/>
              <w:right w:val="single" w:sz="12" w:space="0" w:color="000000"/>
            </w:tcBorders>
            <w:shd w:val="clear" w:color="auto" w:fill="auto"/>
            <w:vAlign w:val="center"/>
            <w:hideMark/>
          </w:tcPr>
          <w:p w:rsidR="00691B12" w:rsidRPr="00E577A3" w:rsidRDefault="00691B12" w:rsidP="001C2FD6">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Upper Bound</w:t>
            </w:r>
          </w:p>
        </w:tc>
      </w:tr>
      <w:tr w:rsidR="00691B12" w:rsidRPr="00E577A3" w:rsidTr="00793F81">
        <w:trPr>
          <w:trHeight w:val="330"/>
        </w:trPr>
        <w:tc>
          <w:tcPr>
            <w:tcW w:w="1328" w:type="dxa"/>
            <w:tcBorders>
              <w:top w:val="nil"/>
              <w:left w:val="single" w:sz="12" w:space="0" w:color="000000"/>
              <w:bottom w:val="single" w:sz="12" w:space="0" w:color="000000"/>
              <w:right w:val="single" w:sz="12" w:space="0" w:color="000000"/>
            </w:tcBorders>
            <w:shd w:val="clear" w:color="auto" w:fill="auto"/>
            <w:vAlign w:val="bottom"/>
            <w:hideMark/>
          </w:tcPr>
          <w:p w:rsidR="00691B12" w:rsidRPr="00E577A3" w:rsidRDefault="00691B12" w:rsidP="00793F81">
            <w:pPr>
              <w:spacing w:after="0"/>
              <w:jc w:val="center"/>
              <w:rPr>
                <w:rFonts w:ascii="Arial" w:eastAsia="Times New Roman" w:hAnsi="Arial" w:cs="Arial"/>
                <w:b/>
                <w:bCs/>
                <w:color w:val="000000"/>
                <w:sz w:val="20"/>
                <w:szCs w:val="20"/>
                <w:lang w:eastAsia="en-GB"/>
              </w:rPr>
            </w:pPr>
            <w:r w:rsidRPr="00E577A3">
              <w:rPr>
                <w:rFonts w:ascii="Arial" w:eastAsia="Times New Roman" w:hAnsi="Arial" w:cs="Arial"/>
                <w:b/>
                <w:bCs/>
                <w:color w:val="000000"/>
                <w:sz w:val="20"/>
                <w:szCs w:val="20"/>
                <w:lang w:eastAsia="en-GB"/>
              </w:rPr>
              <w:t>Cancer</w:t>
            </w:r>
          </w:p>
        </w:tc>
        <w:tc>
          <w:tcPr>
            <w:tcW w:w="1139"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0.054</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0.048</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0.060</w:t>
            </w:r>
          </w:p>
        </w:tc>
        <w:tc>
          <w:tcPr>
            <w:tcW w:w="1134"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0.047</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0.041</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0.053</w:t>
            </w:r>
          </w:p>
        </w:tc>
      </w:tr>
      <w:tr w:rsidR="00691B12" w:rsidRPr="00E577A3" w:rsidTr="00793F81">
        <w:trPr>
          <w:trHeight w:val="330"/>
        </w:trPr>
        <w:tc>
          <w:tcPr>
            <w:tcW w:w="1328" w:type="dxa"/>
            <w:tcBorders>
              <w:top w:val="nil"/>
              <w:left w:val="single" w:sz="12" w:space="0" w:color="000000"/>
              <w:bottom w:val="single" w:sz="12" w:space="0" w:color="000000"/>
              <w:right w:val="single" w:sz="12" w:space="0" w:color="000000"/>
            </w:tcBorders>
            <w:shd w:val="clear" w:color="auto" w:fill="auto"/>
            <w:vAlign w:val="bottom"/>
            <w:hideMark/>
          </w:tcPr>
          <w:p w:rsidR="00691B12" w:rsidRPr="00E577A3" w:rsidRDefault="00691B12" w:rsidP="00793F81">
            <w:pPr>
              <w:spacing w:after="0"/>
              <w:jc w:val="center"/>
              <w:rPr>
                <w:rFonts w:ascii="Arial" w:eastAsia="Times New Roman" w:hAnsi="Arial" w:cs="Arial"/>
                <w:b/>
                <w:bCs/>
                <w:color w:val="000000"/>
                <w:sz w:val="20"/>
                <w:szCs w:val="20"/>
                <w:lang w:eastAsia="en-GB"/>
              </w:rPr>
            </w:pPr>
            <w:r w:rsidRPr="00E577A3">
              <w:rPr>
                <w:rFonts w:ascii="Arial" w:eastAsia="Times New Roman" w:hAnsi="Arial" w:cs="Arial"/>
                <w:b/>
                <w:bCs/>
                <w:color w:val="000000"/>
                <w:sz w:val="20"/>
                <w:szCs w:val="20"/>
                <w:lang w:eastAsia="en-GB"/>
              </w:rPr>
              <w:t>Heart</w:t>
            </w:r>
          </w:p>
        </w:tc>
        <w:tc>
          <w:tcPr>
            <w:tcW w:w="1139"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0.115</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0.109</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0.121</w:t>
            </w:r>
          </w:p>
        </w:tc>
        <w:tc>
          <w:tcPr>
            <w:tcW w:w="1134"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0.107</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0.101</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0.113</w:t>
            </w:r>
          </w:p>
        </w:tc>
      </w:tr>
      <w:tr w:rsidR="00691B12" w:rsidRPr="00E577A3" w:rsidTr="00793F81">
        <w:trPr>
          <w:trHeight w:val="375"/>
        </w:trPr>
        <w:tc>
          <w:tcPr>
            <w:tcW w:w="1328" w:type="dxa"/>
            <w:tcBorders>
              <w:top w:val="nil"/>
              <w:left w:val="single" w:sz="12" w:space="0" w:color="000000"/>
              <w:bottom w:val="single" w:sz="12" w:space="0" w:color="000000"/>
              <w:right w:val="single" w:sz="12" w:space="0" w:color="000000"/>
            </w:tcBorders>
            <w:shd w:val="clear" w:color="auto" w:fill="auto"/>
            <w:vAlign w:val="bottom"/>
            <w:hideMark/>
          </w:tcPr>
          <w:p w:rsidR="00691B12" w:rsidRPr="00E577A3" w:rsidRDefault="00691B12" w:rsidP="00793F81">
            <w:pPr>
              <w:spacing w:after="0"/>
              <w:jc w:val="center"/>
              <w:rPr>
                <w:rFonts w:ascii="Arial" w:eastAsia="Times New Roman" w:hAnsi="Arial" w:cs="Arial"/>
                <w:b/>
                <w:bCs/>
                <w:color w:val="000000"/>
                <w:sz w:val="20"/>
                <w:szCs w:val="20"/>
                <w:lang w:eastAsia="en-GB"/>
              </w:rPr>
            </w:pPr>
            <w:r w:rsidRPr="00E577A3">
              <w:rPr>
                <w:rFonts w:ascii="Arial" w:eastAsia="Times New Roman" w:hAnsi="Arial" w:cs="Arial"/>
                <w:b/>
                <w:bCs/>
                <w:color w:val="000000"/>
                <w:sz w:val="20"/>
                <w:szCs w:val="20"/>
                <w:lang w:eastAsia="en-GB"/>
              </w:rPr>
              <w:t>Digestive</w:t>
            </w:r>
          </w:p>
        </w:tc>
        <w:tc>
          <w:tcPr>
            <w:tcW w:w="1139"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0.116</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0.111</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0.121</w:t>
            </w:r>
          </w:p>
        </w:tc>
        <w:tc>
          <w:tcPr>
            <w:tcW w:w="1134"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0.112</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0.107</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0.117</w:t>
            </w:r>
          </w:p>
        </w:tc>
      </w:tr>
      <w:tr w:rsidR="00691B12" w:rsidRPr="00E577A3" w:rsidTr="00793F81">
        <w:trPr>
          <w:trHeight w:val="330"/>
        </w:trPr>
        <w:tc>
          <w:tcPr>
            <w:tcW w:w="1328" w:type="dxa"/>
            <w:tcBorders>
              <w:top w:val="nil"/>
              <w:left w:val="single" w:sz="12" w:space="0" w:color="000000"/>
              <w:bottom w:val="single" w:sz="12" w:space="0" w:color="000000"/>
              <w:right w:val="single" w:sz="12" w:space="0" w:color="000000"/>
            </w:tcBorders>
            <w:shd w:val="clear" w:color="auto" w:fill="auto"/>
            <w:vAlign w:val="bottom"/>
            <w:hideMark/>
          </w:tcPr>
          <w:p w:rsidR="00691B12" w:rsidRPr="00E577A3" w:rsidRDefault="00691B12" w:rsidP="00793F81">
            <w:pPr>
              <w:spacing w:after="0"/>
              <w:jc w:val="center"/>
              <w:rPr>
                <w:rFonts w:ascii="Arial" w:eastAsia="Times New Roman" w:hAnsi="Arial" w:cs="Arial"/>
                <w:b/>
                <w:bCs/>
                <w:color w:val="000000"/>
                <w:sz w:val="20"/>
                <w:szCs w:val="20"/>
                <w:lang w:eastAsia="en-GB"/>
              </w:rPr>
            </w:pPr>
            <w:r w:rsidRPr="00E577A3">
              <w:rPr>
                <w:rFonts w:ascii="Arial" w:eastAsia="Times New Roman" w:hAnsi="Arial" w:cs="Arial"/>
                <w:b/>
                <w:bCs/>
                <w:color w:val="000000"/>
                <w:sz w:val="20"/>
                <w:szCs w:val="20"/>
                <w:lang w:eastAsia="en-GB"/>
              </w:rPr>
              <w:t>Injury</w:t>
            </w:r>
          </w:p>
        </w:tc>
        <w:tc>
          <w:tcPr>
            <w:tcW w:w="1139"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0.120</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0.115</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0.125</w:t>
            </w:r>
          </w:p>
        </w:tc>
        <w:tc>
          <w:tcPr>
            <w:tcW w:w="1134"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0.114</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0.108</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0.119</w:t>
            </w:r>
          </w:p>
        </w:tc>
      </w:tr>
      <w:tr w:rsidR="00691B12" w:rsidRPr="00E577A3" w:rsidTr="00793F81">
        <w:trPr>
          <w:trHeight w:val="330"/>
        </w:trPr>
        <w:tc>
          <w:tcPr>
            <w:tcW w:w="1328" w:type="dxa"/>
            <w:tcBorders>
              <w:top w:val="nil"/>
              <w:left w:val="single" w:sz="12" w:space="0" w:color="000000"/>
              <w:bottom w:val="single" w:sz="12" w:space="0" w:color="000000"/>
              <w:right w:val="single" w:sz="12" w:space="0" w:color="000000"/>
            </w:tcBorders>
            <w:shd w:val="clear" w:color="auto" w:fill="auto"/>
            <w:vAlign w:val="bottom"/>
            <w:hideMark/>
          </w:tcPr>
          <w:p w:rsidR="00691B12" w:rsidRPr="00E577A3" w:rsidRDefault="00691B12" w:rsidP="00793F81">
            <w:pPr>
              <w:spacing w:after="0"/>
              <w:jc w:val="center"/>
              <w:rPr>
                <w:rFonts w:ascii="Arial" w:eastAsia="Times New Roman" w:hAnsi="Arial" w:cs="Arial"/>
                <w:b/>
                <w:bCs/>
                <w:color w:val="000000"/>
                <w:sz w:val="20"/>
                <w:szCs w:val="20"/>
                <w:lang w:eastAsia="en-GB"/>
              </w:rPr>
            </w:pPr>
            <w:r w:rsidRPr="00E577A3">
              <w:rPr>
                <w:rFonts w:ascii="Arial" w:eastAsia="Times New Roman" w:hAnsi="Arial" w:cs="Arial"/>
                <w:b/>
                <w:bCs/>
                <w:color w:val="000000"/>
                <w:sz w:val="20"/>
                <w:szCs w:val="20"/>
                <w:lang w:eastAsia="en-GB"/>
              </w:rPr>
              <w:t>Other</w:t>
            </w:r>
          </w:p>
        </w:tc>
        <w:tc>
          <w:tcPr>
            <w:tcW w:w="1139"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0.097</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0.094</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0.100</w:t>
            </w:r>
          </w:p>
        </w:tc>
        <w:tc>
          <w:tcPr>
            <w:tcW w:w="1134"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0.091</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0.088</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0.094</w:t>
            </w:r>
          </w:p>
        </w:tc>
      </w:tr>
      <w:tr w:rsidR="00691B12" w:rsidRPr="00E577A3" w:rsidTr="00793F81">
        <w:trPr>
          <w:trHeight w:val="351"/>
        </w:trPr>
        <w:tc>
          <w:tcPr>
            <w:tcW w:w="1328" w:type="dxa"/>
            <w:tcBorders>
              <w:top w:val="nil"/>
              <w:left w:val="single" w:sz="12" w:space="0" w:color="000000"/>
              <w:bottom w:val="single" w:sz="12" w:space="0" w:color="000000"/>
              <w:right w:val="single" w:sz="12" w:space="0" w:color="000000"/>
            </w:tcBorders>
            <w:shd w:val="clear" w:color="auto" w:fill="auto"/>
            <w:vAlign w:val="bottom"/>
            <w:hideMark/>
          </w:tcPr>
          <w:p w:rsidR="00691B12" w:rsidRPr="00E577A3" w:rsidRDefault="00691B12" w:rsidP="00793F81">
            <w:pPr>
              <w:spacing w:after="0"/>
              <w:jc w:val="center"/>
              <w:rPr>
                <w:rFonts w:ascii="Arial" w:eastAsia="Times New Roman" w:hAnsi="Arial" w:cs="Arial"/>
                <w:b/>
                <w:bCs/>
                <w:color w:val="000000"/>
                <w:sz w:val="20"/>
                <w:szCs w:val="20"/>
                <w:lang w:eastAsia="en-GB"/>
              </w:rPr>
            </w:pPr>
            <w:r w:rsidRPr="00E577A3">
              <w:rPr>
                <w:rFonts w:ascii="Arial" w:eastAsia="Times New Roman" w:hAnsi="Arial" w:cs="Arial"/>
                <w:b/>
                <w:bCs/>
                <w:color w:val="000000"/>
                <w:sz w:val="20"/>
                <w:szCs w:val="20"/>
                <w:lang w:eastAsia="en-GB"/>
              </w:rPr>
              <w:t>Respiratory</w:t>
            </w:r>
          </w:p>
        </w:tc>
        <w:tc>
          <w:tcPr>
            <w:tcW w:w="1139"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0.184</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0.177</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0.190</w:t>
            </w:r>
          </w:p>
        </w:tc>
        <w:tc>
          <w:tcPr>
            <w:tcW w:w="1134"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0.180</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0.173</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0.187</w:t>
            </w:r>
          </w:p>
        </w:tc>
      </w:tr>
      <w:tr w:rsidR="00691B12" w:rsidRPr="00E577A3" w:rsidTr="00793F81">
        <w:trPr>
          <w:trHeight w:val="330"/>
        </w:trPr>
        <w:tc>
          <w:tcPr>
            <w:tcW w:w="1328" w:type="dxa"/>
            <w:tcBorders>
              <w:top w:val="nil"/>
              <w:left w:val="single" w:sz="12" w:space="0" w:color="000000"/>
              <w:bottom w:val="single" w:sz="12" w:space="0" w:color="000000"/>
              <w:right w:val="single" w:sz="12"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b/>
                <w:bCs/>
                <w:color w:val="000000"/>
                <w:sz w:val="20"/>
                <w:szCs w:val="20"/>
                <w:lang w:eastAsia="en-GB"/>
              </w:rPr>
            </w:pPr>
            <w:r w:rsidRPr="00E577A3">
              <w:rPr>
                <w:rFonts w:ascii="Arial" w:eastAsia="Times New Roman" w:hAnsi="Arial" w:cs="Arial"/>
                <w:b/>
                <w:bCs/>
                <w:color w:val="000000"/>
                <w:sz w:val="20"/>
                <w:szCs w:val="20"/>
                <w:lang w:eastAsia="en-GB"/>
              </w:rPr>
              <w:t>Outpatients</w:t>
            </w:r>
          </w:p>
        </w:tc>
        <w:tc>
          <w:tcPr>
            <w:tcW w:w="1139"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0.037</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0.034</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406D61" w:rsidRDefault="00691B12" w:rsidP="00793F81">
            <w:pPr>
              <w:contextualSpacing/>
              <w:jc w:val="center"/>
              <w:rPr>
                <w:rFonts w:ascii="Arial" w:hAnsi="Arial" w:cs="Arial"/>
                <w:color w:val="000000"/>
                <w:sz w:val="20"/>
                <w:szCs w:val="20"/>
              </w:rPr>
            </w:pPr>
            <w:r w:rsidRPr="00406D61">
              <w:rPr>
                <w:rFonts w:ascii="Arial" w:hAnsi="Arial" w:cs="Arial"/>
                <w:color w:val="000000"/>
                <w:sz w:val="20"/>
                <w:szCs w:val="20"/>
              </w:rPr>
              <w:t>0.039</w:t>
            </w:r>
          </w:p>
        </w:tc>
        <w:tc>
          <w:tcPr>
            <w:tcW w:w="1134" w:type="dxa"/>
            <w:tcBorders>
              <w:top w:val="nil"/>
              <w:left w:val="nil"/>
              <w:bottom w:val="single" w:sz="12" w:space="0" w:color="000000"/>
              <w:right w:val="single" w:sz="8" w:space="0" w:color="000000"/>
            </w:tcBorders>
            <w:shd w:val="clear" w:color="auto" w:fill="D6E3BC" w:themeFill="accent3" w:themeFillTint="66"/>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0.032</w:t>
            </w:r>
          </w:p>
        </w:tc>
        <w:tc>
          <w:tcPr>
            <w:tcW w:w="1134" w:type="dxa"/>
            <w:tcBorders>
              <w:top w:val="nil"/>
              <w:left w:val="nil"/>
              <w:bottom w:val="single" w:sz="12" w:space="0" w:color="000000"/>
              <w:right w:val="single" w:sz="8"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0.030</w:t>
            </w:r>
          </w:p>
        </w:tc>
        <w:tc>
          <w:tcPr>
            <w:tcW w:w="1134" w:type="dxa"/>
            <w:tcBorders>
              <w:top w:val="nil"/>
              <w:left w:val="nil"/>
              <w:bottom w:val="single" w:sz="12" w:space="0" w:color="000000"/>
              <w:right w:val="single" w:sz="12" w:space="0" w:color="000000"/>
            </w:tcBorders>
            <w:shd w:val="clear" w:color="auto" w:fill="auto"/>
            <w:noWrap/>
            <w:vAlign w:val="bottom"/>
            <w:hideMark/>
          </w:tcPr>
          <w:p w:rsidR="00691B12" w:rsidRPr="00E577A3" w:rsidRDefault="00691B12" w:rsidP="00793F81">
            <w:pPr>
              <w:spacing w:after="0"/>
              <w:jc w:val="center"/>
              <w:rPr>
                <w:rFonts w:ascii="Arial" w:eastAsia="Times New Roman" w:hAnsi="Arial" w:cs="Arial"/>
                <w:color w:val="000000"/>
                <w:sz w:val="20"/>
                <w:szCs w:val="20"/>
                <w:lang w:eastAsia="en-GB"/>
              </w:rPr>
            </w:pPr>
            <w:r w:rsidRPr="00E577A3">
              <w:rPr>
                <w:rFonts w:ascii="Arial" w:eastAsia="Times New Roman" w:hAnsi="Arial" w:cs="Arial"/>
                <w:color w:val="000000"/>
                <w:sz w:val="20"/>
                <w:szCs w:val="20"/>
                <w:lang w:eastAsia="en-GB"/>
              </w:rPr>
              <w:t>0.034</w:t>
            </w:r>
          </w:p>
        </w:tc>
      </w:tr>
      <w:bookmarkEnd w:id="1"/>
    </w:tbl>
    <w:p w:rsidR="00691B12" w:rsidRDefault="00691B12" w:rsidP="001C2FD6">
      <w:pPr>
        <w:spacing w:after="0"/>
        <w:jc w:val="both"/>
        <w:rPr>
          <w:rFonts w:ascii="Arial" w:hAnsi="Arial" w:cs="Arial"/>
          <w:b/>
        </w:rPr>
      </w:pPr>
    </w:p>
    <w:p w:rsidR="00691B12" w:rsidRDefault="00691B12" w:rsidP="001C2FD6">
      <w:pPr>
        <w:spacing w:after="0"/>
        <w:jc w:val="both"/>
        <w:rPr>
          <w:rFonts w:ascii="Arial" w:hAnsi="Arial" w:cs="Arial"/>
        </w:rPr>
      </w:pPr>
    </w:p>
    <w:p w:rsidR="00691B12" w:rsidRPr="005B1577" w:rsidRDefault="00691B12" w:rsidP="001C2FD6">
      <w:pPr>
        <w:spacing w:after="0"/>
        <w:jc w:val="both"/>
        <w:rPr>
          <w:rFonts w:ascii="Arial" w:hAnsi="Arial" w:cs="Arial"/>
          <w:b/>
          <w:i/>
        </w:rPr>
      </w:pPr>
      <w:r>
        <w:rPr>
          <w:rFonts w:ascii="Arial" w:hAnsi="Arial" w:cs="Arial"/>
          <w:b/>
          <w:i/>
        </w:rPr>
        <w:t>3.3</w:t>
      </w:r>
      <w:r w:rsidRPr="005B1577">
        <w:rPr>
          <w:rFonts w:ascii="Arial" w:hAnsi="Arial" w:cs="Arial"/>
          <w:b/>
          <w:i/>
        </w:rPr>
        <w:t xml:space="preserve"> </w:t>
      </w:r>
      <w:r>
        <w:rPr>
          <w:rFonts w:ascii="Arial" w:hAnsi="Arial" w:cs="Arial"/>
          <w:b/>
          <w:i/>
        </w:rPr>
        <w:t>Outliers</w:t>
      </w:r>
      <w:r w:rsidRPr="005B1577">
        <w:rPr>
          <w:rFonts w:ascii="Arial" w:hAnsi="Arial" w:cs="Arial"/>
          <w:b/>
          <w:i/>
        </w:rPr>
        <w:t>:</w:t>
      </w:r>
    </w:p>
    <w:p w:rsidR="00C3559F" w:rsidRPr="00B303DF" w:rsidRDefault="00B303DF" w:rsidP="00B303DF">
      <w:pPr>
        <w:autoSpaceDE w:val="0"/>
        <w:autoSpaceDN w:val="0"/>
        <w:adjustRightInd w:val="0"/>
        <w:spacing w:after="0"/>
        <w:jc w:val="both"/>
        <w:rPr>
          <w:rFonts w:ascii="Arial" w:hAnsi="Arial" w:cs="Arial"/>
          <w:szCs w:val="24"/>
        </w:rPr>
      </w:pPr>
      <w:r>
        <w:rPr>
          <w:rFonts w:ascii="Arial" w:hAnsi="Arial" w:cs="Arial"/>
        </w:rPr>
        <w:t xml:space="preserve">In Figures 1 and 2, </w:t>
      </w:r>
      <w:r w:rsidRPr="00191A3D">
        <w:rPr>
          <w:rFonts w:ascii="Arial" w:hAnsi="Arial" w:cs="Arial"/>
        </w:rPr>
        <w:t xml:space="preserve">several outliers for the cost ratios </w:t>
      </w:r>
      <w:r>
        <w:rPr>
          <w:rFonts w:ascii="Arial" w:hAnsi="Arial" w:cs="Arial"/>
        </w:rPr>
        <w:t xml:space="preserve">were apparent, </w:t>
      </w:r>
      <w:r w:rsidRPr="00191A3D">
        <w:rPr>
          <w:rFonts w:ascii="Arial" w:hAnsi="Arial" w:cs="Arial"/>
        </w:rPr>
        <w:t xml:space="preserve">which deviate </w:t>
      </w:r>
      <w:r>
        <w:rPr>
          <w:rFonts w:ascii="Arial" w:hAnsi="Arial" w:cs="Arial"/>
        </w:rPr>
        <w:t xml:space="preserve">substantially </w:t>
      </w:r>
      <w:r w:rsidRPr="00191A3D">
        <w:rPr>
          <w:rFonts w:ascii="Arial" w:hAnsi="Arial" w:cs="Arial"/>
        </w:rPr>
        <w:t>from the linear trend.</w:t>
      </w:r>
      <w:r>
        <w:rPr>
          <w:rFonts w:ascii="Arial" w:hAnsi="Arial" w:cs="Arial"/>
        </w:rPr>
        <w:t xml:space="preserve"> </w:t>
      </w:r>
      <w:r>
        <w:rPr>
          <w:rFonts w:ascii="Arial" w:hAnsi="Arial" w:cs="Arial"/>
          <w:szCs w:val="24"/>
        </w:rPr>
        <w:t>We</w:t>
      </w:r>
      <w:r w:rsidR="005B6A94">
        <w:rPr>
          <w:rFonts w:ascii="Arial" w:hAnsi="Arial" w:cs="Arial"/>
          <w:szCs w:val="24"/>
        </w:rPr>
        <w:t xml:space="preserve"> have investigated the outliers, and </w:t>
      </w:r>
      <w:r w:rsidR="00E666D2">
        <w:rPr>
          <w:rFonts w:ascii="Arial" w:hAnsi="Arial" w:cs="Arial"/>
          <w:szCs w:val="24"/>
        </w:rPr>
        <w:t>have checked whether</w:t>
      </w:r>
      <w:r>
        <w:rPr>
          <w:rFonts w:ascii="Arial" w:hAnsi="Arial" w:cs="Arial"/>
          <w:szCs w:val="24"/>
        </w:rPr>
        <w:t xml:space="preserve"> any outliers will change the </w:t>
      </w:r>
      <w:r w:rsidR="00E666D2">
        <w:rPr>
          <w:rFonts w:ascii="Arial" w:hAnsi="Arial" w:cs="Arial"/>
          <w:szCs w:val="24"/>
        </w:rPr>
        <w:t>slope of the fitted line</w:t>
      </w:r>
      <w:r>
        <w:rPr>
          <w:rFonts w:ascii="Arial" w:hAnsi="Arial" w:cs="Arial"/>
          <w:szCs w:val="24"/>
        </w:rPr>
        <w:t xml:space="preserve"> substantially (influential points)</w:t>
      </w:r>
      <w:r w:rsidR="00E666D2">
        <w:rPr>
          <w:rFonts w:ascii="Arial" w:hAnsi="Arial" w:cs="Arial"/>
          <w:szCs w:val="24"/>
        </w:rPr>
        <w:t>, using the same methods employed in paper TAMLC22</w:t>
      </w:r>
      <w:r>
        <w:rPr>
          <w:rFonts w:ascii="Arial" w:hAnsi="Arial" w:cs="Arial"/>
          <w:szCs w:val="24"/>
        </w:rPr>
        <w:t xml:space="preserve">. </w:t>
      </w:r>
    </w:p>
    <w:p w:rsidR="00C3559F" w:rsidRDefault="00C3559F" w:rsidP="001C2FD6">
      <w:pPr>
        <w:autoSpaceDE w:val="0"/>
        <w:autoSpaceDN w:val="0"/>
        <w:adjustRightInd w:val="0"/>
        <w:spacing w:after="0"/>
        <w:jc w:val="both"/>
        <w:rPr>
          <w:rFonts w:ascii="Arial" w:hAnsi="Arial" w:cs="Arial"/>
        </w:rPr>
      </w:pPr>
    </w:p>
    <w:p w:rsidR="001C6047" w:rsidRDefault="00E666D2" w:rsidP="00B303DF">
      <w:pPr>
        <w:autoSpaceDE w:val="0"/>
        <w:autoSpaceDN w:val="0"/>
        <w:adjustRightInd w:val="0"/>
        <w:spacing w:after="0"/>
        <w:jc w:val="both"/>
        <w:rPr>
          <w:rFonts w:ascii="Arial" w:hAnsi="Arial" w:cs="Arial"/>
          <w:szCs w:val="24"/>
        </w:rPr>
      </w:pPr>
      <w:r>
        <w:rPr>
          <w:rFonts w:ascii="Arial" w:hAnsi="Arial" w:cs="Arial"/>
          <w:szCs w:val="24"/>
        </w:rPr>
        <w:lastRenderedPageBreak/>
        <w:t>A key finding for the analysis is that t</w:t>
      </w:r>
      <w:r>
        <w:rPr>
          <w:rFonts w:ascii="Arial" w:hAnsi="Arial" w:cs="Arial"/>
        </w:rPr>
        <w:t xml:space="preserve">here are no such influential points, for all diagnostic groups. </w:t>
      </w:r>
      <w:r w:rsidR="00ED7383">
        <w:rPr>
          <w:rFonts w:ascii="Arial" w:hAnsi="Arial" w:cs="Arial"/>
          <w:szCs w:val="24"/>
        </w:rPr>
        <w:t>In general, there are slightly more cost ratio outliers at DZ2011 than at DZ2001</w:t>
      </w:r>
      <w:r w:rsidR="00F91502">
        <w:rPr>
          <w:rFonts w:ascii="Arial" w:hAnsi="Arial" w:cs="Arial"/>
          <w:szCs w:val="24"/>
        </w:rPr>
        <w:t xml:space="preserve">. </w:t>
      </w:r>
      <w:r w:rsidR="00ED7383">
        <w:rPr>
          <w:rFonts w:ascii="Arial" w:hAnsi="Arial" w:cs="Arial"/>
          <w:szCs w:val="24"/>
        </w:rPr>
        <w:t xml:space="preserve">However, the percentage of </w:t>
      </w:r>
      <w:r w:rsidR="00ED7383" w:rsidRPr="00ED7383">
        <w:rPr>
          <w:rFonts w:ascii="Arial" w:hAnsi="Arial" w:cs="Arial"/>
          <w:i/>
          <w:szCs w:val="24"/>
        </w:rPr>
        <w:t>residual</w:t>
      </w:r>
      <w:r w:rsidR="00ED7383">
        <w:rPr>
          <w:rFonts w:ascii="Arial" w:hAnsi="Arial" w:cs="Arial"/>
          <w:szCs w:val="24"/>
        </w:rPr>
        <w:t xml:space="preserve"> outliers at DZ2011 is the same or slightly </w:t>
      </w:r>
      <w:r w:rsidR="00ED7383" w:rsidRPr="00ED7383">
        <w:rPr>
          <w:rFonts w:ascii="Arial" w:hAnsi="Arial" w:cs="Arial"/>
          <w:i/>
          <w:szCs w:val="24"/>
        </w:rPr>
        <w:t>lower</w:t>
      </w:r>
      <w:r w:rsidR="00ED7383">
        <w:rPr>
          <w:rFonts w:ascii="Arial" w:hAnsi="Arial" w:cs="Arial"/>
          <w:szCs w:val="24"/>
        </w:rPr>
        <w:t xml:space="preserve"> than that at DZ2001, and is much lower than the per</w:t>
      </w:r>
      <w:r>
        <w:rPr>
          <w:rFonts w:ascii="Arial" w:hAnsi="Arial" w:cs="Arial"/>
          <w:szCs w:val="24"/>
        </w:rPr>
        <w:t>centage of cost ratio outliers.</w:t>
      </w:r>
    </w:p>
    <w:p w:rsidR="00B303DF" w:rsidRDefault="00B303DF" w:rsidP="00B303DF">
      <w:pPr>
        <w:autoSpaceDE w:val="0"/>
        <w:autoSpaceDN w:val="0"/>
        <w:adjustRightInd w:val="0"/>
        <w:spacing w:after="0"/>
        <w:jc w:val="both"/>
        <w:rPr>
          <w:rFonts w:ascii="Arial" w:hAnsi="Arial" w:cs="Arial"/>
        </w:rPr>
      </w:pPr>
    </w:p>
    <w:p w:rsidR="00B303DF" w:rsidRDefault="00B303DF" w:rsidP="00B303DF">
      <w:pPr>
        <w:spacing w:after="0"/>
        <w:jc w:val="both"/>
        <w:rPr>
          <w:rFonts w:ascii="Arial" w:hAnsi="Arial" w:cs="Arial"/>
        </w:rPr>
      </w:pPr>
      <w:r>
        <w:rPr>
          <w:rFonts w:ascii="Arial" w:hAnsi="Arial" w:cs="Arial"/>
        </w:rPr>
        <w:t>We looked into the two largest cost ratio outliers for Outpatients and discovered that the two data zones – ‘S01010174’ and ‘S01008481’ – both contain prisons (</w:t>
      </w:r>
      <w:proofErr w:type="spellStart"/>
      <w:r>
        <w:rPr>
          <w:rFonts w:ascii="Arial" w:hAnsi="Arial" w:cs="Arial"/>
        </w:rPr>
        <w:t>Barlinnie</w:t>
      </w:r>
      <w:proofErr w:type="spellEnd"/>
      <w:r>
        <w:rPr>
          <w:rFonts w:ascii="Arial" w:hAnsi="Arial" w:cs="Arial"/>
        </w:rPr>
        <w:t xml:space="preserve"> and </w:t>
      </w:r>
      <w:proofErr w:type="spellStart"/>
      <w:r>
        <w:rPr>
          <w:rFonts w:ascii="Arial" w:hAnsi="Arial" w:cs="Arial"/>
        </w:rPr>
        <w:t>Saughton</w:t>
      </w:r>
      <w:proofErr w:type="spellEnd"/>
      <w:r>
        <w:rPr>
          <w:rFonts w:ascii="Arial" w:hAnsi="Arial" w:cs="Arial"/>
        </w:rPr>
        <w:t>, respectively). For both data zones, males between the ages of 20 and 49 accounted for the largest part of expenditure, which suggests the prisoner Outpatient activity is indeed the reason for these extreme values. The 2001 data zones containing these two prisons were also outliers.</w:t>
      </w:r>
    </w:p>
    <w:p w:rsidR="00B303DF" w:rsidRDefault="00B303DF" w:rsidP="00B303DF">
      <w:pPr>
        <w:tabs>
          <w:tab w:val="left" w:pos="1657"/>
        </w:tabs>
        <w:autoSpaceDE w:val="0"/>
        <w:autoSpaceDN w:val="0"/>
        <w:adjustRightInd w:val="0"/>
        <w:spacing w:after="0"/>
        <w:rPr>
          <w:rFonts w:ascii="Arial" w:hAnsi="Arial" w:cs="Arial"/>
        </w:rPr>
      </w:pPr>
    </w:p>
    <w:p w:rsidR="006F6417" w:rsidRDefault="00E666D2" w:rsidP="005B6A94">
      <w:pPr>
        <w:jc w:val="both"/>
        <w:rPr>
          <w:rFonts w:ascii="Arial" w:hAnsi="Arial" w:cs="Arial"/>
        </w:rPr>
      </w:pPr>
      <w:bookmarkStart w:id="2" w:name="_GoBack"/>
      <w:bookmarkEnd w:id="2"/>
      <w:r>
        <w:rPr>
          <w:rFonts w:ascii="Arial" w:hAnsi="Arial" w:cs="Arial"/>
        </w:rPr>
        <w:t xml:space="preserve">AST propose that the few data zones containing prisons should be removed from the regression analysis. Despite the fact that these are not influential points, </w:t>
      </w:r>
      <w:r w:rsidR="00B24669">
        <w:rPr>
          <w:rFonts w:ascii="Arial" w:hAnsi="Arial" w:cs="Arial"/>
        </w:rPr>
        <w:t>they represent concentrated populations with healthcare needs that are likely to have a very different relationship with the indicators of need as compared to the general population. Additionally, the funding of prisoner healthcare is not covered by the NRAC formula but handled separately.</w:t>
      </w:r>
    </w:p>
    <w:p w:rsidR="00B24669" w:rsidRPr="00B24669" w:rsidRDefault="00B24669" w:rsidP="005B6A94">
      <w:pPr>
        <w:jc w:val="both"/>
        <w:rPr>
          <w:rFonts w:ascii="Arial" w:hAnsi="Arial" w:cs="Arial"/>
          <w:b/>
        </w:rPr>
      </w:pPr>
      <w:r w:rsidRPr="00B24669">
        <w:rPr>
          <w:rFonts w:ascii="Arial" w:hAnsi="Arial" w:cs="Arial"/>
          <w:b/>
        </w:rPr>
        <w:t xml:space="preserve">Q1. The Subgroup is asked to decide whether data zones </w:t>
      </w:r>
      <w:r w:rsidR="00DF323F">
        <w:rPr>
          <w:rFonts w:ascii="Arial" w:hAnsi="Arial" w:cs="Arial"/>
          <w:b/>
        </w:rPr>
        <w:t xml:space="preserve">that are dominated by prison populations </w:t>
      </w:r>
      <w:r w:rsidRPr="00B24669">
        <w:rPr>
          <w:rFonts w:ascii="Arial" w:hAnsi="Arial" w:cs="Arial"/>
          <w:b/>
        </w:rPr>
        <w:t>should be removed from the data sets in future analysis.</w:t>
      </w:r>
    </w:p>
    <w:sectPr w:rsidR="00B24669" w:rsidRPr="00B24669" w:rsidSect="004D1B4F">
      <w:headerReference w:type="default" r:id="rId29"/>
      <w:footerReference w:type="default" r:id="rId3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236" w:rsidRDefault="00FC2236" w:rsidP="00180CFC">
      <w:pPr>
        <w:spacing w:after="0" w:line="240" w:lineRule="auto"/>
      </w:pPr>
      <w:r>
        <w:separator/>
      </w:r>
    </w:p>
  </w:endnote>
  <w:endnote w:type="continuationSeparator" w:id="0">
    <w:p w:rsidR="00FC2236" w:rsidRDefault="00FC2236" w:rsidP="00180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0076"/>
      <w:docPartObj>
        <w:docPartGallery w:val="Page Numbers (Bottom of Page)"/>
        <w:docPartUnique/>
      </w:docPartObj>
    </w:sdtPr>
    <w:sdtContent>
      <w:sdt>
        <w:sdtPr>
          <w:id w:val="14650077"/>
          <w:docPartObj>
            <w:docPartGallery w:val="Page Numbers (Bottom of Page)"/>
            <w:docPartUnique/>
          </w:docPartObj>
        </w:sdtPr>
        <w:sdtContent>
          <w:p w:rsidR="00FC2236" w:rsidRDefault="00D43F8B" w:rsidP="00180CFC">
            <w:pPr>
              <w:pStyle w:val="Footer"/>
              <w:jc w:val="center"/>
            </w:pPr>
            <w:fldSimple w:instr=" PAGE   \* MERGEFORMAT ">
              <w:r w:rsidR="00DF323F">
                <w:rPr>
                  <w:noProof/>
                </w:rPr>
                <w:t>8</w:t>
              </w:r>
            </w:fldSimple>
          </w:p>
        </w:sdtContent>
      </w:sdt>
      <w:p w:rsidR="00FC2236" w:rsidRDefault="00D43F8B" w:rsidP="00180CFC">
        <w:pPr>
          <w:pStyle w:val="Footer"/>
          <w:jc w:val="right"/>
        </w:pPr>
      </w:p>
    </w:sdtContent>
  </w:sdt>
  <w:p w:rsidR="00FC2236" w:rsidRDefault="00FC2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236" w:rsidRDefault="00FC2236" w:rsidP="00180CFC">
      <w:pPr>
        <w:spacing w:after="0" w:line="240" w:lineRule="auto"/>
      </w:pPr>
      <w:r>
        <w:separator/>
      </w:r>
    </w:p>
  </w:footnote>
  <w:footnote w:type="continuationSeparator" w:id="0">
    <w:p w:rsidR="00FC2236" w:rsidRDefault="00FC2236" w:rsidP="00180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36" w:rsidRPr="00684248" w:rsidRDefault="00FC2236" w:rsidP="00180CFC">
    <w:pPr>
      <w:pStyle w:val="Header"/>
      <w:jc w:val="right"/>
      <w:rPr>
        <w:rFonts w:ascii="Arial" w:hAnsi="Arial" w:cs="Arial"/>
        <w:i/>
      </w:rPr>
    </w:pPr>
    <w:r w:rsidRPr="00684248">
      <w:rPr>
        <w:rFonts w:ascii="Arial" w:hAnsi="Arial" w:cs="Arial"/>
        <w:i/>
      </w:rPr>
      <w:t>TAMLC</w:t>
    </w:r>
    <w:r>
      <w:rPr>
        <w:rFonts w:ascii="Arial" w:hAnsi="Arial" w:cs="Arial"/>
        <w:i/>
      </w:rPr>
      <w:t>38</w:t>
    </w:r>
  </w:p>
  <w:p w:rsidR="00FC2236" w:rsidRDefault="00FC22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54C7"/>
    <w:multiLevelType w:val="hybridMultilevel"/>
    <w:tmpl w:val="2AC4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6B06A3"/>
    <w:multiLevelType w:val="hybridMultilevel"/>
    <w:tmpl w:val="9F1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BE11A9"/>
    <w:multiLevelType w:val="hybridMultilevel"/>
    <w:tmpl w:val="8D0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30602A"/>
    <w:multiLevelType w:val="hybridMultilevel"/>
    <w:tmpl w:val="D99E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DD03DC"/>
    <w:multiLevelType w:val="hybridMultilevel"/>
    <w:tmpl w:val="699CD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CE410F"/>
    <w:multiLevelType w:val="hybridMultilevel"/>
    <w:tmpl w:val="91642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EE50C7"/>
    <w:multiLevelType w:val="hybridMultilevel"/>
    <w:tmpl w:val="3D10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C1E62A3"/>
    <w:multiLevelType w:val="hybridMultilevel"/>
    <w:tmpl w:val="8110ADB4"/>
    <w:lvl w:ilvl="0" w:tplc="3DDC8D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1"/>
  </w:num>
  <w:num w:numId="6">
    <w:abstractNumId w:val="8"/>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0CFC"/>
    <w:rsid w:val="00003DB4"/>
    <w:rsid w:val="000044D5"/>
    <w:rsid w:val="000066E4"/>
    <w:rsid w:val="000136E3"/>
    <w:rsid w:val="00017991"/>
    <w:rsid w:val="00021822"/>
    <w:rsid w:val="000261AA"/>
    <w:rsid w:val="000279C1"/>
    <w:rsid w:val="00030796"/>
    <w:rsid w:val="00047369"/>
    <w:rsid w:val="00053A1A"/>
    <w:rsid w:val="00066930"/>
    <w:rsid w:val="00067AAC"/>
    <w:rsid w:val="0007283F"/>
    <w:rsid w:val="00072A21"/>
    <w:rsid w:val="00072C62"/>
    <w:rsid w:val="000742E6"/>
    <w:rsid w:val="00074EDC"/>
    <w:rsid w:val="00083599"/>
    <w:rsid w:val="00085390"/>
    <w:rsid w:val="00092F02"/>
    <w:rsid w:val="00094BB9"/>
    <w:rsid w:val="000A11A1"/>
    <w:rsid w:val="000A150E"/>
    <w:rsid w:val="000A20EF"/>
    <w:rsid w:val="000A5F80"/>
    <w:rsid w:val="000B14DF"/>
    <w:rsid w:val="000B4E7E"/>
    <w:rsid w:val="000B66D1"/>
    <w:rsid w:val="000C0999"/>
    <w:rsid w:val="000C2A96"/>
    <w:rsid w:val="000C2D64"/>
    <w:rsid w:val="000C43CD"/>
    <w:rsid w:val="000C5A83"/>
    <w:rsid w:val="000D2443"/>
    <w:rsid w:val="000D2618"/>
    <w:rsid w:val="000D372C"/>
    <w:rsid w:val="000D3BE0"/>
    <w:rsid w:val="000D479F"/>
    <w:rsid w:val="000E0DAE"/>
    <w:rsid w:val="000E0F3D"/>
    <w:rsid w:val="000E6C68"/>
    <w:rsid w:val="000F25F7"/>
    <w:rsid w:val="0010160D"/>
    <w:rsid w:val="001042B6"/>
    <w:rsid w:val="00105580"/>
    <w:rsid w:val="00107CDC"/>
    <w:rsid w:val="00110376"/>
    <w:rsid w:val="0011254F"/>
    <w:rsid w:val="001174D3"/>
    <w:rsid w:val="00117F82"/>
    <w:rsid w:val="001225DE"/>
    <w:rsid w:val="00124FD7"/>
    <w:rsid w:val="00125587"/>
    <w:rsid w:val="00127B8F"/>
    <w:rsid w:val="001302F2"/>
    <w:rsid w:val="00133961"/>
    <w:rsid w:val="0013734E"/>
    <w:rsid w:val="0014057E"/>
    <w:rsid w:val="00141372"/>
    <w:rsid w:val="0014348C"/>
    <w:rsid w:val="001526AD"/>
    <w:rsid w:val="00152DBC"/>
    <w:rsid w:val="00155D9B"/>
    <w:rsid w:val="001567FC"/>
    <w:rsid w:val="001603C7"/>
    <w:rsid w:val="00160CC1"/>
    <w:rsid w:val="00163458"/>
    <w:rsid w:val="00167C08"/>
    <w:rsid w:val="001738E4"/>
    <w:rsid w:val="001762CA"/>
    <w:rsid w:val="00180CFC"/>
    <w:rsid w:val="001863EF"/>
    <w:rsid w:val="00186763"/>
    <w:rsid w:val="00190752"/>
    <w:rsid w:val="00191A3D"/>
    <w:rsid w:val="0019306A"/>
    <w:rsid w:val="00197A61"/>
    <w:rsid w:val="001A2F3D"/>
    <w:rsid w:val="001A6414"/>
    <w:rsid w:val="001A6415"/>
    <w:rsid w:val="001A6B43"/>
    <w:rsid w:val="001B00F6"/>
    <w:rsid w:val="001B1298"/>
    <w:rsid w:val="001B143C"/>
    <w:rsid w:val="001B2EE9"/>
    <w:rsid w:val="001B4443"/>
    <w:rsid w:val="001B5BBC"/>
    <w:rsid w:val="001B645D"/>
    <w:rsid w:val="001C16EF"/>
    <w:rsid w:val="001C2713"/>
    <w:rsid w:val="001C28CC"/>
    <w:rsid w:val="001C2FD6"/>
    <w:rsid w:val="001C310D"/>
    <w:rsid w:val="001C3814"/>
    <w:rsid w:val="001C6047"/>
    <w:rsid w:val="001D113D"/>
    <w:rsid w:val="001D28A1"/>
    <w:rsid w:val="001D5BDD"/>
    <w:rsid w:val="001E0BD6"/>
    <w:rsid w:val="001E2756"/>
    <w:rsid w:val="001E4A9F"/>
    <w:rsid w:val="001E4BB8"/>
    <w:rsid w:val="001E57C6"/>
    <w:rsid w:val="001E6AEF"/>
    <w:rsid w:val="001F1950"/>
    <w:rsid w:val="001F1CEE"/>
    <w:rsid w:val="001F335E"/>
    <w:rsid w:val="00200896"/>
    <w:rsid w:val="00200B62"/>
    <w:rsid w:val="00206F7C"/>
    <w:rsid w:val="00211B63"/>
    <w:rsid w:val="002135F0"/>
    <w:rsid w:val="00215618"/>
    <w:rsid w:val="00216FF3"/>
    <w:rsid w:val="00225863"/>
    <w:rsid w:val="00227F19"/>
    <w:rsid w:val="00230081"/>
    <w:rsid w:val="00232A51"/>
    <w:rsid w:val="002330A5"/>
    <w:rsid w:val="00234626"/>
    <w:rsid w:val="00234895"/>
    <w:rsid w:val="00236006"/>
    <w:rsid w:val="00236F15"/>
    <w:rsid w:val="00241494"/>
    <w:rsid w:val="00241B0C"/>
    <w:rsid w:val="00242AC5"/>
    <w:rsid w:val="00260089"/>
    <w:rsid w:val="0026245E"/>
    <w:rsid w:val="00271E58"/>
    <w:rsid w:val="002777C6"/>
    <w:rsid w:val="0028079B"/>
    <w:rsid w:val="00283043"/>
    <w:rsid w:val="0028494C"/>
    <w:rsid w:val="002854CB"/>
    <w:rsid w:val="00291ABD"/>
    <w:rsid w:val="0029643A"/>
    <w:rsid w:val="00297E6C"/>
    <w:rsid w:val="002A05E7"/>
    <w:rsid w:val="002A2117"/>
    <w:rsid w:val="002B23C3"/>
    <w:rsid w:val="002B49E7"/>
    <w:rsid w:val="002C0480"/>
    <w:rsid w:val="002C0A0A"/>
    <w:rsid w:val="002C54DB"/>
    <w:rsid w:val="002C5DE1"/>
    <w:rsid w:val="002C5FB6"/>
    <w:rsid w:val="002C7DCD"/>
    <w:rsid w:val="002D0711"/>
    <w:rsid w:val="002D189E"/>
    <w:rsid w:val="002D4C64"/>
    <w:rsid w:val="002D6A08"/>
    <w:rsid w:val="002D7AF8"/>
    <w:rsid w:val="002E0B12"/>
    <w:rsid w:val="002E1900"/>
    <w:rsid w:val="002E1E41"/>
    <w:rsid w:val="002E26D2"/>
    <w:rsid w:val="002F07F3"/>
    <w:rsid w:val="002F0E1E"/>
    <w:rsid w:val="002F19FA"/>
    <w:rsid w:val="002F3D90"/>
    <w:rsid w:val="002F4D82"/>
    <w:rsid w:val="00302BF9"/>
    <w:rsid w:val="00303C58"/>
    <w:rsid w:val="003109C0"/>
    <w:rsid w:val="00311BF2"/>
    <w:rsid w:val="00314597"/>
    <w:rsid w:val="0031489E"/>
    <w:rsid w:val="00316041"/>
    <w:rsid w:val="003163E4"/>
    <w:rsid w:val="00317689"/>
    <w:rsid w:val="0031781D"/>
    <w:rsid w:val="00317C31"/>
    <w:rsid w:val="0032275F"/>
    <w:rsid w:val="00324D00"/>
    <w:rsid w:val="00325EEC"/>
    <w:rsid w:val="00326210"/>
    <w:rsid w:val="003268B4"/>
    <w:rsid w:val="00327669"/>
    <w:rsid w:val="003320AD"/>
    <w:rsid w:val="00334915"/>
    <w:rsid w:val="0033721C"/>
    <w:rsid w:val="00343E26"/>
    <w:rsid w:val="003449CB"/>
    <w:rsid w:val="003466CF"/>
    <w:rsid w:val="00346D4D"/>
    <w:rsid w:val="003509DB"/>
    <w:rsid w:val="00351777"/>
    <w:rsid w:val="00351E43"/>
    <w:rsid w:val="00357CC7"/>
    <w:rsid w:val="003633C0"/>
    <w:rsid w:val="00363C2B"/>
    <w:rsid w:val="00363D1C"/>
    <w:rsid w:val="00364145"/>
    <w:rsid w:val="00365BAB"/>
    <w:rsid w:val="00366A92"/>
    <w:rsid w:val="0037566B"/>
    <w:rsid w:val="00380F51"/>
    <w:rsid w:val="0038418C"/>
    <w:rsid w:val="003A0F6F"/>
    <w:rsid w:val="003B1E72"/>
    <w:rsid w:val="003B71A0"/>
    <w:rsid w:val="003B796F"/>
    <w:rsid w:val="003C1697"/>
    <w:rsid w:val="003C5198"/>
    <w:rsid w:val="003C6BC2"/>
    <w:rsid w:val="003D1BE3"/>
    <w:rsid w:val="003D5BDD"/>
    <w:rsid w:val="003E01AD"/>
    <w:rsid w:val="003E5857"/>
    <w:rsid w:val="003E679B"/>
    <w:rsid w:val="003F23A9"/>
    <w:rsid w:val="003F469D"/>
    <w:rsid w:val="00402310"/>
    <w:rsid w:val="0040344F"/>
    <w:rsid w:val="0040698B"/>
    <w:rsid w:val="00406D61"/>
    <w:rsid w:val="00407C9D"/>
    <w:rsid w:val="00410C88"/>
    <w:rsid w:val="00412A5B"/>
    <w:rsid w:val="00412AD9"/>
    <w:rsid w:val="00413C94"/>
    <w:rsid w:val="004155B9"/>
    <w:rsid w:val="004179AB"/>
    <w:rsid w:val="00421065"/>
    <w:rsid w:val="004238CD"/>
    <w:rsid w:val="004271FC"/>
    <w:rsid w:val="004402EF"/>
    <w:rsid w:val="004470A8"/>
    <w:rsid w:val="00455529"/>
    <w:rsid w:val="0045584D"/>
    <w:rsid w:val="004558C5"/>
    <w:rsid w:val="00457824"/>
    <w:rsid w:val="004616C8"/>
    <w:rsid w:val="00464FF1"/>
    <w:rsid w:val="00465B8D"/>
    <w:rsid w:val="00471B74"/>
    <w:rsid w:val="00473424"/>
    <w:rsid w:val="004748F8"/>
    <w:rsid w:val="004759DB"/>
    <w:rsid w:val="004915F9"/>
    <w:rsid w:val="004952D9"/>
    <w:rsid w:val="00496C24"/>
    <w:rsid w:val="0049766B"/>
    <w:rsid w:val="004A018D"/>
    <w:rsid w:val="004A326A"/>
    <w:rsid w:val="004A763B"/>
    <w:rsid w:val="004B184B"/>
    <w:rsid w:val="004B2B53"/>
    <w:rsid w:val="004B73E1"/>
    <w:rsid w:val="004B7E3B"/>
    <w:rsid w:val="004C4D38"/>
    <w:rsid w:val="004D0F74"/>
    <w:rsid w:val="004D1B4F"/>
    <w:rsid w:val="004D37F7"/>
    <w:rsid w:val="004E077C"/>
    <w:rsid w:val="004E2DAB"/>
    <w:rsid w:val="004E6AC0"/>
    <w:rsid w:val="004E7D74"/>
    <w:rsid w:val="004F392D"/>
    <w:rsid w:val="00501BB3"/>
    <w:rsid w:val="00502EC1"/>
    <w:rsid w:val="00507162"/>
    <w:rsid w:val="005146EC"/>
    <w:rsid w:val="005171ED"/>
    <w:rsid w:val="0051735D"/>
    <w:rsid w:val="005215C3"/>
    <w:rsid w:val="00522B7E"/>
    <w:rsid w:val="00523E6D"/>
    <w:rsid w:val="00533E9E"/>
    <w:rsid w:val="0053488A"/>
    <w:rsid w:val="00541DAE"/>
    <w:rsid w:val="005435AB"/>
    <w:rsid w:val="00552601"/>
    <w:rsid w:val="005547CD"/>
    <w:rsid w:val="00556D7B"/>
    <w:rsid w:val="00564ED9"/>
    <w:rsid w:val="00570293"/>
    <w:rsid w:val="00572E14"/>
    <w:rsid w:val="005739E3"/>
    <w:rsid w:val="00580423"/>
    <w:rsid w:val="005824FF"/>
    <w:rsid w:val="00583FEF"/>
    <w:rsid w:val="005844E4"/>
    <w:rsid w:val="00587203"/>
    <w:rsid w:val="005921FC"/>
    <w:rsid w:val="005962B1"/>
    <w:rsid w:val="005A52A7"/>
    <w:rsid w:val="005A54CD"/>
    <w:rsid w:val="005A6E61"/>
    <w:rsid w:val="005A782A"/>
    <w:rsid w:val="005A7E38"/>
    <w:rsid w:val="005B07D1"/>
    <w:rsid w:val="005B0848"/>
    <w:rsid w:val="005B14F2"/>
    <w:rsid w:val="005B1577"/>
    <w:rsid w:val="005B6A94"/>
    <w:rsid w:val="005B7B6D"/>
    <w:rsid w:val="005C12DD"/>
    <w:rsid w:val="005C1566"/>
    <w:rsid w:val="005C218B"/>
    <w:rsid w:val="005C34C0"/>
    <w:rsid w:val="005C60DE"/>
    <w:rsid w:val="005C72AD"/>
    <w:rsid w:val="005C7630"/>
    <w:rsid w:val="005C7E02"/>
    <w:rsid w:val="005D459D"/>
    <w:rsid w:val="005D6294"/>
    <w:rsid w:val="005E0B44"/>
    <w:rsid w:val="005E1E3C"/>
    <w:rsid w:val="005E3764"/>
    <w:rsid w:val="005E731D"/>
    <w:rsid w:val="005F30B5"/>
    <w:rsid w:val="006000AA"/>
    <w:rsid w:val="006015A5"/>
    <w:rsid w:val="00602370"/>
    <w:rsid w:val="00603CC5"/>
    <w:rsid w:val="00607200"/>
    <w:rsid w:val="006207A0"/>
    <w:rsid w:val="006358F5"/>
    <w:rsid w:val="00635FC6"/>
    <w:rsid w:val="00642A12"/>
    <w:rsid w:val="0064634F"/>
    <w:rsid w:val="00652435"/>
    <w:rsid w:val="00652ED8"/>
    <w:rsid w:val="00653507"/>
    <w:rsid w:val="0065699F"/>
    <w:rsid w:val="006621ED"/>
    <w:rsid w:val="00662FC1"/>
    <w:rsid w:val="0066482C"/>
    <w:rsid w:val="00666905"/>
    <w:rsid w:val="00667BA9"/>
    <w:rsid w:val="0067070D"/>
    <w:rsid w:val="00674DA1"/>
    <w:rsid w:val="006760C5"/>
    <w:rsid w:val="00681CFE"/>
    <w:rsid w:val="006824DB"/>
    <w:rsid w:val="00686760"/>
    <w:rsid w:val="0068764E"/>
    <w:rsid w:val="00691039"/>
    <w:rsid w:val="00691B12"/>
    <w:rsid w:val="00692E05"/>
    <w:rsid w:val="0069551E"/>
    <w:rsid w:val="00696EE8"/>
    <w:rsid w:val="006978A1"/>
    <w:rsid w:val="006978B4"/>
    <w:rsid w:val="006A08D7"/>
    <w:rsid w:val="006A0F93"/>
    <w:rsid w:val="006A1059"/>
    <w:rsid w:val="006A10E5"/>
    <w:rsid w:val="006A1FC1"/>
    <w:rsid w:val="006A2D01"/>
    <w:rsid w:val="006A3A65"/>
    <w:rsid w:val="006A447C"/>
    <w:rsid w:val="006A7BB6"/>
    <w:rsid w:val="006B2A6B"/>
    <w:rsid w:val="006B2DEA"/>
    <w:rsid w:val="006B4F24"/>
    <w:rsid w:val="006C1CC0"/>
    <w:rsid w:val="006C44B6"/>
    <w:rsid w:val="006D2828"/>
    <w:rsid w:val="006D3AAB"/>
    <w:rsid w:val="006D719A"/>
    <w:rsid w:val="006E184B"/>
    <w:rsid w:val="006E2C11"/>
    <w:rsid w:val="006E2C76"/>
    <w:rsid w:val="006E4F97"/>
    <w:rsid w:val="006E538E"/>
    <w:rsid w:val="006F292B"/>
    <w:rsid w:val="006F6417"/>
    <w:rsid w:val="00703315"/>
    <w:rsid w:val="00704903"/>
    <w:rsid w:val="00706B38"/>
    <w:rsid w:val="0071590F"/>
    <w:rsid w:val="007203E8"/>
    <w:rsid w:val="00724F75"/>
    <w:rsid w:val="0072509A"/>
    <w:rsid w:val="00732D63"/>
    <w:rsid w:val="007347F0"/>
    <w:rsid w:val="00741A90"/>
    <w:rsid w:val="00744911"/>
    <w:rsid w:val="00750FC5"/>
    <w:rsid w:val="0075135D"/>
    <w:rsid w:val="0075177D"/>
    <w:rsid w:val="00752900"/>
    <w:rsid w:val="00755BF0"/>
    <w:rsid w:val="00757C38"/>
    <w:rsid w:val="007602DB"/>
    <w:rsid w:val="00774CBB"/>
    <w:rsid w:val="00775A76"/>
    <w:rsid w:val="007807C9"/>
    <w:rsid w:val="007823B7"/>
    <w:rsid w:val="00782FB4"/>
    <w:rsid w:val="0078388D"/>
    <w:rsid w:val="00784D92"/>
    <w:rsid w:val="007860E3"/>
    <w:rsid w:val="00787385"/>
    <w:rsid w:val="00791F0C"/>
    <w:rsid w:val="00793F81"/>
    <w:rsid w:val="00796D1F"/>
    <w:rsid w:val="007A0D18"/>
    <w:rsid w:val="007A1F11"/>
    <w:rsid w:val="007A2634"/>
    <w:rsid w:val="007A426A"/>
    <w:rsid w:val="007B5968"/>
    <w:rsid w:val="007B6B9F"/>
    <w:rsid w:val="007C33F8"/>
    <w:rsid w:val="007C4CAB"/>
    <w:rsid w:val="007C7DC2"/>
    <w:rsid w:val="007D2537"/>
    <w:rsid w:val="007D4337"/>
    <w:rsid w:val="007D6133"/>
    <w:rsid w:val="007D634E"/>
    <w:rsid w:val="007E0896"/>
    <w:rsid w:val="007E0A26"/>
    <w:rsid w:val="007E0F39"/>
    <w:rsid w:val="007E1134"/>
    <w:rsid w:val="007E2CBF"/>
    <w:rsid w:val="007E3BF5"/>
    <w:rsid w:val="007E4F9D"/>
    <w:rsid w:val="007E7706"/>
    <w:rsid w:val="007E7D50"/>
    <w:rsid w:val="007F088E"/>
    <w:rsid w:val="007F0FC9"/>
    <w:rsid w:val="007F14F9"/>
    <w:rsid w:val="007F3B3A"/>
    <w:rsid w:val="007F3F12"/>
    <w:rsid w:val="007F5F2B"/>
    <w:rsid w:val="007F68E8"/>
    <w:rsid w:val="007F6D65"/>
    <w:rsid w:val="0080538F"/>
    <w:rsid w:val="008105CA"/>
    <w:rsid w:val="00812F38"/>
    <w:rsid w:val="008137AB"/>
    <w:rsid w:val="00813BD1"/>
    <w:rsid w:val="00813E50"/>
    <w:rsid w:val="00815282"/>
    <w:rsid w:val="00820525"/>
    <w:rsid w:val="00821736"/>
    <w:rsid w:val="00821C6D"/>
    <w:rsid w:val="008229F4"/>
    <w:rsid w:val="00822B06"/>
    <w:rsid w:val="00823995"/>
    <w:rsid w:val="0082656C"/>
    <w:rsid w:val="008305CF"/>
    <w:rsid w:val="008328F9"/>
    <w:rsid w:val="00843F2C"/>
    <w:rsid w:val="00844930"/>
    <w:rsid w:val="0084619A"/>
    <w:rsid w:val="008468D9"/>
    <w:rsid w:val="00846AAA"/>
    <w:rsid w:val="00850CE8"/>
    <w:rsid w:val="00857645"/>
    <w:rsid w:val="008701D3"/>
    <w:rsid w:val="008707AD"/>
    <w:rsid w:val="00870B54"/>
    <w:rsid w:val="008726EC"/>
    <w:rsid w:val="00872FF7"/>
    <w:rsid w:val="00873E36"/>
    <w:rsid w:val="00875F41"/>
    <w:rsid w:val="00875FB7"/>
    <w:rsid w:val="0087747D"/>
    <w:rsid w:val="008806E1"/>
    <w:rsid w:val="00883754"/>
    <w:rsid w:val="008923F5"/>
    <w:rsid w:val="00893414"/>
    <w:rsid w:val="0089479C"/>
    <w:rsid w:val="0089514E"/>
    <w:rsid w:val="008952DD"/>
    <w:rsid w:val="00895A86"/>
    <w:rsid w:val="00895EF0"/>
    <w:rsid w:val="00896A91"/>
    <w:rsid w:val="008A1EF9"/>
    <w:rsid w:val="008A28BC"/>
    <w:rsid w:val="008A3D6C"/>
    <w:rsid w:val="008A51C6"/>
    <w:rsid w:val="008A5B4F"/>
    <w:rsid w:val="008A62B8"/>
    <w:rsid w:val="008B18D1"/>
    <w:rsid w:val="008B33F4"/>
    <w:rsid w:val="008B5945"/>
    <w:rsid w:val="008B76A9"/>
    <w:rsid w:val="008D1F71"/>
    <w:rsid w:val="008D4E86"/>
    <w:rsid w:val="008D5A78"/>
    <w:rsid w:val="008D7E66"/>
    <w:rsid w:val="008E0402"/>
    <w:rsid w:val="008E6C9D"/>
    <w:rsid w:val="008F26B6"/>
    <w:rsid w:val="008F3F2F"/>
    <w:rsid w:val="008F41C5"/>
    <w:rsid w:val="008F6017"/>
    <w:rsid w:val="008F6335"/>
    <w:rsid w:val="00900841"/>
    <w:rsid w:val="00903FCA"/>
    <w:rsid w:val="0090457A"/>
    <w:rsid w:val="00912696"/>
    <w:rsid w:val="0091324F"/>
    <w:rsid w:val="0091335E"/>
    <w:rsid w:val="009134B1"/>
    <w:rsid w:val="00914F74"/>
    <w:rsid w:val="00923211"/>
    <w:rsid w:val="009253E2"/>
    <w:rsid w:val="009258D4"/>
    <w:rsid w:val="00926DDF"/>
    <w:rsid w:val="00927CB4"/>
    <w:rsid w:val="00934498"/>
    <w:rsid w:val="00934AA5"/>
    <w:rsid w:val="009377F4"/>
    <w:rsid w:val="00937C27"/>
    <w:rsid w:val="0094096E"/>
    <w:rsid w:val="00955718"/>
    <w:rsid w:val="009615FA"/>
    <w:rsid w:val="00961FF7"/>
    <w:rsid w:val="0096240C"/>
    <w:rsid w:val="00963A6E"/>
    <w:rsid w:val="00970FBA"/>
    <w:rsid w:val="00976BA5"/>
    <w:rsid w:val="00981F3D"/>
    <w:rsid w:val="00986908"/>
    <w:rsid w:val="00986ED7"/>
    <w:rsid w:val="009A1661"/>
    <w:rsid w:val="009A505A"/>
    <w:rsid w:val="009B2789"/>
    <w:rsid w:val="009B3E03"/>
    <w:rsid w:val="009B44BD"/>
    <w:rsid w:val="009B69BD"/>
    <w:rsid w:val="009C2E74"/>
    <w:rsid w:val="009C65CF"/>
    <w:rsid w:val="009D0E5A"/>
    <w:rsid w:val="009D2FD7"/>
    <w:rsid w:val="009D46D8"/>
    <w:rsid w:val="009D47DF"/>
    <w:rsid w:val="009D4AB6"/>
    <w:rsid w:val="009D785C"/>
    <w:rsid w:val="009D7885"/>
    <w:rsid w:val="009E18B8"/>
    <w:rsid w:val="009E1E5E"/>
    <w:rsid w:val="009E29EE"/>
    <w:rsid w:val="009E46C0"/>
    <w:rsid w:val="009E5645"/>
    <w:rsid w:val="009E599A"/>
    <w:rsid w:val="009E6236"/>
    <w:rsid w:val="009E6EF6"/>
    <w:rsid w:val="009F3C5A"/>
    <w:rsid w:val="009F4F5F"/>
    <w:rsid w:val="009F638C"/>
    <w:rsid w:val="009F6517"/>
    <w:rsid w:val="009F6E03"/>
    <w:rsid w:val="00A031EC"/>
    <w:rsid w:val="00A071A4"/>
    <w:rsid w:val="00A11F47"/>
    <w:rsid w:val="00A14B8B"/>
    <w:rsid w:val="00A15B3A"/>
    <w:rsid w:val="00A17F3E"/>
    <w:rsid w:val="00A17F8A"/>
    <w:rsid w:val="00A2158D"/>
    <w:rsid w:val="00A21653"/>
    <w:rsid w:val="00A2394B"/>
    <w:rsid w:val="00A247A7"/>
    <w:rsid w:val="00A25B45"/>
    <w:rsid w:val="00A25BA7"/>
    <w:rsid w:val="00A27C4A"/>
    <w:rsid w:val="00A30899"/>
    <w:rsid w:val="00A31CD5"/>
    <w:rsid w:val="00A348C2"/>
    <w:rsid w:val="00A37639"/>
    <w:rsid w:val="00A4140B"/>
    <w:rsid w:val="00A4411F"/>
    <w:rsid w:val="00A442EE"/>
    <w:rsid w:val="00A45F1F"/>
    <w:rsid w:val="00A61FCD"/>
    <w:rsid w:val="00A712C5"/>
    <w:rsid w:val="00A7168C"/>
    <w:rsid w:val="00A71F82"/>
    <w:rsid w:val="00A71FD5"/>
    <w:rsid w:val="00A7589F"/>
    <w:rsid w:val="00A75C51"/>
    <w:rsid w:val="00A76ACF"/>
    <w:rsid w:val="00A76D0E"/>
    <w:rsid w:val="00A76EFA"/>
    <w:rsid w:val="00A77119"/>
    <w:rsid w:val="00A8430F"/>
    <w:rsid w:val="00A87F75"/>
    <w:rsid w:val="00A9207C"/>
    <w:rsid w:val="00A9492C"/>
    <w:rsid w:val="00AA379B"/>
    <w:rsid w:val="00AA3A54"/>
    <w:rsid w:val="00AA5EB8"/>
    <w:rsid w:val="00AA728C"/>
    <w:rsid w:val="00AB0901"/>
    <w:rsid w:val="00AB0EBA"/>
    <w:rsid w:val="00AB4FA1"/>
    <w:rsid w:val="00AC20DC"/>
    <w:rsid w:val="00AC4BCF"/>
    <w:rsid w:val="00AC62E3"/>
    <w:rsid w:val="00AD21A6"/>
    <w:rsid w:val="00AD2E78"/>
    <w:rsid w:val="00AD3C61"/>
    <w:rsid w:val="00AD7D3A"/>
    <w:rsid w:val="00AE0BB3"/>
    <w:rsid w:val="00AE5C34"/>
    <w:rsid w:val="00AE6C0E"/>
    <w:rsid w:val="00AF0EA1"/>
    <w:rsid w:val="00AF437C"/>
    <w:rsid w:val="00AF5107"/>
    <w:rsid w:val="00B015B3"/>
    <w:rsid w:val="00B067E5"/>
    <w:rsid w:val="00B073C8"/>
    <w:rsid w:val="00B117C8"/>
    <w:rsid w:val="00B12473"/>
    <w:rsid w:val="00B1514A"/>
    <w:rsid w:val="00B15584"/>
    <w:rsid w:val="00B162DC"/>
    <w:rsid w:val="00B16DC4"/>
    <w:rsid w:val="00B2185F"/>
    <w:rsid w:val="00B24669"/>
    <w:rsid w:val="00B255B7"/>
    <w:rsid w:val="00B303B0"/>
    <w:rsid w:val="00B303DF"/>
    <w:rsid w:val="00B32999"/>
    <w:rsid w:val="00B34EDA"/>
    <w:rsid w:val="00B36BB8"/>
    <w:rsid w:val="00B4173D"/>
    <w:rsid w:val="00B455B7"/>
    <w:rsid w:val="00B531BA"/>
    <w:rsid w:val="00B55C26"/>
    <w:rsid w:val="00B57E4A"/>
    <w:rsid w:val="00B6002E"/>
    <w:rsid w:val="00B672B9"/>
    <w:rsid w:val="00B75198"/>
    <w:rsid w:val="00B77A14"/>
    <w:rsid w:val="00B923B7"/>
    <w:rsid w:val="00B95FF6"/>
    <w:rsid w:val="00BA315C"/>
    <w:rsid w:val="00BA47B7"/>
    <w:rsid w:val="00BB00FA"/>
    <w:rsid w:val="00BB4548"/>
    <w:rsid w:val="00BB4E74"/>
    <w:rsid w:val="00BB66B0"/>
    <w:rsid w:val="00BC739D"/>
    <w:rsid w:val="00BC7830"/>
    <w:rsid w:val="00BD54B7"/>
    <w:rsid w:val="00BD56AA"/>
    <w:rsid w:val="00BE0E7A"/>
    <w:rsid w:val="00BE222A"/>
    <w:rsid w:val="00BE6777"/>
    <w:rsid w:val="00BF2280"/>
    <w:rsid w:val="00BF3E2F"/>
    <w:rsid w:val="00BF60EC"/>
    <w:rsid w:val="00BF65CD"/>
    <w:rsid w:val="00C011C2"/>
    <w:rsid w:val="00C0263E"/>
    <w:rsid w:val="00C14DDE"/>
    <w:rsid w:val="00C16F0E"/>
    <w:rsid w:val="00C20083"/>
    <w:rsid w:val="00C22C6C"/>
    <w:rsid w:val="00C26D18"/>
    <w:rsid w:val="00C27570"/>
    <w:rsid w:val="00C31236"/>
    <w:rsid w:val="00C32D3D"/>
    <w:rsid w:val="00C351EE"/>
    <w:rsid w:val="00C3559F"/>
    <w:rsid w:val="00C35CCC"/>
    <w:rsid w:val="00C41018"/>
    <w:rsid w:val="00C45E21"/>
    <w:rsid w:val="00C4626F"/>
    <w:rsid w:val="00C500A6"/>
    <w:rsid w:val="00C512F0"/>
    <w:rsid w:val="00C51799"/>
    <w:rsid w:val="00C53301"/>
    <w:rsid w:val="00C549DD"/>
    <w:rsid w:val="00C54AAE"/>
    <w:rsid w:val="00C55668"/>
    <w:rsid w:val="00C56BAB"/>
    <w:rsid w:val="00C571E2"/>
    <w:rsid w:val="00C654BA"/>
    <w:rsid w:val="00C715B4"/>
    <w:rsid w:val="00C73877"/>
    <w:rsid w:val="00C747EF"/>
    <w:rsid w:val="00C8000C"/>
    <w:rsid w:val="00C86D62"/>
    <w:rsid w:val="00C9124E"/>
    <w:rsid w:val="00C91C88"/>
    <w:rsid w:val="00C926BD"/>
    <w:rsid w:val="00C92807"/>
    <w:rsid w:val="00CA011A"/>
    <w:rsid w:val="00CA16C2"/>
    <w:rsid w:val="00CA29F5"/>
    <w:rsid w:val="00CA4B64"/>
    <w:rsid w:val="00CA747B"/>
    <w:rsid w:val="00CB38C9"/>
    <w:rsid w:val="00CB4BD6"/>
    <w:rsid w:val="00CB4DA7"/>
    <w:rsid w:val="00CB4E7A"/>
    <w:rsid w:val="00CB55B0"/>
    <w:rsid w:val="00CB6BB5"/>
    <w:rsid w:val="00CC1591"/>
    <w:rsid w:val="00CC2879"/>
    <w:rsid w:val="00CC33CE"/>
    <w:rsid w:val="00CC4AF0"/>
    <w:rsid w:val="00CC7FF4"/>
    <w:rsid w:val="00CC7FF5"/>
    <w:rsid w:val="00CD1305"/>
    <w:rsid w:val="00CD286E"/>
    <w:rsid w:val="00CD767F"/>
    <w:rsid w:val="00CE1FD7"/>
    <w:rsid w:val="00CE2CD9"/>
    <w:rsid w:val="00CE4D7B"/>
    <w:rsid w:val="00CE4FC5"/>
    <w:rsid w:val="00CE5DFA"/>
    <w:rsid w:val="00CE7DF7"/>
    <w:rsid w:val="00CF30DE"/>
    <w:rsid w:val="00D030CC"/>
    <w:rsid w:val="00D06D3D"/>
    <w:rsid w:val="00D11505"/>
    <w:rsid w:val="00D1603B"/>
    <w:rsid w:val="00D17A53"/>
    <w:rsid w:val="00D24E38"/>
    <w:rsid w:val="00D255AB"/>
    <w:rsid w:val="00D26970"/>
    <w:rsid w:val="00D27BEC"/>
    <w:rsid w:val="00D328BA"/>
    <w:rsid w:val="00D3425D"/>
    <w:rsid w:val="00D41CE9"/>
    <w:rsid w:val="00D43F8B"/>
    <w:rsid w:val="00D45B2C"/>
    <w:rsid w:val="00D46BFD"/>
    <w:rsid w:val="00D51413"/>
    <w:rsid w:val="00D514B2"/>
    <w:rsid w:val="00D520F4"/>
    <w:rsid w:val="00D54D7B"/>
    <w:rsid w:val="00D56381"/>
    <w:rsid w:val="00D56524"/>
    <w:rsid w:val="00D66C09"/>
    <w:rsid w:val="00D66E94"/>
    <w:rsid w:val="00D700BA"/>
    <w:rsid w:val="00D7017F"/>
    <w:rsid w:val="00D70F6D"/>
    <w:rsid w:val="00D71669"/>
    <w:rsid w:val="00D725A9"/>
    <w:rsid w:val="00D734F8"/>
    <w:rsid w:val="00D7485C"/>
    <w:rsid w:val="00D75965"/>
    <w:rsid w:val="00D810F3"/>
    <w:rsid w:val="00D852D7"/>
    <w:rsid w:val="00D86637"/>
    <w:rsid w:val="00D915FA"/>
    <w:rsid w:val="00D922C7"/>
    <w:rsid w:val="00D936EB"/>
    <w:rsid w:val="00D94A95"/>
    <w:rsid w:val="00D9649A"/>
    <w:rsid w:val="00DA015E"/>
    <w:rsid w:val="00DA0CD8"/>
    <w:rsid w:val="00DA28E9"/>
    <w:rsid w:val="00DA7E0C"/>
    <w:rsid w:val="00DB4529"/>
    <w:rsid w:val="00DB5B84"/>
    <w:rsid w:val="00DB7928"/>
    <w:rsid w:val="00DC2986"/>
    <w:rsid w:val="00DC4CF0"/>
    <w:rsid w:val="00DD4A6D"/>
    <w:rsid w:val="00DD747A"/>
    <w:rsid w:val="00DE1459"/>
    <w:rsid w:val="00DE158F"/>
    <w:rsid w:val="00DE2507"/>
    <w:rsid w:val="00DE2B50"/>
    <w:rsid w:val="00DE72E4"/>
    <w:rsid w:val="00DF0CEF"/>
    <w:rsid w:val="00DF215B"/>
    <w:rsid w:val="00DF3056"/>
    <w:rsid w:val="00DF323F"/>
    <w:rsid w:val="00DF57CC"/>
    <w:rsid w:val="00DF76B4"/>
    <w:rsid w:val="00E00E24"/>
    <w:rsid w:val="00E0233C"/>
    <w:rsid w:val="00E04E20"/>
    <w:rsid w:val="00E12DBD"/>
    <w:rsid w:val="00E1555C"/>
    <w:rsid w:val="00E15B75"/>
    <w:rsid w:val="00E161AD"/>
    <w:rsid w:val="00E171BE"/>
    <w:rsid w:val="00E21DEF"/>
    <w:rsid w:val="00E23E71"/>
    <w:rsid w:val="00E254F1"/>
    <w:rsid w:val="00E303F5"/>
    <w:rsid w:val="00E32391"/>
    <w:rsid w:val="00E32416"/>
    <w:rsid w:val="00E3380B"/>
    <w:rsid w:val="00E33A7C"/>
    <w:rsid w:val="00E36FF6"/>
    <w:rsid w:val="00E37801"/>
    <w:rsid w:val="00E4117B"/>
    <w:rsid w:val="00E42260"/>
    <w:rsid w:val="00E439A7"/>
    <w:rsid w:val="00E43ABA"/>
    <w:rsid w:val="00E45290"/>
    <w:rsid w:val="00E457E6"/>
    <w:rsid w:val="00E47041"/>
    <w:rsid w:val="00E4763C"/>
    <w:rsid w:val="00E50826"/>
    <w:rsid w:val="00E51900"/>
    <w:rsid w:val="00E51DEF"/>
    <w:rsid w:val="00E55014"/>
    <w:rsid w:val="00E5532C"/>
    <w:rsid w:val="00E56001"/>
    <w:rsid w:val="00E577A3"/>
    <w:rsid w:val="00E61BF7"/>
    <w:rsid w:val="00E666D2"/>
    <w:rsid w:val="00E703F7"/>
    <w:rsid w:val="00E82F70"/>
    <w:rsid w:val="00E871D8"/>
    <w:rsid w:val="00E90333"/>
    <w:rsid w:val="00E91427"/>
    <w:rsid w:val="00E92C71"/>
    <w:rsid w:val="00EA0CDF"/>
    <w:rsid w:val="00EB34EE"/>
    <w:rsid w:val="00EB3D4A"/>
    <w:rsid w:val="00EB46EC"/>
    <w:rsid w:val="00EB4C91"/>
    <w:rsid w:val="00EB4EB7"/>
    <w:rsid w:val="00EC3E1F"/>
    <w:rsid w:val="00EC4F2C"/>
    <w:rsid w:val="00EC6DD3"/>
    <w:rsid w:val="00EC7A13"/>
    <w:rsid w:val="00ED0842"/>
    <w:rsid w:val="00ED3660"/>
    <w:rsid w:val="00ED3992"/>
    <w:rsid w:val="00ED42B1"/>
    <w:rsid w:val="00ED7383"/>
    <w:rsid w:val="00EF15DA"/>
    <w:rsid w:val="00EF17EA"/>
    <w:rsid w:val="00EF4DD0"/>
    <w:rsid w:val="00EF7CF6"/>
    <w:rsid w:val="00F01426"/>
    <w:rsid w:val="00F03D89"/>
    <w:rsid w:val="00F122D0"/>
    <w:rsid w:val="00F12AB0"/>
    <w:rsid w:val="00F14C1D"/>
    <w:rsid w:val="00F15CE2"/>
    <w:rsid w:val="00F176E8"/>
    <w:rsid w:val="00F20CB9"/>
    <w:rsid w:val="00F230CB"/>
    <w:rsid w:val="00F233EC"/>
    <w:rsid w:val="00F234AC"/>
    <w:rsid w:val="00F23562"/>
    <w:rsid w:val="00F26218"/>
    <w:rsid w:val="00F33AB4"/>
    <w:rsid w:val="00F3402B"/>
    <w:rsid w:val="00F36991"/>
    <w:rsid w:val="00F421A6"/>
    <w:rsid w:val="00F42C4C"/>
    <w:rsid w:val="00F43991"/>
    <w:rsid w:val="00F44623"/>
    <w:rsid w:val="00F45667"/>
    <w:rsid w:val="00F504B5"/>
    <w:rsid w:val="00F53CDB"/>
    <w:rsid w:val="00F60A5C"/>
    <w:rsid w:val="00F60B75"/>
    <w:rsid w:val="00F653A8"/>
    <w:rsid w:val="00F67AF5"/>
    <w:rsid w:val="00F778BF"/>
    <w:rsid w:val="00F81617"/>
    <w:rsid w:val="00F8166A"/>
    <w:rsid w:val="00F83159"/>
    <w:rsid w:val="00F86941"/>
    <w:rsid w:val="00F86BCA"/>
    <w:rsid w:val="00F8726D"/>
    <w:rsid w:val="00F90B33"/>
    <w:rsid w:val="00F91502"/>
    <w:rsid w:val="00F9335F"/>
    <w:rsid w:val="00F9792B"/>
    <w:rsid w:val="00F97E0B"/>
    <w:rsid w:val="00FA3257"/>
    <w:rsid w:val="00FC2236"/>
    <w:rsid w:val="00FC75AD"/>
    <w:rsid w:val="00FE1095"/>
    <w:rsid w:val="00FE3F25"/>
    <w:rsid w:val="00FE3FB1"/>
    <w:rsid w:val="00FE5A5A"/>
    <w:rsid w:val="00FF1E8F"/>
    <w:rsid w:val="00FF30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80CFC"/>
    <w:rPr>
      <w:sz w:val="16"/>
      <w:szCs w:val="16"/>
    </w:rPr>
  </w:style>
  <w:style w:type="paragraph" w:styleId="CommentText">
    <w:name w:val="annotation text"/>
    <w:basedOn w:val="Normal"/>
    <w:link w:val="CommentTextChar"/>
    <w:uiPriority w:val="99"/>
    <w:unhideWhenUsed/>
    <w:rsid w:val="00180CFC"/>
    <w:pPr>
      <w:spacing w:line="240" w:lineRule="auto"/>
    </w:pPr>
    <w:rPr>
      <w:sz w:val="20"/>
      <w:szCs w:val="20"/>
    </w:rPr>
  </w:style>
  <w:style w:type="character" w:customStyle="1" w:styleId="CommentTextChar">
    <w:name w:val="Comment Text Char"/>
    <w:basedOn w:val="DefaultParagraphFont"/>
    <w:link w:val="CommentText"/>
    <w:uiPriority w:val="99"/>
    <w:rsid w:val="00180CFC"/>
    <w:rPr>
      <w:sz w:val="20"/>
      <w:szCs w:val="20"/>
    </w:rPr>
  </w:style>
  <w:style w:type="paragraph" w:styleId="ListParagraph">
    <w:name w:val="List Paragraph"/>
    <w:basedOn w:val="Normal"/>
    <w:uiPriority w:val="34"/>
    <w:qFormat/>
    <w:rsid w:val="00180CFC"/>
    <w:pPr>
      <w:ind w:left="720"/>
      <w:contextualSpacing/>
    </w:pPr>
  </w:style>
  <w:style w:type="paragraph" w:styleId="Footer">
    <w:name w:val="footer"/>
    <w:basedOn w:val="Normal"/>
    <w:link w:val="FooterChar"/>
    <w:uiPriority w:val="99"/>
    <w:unhideWhenUsed/>
    <w:rsid w:val="00180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CFC"/>
  </w:style>
  <w:style w:type="paragraph" w:styleId="BalloonText">
    <w:name w:val="Balloon Text"/>
    <w:basedOn w:val="Normal"/>
    <w:link w:val="BalloonTextChar"/>
    <w:uiPriority w:val="99"/>
    <w:semiHidden/>
    <w:unhideWhenUsed/>
    <w:rsid w:val="00180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CFC"/>
    <w:rPr>
      <w:rFonts w:ascii="Tahoma" w:hAnsi="Tahoma" w:cs="Tahoma"/>
      <w:sz w:val="16"/>
      <w:szCs w:val="16"/>
    </w:rPr>
  </w:style>
  <w:style w:type="paragraph" w:styleId="Header">
    <w:name w:val="header"/>
    <w:basedOn w:val="Normal"/>
    <w:link w:val="HeaderChar"/>
    <w:uiPriority w:val="99"/>
    <w:semiHidden/>
    <w:unhideWhenUsed/>
    <w:rsid w:val="00180C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0CFC"/>
  </w:style>
  <w:style w:type="paragraph" w:styleId="CommentSubject">
    <w:name w:val="annotation subject"/>
    <w:basedOn w:val="CommentText"/>
    <w:next w:val="CommentText"/>
    <w:link w:val="CommentSubjectChar"/>
    <w:uiPriority w:val="99"/>
    <w:semiHidden/>
    <w:unhideWhenUsed/>
    <w:rsid w:val="007A0D18"/>
    <w:rPr>
      <w:b/>
      <w:bCs/>
    </w:rPr>
  </w:style>
  <w:style w:type="character" w:customStyle="1" w:styleId="CommentSubjectChar">
    <w:name w:val="Comment Subject Char"/>
    <w:basedOn w:val="CommentTextChar"/>
    <w:link w:val="CommentSubject"/>
    <w:uiPriority w:val="99"/>
    <w:semiHidden/>
    <w:rsid w:val="007A0D18"/>
    <w:rPr>
      <w:b/>
      <w:bCs/>
      <w:sz w:val="20"/>
      <w:szCs w:val="20"/>
    </w:rPr>
  </w:style>
  <w:style w:type="paragraph" w:styleId="FootnoteText">
    <w:name w:val="footnote text"/>
    <w:basedOn w:val="Normal"/>
    <w:link w:val="FootnoteTextChar"/>
    <w:uiPriority w:val="99"/>
    <w:semiHidden/>
    <w:unhideWhenUsed/>
    <w:rsid w:val="00215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8"/>
    <w:rPr>
      <w:sz w:val="20"/>
      <w:szCs w:val="20"/>
    </w:rPr>
  </w:style>
  <w:style w:type="character" w:styleId="FootnoteReference">
    <w:name w:val="footnote reference"/>
    <w:basedOn w:val="DefaultParagraphFont"/>
    <w:uiPriority w:val="99"/>
    <w:semiHidden/>
    <w:unhideWhenUsed/>
    <w:rsid w:val="002156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9458">
      <w:bodyDiv w:val="1"/>
      <w:marLeft w:val="0"/>
      <w:marRight w:val="0"/>
      <w:marTop w:val="0"/>
      <w:marBottom w:val="0"/>
      <w:divBdr>
        <w:top w:val="none" w:sz="0" w:space="0" w:color="auto"/>
        <w:left w:val="none" w:sz="0" w:space="0" w:color="auto"/>
        <w:bottom w:val="none" w:sz="0" w:space="0" w:color="auto"/>
        <w:right w:val="none" w:sz="0" w:space="0" w:color="auto"/>
      </w:divBdr>
    </w:div>
    <w:div w:id="120802584">
      <w:bodyDiv w:val="1"/>
      <w:marLeft w:val="0"/>
      <w:marRight w:val="0"/>
      <w:marTop w:val="0"/>
      <w:marBottom w:val="0"/>
      <w:divBdr>
        <w:top w:val="none" w:sz="0" w:space="0" w:color="auto"/>
        <w:left w:val="none" w:sz="0" w:space="0" w:color="auto"/>
        <w:bottom w:val="none" w:sz="0" w:space="0" w:color="auto"/>
        <w:right w:val="none" w:sz="0" w:space="0" w:color="auto"/>
      </w:divBdr>
    </w:div>
    <w:div w:id="125390092">
      <w:bodyDiv w:val="1"/>
      <w:marLeft w:val="0"/>
      <w:marRight w:val="0"/>
      <w:marTop w:val="0"/>
      <w:marBottom w:val="0"/>
      <w:divBdr>
        <w:top w:val="none" w:sz="0" w:space="0" w:color="auto"/>
        <w:left w:val="none" w:sz="0" w:space="0" w:color="auto"/>
        <w:bottom w:val="none" w:sz="0" w:space="0" w:color="auto"/>
        <w:right w:val="none" w:sz="0" w:space="0" w:color="auto"/>
      </w:divBdr>
    </w:div>
    <w:div w:id="169754863">
      <w:bodyDiv w:val="1"/>
      <w:marLeft w:val="0"/>
      <w:marRight w:val="0"/>
      <w:marTop w:val="0"/>
      <w:marBottom w:val="0"/>
      <w:divBdr>
        <w:top w:val="none" w:sz="0" w:space="0" w:color="auto"/>
        <w:left w:val="none" w:sz="0" w:space="0" w:color="auto"/>
        <w:bottom w:val="none" w:sz="0" w:space="0" w:color="auto"/>
        <w:right w:val="none" w:sz="0" w:space="0" w:color="auto"/>
      </w:divBdr>
    </w:div>
    <w:div w:id="203294122">
      <w:bodyDiv w:val="1"/>
      <w:marLeft w:val="0"/>
      <w:marRight w:val="0"/>
      <w:marTop w:val="0"/>
      <w:marBottom w:val="0"/>
      <w:divBdr>
        <w:top w:val="none" w:sz="0" w:space="0" w:color="auto"/>
        <w:left w:val="none" w:sz="0" w:space="0" w:color="auto"/>
        <w:bottom w:val="none" w:sz="0" w:space="0" w:color="auto"/>
        <w:right w:val="none" w:sz="0" w:space="0" w:color="auto"/>
      </w:divBdr>
    </w:div>
    <w:div w:id="231938132">
      <w:bodyDiv w:val="1"/>
      <w:marLeft w:val="0"/>
      <w:marRight w:val="0"/>
      <w:marTop w:val="0"/>
      <w:marBottom w:val="0"/>
      <w:divBdr>
        <w:top w:val="none" w:sz="0" w:space="0" w:color="auto"/>
        <w:left w:val="none" w:sz="0" w:space="0" w:color="auto"/>
        <w:bottom w:val="none" w:sz="0" w:space="0" w:color="auto"/>
        <w:right w:val="none" w:sz="0" w:space="0" w:color="auto"/>
      </w:divBdr>
    </w:div>
    <w:div w:id="233009168">
      <w:bodyDiv w:val="1"/>
      <w:marLeft w:val="0"/>
      <w:marRight w:val="0"/>
      <w:marTop w:val="0"/>
      <w:marBottom w:val="0"/>
      <w:divBdr>
        <w:top w:val="none" w:sz="0" w:space="0" w:color="auto"/>
        <w:left w:val="none" w:sz="0" w:space="0" w:color="auto"/>
        <w:bottom w:val="none" w:sz="0" w:space="0" w:color="auto"/>
        <w:right w:val="none" w:sz="0" w:space="0" w:color="auto"/>
      </w:divBdr>
    </w:div>
    <w:div w:id="239603480">
      <w:bodyDiv w:val="1"/>
      <w:marLeft w:val="0"/>
      <w:marRight w:val="0"/>
      <w:marTop w:val="0"/>
      <w:marBottom w:val="0"/>
      <w:divBdr>
        <w:top w:val="none" w:sz="0" w:space="0" w:color="auto"/>
        <w:left w:val="none" w:sz="0" w:space="0" w:color="auto"/>
        <w:bottom w:val="none" w:sz="0" w:space="0" w:color="auto"/>
        <w:right w:val="none" w:sz="0" w:space="0" w:color="auto"/>
      </w:divBdr>
    </w:div>
    <w:div w:id="304436608">
      <w:bodyDiv w:val="1"/>
      <w:marLeft w:val="0"/>
      <w:marRight w:val="0"/>
      <w:marTop w:val="0"/>
      <w:marBottom w:val="0"/>
      <w:divBdr>
        <w:top w:val="none" w:sz="0" w:space="0" w:color="auto"/>
        <w:left w:val="none" w:sz="0" w:space="0" w:color="auto"/>
        <w:bottom w:val="none" w:sz="0" w:space="0" w:color="auto"/>
        <w:right w:val="none" w:sz="0" w:space="0" w:color="auto"/>
      </w:divBdr>
    </w:div>
    <w:div w:id="334453234">
      <w:bodyDiv w:val="1"/>
      <w:marLeft w:val="0"/>
      <w:marRight w:val="0"/>
      <w:marTop w:val="0"/>
      <w:marBottom w:val="0"/>
      <w:divBdr>
        <w:top w:val="none" w:sz="0" w:space="0" w:color="auto"/>
        <w:left w:val="none" w:sz="0" w:space="0" w:color="auto"/>
        <w:bottom w:val="none" w:sz="0" w:space="0" w:color="auto"/>
        <w:right w:val="none" w:sz="0" w:space="0" w:color="auto"/>
      </w:divBdr>
    </w:div>
    <w:div w:id="356126044">
      <w:bodyDiv w:val="1"/>
      <w:marLeft w:val="0"/>
      <w:marRight w:val="0"/>
      <w:marTop w:val="0"/>
      <w:marBottom w:val="0"/>
      <w:divBdr>
        <w:top w:val="none" w:sz="0" w:space="0" w:color="auto"/>
        <w:left w:val="none" w:sz="0" w:space="0" w:color="auto"/>
        <w:bottom w:val="none" w:sz="0" w:space="0" w:color="auto"/>
        <w:right w:val="none" w:sz="0" w:space="0" w:color="auto"/>
      </w:divBdr>
    </w:div>
    <w:div w:id="373583125">
      <w:bodyDiv w:val="1"/>
      <w:marLeft w:val="0"/>
      <w:marRight w:val="0"/>
      <w:marTop w:val="0"/>
      <w:marBottom w:val="0"/>
      <w:divBdr>
        <w:top w:val="none" w:sz="0" w:space="0" w:color="auto"/>
        <w:left w:val="none" w:sz="0" w:space="0" w:color="auto"/>
        <w:bottom w:val="none" w:sz="0" w:space="0" w:color="auto"/>
        <w:right w:val="none" w:sz="0" w:space="0" w:color="auto"/>
      </w:divBdr>
    </w:div>
    <w:div w:id="425541645">
      <w:bodyDiv w:val="1"/>
      <w:marLeft w:val="0"/>
      <w:marRight w:val="0"/>
      <w:marTop w:val="0"/>
      <w:marBottom w:val="0"/>
      <w:divBdr>
        <w:top w:val="none" w:sz="0" w:space="0" w:color="auto"/>
        <w:left w:val="none" w:sz="0" w:space="0" w:color="auto"/>
        <w:bottom w:val="none" w:sz="0" w:space="0" w:color="auto"/>
        <w:right w:val="none" w:sz="0" w:space="0" w:color="auto"/>
      </w:divBdr>
    </w:div>
    <w:div w:id="490215978">
      <w:bodyDiv w:val="1"/>
      <w:marLeft w:val="0"/>
      <w:marRight w:val="0"/>
      <w:marTop w:val="0"/>
      <w:marBottom w:val="0"/>
      <w:divBdr>
        <w:top w:val="none" w:sz="0" w:space="0" w:color="auto"/>
        <w:left w:val="none" w:sz="0" w:space="0" w:color="auto"/>
        <w:bottom w:val="none" w:sz="0" w:space="0" w:color="auto"/>
        <w:right w:val="none" w:sz="0" w:space="0" w:color="auto"/>
      </w:divBdr>
    </w:div>
    <w:div w:id="516506791">
      <w:bodyDiv w:val="1"/>
      <w:marLeft w:val="0"/>
      <w:marRight w:val="0"/>
      <w:marTop w:val="0"/>
      <w:marBottom w:val="0"/>
      <w:divBdr>
        <w:top w:val="none" w:sz="0" w:space="0" w:color="auto"/>
        <w:left w:val="none" w:sz="0" w:space="0" w:color="auto"/>
        <w:bottom w:val="none" w:sz="0" w:space="0" w:color="auto"/>
        <w:right w:val="none" w:sz="0" w:space="0" w:color="auto"/>
      </w:divBdr>
    </w:div>
    <w:div w:id="558637874">
      <w:bodyDiv w:val="1"/>
      <w:marLeft w:val="0"/>
      <w:marRight w:val="0"/>
      <w:marTop w:val="0"/>
      <w:marBottom w:val="0"/>
      <w:divBdr>
        <w:top w:val="none" w:sz="0" w:space="0" w:color="auto"/>
        <w:left w:val="none" w:sz="0" w:space="0" w:color="auto"/>
        <w:bottom w:val="none" w:sz="0" w:space="0" w:color="auto"/>
        <w:right w:val="none" w:sz="0" w:space="0" w:color="auto"/>
      </w:divBdr>
    </w:div>
    <w:div w:id="679352237">
      <w:bodyDiv w:val="1"/>
      <w:marLeft w:val="0"/>
      <w:marRight w:val="0"/>
      <w:marTop w:val="0"/>
      <w:marBottom w:val="0"/>
      <w:divBdr>
        <w:top w:val="none" w:sz="0" w:space="0" w:color="auto"/>
        <w:left w:val="none" w:sz="0" w:space="0" w:color="auto"/>
        <w:bottom w:val="none" w:sz="0" w:space="0" w:color="auto"/>
        <w:right w:val="none" w:sz="0" w:space="0" w:color="auto"/>
      </w:divBdr>
    </w:div>
    <w:div w:id="780032521">
      <w:bodyDiv w:val="1"/>
      <w:marLeft w:val="0"/>
      <w:marRight w:val="0"/>
      <w:marTop w:val="0"/>
      <w:marBottom w:val="0"/>
      <w:divBdr>
        <w:top w:val="none" w:sz="0" w:space="0" w:color="auto"/>
        <w:left w:val="none" w:sz="0" w:space="0" w:color="auto"/>
        <w:bottom w:val="none" w:sz="0" w:space="0" w:color="auto"/>
        <w:right w:val="none" w:sz="0" w:space="0" w:color="auto"/>
      </w:divBdr>
    </w:div>
    <w:div w:id="781535455">
      <w:bodyDiv w:val="1"/>
      <w:marLeft w:val="0"/>
      <w:marRight w:val="0"/>
      <w:marTop w:val="0"/>
      <w:marBottom w:val="0"/>
      <w:divBdr>
        <w:top w:val="none" w:sz="0" w:space="0" w:color="auto"/>
        <w:left w:val="none" w:sz="0" w:space="0" w:color="auto"/>
        <w:bottom w:val="none" w:sz="0" w:space="0" w:color="auto"/>
        <w:right w:val="none" w:sz="0" w:space="0" w:color="auto"/>
      </w:divBdr>
    </w:div>
    <w:div w:id="787164228">
      <w:bodyDiv w:val="1"/>
      <w:marLeft w:val="0"/>
      <w:marRight w:val="0"/>
      <w:marTop w:val="0"/>
      <w:marBottom w:val="0"/>
      <w:divBdr>
        <w:top w:val="none" w:sz="0" w:space="0" w:color="auto"/>
        <w:left w:val="none" w:sz="0" w:space="0" w:color="auto"/>
        <w:bottom w:val="none" w:sz="0" w:space="0" w:color="auto"/>
        <w:right w:val="none" w:sz="0" w:space="0" w:color="auto"/>
      </w:divBdr>
    </w:div>
    <w:div w:id="793839002">
      <w:bodyDiv w:val="1"/>
      <w:marLeft w:val="0"/>
      <w:marRight w:val="0"/>
      <w:marTop w:val="0"/>
      <w:marBottom w:val="0"/>
      <w:divBdr>
        <w:top w:val="none" w:sz="0" w:space="0" w:color="auto"/>
        <w:left w:val="none" w:sz="0" w:space="0" w:color="auto"/>
        <w:bottom w:val="none" w:sz="0" w:space="0" w:color="auto"/>
        <w:right w:val="none" w:sz="0" w:space="0" w:color="auto"/>
      </w:divBdr>
    </w:div>
    <w:div w:id="825126959">
      <w:bodyDiv w:val="1"/>
      <w:marLeft w:val="0"/>
      <w:marRight w:val="0"/>
      <w:marTop w:val="0"/>
      <w:marBottom w:val="0"/>
      <w:divBdr>
        <w:top w:val="none" w:sz="0" w:space="0" w:color="auto"/>
        <w:left w:val="none" w:sz="0" w:space="0" w:color="auto"/>
        <w:bottom w:val="none" w:sz="0" w:space="0" w:color="auto"/>
        <w:right w:val="none" w:sz="0" w:space="0" w:color="auto"/>
      </w:divBdr>
    </w:div>
    <w:div w:id="825517987">
      <w:bodyDiv w:val="1"/>
      <w:marLeft w:val="0"/>
      <w:marRight w:val="0"/>
      <w:marTop w:val="0"/>
      <w:marBottom w:val="0"/>
      <w:divBdr>
        <w:top w:val="none" w:sz="0" w:space="0" w:color="auto"/>
        <w:left w:val="none" w:sz="0" w:space="0" w:color="auto"/>
        <w:bottom w:val="none" w:sz="0" w:space="0" w:color="auto"/>
        <w:right w:val="none" w:sz="0" w:space="0" w:color="auto"/>
      </w:divBdr>
    </w:div>
    <w:div w:id="867370550">
      <w:bodyDiv w:val="1"/>
      <w:marLeft w:val="0"/>
      <w:marRight w:val="0"/>
      <w:marTop w:val="0"/>
      <w:marBottom w:val="0"/>
      <w:divBdr>
        <w:top w:val="none" w:sz="0" w:space="0" w:color="auto"/>
        <w:left w:val="none" w:sz="0" w:space="0" w:color="auto"/>
        <w:bottom w:val="none" w:sz="0" w:space="0" w:color="auto"/>
        <w:right w:val="none" w:sz="0" w:space="0" w:color="auto"/>
      </w:divBdr>
    </w:div>
    <w:div w:id="896932661">
      <w:bodyDiv w:val="1"/>
      <w:marLeft w:val="0"/>
      <w:marRight w:val="0"/>
      <w:marTop w:val="0"/>
      <w:marBottom w:val="0"/>
      <w:divBdr>
        <w:top w:val="none" w:sz="0" w:space="0" w:color="auto"/>
        <w:left w:val="none" w:sz="0" w:space="0" w:color="auto"/>
        <w:bottom w:val="none" w:sz="0" w:space="0" w:color="auto"/>
        <w:right w:val="none" w:sz="0" w:space="0" w:color="auto"/>
      </w:divBdr>
    </w:div>
    <w:div w:id="926309288">
      <w:bodyDiv w:val="1"/>
      <w:marLeft w:val="0"/>
      <w:marRight w:val="0"/>
      <w:marTop w:val="0"/>
      <w:marBottom w:val="0"/>
      <w:divBdr>
        <w:top w:val="none" w:sz="0" w:space="0" w:color="auto"/>
        <w:left w:val="none" w:sz="0" w:space="0" w:color="auto"/>
        <w:bottom w:val="none" w:sz="0" w:space="0" w:color="auto"/>
        <w:right w:val="none" w:sz="0" w:space="0" w:color="auto"/>
      </w:divBdr>
    </w:div>
    <w:div w:id="935865590">
      <w:bodyDiv w:val="1"/>
      <w:marLeft w:val="0"/>
      <w:marRight w:val="0"/>
      <w:marTop w:val="0"/>
      <w:marBottom w:val="0"/>
      <w:divBdr>
        <w:top w:val="none" w:sz="0" w:space="0" w:color="auto"/>
        <w:left w:val="none" w:sz="0" w:space="0" w:color="auto"/>
        <w:bottom w:val="none" w:sz="0" w:space="0" w:color="auto"/>
        <w:right w:val="none" w:sz="0" w:space="0" w:color="auto"/>
      </w:divBdr>
    </w:div>
    <w:div w:id="978387279">
      <w:bodyDiv w:val="1"/>
      <w:marLeft w:val="0"/>
      <w:marRight w:val="0"/>
      <w:marTop w:val="0"/>
      <w:marBottom w:val="0"/>
      <w:divBdr>
        <w:top w:val="none" w:sz="0" w:space="0" w:color="auto"/>
        <w:left w:val="none" w:sz="0" w:space="0" w:color="auto"/>
        <w:bottom w:val="none" w:sz="0" w:space="0" w:color="auto"/>
        <w:right w:val="none" w:sz="0" w:space="0" w:color="auto"/>
      </w:divBdr>
    </w:div>
    <w:div w:id="982076983">
      <w:bodyDiv w:val="1"/>
      <w:marLeft w:val="0"/>
      <w:marRight w:val="0"/>
      <w:marTop w:val="0"/>
      <w:marBottom w:val="0"/>
      <w:divBdr>
        <w:top w:val="none" w:sz="0" w:space="0" w:color="auto"/>
        <w:left w:val="none" w:sz="0" w:space="0" w:color="auto"/>
        <w:bottom w:val="none" w:sz="0" w:space="0" w:color="auto"/>
        <w:right w:val="none" w:sz="0" w:space="0" w:color="auto"/>
      </w:divBdr>
    </w:div>
    <w:div w:id="1033112883">
      <w:bodyDiv w:val="1"/>
      <w:marLeft w:val="0"/>
      <w:marRight w:val="0"/>
      <w:marTop w:val="0"/>
      <w:marBottom w:val="0"/>
      <w:divBdr>
        <w:top w:val="none" w:sz="0" w:space="0" w:color="auto"/>
        <w:left w:val="none" w:sz="0" w:space="0" w:color="auto"/>
        <w:bottom w:val="none" w:sz="0" w:space="0" w:color="auto"/>
        <w:right w:val="none" w:sz="0" w:space="0" w:color="auto"/>
      </w:divBdr>
    </w:div>
    <w:div w:id="1046299721">
      <w:bodyDiv w:val="1"/>
      <w:marLeft w:val="0"/>
      <w:marRight w:val="0"/>
      <w:marTop w:val="0"/>
      <w:marBottom w:val="0"/>
      <w:divBdr>
        <w:top w:val="none" w:sz="0" w:space="0" w:color="auto"/>
        <w:left w:val="none" w:sz="0" w:space="0" w:color="auto"/>
        <w:bottom w:val="none" w:sz="0" w:space="0" w:color="auto"/>
        <w:right w:val="none" w:sz="0" w:space="0" w:color="auto"/>
      </w:divBdr>
    </w:div>
    <w:div w:id="1111701322">
      <w:bodyDiv w:val="1"/>
      <w:marLeft w:val="0"/>
      <w:marRight w:val="0"/>
      <w:marTop w:val="0"/>
      <w:marBottom w:val="0"/>
      <w:divBdr>
        <w:top w:val="none" w:sz="0" w:space="0" w:color="auto"/>
        <w:left w:val="none" w:sz="0" w:space="0" w:color="auto"/>
        <w:bottom w:val="none" w:sz="0" w:space="0" w:color="auto"/>
        <w:right w:val="none" w:sz="0" w:space="0" w:color="auto"/>
      </w:divBdr>
    </w:div>
    <w:div w:id="1146706253">
      <w:bodyDiv w:val="1"/>
      <w:marLeft w:val="0"/>
      <w:marRight w:val="0"/>
      <w:marTop w:val="0"/>
      <w:marBottom w:val="0"/>
      <w:divBdr>
        <w:top w:val="none" w:sz="0" w:space="0" w:color="auto"/>
        <w:left w:val="none" w:sz="0" w:space="0" w:color="auto"/>
        <w:bottom w:val="none" w:sz="0" w:space="0" w:color="auto"/>
        <w:right w:val="none" w:sz="0" w:space="0" w:color="auto"/>
      </w:divBdr>
    </w:div>
    <w:div w:id="1236937918">
      <w:bodyDiv w:val="1"/>
      <w:marLeft w:val="0"/>
      <w:marRight w:val="0"/>
      <w:marTop w:val="0"/>
      <w:marBottom w:val="0"/>
      <w:divBdr>
        <w:top w:val="none" w:sz="0" w:space="0" w:color="auto"/>
        <w:left w:val="none" w:sz="0" w:space="0" w:color="auto"/>
        <w:bottom w:val="none" w:sz="0" w:space="0" w:color="auto"/>
        <w:right w:val="none" w:sz="0" w:space="0" w:color="auto"/>
      </w:divBdr>
    </w:div>
    <w:div w:id="1237932700">
      <w:bodyDiv w:val="1"/>
      <w:marLeft w:val="0"/>
      <w:marRight w:val="0"/>
      <w:marTop w:val="0"/>
      <w:marBottom w:val="0"/>
      <w:divBdr>
        <w:top w:val="none" w:sz="0" w:space="0" w:color="auto"/>
        <w:left w:val="none" w:sz="0" w:space="0" w:color="auto"/>
        <w:bottom w:val="none" w:sz="0" w:space="0" w:color="auto"/>
        <w:right w:val="none" w:sz="0" w:space="0" w:color="auto"/>
      </w:divBdr>
    </w:div>
    <w:div w:id="1253779057">
      <w:bodyDiv w:val="1"/>
      <w:marLeft w:val="0"/>
      <w:marRight w:val="0"/>
      <w:marTop w:val="0"/>
      <w:marBottom w:val="0"/>
      <w:divBdr>
        <w:top w:val="none" w:sz="0" w:space="0" w:color="auto"/>
        <w:left w:val="none" w:sz="0" w:space="0" w:color="auto"/>
        <w:bottom w:val="none" w:sz="0" w:space="0" w:color="auto"/>
        <w:right w:val="none" w:sz="0" w:space="0" w:color="auto"/>
      </w:divBdr>
    </w:div>
    <w:div w:id="1284075667">
      <w:bodyDiv w:val="1"/>
      <w:marLeft w:val="0"/>
      <w:marRight w:val="0"/>
      <w:marTop w:val="0"/>
      <w:marBottom w:val="0"/>
      <w:divBdr>
        <w:top w:val="none" w:sz="0" w:space="0" w:color="auto"/>
        <w:left w:val="none" w:sz="0" w:space="0" w:color="auto"/>
        <w:bottom w:val="none" w:sz="0" w:space="0" w:color="auto"/>
        <w:right w:val="none" w:sz="0" w:space="0" w:color="auto"/>
      </w:divBdr>
    </w:div>
    <w:div w:id="1304698810">
      <w:bodyDiv w:val="1"/>
      <w:marLeft w:val="0"/>
      <w:marRight w:val="0"/>
      <w:marTop w:val="0"/>
      <w:marBottom w:val="0"/>
      <w:divBdr>
        <w:top w:val="none" w:sz="0" w:space="0" w:color="auto"/>
        <w:left w:val="none" w:sz="0" w:space="0" w:color="auto"/>
        <w:bottom w:val="none" w:sz="0" w:space="0" w:color="auto"/>
        <w:right w:val="none" w:sz="0" w:space="0" w:color="auto"/>
      </w:divBdr>
    </w:div>
    <w:div w:id="1308627367">
      <w:bodyDiv w:val="1"/>
      <w:marLeft w:val="0"/>
      <w:marRight w:val="0"/>
      <w:marTop w:val="0"/>
      <w:marBottom w:val="0"/>
      <w:divBdr>
        <w:top w:val="none" w:sz="0" w:space="0" w:color="auto"/>
        <w:left w:val="none" w:sz="0" w:space="0" w:color="auto"/>
        <w:bottom w:val="none" w:sz="0" w:space="0" w:color="auto"/>
        <w:right w:val="none" w:sz="0" w:space="0" w:color="auto"/>
      </w:divBdr>
    </w:div>
    <w:div w:id="1353651321">
      <w:bodyDiv w:val="1"/>
      <w:marLeft w:val="0"/>
      <w:marRight w:val="0"/>
      <w:marTop w:val="0"/>
      <w:marBottom w:val="0"/>
      <w:divBdr>
        <w:top w:val="none" w:sz="0" w:space="0" w:color="auto"/>
        <w:left w:val="none" w:sz="0" w:space="0" w:color="auto"/>
        <w:bottom w:val="none" w:sz="0" w:space="0" w:color="auto"/>
        <w:right w:val="none" w:sz="0" w:space="0" w:color="auto"/>
      </w:divBdr>
    </w:div>
    <w:div w:id="1370762330">
      <w:bodyDiv w:val="1"/>
      <w:marLeft w:val="0"/>
      <w:marRight w:val="0"/>
      <w:marTop w:val="0"/>
      <w:marBottom w:val="0"/>
      <w:divBdr>
        <w:top w:val="none" w:sz="0" w:space="0" w:color="auto"/>
        <w:left w:val="none" w:sz="0" w:space="0" w:color="auto"/>
        <w:bottom w:val="none" w:sz="0" w:space="0" w:color="auto"/>
        <w:right w:val="none" w:sz="0" w:space="0" w:color="auto"/>
      </w:divBdr>
    </w:div>
    <w:div w:id="1409614543">
      <w:bodyDiv w:val="1"/>
      <w:marLeft w:val="0"/>
      <w:marRight w:val="0"/>
      <w:marTop w:val="0"/>
      <w:marBottom w:val="0"/>
      <w:divBdr>
        <w:top w:val="none" w:sz="0" w:space="0" w:color="auto"/>
        <w:left w:val="none" w:sz="0" w:space="0" w:color="auto"/>
        <w:bottom w:val="none" w:sz="0" w:space="0" w:color="auto"/>
        <w:right w:val="none" w:sz="0" w:space="0" w:color="auto"/>
      </w:divBdr>
    </w:div>
    <w:div w:id="1454009630">
      <w:bodyDiv w:val="1"/>
      <w:marLeft w:val="0"/>
      <w:marRight w:val="0"/>
      <w:marTop w:val="0"/>
      <w:marBottom w:val="0"/>
      <w:divBdr>
        <w:top w:val="none" w:sz="0" w:space="0" w:color="auto"/>
        <w:left w:val="none" w:sz="0" w:space="0" w:color="auto"/>
        <w:bottom w:val="none" w:sz="0" w:space="0" w:color="auto"/>
        <w:right w:val="none" w:sz="0" w:space="0" w:color="auto"/>
      </w:divBdr>
    </w:div>
    <w:div w:id="1478765157">
      <w:bodyDiv w:val="1"/>
      <w:marLeft w:val="0"/>
      <w:marRight w:val="0"/>
      <w:marTop w:val="0"/>
      <w:marBottom w:val="0"/>
      <w:divBdr>
        <w:top w:val="none" w:sz="0" w:space="0" w:color="auto"/>
        <w:left w:val="none" w:sz="0" w:space="0" w:color="auto"/>
        <w:bottom w:val="none" w:sz="0" w:space="0" w:color="auto"/>
        <w:right w:val="none" w:sz="0" w:space="0" w:color="auto"/>
      </w:divBdr>
    </w:div>
    <w:div w:id="1481995918">
      <w:bodyDiv w:val="1"/>
      <w:marLeft w:val="0"/>
      <w:marRight w:val="0"/>
      <w:marTop w:val="0"/>
      <w:marBottom w:val="0"/>
      <w:divBdr>
        <w:top w:val="none" w:sz="0" w:space="0" w:color="auto"/>
        <w:left w:val="none" w:sz="0" w:space="0" w:color="auto"/>
        <w:bottom w:val="none" w:sz="0" w:space="0" w:color="auto"/>
        <w:right w:val="none" w:sz="0" w:space="0" w:color="auto"/>
      </w:divBdr>
    </w:div>
    <w:div w:id="1523859580">
      <w:bodyDiv w:val="1"/>
      <w:marLeft w:val="0"/>
      <w:marRight w:val="0"/>
      <w:marTop w:val="0"/>
      <w:marBottom w:val="0"/>
      <w:divBdr>
        <w:top w:val="none" w:sz="0" w:space="0" w:color="auto"/>
        <w:left w:val="none" w:sz="0" w:space="0" w:color="auto"/>
        <w:bottom w:val="none" w:sz="0" w:space="0" w:color="auto"/>
        <w:right w:val="none" w:sz="0" w:space="0" w:color="auto"/>
      </w:divBdr>
    </w:div>
    <w:div w:id="1542278134">
      <w:bodyDiv w:val="1"/>
      <w:marLeft w:val="0"/>
      <w:marRight w:val="0"/>
      <w:marTop w:val="0"/>
      <w:marBottom w:val="0"/>
      <w:divBdr>
        <w:top w:val="none" w:sz="0" w:space="0" w:color="auto"/>
        <w:left w:val="none" w:sz="0" w:space="0" w:color="auto"/>
        <w:bottom w:val="none" w:sz="0" w:space="0" w:color="auto"/>
        <w:right w:val="none" w:sz="0" w:space="0" w:color="auto"/>
      </w:divBdr>
    </w:div>
    <w:div w:id="1545217185">
      <w:bodyDiv w:val="1"/>
      <w:marLeft w:val="0"/>
      <w:marRight w:val="0"/>
      <w:marTop w:val="0"/>
      <w:marBottom w:val="0"/>
      <w:divBdr>
        <w:top w:val="none" w:sz="0" w:space="0" w:color="auto"/>
        <w:left w:val="none" w:sz="0" w:space="0" w:color="auto"/>
        <w:bottom w:val="none" w:sz="0" w:space="0" w:color="auto"/>
        <w:right w:val="none" w:sz="0" w:space="0" w:color="auto"/>
      </w:divBdr>
    </w:div>
    <w:div w:id="1607421256">
      <w:bodyDiv w:val="1"/>
      <w:marLeft w:val="0"/>
      <w:marRight w:val="0"/>
      <w:marTop w:val="0"/>
      <w:marBottom w:val="0"/>
      <w:divBdr>
        <w:top w:val="none" w:sz="0" w:space="0" w:color="auto"/>
        <w:left w:val="none" w:sz="0" w:space="0" w:color="auto"/>
        <w:bottom w:val="none" w:sz="0" w:space="0" w:color="auto"/>
        <w:right w:val="none" w:sz="0" w:space="0" w:color="auto"/>
      </w:divBdr>
    </w:div>
    <w:div w:id="1621646493">
      <w:bodyDiv w:val="1"/>
      <w:marLeft w:val="0"/>
      <w:marRight w:val="0"/>
      <w:marTop w:val="0"/>
      <w:marBottom w:val="0"/>
      <w:divBdr>
        <w:top w:val="none" w:sz="0" w:space="0" w:color="auto"/>
        <w:left w:val="none" w:sz="0" w:space="0" w:color="auto"/>
        <w:bottom w:val="none" w:sz="0" w:space="0" w:color="auto"/>
        <w:right w:val="none" w:sz="0" w:space="0" w:color="auto"/>
      </w:divBdr>
    </w:div>
    <w:div w:id="1647465480">
      <w:bodyDiv w:val="1"/>
      <w:marLeft w:val="0"/>
      <w:marRight w:val="0"/>
      <w:marTop w:val="0"/>
      <w:marBottom w:val="0"/>
      <w:divBdr>
        <w:top w:val="none" w:sz="0" w:space="0" w:color="auto"/>
        <w:left w:val="none" w:sz="0" w:space="0" w:color="auto"/>
        <w:bottom w:val="none" w:sz="0" w:space="0" w:color="auto"/>
        <w:right w:val="none" w:sz="0" w:space="0" w:color="auto"/>
      </w:divBdr>
    </w:div>
    <w:div w:id="1664578076">
      <w:bodyDiv w:val="1"/>
      <w:marLeft w:val="0"/>
      <w:marRight w:val="0"/>
      <w:marTop w:val="0"/>
      <w:marBottom w:val="0"/>
      <w:divBdr>
        <w:top w:val="none" w:sz="0" w:space="0" w:color="auto"/>
        <w:left w:val="none" w:sz="0" w:space="0" w:color="auto"/>
        <w:bottom w:val="none" w:sz="0" w:space="0" w:color="auto"/>
        <w:right w:val="none" w:sz="0" w:space="0" w:color="auto"/>
      </w:divBdr>
    </w:div>
    <w:div w:id="1668244681">
      <w:bodyDiv w:val="1"/>
      <w:marLeft w:val="0"/>
      <w:marRight w:val="0"/>
      <w:marTop w:val="0"/>
      <w:marBottom w:val="0"/>
      <w:divBdr>
        <w:top w:val="none" w:sz="0" w:space="0" w:color="auto"/>
        <w:left w:val="none" w:sz="0" w:space="0" w:color="auto"/>
        <w:bottom w:val="none" w:sz="0" w:space="0" w:color="auto"/>
        <w:right w:val="none" w:sz="0" w:space="0" w:color="auto"/>
      </w:divBdr>
    </w:div>
    <w:div w:id="1702515734">
      <w:bodyDiv w:val="1"/>
      <w:marLeft w:val="0"/>
      <w:marRight w:val="0"/>
      <w:marTop w:val="0"/>
      <w:marBottom w:val="0"/>
      <w:divBdr>
        <w:top w:val="none" w:sz="0" w:space="0" w:color="auto"/>
        <w:left w:val="none" w:sz="0" w:space="0" w:color="auto"/>
        <w:bottom w:val="none" w:sz="0" w:space="0" w:color="auto"/>
        <w:right w:val="none" w:sz="0" w:space="0" w:color="auto"/>
      </w:divBdr>
    </w:div>
    <w:div w:id="1711151474">
      <w:bodyDiv w:val="1"/>
      <w:marLeft w:val="0"/>
      <w:marRight w:val="0"/>
      <w:marTop w:val="0"/>
      <w:marBottom w:val="0"/>
      <w:divBdr>
        <w:top w:val="none" w:sz="0" w:space="0" w:color="auto"/>
        <w:left w:val="none" w:sz="0" w:space="0" w:color="auto"/>
        <w:bottom w:val="none" w:sz="0" w:space="0" w:color="auto"/>
        <w:right w:val="none" w:sz="0" w:space="0" w:color="auto"/>
      </w:divBdr>
    </w:div>
    <w:div w:id="1724063656">
      <w:bodyDiv w:val="1"/>
      <w:marLeft w:val="0"/>
      <w:marRight w:val="0"/>
      <w:marTop w:val="0"/>
      <w:marBottom w:val="0"/>
      <w:divBdr>
        <w:top w:val="none" w:sz="0" w:space="0" w:color="auto"/>
        <w:left w:val="none" w:sz="0" w:space="0" w:color="auto"/>
        <w:bottom w:val="none" w:sz="0" w:space="0" w:color="auto"/>
        <w:right w:val="none" w:sz="0" w:space="0" w:color="auto"/>
      </w:divBdr>
    </w:div>
    <w:div w:id="1749812836">
      <w:bodyDiv w:val="1"/>
      <w:marLeft w:val="0"/>
      <w:marRight w:val="0"/>
      <w:marTop w:val="0"/>
      <w:marBottom w:val="0"/>
      <w:divBdr>
        <w:top w:val="none" w:sz="0" w:space="0" w:color="auto"/>
        <w:left w:val="none" w:sz="0" w:space="0" w:color="auto"/>
        <w:bottom w:val="none" w:sz="0" w:space="0" w:color="auto"/>
        <w:right w:val="none" w:sz="0" w:space="0" w:color="auto"/>
      </w:divBdr>
    </w:div>
    <w:div w:id="1753698887">
      <w:bodyDiv w:val="1"/>
      <w:marLeft w:val="0"/>
      <w:marRight w:val="0"/>
      <w:marTop w:val="0"/>
      <w:marBottom w:val="0"/>
      <w:divBdr>
        <w:top w:val="none" w:sz="0" w:space="0" w:color="auto"/>
        <w:left w:val="none" w:sz="0" w:space="0" w:color="auto"/>
        <w:bottom w:val="none" w:sz="0" w:space="0" w:color="auto"/>
        <w:right w:val="none" w:sz="0" w:space="0" w:color="auto"/>
      </w:divBdr>
    </w:div>
    <w:div w:id="1766995703">
      <w:bodyDiv w:val="1"/>
      <w:marLeft w:val="0"/>
      <w:marRight w:val="0"/>
      <w:marTop w:val="0"/>
      <w:marBottom w:val="0"/>
      <w:divBdr>
        <w:top w:val="none" w:sz="0" w:space="0" w:color="auto"/>
        <w:left w:val="none" w:sz="0" w:space="0" w:color="auto"/>
        <w:bottom w:val="none" w:sz="0" w:space="0" w:color="auto"/>
        <w:right w:val="none" w:sz="0" w:space="0" w:color="auto"/>
      </w:divBdr>
    </w:div>
    <w:div w:id="1776822081">
      <w:bodyDiv w:val="1"/>
      <w:marLeft w:val="0"/>
      <w:marRight w:val="0"/>
      <w:marTop w:val="0"/>
      <w:marBottom w:val="0"/>
      <w:divBdr>
        <w:top w:val="none" w:sz="0" w:space="0" w:color="auto"/>
        <w:left w:val="none" w:sz="0" w:space="0" w:color="auto"/>
        <w:bottom w:val="none" w:sz="0" w:space="0" w:color="auto"/>
        <w:right w:val="none" w:sz="0" w:space="0" w:color="auto"/>
      </w:divBdr>
    </w:div>
    <w:div w:id="1778985326">
      <w:bodyDiv w:val="1"/>
      <w:marLeft w:val="0"/>
      <w:marRight w:val="0"/>
      <w:marTop w:val="0"/>
      <w:marBottom w:val="0"/>
      <w:divBdr>
        <w:top w:val="none" w:sz="0" w:space="0" w:color="auto"/>
        <w:left w:val="none" w:sz="0" w:space="0" w:color="auto"/>
        <w:bottom w:val="none" w:sz="0" w:space="0" w:color="auto"/>
        <w:right w:val="none" w:sz="0" w:space="0" w:color="auto"/>
      </w:divBdr>
    </w:div>
    <w:div w:id="1805585972">
      <w:bodyDiv w:val="1"/>
      <w:marLeft w:val="0"/>
      <w:marRight w:val="0"/>
      <w:marTop w:val="0"/>
      <w:marBottom w:val="0"/>
      <w:divBdr>
        <w:top w:val="none" w:sz="0" w:space="0" w:color="auto"/>
        <w:left w:val="none" w:sz="0" w:space="0" w:color="auto"/>
        <w:bottom w:val="none" w:sz="0" w:space="0" w:color="auto"/>
        <w:right w:val="none" w:sz="0" w:space="0" w:color="auto"/>
      </w:divBdr>
    </w:div>
    <w:div w:id="1819494829">
      <w:bodyDiv w:val="1"/>
      <w:marLeft w:val="0"/>
      <w:marRight w:val="0"/>
      <w:marTop w:val="0"/>
      <w:marBottom w:val="0"/>
      <w:divBdr>
        <w:top w:val="none" w:sz="0" w:space="0" w:color="auto"/>
        <w:left w:val="none" w:sz="0" w:space="0" w:color="auto"/>
        <w:bottom w:val="none" w:sz="0" w:space="0" w:color="auto"/>
        <w:right w:val="none" w:sz="0" w:space="0" w:color="auto"/>
      </w:divBdr>
    </w:div>
    <w:div w:id="1836216375">
      <w:bodyDiv w:val="1"/>
      <w:marLeft w:val="0"/>
      <w:marRight w:val="0"/>
      <w:marTop w:val="0"/>
      <w:marBottom w:val="0"/>
      <w:divBdr>
        <w:top w:val="none" w:sz="0" w:space="0" w:color="auto"/>
        <w:left w:val="none" w:sz="0" w:space="0" w:color="auto"/>
        <w:bottom w:val="none" w:sz="0" w:space="0" w:color="auto"/>
        <w:right w:val="none" w:sz="0" w:space="0" w:color="auto"/>
      </w:divBdr>
    </w:div>
    <w:div w:id="1847213319">
      <w:bodyDiv w:val="1"/>
      <w:marLeft w:val="0"/>
      <w:marRight w:val="0"/>
      <w:marTop w:val="0"/>
      <w:marBottom w:val="0"/>
      <w:divBdr>
        <w:top w:val="none" w:sz="0" w:space="0" w:color="auto"/>
        <w:left w:val="none" w:sz="0" w:space="0" w:color="auto"/>
        <w:bottom w:val="none" w:sz="0" w:space="0" w:color="auto"/>
        <w:right w:val="none" w:sz="0" w:space="0" w:color="auto"/>
      </w:divBdr>
    </w:div>
    <w:div w:id="1885747437">
      <w:bodyDiv w:val="1"/>
      <w:marLeft w:val="0"/>
      <w:marRight w:val="0"/>
      <w:marTop w:val="0"/>
      <w:marBottom w:val="0"/>
      <w:divBdr>
        <w:top w:val="none" w:sz="0" w:space="0" w:color="auto"/>
        <w:left w:val="none" w:sz="0" w:space="0" w:color="auto"/>
        <w:bottom w:val="none" w:sz="0" w:space="0" w:color="auto"/>
        <w:right w:val="none" w:sz="0" w:space="0" w:color="auto"/>
      </w:divBdr>
    </w:div>
    <w:div w:id="1898084935">
      <w:bodyDiv w:val="1"/>
      <w:marLeft w:val="0"/>
      <w:marRight w:val="0"/>
      <w:marTop w:val="0"/>
      <w:marBottom w:val="0"/>
      <w:divBdr>
        <w:top w:val="none" w:sz="0" w:space="0" w:color="auto"/>
        <w:left w:val="none" w:sz="0" w:space="0" w:color="auto"/>
        <w:bottom w:val="none" w:sz="0" w:space="0" w:color="auto"/>
        <w:right w:val="none" w:sz="0" w:space="0" w:color="auto"/>
      </w:divBdr>
    </w:div>
    <w:div w:id="1938096213">
      <w:bodyDiv w:val="1"/>
      <w:marLeft w:val="0"/>
      <w:marRight w:val="0"/>
      <w:marTop w:val="0"/>
      <w:marBottom w:val="0"/>
      <w:divBdr>
        <w:top w:val="none" w:sz="0" w:space="0" w:color="auto"/>
        <w:left w:val="none" w:sz="0" w:space="0" w:color="auto"/>
        <w:bottom w:val="none" w:sz="0" w:space="0" w:color="auto"/>
        <w:right w:val="none" w:sz="0" w:space="0" w:color="auto"/>
      </w:divBdr>
    </w:div>
    <w:div w:id="1979265911">
      <w:bodyDiv w:val="1"/>
      <w:marLeft w:val="0"/>
      <w:marRight w:val="0"/>
      <w:marTop w:val="0"/>
      <w:marBottom w:val="0"/>
      <w:divBdr>
        <w:top w:val="none" w:sz="0" w:space="0" w:color="auto"/>
        <w:left w:val="none" w:sz="0" w:space="0" w:color="auto"/>
        <w:bottom w:val="none" w:sz="0" w:space="0" w:color="auto"/>
        <w:right w:val="none" w:sz="0" w:space="0" w:color="auto"/>
      </w:divBdr>
    </w:div>
    <w:div w:id="1997100222">
      <w:bodyDiv w:val="1"/>
      <w:marLeft w:val="0"/>
      <w:marRight w:val="0"/>
      <w:marTop w:val="0"/>
      <w:marBottom w:val="0"/>
      <w:divBdr>
        <w:top w:val="none" w:sz="0" w:space="0" w:color="auto"/>
        <w:left w:val="none" w:sz="0" w:space="0" w:color="auto"/>
        <w:bottom w:val="none" w:sz="0" w:space="0" w:color="auto"/>
        <w:right w:val="none" w:sz="0" w:space="0" w:color="auto"/>
      </w:divBdr>
    </w:div>
    <w:div w:id="1999766501">
      <w:bodyDiv w:val="1"/>
      <w:marLeft w:val="0"/>
      <w:marRight w:val="0"/>
      <w:marTop w:val="0"/>
      <w:marBottom w:val="0"/>
      <w:divBdr>
        <w:top w:val="none" w:sz="0" w:space="0" w:color="auto"/>
        <w:left w:val="none" w:sz="0" w:space="0" w:color="auto"/>
        <w:bottom w:val="none" w:sz="0" w:space="0" w:color="auto"/>
        <w:right w:val="none" w:sz="0" w:space="0" w:color="auto"/>
      </w:divBdr>
    </w:div>
    <w:div w:id="2045979744">
      <w:bodyDiv w:val="1"/>
      <w:marLeft w:val="0"/>
      <w:marRight w:val="0"/>
      <w:marTop w:val="0"/>
      <w:marBottom w:val="0"/>
      <w:divBdr>
        <w:top w:val="none" w:sz="0" w:space="0" w:color="auto"/>
        <w:left w:val="none" w:sz="0" w:space="0" w:color="auto"/>
        <w:bottom w:val="none" w:sz="0" w:space="0" w:color="auto"/>
        <w:right w:val="none" w:sz="0" w:space="0" w:color="auto"/>
      </w:divBdr>
    </w:div>
    <w:div w:id="2056389609">
      <w:bodyDiv w:val="1"/>
      <w:marLeft w:val="0"/>
      <w:marRight w:val="0"/>
      <w:marTop w:val="0"/>
      <w:marBottom w:val="0"/>
      <w:divBdr>
        <w:top w:val="none" w:sz="0" w:space="0" w:color="auto"/>
        <w:left w:val="none" w:sz="0" w:space="0" w:color="auto"/>
        <w:bottom w:val="none" w:sz="0" w:space="0" w:color="auto"/>
        <w:right w:val="none" w:sz="0" w:space="0" w:color="auto"/>
      </w:divBdr>
    </w:div>
    <w:div w:id="2129659851">
      <w:bodyDiv w:val="1"/>
      <w:marLeft w:val="0"/>
      <w:marRight w:val="0"/>
      <w:marTop w:val="0"/>
      <w:marBottom w:val="0"/>
      <w:divBdr>
        <w:top w:val="none" w:sz="0" w:space="0" w:color="auto"/>
        <w:left w:val="none" w:sz="0" w:space="0" w:color="auto"/>
        <w:bottom w:val="none" w:sz="0" w:space="0" w:color="auto"/>
        <w:right w:val="none" w:sz="0" w:space="0" w:color="auto"/>
      </w:divBdr>
    </w:div>
    <w:div w:id="21450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CD7AB-478C-488E-B94C-77109353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Touati</dc:creator>
  <cp:lastModifiedBy>Sarah Touati</cp:lastModifiedBy>
  <cp:revision>4</cp:revision>
  <cp:lastPrinted>2016-01-08T09:32:00Z</cp:lastPrinted>
  <dcterms:created xsi:type="dcterms:W3CDTF">2016-01-11T16:51:00Z</dcterms:created>
  <dcterms:modified xsi:type="dcterms:W3CDTF">2016-01-13T10:07:00Z</dcterms:modified>
</cp:coreProperties>
</file>