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D4" w:rsidRDefault="009B3CD4" w:rsidP="009B3CD4">
      <w:pPr>
        <w:rPr>
          <w:rFonts w:ascii="Arial" w:hAnsi="Arial" w:cs="Arial"/>
          <w:b/>
        </w:rPr>
      </w:pPr>
      <w:r w:rsidRPr="00180CFC">
        <w:rPr>
          <w:rFonts w:ascii="Arial" w:hAnsi="Arial" w:cs="Arial"/>
          <w:b/>
        </w:rPr>
        <w:t>TAGRA ACUTE MLC SUBGROUP</w:t>
      </w:r>
      <w:r>
        <w:rPr>
          <w:rFonts w:ascii="Arial" w:hAnsi="Arial" w:cs="Arial"/>
          <w:b/>
        </w:rPr>
        <w:t xml:space="preserve">        </w:t>
      </w:r>
      <w:r w:rsidR="005235F2">
        <w:rPr>
          <w:rFonts w:ascii="Arial" w:hAnsi="Arial" w:cs="Arial"/>
          <w:b/>
        </w:rPr>
        <w:t xml:space="preserve">                               </w:t>
      </w:r>
      <w:r>
        <w:rPr>
          <w:rFonts w:ascii="Arial" w:hAnsi="Arial" w:cs="Arial"/>
          <w:b/>
        </w:rPr>
        <w:t>Wednesday</w:t>
      </w:r>
      <w:r w:rsidRPr="00A144DF">
        <w:rPr>
          <w:rFonts w:ascii="Arial" w:hAnsi="Arial" w:cs="Arial"/>
          <w:b/>
        </w:rPr>
        <w:t xml:space="preserve"> </w:t>
      </w:r>
      <w:r>
        <w:rPr>
          <w:rFonts w:ascii="Arial" w:hAnsi="Arial" w:cs="Arial"/>
          <w:b/>
        </w:rPr>
        <w:t>2</w:t>
      </w:r>
      <w:r w:rsidR="005235F2">
        <w:rPr>
          <w:rFonts w:ascii="Arial" w:hAnsi="Arial" w:cs="Arial"/>
          <w:b/>
        </w:rPr>
        <w:t>0</w:t>
      </w:r>
      <w:r w:rsidR="005235F2" w:rsidRPr="005235F2">
        <w:rPr>
          <w:rFonts w:ascii="Arial" w:hAnsi="Arial" w:cs="Arial"/>
          <w:b/>
          <w:vertAlign w:val="superscript"/>
        </w:rPr>
        <w:t>th</w:t>
      </w:r>
      <w:r w:rsidR="005235F2">
        <w:rPr>
          <w:rFonts w:ascii="Arial" w:hAnsi="Arial" w:cs="Arial"/>
          <w:b/>
        </w:rPr>
        <w:t xml:space="preserve"> </w:t>
      </w:r>
      <w:r>
        <w:rPr>
          <w:rFonts w:ascii="Arial" w:hAnsi="Arial" w:cs="Arial"/>
          <w:b/>
        </w:rPr>
        <w:t>January 2016</w:t>
      </w:r>
    </w:p>
    <w:p w:rsidR="009B3CD4" w:rsidRDefault="009B3CD4" w:rsidP="009B3CD4">
      <w:pPr>
        <w:rPr>
          <w:rFonts w:ascii="Arial" w:hAnsi="Arial" w:cs="Arial"/>
          <w:b/>
        </w:rPr>
      </w:pPr>
      <w:r>
        <w:rPr>
          <w:rFonts w:ascii="Arial" w:hAnsi="Arial" w:cs="Arial"/>
          <w:b/>
        </w:rPr>
        <w:t>SUPPLY VARIABLES SELECTION</w:t>
      </w:r>
    </w:p>
    <w:p w:rsidR="009B3CD4" w:rsidRPr="0097225D" w:rsidRDefault="009B3CD4" w:rsidP="009B3CD4">
      <w:pPr>
        <w:rPr>
          <w:rFonts w:ascii="Arial" w:hAnsi="Arial" w:cs="Arial"/>
          <w:b/>
        </w:rPr>
      </w:pPr>
    </w:p>
    <w:p w:rsidR="009B3CD4" w:rsidRPr="0097225D" w:rsidRDefault="009B3CD4" w:rsidP="004D4088">
      <w:pPr>
        <w:rPr>
          <w:rFonts w:ascii="Arial" w:hAnsi="Arial" w:cs="Arial"/>
          <w:b/>
        </w:rPr>
      </w:pPr>
      <w:r w:rsidRPr="0097225D">
        <w:rPr>
          <w:rFonts w:ascii="Arial" w:hAnsi="Arial" w:cs="Arial"/>
          <w:b/>
        </w:rPr>
        <w:t>Background</w:t>
      </w:r>
    </w:p>
    <w:p w:rsidR="00094A6C" w:rsidRDefault="004D4088" w:rsidP="00A65DAD">
      <w:pPr>
        <w:jc w:val="both"/>
        <w:rPr>
          <w:rFonts w:ascii="Arial" w:hAnsi="Arial" w:cs="Arial"/>
        </w:rPr>
      </w:pPr>
      <w:r>
        <w:rPr>
          <w:rFonts w:ascii="Arial" w:hAnsi="Arial" w:cs="Arial"/>
        </w:rPr>
        <w:t xml:space="preserve">Exploration of the </w:t>
      </w:r>
      <w:r w:rsidR="00CE4B67">
        <w:rPr>
          <w:rFonts w:ascii="Arial" w:hAnsi="Arial" w:cs="Arial"/>
        </w:rPr>
        <w:t>potential</w:t>
      </w:r>
      <w:r>
        <w:rPr>
          <w:rFonts w:ascii="Arial" w:hAnsi="Arial" w:cs="Arial"/>
        </w:rPr>
        <w:t xml:space="preserve"> supply variables was presented in paper TAMLC36, which was circulated by email in November 2015. A suggestion was made </w:t>
      </w:r>
      <w:r w:rsidR="00CE4B67">
        <w:rPr>
          <w:rFonts w:ascii="Arial" w:hAnsi="Arial" w:cs="Arial"/>
        </w:rPr>
        <w:t xml:space="preserve">in that paper </w:t>
      </w:r>
      <w:r>
        <w:rPr>
          <w:rFonts w:ascii="Arial" w:hAnsi="Arial" w:cs="Arial"/>
        </w:rPr>
        <w:t>to retain the existing supply model, consisting of IPACX, OPACX and the health board dummies, on the basis that it did the best job of explaining variation in the cost ratios.</w:t>
      </w:r>
    </w:p>
    <w:p w:rsidR="004D4088" w:rsidRDefault="004D4088" w:rsidP="00A65DAD">
      <w:pPr>
        <w:jc w:val="both"/>
        <w:rPr>
          <w:rFonts w:ascii="Arial" w:hAnsi="Arial" w:cs="Arial"/>
        </w:rPr>
      </w:pPr>
      <w:r>
        <w:rPr>
          <w:rFonts w:ascii="Arial" w:hAnsi="Arial" w:cs="Arial"/>
        </w:rPr>
        <w:t>The feedback from the Subgroup by email suggested that there was a need to present a much fuller rationale for the purpose of the supply variables</w:t>
      </w:r>
      <w:r w:rsidR="000A7A87">
        <w:rPr>
          <w:rFonts w:ascii="Arial" w:hAnsi="Arial" w:cs="Arial"/>
        </w:rPr>
        <w:t>,</w:t>
      </w:r>
      <w:r>
        <w:rPr>
          <w:rFonts w:ascii="Arial" w:hAnsi="Arial" w:cs="Arial"/>
        </w:rPr>
        <w:t xml:space="preserve"> and for the particular mathematical forms of the variables tested</w:t>
      </w:r>
      <w:r w:rsidR="000A7A87">
        <w:rPr>
          <w:rFonts w:ascii="Arial" w:hAnsi="Arial" w:cs="Arial"/>
        </w:rPr>
        <w:t>, for the Subgroup to make a more informed decision</w:t>
      </w:r>
      <w:r>
        <w:rPr>
          <w:rFonts w:ascii="Arial" w:hAnsi="Arial" w:cs="Arial"/>
        </w:rPr>
        <w:t>.</w:t>
      </w:r>
      <w:r w:rsidR="0081748F">
        <w:rPr>
          <w:rFonts w:ascii="Arial" w:hAnsi="Arial" w:cs="Arial"/>
        </w:rPr>
        <w:t xml:space="preserve"> It was suggested that IPACX and OPACX be examined separately rather than treated as a pair</w:t>
      </w:r>
      <w:r w:rsidR="00891F32">
        <w:rPr>
          <w:rFonts w:ascii="Arial" w:hAnsi="Arial" w:cs="Arial"/>
        </w:rPr>
        <w:t>;</w:t>
      </w:r>
      <w:r w:rsidR="0081748F">
        <w:rPr>
          <w:rFonts w:ascii="Arial" w:hAnsi="Arial" w:cs="Arial"/>
        </w:rPr>
        <w:t xml:space="preserve"> since they are </w:t>
      </w:r>
      <w:r w:rsidR="00891F32">
        <w:rPr>
          <w:rFonts w:ascii="Arial" w:hAnsi="Arial" w:cs="Arial"/>
        </w:rPr>
        <w:t xml:space="preserve">highly correlated, </w:t>
      </w:r>
      <w:r w:rsidR="0081748F">
        <w:rPr>
          <w:rFonts w:ascii="Arial" w:hAnsi="Arial" w:cs="Arial"/>
        </w:rPr>
        <w:t>it might be more appropriate to retain only one of them. A</w:t>
      </w:r>
      <w:r w:rsidR="000A7A87">
        <w:rPr>
          <w:rFonts w:ascii="Arial" w:hAnsi="Arial" w:cs="Arial"/>
        </w:rPr>
        <w:t xml:space="preserve"> further</w:t>
      </w:r>
      <w:r w:rsidR="0081748F">
        <w:rPr>
          <w:rFonts w:ascii="Arial" w:hAnsi="Arial" w:cs="Arial"/>
        </w:rPr>
        <w:t xml:space="preserve"> suggestion </w:t>
      </w:r>
      <w:r w:rsidR="00891F32">
        <w:rPr>
          <w:rFonts w:ascii="Arial" w:hAnsi="Arial" w:cs="Arial"/>
        </w:rPr>
        <w:t xml:space="preserve">made </w:t>
      </w:r>
      <w:r w:rsidR="0081748F">
        <w:rPr>
          <w:rFonts w:ascii="Arial" w:hAnsi="Arial" w:cs="Arial"/>
        </w:rPr>
        <w:t>was to look at the effect of each supply variable option on the coefficient of the needs index.</w:t>
      </w:r>
    </w:p>
    <w:p w:rsidR="004D4088" w:rsidRDefault="004D4088" w:rsidP="004D4088">
      <w:pPr>
        <w:rPr>
          <w:rFonts w:ascii="Arial" w:hAnsi="Arial" w:cs="Arial"/>
        </w:rPr>
      </w:pPr>
    </w:p>
    <w:p w:rsidR="009B3CD4" w:rsidRPr="009B3CD4" w:rsidRDefault="009B3CD4" w:rsidP="000A7A87">
      <w:pPr>
        <w:rPr>
          <w:rFonts w:ascii="Arial" w:hAnsi="Arial" w:cs="Arial"/>
          <w:b/>
        </w:rPr>
      </w:pPr>
      <w:r w:rsidRPr="009B3CD4">
        <w:rPr>
          <w:rFonts w:ascii="Arial" w:hAnsi="Arial" w:cs="Arial"/>
          <w:b/>
        </w:rPr>
        <w:t>1.</w:t>
      </w:r>
      <w:r>
        <w:rPr>
          <w:rFonts w:ascii="Arial" w:hAnsi="Arial" w:cs="Arial"/>
          <w:b/>
        </w:rPr>
        <w:t xml:space="preserve"> </w:t>
      </w:r>
      <w:r w:rsidRPr="009B3CD4">
        <w:rPr>
          <w:rFonts w:ascii="Arial" w:hAnsi="Arial" w:cs="Arial"/>
          <w:b/>
        </w:rPr>
        <w:t>Summary</w:t>
      </w:r>
    </w:p>
    <w:p w:rsidR="009B3CD4" w:rsidRDefault="00891F32" w:rsidP="00A65DAD">
      <w:pPr>
        <w:jc w:val="both"/>
        <w:rPr>
          <w:rFonts w:ascii="Arial" w:hAnsi="Arial" w:cs="Arial"/>
        </w:rPr>
      </w:pPr>
      <w:r>
        <w:rPr>
          <w:rFonts w:ascii="Arial" w:hAnsi="Arial" w:cs="Arial"/>
        </w:rPr>
        <w:t>This paper provides a fuller description of the supply variables and their purpose (</w:t>
      </w:r>
      <w:r w:rsidR="00B82F08">
        <w:rPr>
          <w:rFonts w:ascii="Arial" w:hAnsi="Arial" w:cs="Arial"/>
        </w:rPr>
        <w:t>s</w:t>
      </w:r>
      <w:r>
        <w:rPr>
          <w:rFonts w:ascii="Arial" w:hAnsi="Arial" w:cs="Arial"/>
        </w:rPr>
        <w:t>ection 2). The analysis of the supply model options from paper TAMLC36 is updated</w:t>
      </w:r>
      <w:r w:rsidR="005C2564">
        <w:rPr>
          <w:rFonts w:ascii="Arial" w:hAnsi="Arial" w:cs="Arial"/>
        </w:rPr>
        <w:t>,</w:t>
      </w:r>
      <w:r>
        <w:rPr>
          <w:rFonts w:ascii="Arial" w:hAnsi="Arial" w:cs="Arial"/>
        </w:rPr>
        <w:t xml:space="preserve"> based on the suggestions that followed from that paper</w:t>
      </w:r>
      <w:r w:rsidR="00641B9B">
        <w:rPr>
          <w:rFonts w:ascii="Arial" w:hAnsi="Arial" w:cs="Arial"/>
        </w:rPr>
        <w:t xml:space="preserve"> (</w:t>
      </w:r>
      <w:r w:rsidR="00710204">
        <w:rPr>
          <w:rFonts w:ascii="Arial" w:hAnsi="Arial" w:cs="Arial"/>
        </w:rPr>
        <w:t>and with a corre</w:t>
      </w:r>
      <w:r w:rsidR="00641B9B">
        <w:rPr>
          <w:rFonts w:ascii="Arial" w:hAnsi="Arial" w:cs="Arial"/>
        </w:rPr>
        <w:t xml:space="preserve">ction applied to IPAC and OPAC), </w:t>
      </w:r>
      <w:r w:rsidR="005C2564">
        <w:rPr>
          <w:rFonts w:ascii="Arial" w:hAnsi="Arial" w:cs="Arial"/>
        </w:rPr>
        <w:t xml:space="preserve">in </w:t>
      </w:r>
      <w:r w:rsidR="00B82F08">
        <w:rPr>
          <w:rFonts w:ascii="Arial" w:hAnsi="Arial" w:cs="Arial"/>
        </w:rPr>
        <w:t>s</w:t>
      </w:r>
      <w:r w:rsidR="005C2564">
        <w:rPr>
          <w:rFonts w:ascii="Arial" w:hAnsi="Arial" w:cs="Arial"/>
        </w:rPr>
        <w:t xml:space="preserve">ection 3. Section 4 </w:t>
      </w:r>
      <w:r w:rsidR="00A65DAD">
        <w:rPr>
          <w:rFonts w:ascii="Arial" w:hAnsi="Arial" w:cs="Arial"/>
        </w:rPr>
        <w:t>presents the options for the supply model along with an evaluation against the TAGRA core criteria</w:t>
      </w:r>
      <w:r w:rsidR="00D751B0">
        <w:rPr>
          <w:rFonts w:ascii="Arial" w:hAnsi="Arial" w:cs="Arial"/>
        </w:rPr>
        <w:t xml:space="preserve">; </w:t>
      </w:r>
      <w:r w:rsidR="00D751B0">
        <w:rPr>
          <w:rFonts w:ascii="Arial" w:hAnsi="Arial" w:cs="Arial"/>
        </w:rPr>
        <w:t xml:space="preserve">a new </w:t>
      </w:r>
      <w:r w:rsidR="00D751B0">
        <w:rPr>
          <w:rFonts w:ascii="Arial" w:hAnsi="Arial" w:cs="Arial"/>
        </w:rPr>
        <w:t xml:space="preserve">proposal is made </w:t>
      </w:r>
      <w:r w:rsidR="00D751B0">
        <w:rPr>
          <w:rFonts w:ascii="Arial" w:hAnsi="Arial" w:cs="Arial"/>
        </w:rPr>
        <w:t xml:space="preserve">to </w:t>
      </w:r>
      <w:r w:rsidR="00D751B0">
        <w:rPr>
          <w:rFonts w:ascii="Arial" w:hAnsi="Arial" w:cs="Arial"/>
        </w:rPr>
        <w:t xml:space="preserve">use </w:t>
      </w:r>
      <w:r w:rsidR="00D751B0">
        <w:rPr>
          <w:rFonts w:ascii="Arial" w:hAnsi="Arial" w:cs="Arial"/>
        </w:rPr>
        <w:t xml:space="preserve">IPACX </w:t>
      </w:r>
      <w:r w:rsidR="00D751B0">
        <w:rPr>
          <w:rFonts w:ascii="Arial" w:hAnsi="Arial" w:cs="Arial"/>
        </w:rPr>
        <w:t xml:space="preserve">plus the health board dummies for the Inpatient diagnostic groups, </w:t>
      </w:r>
      <w:r w:rsidR="00D751B0">
        <w:rPr>
          <w:rFonts w:ascii="Arial" w:hAnsi="Arial" w:cs="Arial"/>
        </w:rPr>
        <w:t xml:space="preserve">and OPACX </w:t>
      </w:r>
      <w:r w:rsidR="00D751B0">
        <w:rPr>
          <w:rFonts w:ascii="Arial" w:hAnsi="Arial" w:cs="Arial"/>
        </w:rPr>
        <w:t>plus health board dummies for Outpatients.</w:t>
      </w:r>
    </w:p>
    <w:p w:rsidR="009B3CD4" w:rsidRDefault="009B3CD4" w:rsidP="000A7A87">
      <w:pPr>
        <w:rPr>
          <w:rFonts w:ascii="Arial" w:hAnsi="Arial" w:cs="Arial"/>
        </w:rPr>
      </w:pPr>
    </w:p>
    <w:p w:rsidR="004D4088" w:rsidRDefault="004C0B7B" w:rsidP="000A7A87">
      <w:pPr>
        <w:rPr>
          <w:rFonts w:ascii="Arial" w:hAnsi="Arial" w:cs="Arial"/>
          <w:b/>
        </w:rPr>
      </w:pPr>
      <w:r>
        <w:rPr>
          <w:rFonts w:ascii="Arial" w:hAnsi="Arial" w:cs="Arial"/>
          <w:b/>
        </w:rPr>
        <w:t>2</w:t>
      </w:r>
      <w:r w:rsidR="004D4088" w:rsidRPr="00AB2DE4">
        <w:rPr>
          <w:rFonts w:ascii="Arial" w:hAnsi="Arial" w:cs="Arial"/>
          <w:b/>
        </w:rPr>
        <w:t>.</w:t>
      </w:r>
      <w:r w:rsidR="004D4088">
        <w:rPr>
          <w:rFonts w:ascii="Arial" w:hAnsi="Arial" w:cs="Arial"/>
          <w:b/>
        </w:rPr>
        <w:t xml:space="preserve"> </w:t>
      </w:r>
      <w:r>
        <w:rPr>
          <w:rFonts w:ascii="Arial" w:hAnsi="Arial" w:cs="Arial"/>
          <w:b/>
        </w:rPr>
        <w:t>Rationale for the supply variables</w:t>
      </w:r>
    </w:p>
    <w:p w:rsidR="009558A9" w:rsidRDefault="00D42C70" w:rsidP="004D4088">
      <w:pPr>
        <w:spacing w:after="240"/>
        <w:jc w:val="both"/>
        <w:rPr>
          <w:rFonts w:ascii="Arial" w:hAnsi="Arial" w:cs="Arial"/>
        </w:rPr>
      </w:pPr>
      <w:r w:rsidRPr="00D42C70">
        <w:rPr>
          <w:rFonts w:ascii="Arial" w:hAnsi="Arial" w:cs="Arial"/>
        </w:rPr>
        <w:t xml:space="preserve">The </w:t>
      </w:r>
      <w:r>
        <w:rPr>
          <w:rFonts w:ascii="Arial" w:hAnsi="Arial" w:cs="Arial"/>
        </w:rPr>
        <w:t xml:space="preserve">purpose of the </w:t>
      </w:r>
      <w:r w:rsidR="00CE4B67">
        <w:rPr>
          <w:rFonts w:ascii="Arial" w:hAnsi="Arial" w:cs="Arial"/>
        </w:rPr>
        <w:t>MLC adjustment</w:t>
      </w:r>
      <w:r w:rsidRPr="00D42C70">
        <w:rPr>
          <w:rFonts w:ascii="Arial" w:hAnsi="Arial" w:cs="Arial"/>
        </w:rPr>
        <w:t xml:space="preserve"> </w:t>
      </w:r>
      <w:r>
        <w:rPr>
          <w:rFonts w:ascii="Arial" w:hAnsi="Arial" w:cs="Arial"/>
        </w:rPr>
        <w:t xml:space="preserve">is to </w:t>
      </w:r>
      <w:r w:rsidRPr="00D42C70">
        <w:rPr>
          <w:rFonts w:ascii="Arial" w:hAnsi="Arial" w:cs="Arial"/>
        </w:rPr>
        <w:t>predict</w:t>
      </w:r>
      <w:r>
        <w:rPr>
          <w:rFonts w:ascii="Arial" w:hAnsi="Arial" w:cs="Arial"/>
        </w:rPr>
        <w:t xml:space="preserve"> the geographic variation in healthcare costs </w:t>
      </w:r>
      <w:r w:rsidRPr="00D42C70">
        <w:rPr>
          <w:rFonts w:ascii="Arial" w:hAnsi="Arial" w:cs="Arial"/>
        </w:rPr>
        <w:t xml:space="preserve">that </w:t>
      </w:r>
      <w:r>
        <w:rPr>
          <w:rFonts w:ascii="Arial" w:hAnsi="Arial" w:cs="Arial"/>
        </w:rPr>
        <w:t>is</w:t>
      </w:r>
      <w:r w:rsidRPr="00D42C70">
        <w:rPr>
          <w:rFonts w:ascii="Arial" w:hAnsi="Arial" w:cs="Arial"/>
        </w:rPr>
        <w:t xml:space="preserve"> </w:t>
      </w:r>
      <w:r>
        <w:rPr>
          <w:rFonts w:ascii="Arial" w:hAnsi="Arial" w:cs="Arial"/>
        </w:rPr>
        <w:t xml:space="preserve">due to variation in </w:t>
      </w:r>
      <w:r w:rsidRPr="00D42C70">
        <w:rPr>
          <w:rFonts w:ascii="Arial" w:hAnsi="Arial" w:cs="Arial"/>
          <w:i/>
        </w:rPr>
        <w:t>need</w:t>
      </w:r>
      <w:r>
        <w:rPr>
          <w:rFonts w:ascii="Arial" w:hAnsi="Arial" w:cs="Arial"/>
        </w:rPr>
        <w:t xml:space="preserve">, by analysing the relationship between cost ratios and the </w:t>
      </w:r>
      <w:r w:rsidR="00201951">
        <w:rPr>
          <w:rFonts w:ascii="Arial" w:hAnsi="Arial" w:cs="Arial"/>
        </w:rPr>
        <w:t>indicators of need</w:t>
      </w:r>
      <w:r>
        <w:rPr>
          <w:rFonts w:ascii="Arial" w:hAnsi="Arial" w:cs="Arial"/>
        </w:rPr>
        <w:t xml:space="preserve">. </w:t>
      </w:r>
      <w:r w:rsidR="009558A9">
        <w:rPr>
          <w:rFonts w:ascii="Arial" w:hAnsi="Arial" w:cs="Arial"/>
        </w:rPr>
        <w:t xml:space="preserve">In order to be confident of the validity of the inferred relationship, any other factors influencing the cost ratios should be taken into account where possible. One such factor is the likelihood of </w:t>
      </w:r>
      <w:r w:rsidR="00CE4B67">
        <w:rPr>
          <w:rFonts w:ascii="Arial" w:hAnsi="Arial" w:cs="Arial"/>
        </w:rPr>
        <w:t>higher</w:t>
      </w:r>
      <w:r w:rsidR="009558A9">
        <w:rPr>
          <w:rFonts w:ascii="Arial" w:hAnsi="Arial" w:cs="Arial"/>
        </w:rPr>
        <w:t xml:space="preserve"> healthcare activity rates in places where healthcare is more readily available</w:t>
      </w:r>
      <w:r w:rsidR="002B4E2D">
        <w:rPr>
          <w:rFonts w:ascii="Arial" w:hAnsi="Arial" w:cs="Arial"/>
        </w:rPr>
        <w:t xml:space="preserve"> – either because need is not being met adequately in areas with lower supply, or because need is being “over-met” in areas with high supply</w:t>
      </w:r>
      <w:r w:rsidR="009558A9">
        <w:rPr>
          <w:rFonts w:ascii="Arial" w:hAnsi="Arial" w:cs="Arial"/>
        </w:rPr>
        <w:t xml:space="preserve">. </w:t>
      </w:r>
      <w:r w:rsidR="00201951">
        <w:rPr>
          <w:rFonts w:ascii="Arial" w:hAnsi="Arial" w:cs="Arial"/>
        </w:rPr>
        <w:t xml:space="preserve"> In particular, there is a need to control for the effect of previous budget allocations on the pattern of supply of hospital services.  </w:t>
      </w:r>
      <w:r w:rsidR="009558A9">
        <w:rPr>
          <w:rFonts w:ascii="Arial" w:hAnsi="Arial" w:cs="Arial"/>
        </w:rPr>
        <w:t xml:space="preserve">For this reason, supply variables always have been included in the NRAC </w:t>
      </w:r>
      <w:r w:rsidR="00CE4B67">
        <w:rPr>
          <w:rFonts w:ascii="Arial" w:hAnsi="Arial" w:cs="Arial"/>
        </w:rPr>
        <w:t>f</w:t>
      </w:r>
      <w:r w:rsidR="009558A9">
        <w:rPr>
          <w:rFonts w:ascii="Arial" w:hAnsi="Arial" w:cs="Arial"/>
        </w:rPr>
        <w:t>ormula’s MLC regression mode</w:t>
      </w:r>
      <w:r w:rsidR="00435FE9">
        <w:rPr>
          <w:rFonts w:ascii="Arial" w:hAnsi="Arial" w:cs="Arial"/>
        </w:rPr>
        <w:t>l</w:t>
      </w:r>
      <w:r w:rsidR="009558A9">
        <w:rPr>
          <w:rFonts w:ascii="Arial" w:hAnsi="Arial" w:cs="Arial"/>
        </w:rPr>
        <w:t>.</w:t>
      </w:r>
      <w:r w:rsidR="0000075D">
        <w:rPr>
          <w:rFonts w:ascii="Arial" w:hAnsi="Arial" w:cs="Arial"/>
        </w:rPr>
        <w:t xml:space="preserve"> The supply variables are</w:t>
      </w:r>
      <w:r w:rsidR="00201951">
        <w:rPr>
          <w:rFonts w:ascii="Arial" w:hAnsi="Arial" w:cs="Arial"/>
        </w:rPr>
        <w:t xml:space="preserve"> control variables: that is, they are included in the regressions to ensure unbiased estimates of the </w:t>
      </w:r>
      <w:r w:rsidR="005B3548">
        <w:rPr>
          <w:rFonts w:ascii="Arial" w:hAnsi="Arial" w:cs="Arial"/>
        </w:rPr>
        <w:t xml:space="preserve">coefficients representing the </w:t>
      </w:r>
      <w:bookmarkStart w:id="0" w:name="_GoBack"/>
      <w:bookmarkEnd w:id="0"/>
      <w:r w:rsidR="00201951">
        <w:rPr>
          <w:rFonts w:ascii="Arial" w:hAnsi="Arial" w:cs="Arial"/>
        </w:rPr>
        <w:t>relationship between cost and the indicators of need</w:t>
      </w:r>
      <w:r w:rsidR="008B120A">
        <w:rPr>
          <w:rFonts w:ascii="Arial" w:hAnsi="Arial" w:cs="Arial"/>
        </w:rPr>
        <w:t>,</w:t>
      </w:r>
      <w:r w:rsidR="00201951">
        <w:rPr>
          <w:rFonts w:ascii="Arial" w:hAnsi="Arial" w:cs="Arial"/>
        </w:rPr>
        <w:t xml:space="preserve"> but</w:t>
      </w:r>
      <w:r w:rsidR="0000075D">
        <w:rPr>
          <w:rFonts w:ascii="Arial" w:hAnsi="Arial" w:cs="Arial"/>
        </w:rPr>
        <w:t xml:space="preserve"> </w:t>
      </w:r>
      <w:r w:rsidR="008B120A">
        <w:rPr>
          <w:rFonts w:ascii="Arial" w:hAnsi="Arial" w:cs="Arial"/>
        </w:rPr>
        <w:t xml:space="preserve">are </w:t>
      </w:r>
      <w:r w:rsidR="0000075D">
        <w:rPr>
          <w:rFonts w:ascii="Arial" w:hAnsi="Arial" w:cs="Arial"/>
        </w:rPr>
        <w:t xml:space="preserve">not used in the </w:t>
      </w:r>
      <w:r w:rsidR="0000075D" w:rsidRPr="0000075D">
        <w:rPr>
          <w:rFonts w:ascii="Arial" w:hAnsi="Arial" w:cs="Arial"/>
          <w:i/>
        </w:rPr>
        <w:t>prediction</w:t>
      </w:r>
      <w:r w:rsidR="0000075D">
        <w:rPr>
          <w:rFonts w:ascii="Arial" w:hAnsi="Arial" w:cs="Arial"/>
        </w:rPr>
        <w:t xml:space="preserve"> of cost</w:t>
      </w:r>
      <w:r w:rsidR="008B120A">
        <w:rPr>
          <w:rFonts w:ascii="Arial" w:hAnsi="Arial" w:cs="Arial"/>
        </w:rPr>
        <w:t xml:space="preserve">. </w:t>
      </w:r>
      <w:r w:rsidR="002A4D17">
        <w:rPr>
          <w:rFonts w:ascii="Arial" w:hAnsi="Arial" w:cs="Arial"/>
        </w:rPr>
        <w:t>To include them in the prediction of cost</w:t>
      </w:r>
      <w:r w:rsidR="0000075D">
        <w:rPr>
          <w:rFonts w:ascii="Arial" w:hAnsi="Arial" w:cs="Arial"/>
        </w:rPr>
        <w:t xml:space="preserve"> would disadvantage any areas in which the level of healthcare provision was lower than it needed to be</w:t>
      </w:r>
      <w:r w:rsidR="00435FE9">
        <w:rPr>
          <w:rFonts w:ascii="Arial" w:hAnsi="Arial" w:cs="Arial"/>
        </w:rPr>
        <w:t xml:space="preserve"> – or, conversely, reward areas in </w:t>
      </w:r>
      <w:r w:rsidR="00435FE9">
        <w:rPr>
          <w:rFonts w:ascii="Arial" w:hAnsi="Arial" w:cs="Arial"/>
        </w:rPr>
        <w:lastRenderedPageBreak/>
        <w:t>which higher levels of activity resulted purely from greater supply</w:t>
      </w:r>
      <w:r w:rsidR="0000075D">
        <w:rPr>
          <w:rFonts w:ascii="Arial" w:hAnsi="Arial" w:cs="Arial"/>
        </w:rPr>
        <w:t xml:space="preserve">. </w:t>
      </w:r>
      <w:r w:rsidR="009558A9">
        <w:rPr>
          <w:rFonts w:ascii="Arial" w:hAnsi="Arial" w:cs="Arial"/>
        </w:rPr>
        <w:t xml:space="preserve">Including these variables in the </w:t>
      </w:r>
      <w:r w:rsidR="009558A9" w:rsidRPr="0000075D">
        <w:rPr>
          <w:rFonts w:ascii="Arial" w:hAnsi="Arial" w:cs="Arial"/>
          <w:i/>
        </w:rPr>
        <w:t>regression</w:t>
      </w:r>
      <w:r w:rsidR="009558A9">
        <w:rPr>
          <w:rFonts w:ascii="Arial" w:hAnsi="Arial" w:cs="Arial"/>
        </w:rPr>
        <w:t xml:space="preserve"> assures us that the effect of supply is accounted for, and we can be more confident that the resulting model uses the </w:t>
      </w:r>
      <w:r w:rsidR="002A4D17">
        <w:rPr>
          <w:rFonts w:ascii="Arial" w:hAnsi="Arial" w:cs="Arial"/>
        </w:rPr>
        <w:t>indicators of need</w:t>
      </w:r>
      <w:r w:rsidR="009558A9">
        <w:rPr>
          <w:rFonts w:ascii="Arial" w:hAnsi="Arial" w:cs="Arial"/>
        </w:rPr>
        <w:t xml:space="preserve"> to predict only cost variations that are due to differences in need, and not</w:t>
      </w:r>
      <w:r w:rsidRPr="00D42C70">
        <w:rPr>
          <w:rFonts w:ascii="Arial" w:hAnsi="Arial" w:cs="Arial"/>
        </w:rPr>
        <w:t xml:space="preserve"> due to variations in supply</w:t>
      </w:r>
      <w:r>
        <w:rPr>
          <w:rFonts w:ascii="Arial" w:hAnsi="Arial" w:cs="Arial"/>
        </w:rPr>
        <w:t xml:space="preserve">. </w:t>
      </w:r>
    </w:p>
    <w:p w:rsidR="00F240CE" w:rsidRDefault="004D4088" w:rsidP="00F240CE">
      <w:pPr>
        <w:spacing w:after="240"/>
        <w:jc w:val="both"/>
        <w:rPr>
          <w:rFonts w:ascii="Arial" w:hAnsi="Arial" w:cs="Arial"/>
        </w:rPr>
      </w:pPr>
      <w:r>
        <w:rPr>
          <w:rFonts w:ascii="Arial" w:hAnsi="Arial" w:cs="Arial"/>
        </w:rPr>
        <w:t xml:space="preserve">Table </w:t>
      </w:r>
      <w:r w:rsidR="004C0B7B">
        <w:rPr>
          <w:rFonts w:ascii="Arial" w:hAnsi="Arial" w:cs="Arial"/>
        </w:rPr>
        <w:t>1</w:t>
      </w:r>
      <w:r>
        <w:rPr>
          <w:rFonts w:ascii="Arial" w:hAnsi="Arial" w:cs="Arial"/>
        </w:rPr>
        <w:t xml:space="preserve"> </w:t>
      </w:r>
      <w:r w:rsidR="0000075D">
        <w:rPr>
          <w:rFonts w:ascii="Arial" w:hAnsi="Arial" w:cs="Arial"/>
        </w:rPr>
        <w:t>shows</w:t>
      </w:r>
      <w:r>
        <w:rPr>
          <w:rFonts w:ascii="Arial" w:hAnsi="Arial" w:cs="Arial"/>
        </w:rPr>
        <w:t xml:space="preserve"> the supply variables that were previously explored in the 2007 NRAC review</w:t>
      </w:r>
      <w:r w:rsidR="0000075D">
        <w:rPr>
          <w:rFonts w:ascii="Arial" w:hAnsi="Arial" w:cs="Arial"/>
        </w:rPr>
        <w:t xml:space="preserve"> and have now been re-examined in the current Acute MLC review</w:t>
      </w:r>
      <w:r>
        <w:rPr>
          <w:rFonts w:ascii="Arial" w:hAnsi="Arial" w:cs="Arial"/>
        </w:rPr>
        <w:t xml:space="preserve">. </w:t>
      </w:r>
      <w:r w:rsidR="00710204">
        <w:rPr>
          <w:rFonts w:ascii="Arial" w:hAnsi="Arial" w:cs="Arial"/>
        </w:rPr>
        <w:t>The current supply model, for all care programmes, consists of the health board dummies along with IPACX and OPACX.</w:t>
      </w:r>
    </w:p>
    <w:p w:rsidR="00A65DAD" w:rsidRDefault="00A65DAD">
      <w:pPr>
        <w:rPr>
          <w:rFonts w:ascii="Arial" w:hAnsi="Arial" w:cs="Arial"/>
          <w:i/>
        </w:rPr>
      </w:pPr>
      <w:r>
        <w:rPr>
          <w:rFonts w:ascii="Arial" w:hAnsi="Arial" w:cs="Arial"/>
          <w:i/>
        </w:rPr>
        <w:br w:type="page"/>
      </w:r>
    </w:p>
    <w:p w:rsidR="004C0B7B" w:rsidRPr="00F240CE" w:rsidRDefault="004C0B7B" w:rsidP="0000075D">
      <w:pPr>
        <w:spacing w:after="0"/>
        <w:jc w:val="both"/>
        <w:rPr>
          <w:rFonts w:ascii="Arial" w:hAnsi="Arial" w:cs="Arial"/>
        </w:rPr>
      </w:pPr>
      <w:proofErr w:type="gramStart"/>
      <w:r w:rsidRPr="001670E8">
        <w:rPr>
          <w:rFonts w:ascii="Arial" w:hAnsi="Arial" w:cs="Arial"/>
          <w:i/>
        </w:rPr>
        <w:lastRenderedPageBreak/>
        <w:t xml:space="preserve">Table </w:t>
      </w:r>
      <w:r>
        <w:rPr>
          <w:rFonts w:ascii="Arial" w:hAnsi="Arial" w:cs="Arial"/>
          <w:i/>
        </w:rPr>
        <w:t>1</w:t>
      </w:r>
      <w:r w:rsidRPr="001670E8">
        <w:rPr>
          <w:rFonts w:ascii="Arial" w:hAnsi="Arial" w:cs="Arial"/>
          <w:i/>
        </w:rPr>
        <w:t>.</w:t>
      </w:r>
      <w:proofErr w:type="gramEnd"/>
      <w:r w:rsidRPr="001670E8">
        <w:rPr>
          <w:rFonts w:ascii="Arial" w:hAnsi="Arial" w:cs="Arial"/>
          <w:i/>
        </w:rPr>
        <w:t xml:space="preserve"> </w:t>
      </w:r>
      <w:r w:rsidR="0000075D">
        <w:rPr>
          <w:rFonts w:ascii="Arial" w:hAnsi="Arial" w:cs="Arial"/>
          <w:i/>
        </w:rPr>
        <w:t>Potential</w:t>
      </w:r>
      <w:r w:rsidRPr="001670E8">
        <w:rPr>
          <w:rFonts w:ascii="Arial" w:hAnsi="Arial" w:cs="Arial"/>
          <w:i/>
        </w:rPr>
        <w:t xml:space="preserve"> supply variables for investigation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1229"/>
        <w:gridCol w:w="7849"/>
      </w:tblGrid>
      <w:tr w:rsidR="000A7A87" w:rsidRPr="00D7797B" w:rsidTr="0000075D">
        <w:trPr>
          <w:trHeight w:val="284"/>
        </w:trPr>
        <w:tc>
          <w:tcPr>
            <w:tcW w:w="677" w:type="pct"/>
            <w:tcBorders>
              <w:top w:val="single" w:sz="12" w:space="0" w:color="auto"/>
              <w:left w:val="single" w:sz="12" w:space="0" w:color="auto"/>
              <w:bottom w:val="single" w:sz="12" w:space="0" w:color="auto"/>
              <w:right w:val="single" w:sz="4" w:space="0" w:color="auto"/>
            </w:tcBorders>
          </w:tcPr>
          <w:p w:rsidR="000A7A87" w:rsidRPr="00D7797B" w:rsidRDefault="000A7A87" w:rsidP="004C0B7B">
            <w:pPr>
              <w:spacing w:after="0"/>
              <w:rPr>
                <w:rFonts w:ascii="Arial" w:hAnsi="Arial" w:cs="Arial"/>
                <w:b/>
                <w:sz w:val="20"/>
                <w:szCs w:val="20"/>
              </w:rPr>
            </w:pPr>
            <w:r w:rsidRPr="00D7797B">
              <w:rPr>
                <w:rFonts w:ascii="Arial" w:hAnsi="Arial" w:cs="Arial"/>
                <w:b/>
                <w:sz w:val="20"/>
                <w:szCs w:val="20"/>
              </w:rPr>
              <w:t xml:space="preserve">Variable </w:t>
            </w:r>
          </w:p>
        </w:tc>
        <w:tc>
          <w:tcPr>
            <w:tcW w:w="4323" w:type="pct"/>
            <w:tcBorders>
              <w:top w:val="single" w:sz="12" w:space="0" w:color="auto"/>
              <w:left w:val="single" w:sz="4" w:space="0" w:color="auto"/>
              <w:bottom w:val="single" w:sz="12" w:space="0" w:color="auto"/>
              <w:right w:val="single" w:sz="12" w:space="0" w:color="auto"/>
            </w:tcBorders>
          </w:tcPr>
          <w:p w:rsidR="000A7A87" w:rsidRPr="00D7797B" w:rsidRDefault="000A7A87" w:rsidP="004C0B7B">
            <w:pPr>
              <w:spacing w:after="0"/>
              <w:rPr>
                <w:rFonts w:ascii="Arial" w:hAnsi="Arial" w:cs="Arial"/>
                <w:b/>
                <w:sz w:val="20"/>
                <w:szCs w:val="20"/>
              </w:rPr>
            </w:pPr>
            <w:r>
              <w:rPr>
                <w:rFonts w:ascii="Arial" w:hAnsi="Arial" w:cs="Arial"/>
                <w:b/>
                <w:sz w:val="20"/>
                <w:szCs w:val="20"/>
              </w:rPr>
              <w:t>Description</w:t>
            </w:r>
          </w:p>
        </w:tc>
      </w:tr>
      <w:tr w:rsidR="000A7A87" w:rsidRPr="00072072" w:rsidTr="0000075D">
        <w:trPr>
          <w:trHeight w:val="284"/>
        </w:trPr>
        <w:tc>
          <w:tcPr>
            <w:tcW w:w="677" w:type="pct"/>
            <w:tcBorders>
              <w:top w:val="single" w:sz="12" w:space="0" w:color="auto"/>
              <w:left w:val="single" w:sz="12" w:space="0" w:color="auto"/>
              <w:bottom w:val="single" w:sz="4" w:space="0" w:color="auto"/>
              <w:right w:val="single" w:sz="4" w:space="0" w:color="auto"/>
            </w:tcBorders>
          </w:tcPr>
          <w:p w:rsidR="000A7A87" w:rsidRPr="00072072" w:rsidRDefault="000A7A87" w:rsidP="004C0B7B">
            <w:pPr>
              <w:spacing w:after="0"/>
              <w:rPr>
                <w:rFonts w:ascii="Arial" w:hAnsi="Arial" w:cs="Arial"/>
                <w:sz w:val="20"/>
                <w:szCs w:val="20"/>
              </w:rPr>
            </w:pPr>
            <w:proofErr w:type="spellStart"/>
            <w:r>
              <w:rPr>
                <w:rFonts w:ascii="Arial" w:hAnsi="Arial" w:cs="Arial"/>
                <w:sz w:val="20"/>
                <w:szCs w:val="20"/>
              </w:rPr>
              <w:t>GPCount</w:t>
            </w:r>
            <w:proofErr w:type="spellEnd"/>
          </w:p>
        </w:tc>
        <w:tc>
          <w:tcPr>
            <w:tcW w:w="4323" w:type="pct"/>
            <w:tcBorders>
              <w:top w:val="single" w:sz="12" w:space="0" w:color="auto"/>
              <w:left w:val="single" w:sz="4" w:space="0" w:color="auto"/>
              <w:bottom w:val="single" w:sz="4" w:space="0" w:color="auto"/>
              <w:right w:val="single" w:sz="12" w:space="0" w:color="auto"/>
            </w:tcBorders>
          </w:tcPr>
          <w:p w:rsidR="000A7A87" w:rsidRPr="00072072" w:rsidRDefault="000A7A87" w:rsidP="000A7A87">
            <w:pPr>
              <w:spacing w:after="0"/>
              <w:rPr>
                <w:rFonts w:ascii="Arial" w:hAnsi="Arial" w:cs="Arial"/>
                <w:sz w:val="20"/>
                <w:szCs w:val="20"/>
              </w:rPr>
            </w:pPr>
            <w:r w:rsidRPr="00072072">
              <w:rPr>
                <w:rFonts w:ascii="Arial" w:hAnsi="Arial" w:cs="Arial"/>
                <w:sz w:val="20"/>
                <w:szCs w:val="20"/>
              </w:rPr>
              <w:t>Number of</w:t>
            </w:r>
            <w:r>
              <w:rPr>
                <w:rFonts w:ascii="Arial" w:hAnsi="Arial" w:cs="Arial"/>
                <w:sz w:val="20"/>
                <w:szCs w:val="20"/>
              </w:rPr>
              <w:t xml:space="preserve"> whole time equivalent (WTE)</w:t>
            </w:r>
            <w:bookmarkStart w:id="1" w:name="_Ref437852719"/>
            <w:r>
              <w:rPr>
                <w:rStyle w:val="FootnoteReference"/>
                <w:rFonts w:ascii="Arial" w:hAnsi="Arial" w:cs="Arial"/>
                <w:sz w:val="20"/>
                <w:szCs w:val="20"/>
              </w:rPr>
              <w:footnoteReference w:id="1"/>
            </w:r>
            <w:bookmarkEnd w:id="1"/>
            <w:r>
              <w:rPr>
                <w:rFonts w:ascii="Arial" w:hAnsi="Arial" w:cs="Arial"/>
                <w:sz w:val="20"/>
                <w:szCs w:val="20"/>
              </w:rPr>
              <w:t xml:space="preserve"> </w:t>
            </w:r>
            <w:r w:rsidRPr="00072072">
              <w:rPr>
                <w:rFonts w:ascii="Arial" w:hAnsi="Arial" w:cs="Arial"/>
                <w:sz w:val="20"/>
                <w:szCs w:val="20"/>
              </w:rPr>
              <w:t xml:space="preserve">GPs serving each </w:t>
            </w:r>
            <w:r>
              <w:rPr>
                <w:rFonts w:ascii="Arial" w:hAnsi="Arial" w:cs="Arial"/>
                <w:sz w:val="20"/>
                <w:szCs w:val="20"/>
              </w:rPr>
              <w:t>d</w:t>
            </w:r>
            <w:r w:rsidRPr="00072072">
              <w:rPr>
                <w:rFonts w:ascii="Arial" w:hAnsi="Arial" w:cs="Arial"/>
                <w:sz w:val="20"/>
                <w:szCs w:val="20"/>
              </w:rPr>
              <w:t xml:space="preserve">ata </w:t>
            </w:r>
            <w:r>
              <w:rPr>
                <w:rFonts w:ascii="Arial" w:hAnsi="Arial" w:cs="Arial"/>
                <w:sz w:val="20"/>
                <w:szCs w:val="20"/>
              </w:rPr>
              <w:t>z</w:t>
            </w:r>
            <w:r w:rsidRPr="00072072">
              <w:rPr>
                <w:rFonts w:ascii="Arial" w:hAnsi="Arial" w:cs="Arial"/>
                <w:sz w:val="20"/>
                <w:szCs w:val="20"/>
              </w:rPr>
              <w:t>one</w:t>
            </w:r>
            <w:r>
              <w:rPr>
                <w:rFonts w:ascii="Arial" w:hAnsi="Arial" w:cs="Arial"/>
                <w:sz w:val="20"/>
                <w:szCs w:val="20"/>
              </w:rPr>
              <w:t xml:space="preserve">. </w:t>
            </w:r>
            <w:r w:rsidRPr="000A7A87">
              <w:rPr>
                <w:rFonts w:ascii="Arial" w:hAnsi="Arial" w:cs="Arial"/>
                <w:sz w:val="20"/>
                <w:szCs w:val="20"/>
              </w:rPr>
              <w:t>This variable is the sum of the number of practices serving each DZ weighted by the whole time equivalent number of GPs in each practice.</w:t>
            </w:r>
          </w:p>
        </w:tc>
      </w:tr>
      <w:tr w:rsidR="000A7A87" w:rsidRPr="00072072" w:rsidTr="0000075D">
        <w:trPr>
          <w:trHeight w:val="284"/>
        </w:trPr>
        <w:tc>
          <w:tcPr>
            <w:tcW w:w="677" w:type="pct"/>
            <w:tcBorders>
              <w:top w:val="single" w:sz="4" w:space="0" w:color="auto"/>
              <w:left w:val="single" w:sz="12" w:space="0" w:color="auto"/>
              <w:bottom w:val="single" w:sz="12" w:space="0" w:color="auto"/>
              <w:right w:val="single" w:sz="4" w:space="0" w:color="auto"/>
            </w:tcBorders>
            <w:hideMark/>
          </w:tcPr>
          <w:p w:rsidR="000A7A87" w:rsidRPr="00072072" w:rsidRDefault="000A7A87" w:rsidP="004C0B7B">
            <w:pPr>
              <w:spacing w:after="0"/>
              <w:rPr>
                <w:rFonts w:ascii="Arial" w:hAnsi="Arial" w:cs="Arial"/>
                <w:sz w:val="20"/>
                <w:szCs w:val="20"/>
              </w:rPr>
            </w:pPr>
            <w:proofErr w:type="spellStart"/>
            <w:r>
              <w:rPr>
                <w:rFonts w:ascii="Arial" w:hAnsi="Arial" w:cs="Arial"/>
                <w:sz w:val="20"/>
                <w:szCs w:val="20"/>
              </w:rPr>
              <w:t>GPSup</w:t>
            </w:r>
            <w:proofErr w:type="spellEnd"/>
            <w:r>
              <w:rPr>
                <w:rFonts w:ascii="Arial" w:hAnsi="Arial" w:cs="Arial"/>
                <w:sz w:val="20"/>
                <w:szCs w:val="20"/>
              </w:rPr>
              <w:t>, GPSup5, GPSup10</w:t>
            </w:r>
          </w:p>
        </w:tc>
        <w:tc>
          <w:tcPr>
            <w:tcW w:w="4323" w:type="pct"/>
            <w:tcBorders>
              <w:top w:val="single" w:sz="4" w:space="0" w:color="auto"/>
              <w:left w:val="single" w:sz="4" w:space="0" w:color="auto"/>
              <w:bottom w:val="single" w:sz="12" w:space="0" w:color="auto"/>
              <w:right w:val="single" w:sz="12" w:space="0" w:color="auto"/>
            </w:tcBorders>
          </w:tcPr>
          <w:p w:rsidR="000A7A87" w:rsidRPr="000A7A87" w:rsidRDefault="000A7A87" w:rsidP="000A7A87">
            <w:pPr>
              <w:spacing w:after="0"/>
              <w:rPr>
                <w:rFonts w:ascii="Arial" w:hAnsi="Arial" w:cs="Arial"/>
                <w:sz w:val="20"/>
                <w:szCs w:val="20"/>
              </w:rPr>
            </w:pPr>
            <w:r>
              <w:rPr>
                <w:rFonts w:ascii="Arial" w:hAnsi="Arial" w:cs="Arial"/>
                <w:sz w:val="20"/>
                <w:szCs w:val="20"/>
              </w:rPr>
              <w:t>A function of both the number of whole time equivalent (WTE</w:t>
            </w:r>
            <w:proofErr w:type="gramStart"/>
            <w:r>
              <w:rPr>
                <w:rFonts w:ascii="Arial" w:hAnsi="Arial" w:cs="Arial"/>
                <w:sz w:val="20"/>
                <w:szCs w:val="20"/>
              </w:rPr>
              <w:t>)</w:t>
            </w:r>
            <w:proofErr w:type="gramEnd"/>
            <w:r w:rsidR="006C2E05">
              <w:fldChar w:fldCharType="begin"/>
            </w:r>
            <w:r w:rsidR="00E61E38">
              <w:instrText xml:space="preserve"> NOTEREF _Ref437852719 \h  \* MERGEFORMAT </w:instrText>
            </w:r>
            <w:r w:rsidR="006C2E05">
              <w:fldChar w:fldCharType="separate"/>
            </w:r>
            <w:r w:rsidR="000E0C1F">
              <w:rPr>
                <w:rFonts w:ascii="Arial" w:hAnsi="Arial" w:cs="Arial"/>
                <w:sz w:val="20"/>
                <w:szCs w:val="20"/>
                <w:vertAlign w:val="superscript"/>
              </w:rPr>
              <w:t>1</w:t>
            </w:r>
            <w:r w:rsidR="006C2E05">
              <w:fldChar w:fldCharType="end"/>
            </w:r>
            <w:r>
              <w:rPr>
                <w:rFonts w:ascii="Arial" w:hAnsi="Arial" w:cs="Arial"/>
                <w:sz w:val="20"/>
                <w:szCs w:val="20"/>
              </w:rPr>
              <w:t xml:space="preserve"> GPs serving each data zone and the distance to the practices. </w:t>
            </w:r>
            <w:r w:rsidRPr="000A7A87">
              <w:rPr>
                <w:rFonts w:ascii="Arial" w:hAnsi="Arial" w:cs="Arial"/>
                <w:sz w:val="20"/>
                <w:szCs w:val="20"/>
              </w:rPr>
              <w:t>This can be expressed algebraically as:</w:t>
            </w:r>
          </w:p>
          <w:p w:rsidR="000A7A87" w:rsidRPr="000A7A87" w:rsidRDefault="000A7A87" w:rsidP="000A7A87">
            <w:pPr>
              <w:spacing w:after="0"/>
              <w:rPr>
                <w:rFonts w:ascii="Arial" w:hAnsi="Arial" w:cs="Arial"/>
                <w:sz w:val="20"/>
                <w:szCs w:val="20"/>
              </w:rPr>
            </w:pPr>
          </w:p>
          <w:p w:rsidR="000A7A87" w:rsidRPr="000A7A87" w:rsidRDefault="000A7A87" w:rsidP="000A7A87">
            <w:pPr>
              <w:spacing w:after="0"/>
              <w:rPr>
                <w:rFonts w:ascii="Arial" w:hAnsi="Arial" w:cs="Arial"/>
                <w:sz w:val="20"/>
                <w:szCs w:val="20"/>
              </w:rPr>
            </w:pPr>
            <m:oMathPara>
              <m:oMath>
                <m:r>
                  <m:rPr>
                    <m:nor/>
                  </m:rPr>
                  <w:rPr>
                    <w:rFonts w:ascii="Arial" w:hAnsi="Arial" w:cs="Arial"/>
                    <w:sz w:val="20"/>
                    <w:szCs w:val="20"/>
                  </w:rPr>
                  <m:t xml:space="preserve">GP supply </m:t>
                </m:r>
                <m:r>
                  <w:rPr>
                    <w:rFonts w:ascii="Cambria Math" w:hAnsi="Cambria Math" w:cs="Arial"/>
                    <w:sz w:val="20"/>
                    <w:szCs w:val="20"/>
                  </w:rPr>
                  <m:t xml:space="preserve">n </m:t>
                </m:r>
                <m:r>
                  <m:rPr>
                    <m:nor/>
                  </m:rPr>
                  <w:rPr>
                    <w:rFonts w:ascii="Arial" w:hAnsi="Arial" w:cs="Arial"/>
                    <w:sz w:val="20"/>
                    <w:szCs w:val="20"/>
                  </w:rPr>
                  <m:t>km</m:t>
                </m:r>
                <m:r>
                  <w:rPr>
                    <w:rFonts w:ascii="Cambria Math" w:hAnsi="Cambria Math" w:cs="Arial"/>
                    <w:sz w:val="20"/>
                    <w:szCs w:val="20"/>
                  </w:rPr>
                  <m:t xml:space="preserve">= </m:t>
                </m:r>
                <m:nary>
                  <m:naryPr>
                    <m:chr m:val="∑"/>
                    <m:limLoc m:val="undOvr"/>
                    <m:supHide m:val="on"/>
                    <m:ctrlPr>
                      <w:rPr>
                        <w:rFonts w:ascii="Cambria Math" w:hAnsi="Cambria Math" w:cs="Arial"/>
                        <w:i/>
                        <w:sz w:val="20"/>
                        <w:szCs w:val="20"/>
                      </w:rPr>
                    </m:ctrlPr>
                  </m:naryPr>
                  <m:sub>
                    <m:r>
                      <m:rPr>
                        <m:nor/>
                      </m:rPr>
                      <w:rPr>
                        <w:rFonts w:ascii="Arial" w:hAnsi="Arial" w:cs="Arial"/>
                        <w:sz w:val="20"/>
                        <w:szCs w:val="20"/>
                      </w:rPr>
                      <m:t>all practices serving the DZ</m:t>
                    </m:r>
                  </m:sub>
                  <m:sup/>
                  <m:e>
                    <m:f>
                      <m:fPr>
                        <m:ctrlPr>
                          <w:rPr>
                            <w:rFonts w:ascii="Cambria Math" w:hAnsi="Cambria Math" w:cs="Arial"/>
                            <w:i/>
                            <w:sz w:val="20"/>
                            <w:szCs w:val="20"/>
                          </w:rPr>
                        </m:ctrlPr>
                      </m:fPr>
                      <m:num>
                        <m:r>
                          <m:rPr>
                            <m:nor/>
                          </m:rPr>
                          <w:rPr>
                            <w:rFonts w:ascii="Arial" w:hAnsi="Arial" w:cs="Arial"/>
                            <w:sz w:val="20"/>
                            <w:szCs w:val="20"/>
                          </w:rPr>
                          <m:t>number of WTE GPs per practice</m:t>
                        </m:r>
                      </m:num>
                      <m:den>
                        <m:sSup>
                          <m:sSupPr>
                            <m:ctrlPr>
                              <w:rPr>
                                <w:rFonts w:ascii="Cambria Math" w:hAnsi="Cambria Math" w:cs="Arial"/>
                                <w:i/>
                                <w:sz w:val="20"/>
                                <w:szCs w:val="20"/>
                              </w:rPr>
                            </m:ctrlPr>
                          </m:sSupPr>
                          <m:e>
                            <m:d>
                              <m:dPr>
                                <m:ctrlPr>
                                  <w:rPr>
                                    <w:rFonts w:ascii="Cambria Math" w:hAnsi="Cambria Math" w:cs="Arial"/>
                                    <w:i/>
                                    <w:sz w:val="20"/>
                                    <w:szCs w:val="20"/>
                                  </w:rPr>
                                </m:ctrlPr>
                              </m:dPr>
                              <m:e>
                                <m:r>
                                  <m:rPr>
                                    <m:nor/>
                                  </m:rPr>
                                  <w:rPr>
                                    <w:rFonts w:ascii="Arial" w:hAnsi="Arial" w:cs="Arial"/>
                                    <w:sz w:val="20"/>
                                    <w:szCs w:val="20"/>
                                  </w:rPr>
                                  <m:t>distance to practice</m:t>
                                </m:r>
                                <m:r>
                                  <w:rPr>
                                    <w:rFonts w:ascii="Cambria Math" w:hAnsi="Cambria Math" w:cs="Arial"/>
                                    <w:sz w:val="20"/>
                                    <w:szCs w:val="20"/>
                                  </w:rPr>
                                  <m:t>+n</m:t>
                                </m:r>
                              </m:e>
                            </m:d>
                          </m:e>
                          <m:sup>
                            <m:r>
                              <w:rPr>
                                <w:rFonts w:ascii="Cambria Math" w:hAnsi="Cambria Math" w:cs="Arial"/>
                                <w:sz w:val="20"/>
                                <w:szCs w:val="20"/>
                              </w:rPr>
                              <m:t>2</m:t>
                            </m:r>
                          </m:sup>
                        </m:sSup>
                      </m:den>
                    </m:f>
                  </m:e>
                </m:nary>
              </m:oMath>
            </m:oMathPara>
          </w:p>
          <w:p w:rsidR="000A7A87" w:rsidRPr="000A7A87" w:rsidRDefault="000A7A87" w:rsidP="000A7A87">
            <w:pPr>
              <w:spacing w:after="0"/>
              <w:rPr>
                <w:rFonts w:ascii="Arial" w:hAnsi="Arial" w:cs="Arial"/>
                <w:sz w:val="20"/>
                <w:szCs w:val="20"/>
              </w:rPr>
            </w:pPr>
          </w:p>
          <w:p w:rsidR="000A7A87" w:rsidRPr="00072072" w:rsidRDefault="000A7A87" w:rsidP="000A7A87">
            <w:pPr>
              <w:spacing w:after="0"/>
              <w:rPr>
                <w:rFonts w:ascii="Arial" w:hAnsi="Arial" w:cs="Arial"/>
                <w:sz w:val="20"/>
                <w:szCs w:val="20"/>
              </w:rPr>
            </w:pPr>
            <w:proofErr w:type="gramStart"/>
            <w:r w:rsidRPr="000A7A87">
              <w:rPr>
                <w:rFonts w:ascii="Arial" w:hAnsi="Arial" w:cs="Arial"/>
                <w:sz w:val="20"/>
                <w:szCs w:val="20"/>
              </w:rPr>
              <w:t>where</w:t>
            </w:r>
            <w:proofErr w:type="gramEnd"/>
            <w:r w:rsidRPr="000A7A87">
              <w:rPr>
                <w:rFonts w:ascii="Arial" w:hAnsi="Arial" w:cs="Arial"/>
                <w:sz w:val="20"/>
                <w:szCs w:val="20"/>
              </w:rPr>
              <w:t xml:space="preserve"> </w:t>
            </w:r>
            <w:r w:rsidRPr="000A7A87">
              <w:rPr>
                <w:rFonts w:ascii="Arial" w:hAnsi="Arial" w:cs="Arial"/>
                <w:i/>
                <w:sz w:val="20"/>
                <w:szCs w:val="20"/>
              </w:rPr>
              <w:t>n</w:t>
            </w:r>
            <w:r w:rsidRPr="000A7A87">
              <w:rPr>
                <w:rFonts w:ascii="Arial" w:hAnsi="Arial" w:cs="Arial"/>
                <w:sz w:val="20"/>
                <w:szCs w:val="20"/>
              </w:rPr>
              <w:t xml:space="preserve"> (the “</w:t>
            </w:r>
            <w:proofErr w:type="spellStart"/>
            <w:r w:rsidRPr="000A7A87">
              <w:rPr>
                <w:rFonts w:ascii="Arial" w:hAnsi="Arial" w:cs="Arial"/>
                <w:sz w:val="20"/>
                <w:szCs w:val="20"/>
              </w:rPr>
              <w:t>intrazonal</w:t>
            </w:r>
            <w:proofErr w:type="spellEnd"/>
            <w:r w:rsidRPr="000A7A87">
              <w:rPr>
                <w:rFonts w:ascii="Arial" w:hAnsi="Arial" w:cs="Arial"/>
                <w:sz w:val="20"/>
                <w:szCs w:val="20"/>
              </w:rPr>
              <w:t xml:space="preserve"> cost”) is 1, 5 or 10 kilometres. The </w:t>
            </w:r>
            <w:proofErr w:type="spellStart"/>
            <w:r w:rsidRPr="000A7A87">
              <w:rPr>
                <w:rFonts w:ascii="Arial" w:hAnsi="Arial" w:cs="Arial"/>
                <w:sz w:val="20"/>
                <w:szCs w:val="20"/>
              </w:rPr>
              <w:t>intrazonal</w:t>
            </w:r>
            <w:proofErr w:type="spellEnd"/>
            <w:r w:rsidRPr="000A7A87">
              <w:rPr>
                <w:rFonts w:ascii="Arial" w:hAnsi="Arial" w:cs="Arial"/>
                <w:sz w:val="20"/>
                <w:szCs w:val="20"/>
              </w:rPr>
              <w:t xml:space="preserve"> cost is an assumption about the part of the travel </w:t>
            </w:r>
            <w:r w:rsidRPr="000A7A87">
              <w:rPr>
                <w:rFonts w:ascii="Arial" w:hAnsi="Arial" w:cs="Arial"/>
                <w:i/>
                <w:sz w:val="20"/>
                <w:szCs w:val="20"/>
              </w:rPr>
              <w:t>within</w:t>
            </w:r>
            <w:r w:rsidRPr="000A7A87">
              <w:rPr>
                <w:rFonts w:ascii="Arial" w:hAnsi="Arial" w:cs="Arial"/>
                <w:sz w:val="20"/>
                <w:szCs w:val="20"/>
              </w:rPr>
              <w:t xml:space="preserve"> the small area; the distance to practice represents travel </w:t>
            </w:r>
            <w:r w:rsidRPr="000A7A87">
              <w:rPr>
                <w:rFonts w:ascii="Arial" w:hAnsi="Arial" w:cs="Arial"/>
                <w:i/>
                <w:sz w:val="20"/>
                <w:szCs w:val="20"/>
              </w:rPr>
              <w:t>between</w:t>
            </w:r>
            <w:r w:rsidRPr="000A7A87">
              <w:rPr>
                <w:rFonts w:ascii="Arial" w:hAnsi="Arial" w:cs="Arial"/>
                <w:sz w:val="20"/>
                <w:szCs w:val="20"/>
              </w:rPr>
              <w:t xml:space="preserve"> the small area (i.e. its population </w:t>
            </w:r>
            <w:proofErr w:type="spellStart"/>
            <w:r w:rsidRPr="000A7A87">
              <w:rPr>
                <w:rFonts w:ascii="Arial" w:hAnsi="Arial" w:cs="Arial"/>
                <w:sz w:val="20"/>
                <w:szCs w:val="20"/>
              </w:rPr>
              <w:t>centroid</w:t>
            </w:r>
            <w:proofErr w:type="spellEnd"/>
            <w:r w:rsidRPr="000A7A87">
              <w:rPr>
                <w:rFonts w:ascii="Arial" w:hAnsi="Arial" w:cs="Arial"/>
                <w:sz w:val="20"/>
                <w:szCs w:val="20"/>
              </w:rPr>
              <w:t>) and the practice.</w:t>
            </w:r>
          </w:p>
        </w:tc>
      </w:tr>
      <w:tr w:rsidR="000A7A87" w:rsidRPr="00072072" w:rsidTr="0000075D">
        <w:trPr>
          <w:trHeight w:val="284"/>
        </w:trPr>
        <w:tc>
          <w:tcPr>
            <w:tcW w:w="677" w:type="pct"/>
            <w:tcBorders>
              <w:top w:val="single" w:sz="12" w:space="0" w:color="auto"/>
              <w:left w:val="single" w:sz="12" w:space="0" w:color="auto"/>
              <w:bottom w:val="single" w:sz="4" w:space="0" w:color="auto"/>
              <w:right w:val="single" w:sz="4" w:space="0" w:color="auto"/>
            </w:tcBorders>
            <w:hideMark/>
          </w:tcPr>
          <w:p w:rsidR="000A7A87" w:rsidRPr="00072072" w:rsidRDefault="000A7A87" w:rsidP="004C0B7B">
            <w:pPr>
              <w:spacing w:after="0"/>
              <w:rPr>
                <w:rFonts w:ascii="Arial" w:hAnsi="Arial" w:cs="Arial"/>
                <w:sz w:val="20"/>
                <w:szCs w:val="20"/>
              </w:rPr>
            </w:pPr>
            <w:r>
              <w:rPr>
                <w:rFonts w:ascii="Arial" w:hAnsi="Arial" w:cs="Arial"/>
                <w:sz w:val="20"/>
                <w:szCs w:val="20"/>
              </w:rPr>
              <w:t>IA1, OA1</w:t>
            </w:r>
          </w:p>
        </w:tc>
        <w:tc>
          <w:tcPr>
            <w:tcW w:w="4323" w:type="pct"/>
            <w:tcBorders>
              <w:top w:val="single" w:sz="12" w:space="0" w:color="auto"/>
              <w:left w:val="single" w:sz="4" w:space="0" w:color="auto"/>
              <w:right w:val="single" w:sz="12" w:space="0" w:color="auto"/>
            </w:tcBorders>
          </w:tcPr>
          <w:p w:rsidR="000A7A87" w:rsidRPr="00072072" w:rsidRDefault="000A7A87" w:rsidP="004C0B7B">
            <w:pPr>
              <w:spacing w:after="0"/>
              <w:rPr>
                <w:rFonts w:ascii="Arial" w:hAnsi="Arial" w:cs="Arial"/>
                <w:sz w:val="20"/>
                <w:szCs w:val="20"/>
              </w:rPr>
            </w:pPr>
            <w:r>
              <w:rPr>
                <w:rFonts w:ascii="Arial" w:hAnsi="Arial" w:cs="Arial"/>
                <w:sz w:val="20"/>
                <w:szCs w:val="20"/>
              </w:rPr>
              <w:t xml:space="preserve">Size of nearest inpatient / outpatient facility, </w:t>
            </w:r>
            <w:r w:rsidRPr="000A7A87">
              <w:rPr>
                <w:rFonts w:ascii="Arial" w:hAnsi="Arial" w:cs="Arial"/>
                <w:sz w:val="20"/>
                <w:szCs w:val="20"/>
              </w:rPr>
              <w:t xml:space="preserve">where size is measured as the number of inpatient or outpatient episodes in the last year. Nearest here means closest to the DZ population </w:t>
            </w:r>
            <w:proofErr w:type="spellStart"/>
            <w:r w:rsidRPr="000A7A87">
              <w:rPr>
                <w:rFonts w:ascii="Arial" w:hAnsi="Arial" w:cs="Arial"/>
                <w:sz w:val="20"/>
                <w:szCs w:val="20"/>
              </w:rPr>
              <w:t>centroid</w:t>
            </w:r>
            <w:proofErr w:type="spellEnd"/>
            <w:r>
              <w:rPr>
                <w:rFonts w:ascii="Arial" w:hAnsi="Arial" w:cs="Arial"/>
                <w:sz w:val="20"/>
                <w:szCs w:val="20"/>
              </w:rPr>
              <w:t>.</w:t>
            </w:r>
          </w:p>
        </w:tc>
      </w:tr>
      <w:tr w:rsidR="000A7A87" w:rsidRPr="00072072" w:rsidTr="0000075D">
        <w:trPr>
          <w:trHeight w:val="284"/>
        </w:trPr>
        <w:tc>
          <w:tcPr>
            <w:tcW w:w="677" w:type="pct"/>
            <w:tcBorders>
              <w:top w:val="single" w:sz="4" w:space="0" w:color="auto"/>
              <w:left w:val="single" w:sz="12" w:space="0" w:color="auto"/>
              <w:bottom w:val="single" w:sz="4" w:space="0" w:color="auto"/>
              <w:right w:val="single" w:sz="4" w:space="0" w:color="auto"/>
            </w:tcBorders>
            <w:hideMark/>
          </w:tcPr>
          <w:p w:rsidR="000A7A87" w:rsidRPr="00072072" w:rsidRDefault="000A7A87" w:rsidP="004C0B7B">
            <w:pPr>
              <w:spacing w:after="0"/>
              <w:rPr>
                <w:rFonts w:ascii="Arial" w:hAnsi="Arial" w:cs="Arial"/>
                <w:sz w:val="20"/>
                <w:szCs w:val="20"/>
              </w:rPr>
            </w:pPr>
            <w:r>
              <w:rPr>
                <w:rFonts w:ascii="Arial" w:hAnsi="Arial" w:cs="Arial"/>
                <w:sz w:val="20"/>
                <w:szCs w:val="20"/>
              </w:rPr>
              <w:t>IA2, OA2</w:t>
            </w:r>
          </w:p>
        </w:tc>
        <w:tc>
          <w:tcPr>
            <w:tcW w:w="4323" w:type="pct"/>
            <w:tcBorders>
              <w:left w:val="single" w:sz="4" w:space="0" w:color="auto"/>
              <w:right w:val="single" w:sz="12" w:space="0" w:color="auto"/>
            </w:tcBorders>
          </w:tcPr>
          <w:p w:rsidR="000A7A87" w:rsidRPr="00072072" w:rsidRDefault="000A7A87" w:rsidP="004C0B7B">
            <w:pPr>
              <w:spacing w:after="0"/>
              <w:rPr>
                <w:rFonts w:ascii="Arial" w:hAnsi="Arial" w:cs="Arial"/>
                <w:sz w:val="20"/>
                <w:szCs w:val="20"/>
              </w:rPr>
            </w:pPr>
            <w:r>
              <w:rPr>
                <w:rFonts w:ascii="Arial" w:hAnsi="Arial" w:cs="Arial"/>
                <w:sz w:val="20"/>
                <w:szCs w:val="20"/>
              </w:rPr>
              <w:t xml:space="preserve">Size of </w:t>
            </w:r>
            <w:r w:rsidRPr="00072072">
              <w:rPr>
                <w:rFonts w:ascii="Arial" w:hAnsi="Arial" w:cs="Arial"/>
                <w:sz w:val="20"/>
                <w:szCs w:val="20"/>
              </w:rPr>
              <w:t xml:space="preserve">nearest </w:t>
            </w:r>
            <w:r>
              <w:rPr>
                <w:rFonts w:ascii="Arial" w:hAnsi="Arial" w:cs="Arial"/>
                <w:sz w:val="20"/>
                <w:szCs w:val="20"/>
              </w:rPr>
              <w:t xml:space="preserve">or second-nearest </w:t>
            </w:r>
            <w:r w:rsidRPr="00072072">
              <w:rPr>
                <w:rFonts w:ascii="Arial" w:hAnsi="Arial" w:cs="Arial"/>
                <w:sz w:val="20"/>
                <w:szCs w:val="20"/>
              </w:rPr>
              <w:t>facility</w:t>
            </w:r>
            <w:r>
              <w:rPr>
                <w:rFonts w:ascii="Arial" w:hAnsi="Arial" w:cs="Arial"/>
                <w:sz w:val="20"/>
                <w:szCs w:val="20"/>
              </w:rPr>
              <w:t>, whichever is the larger.</w:t>
            </w:r>
          </w:p>
        </w:tc>
      </w:tr>
      <w:tr w:rsidR="000A7A87" w:rsidRPr="00072072" w:rsidTr="0000075D">
        <w:trPr>
          <w:trHeight w:val="284"/>
        </w:trPr>
        <w:tc>
          <w:tcPr>
            <w:tcW w:w="677" w:type="pct"/>
            <w:tcBorders>
              <w:top w:val="single" w:sz="4" w:space="0" w:color="auto"/>
              <w:left w:val="single" w:sz="12" w:space="0" w:color="auto"/>
              <w:bottom w:val="single" w:sz="4" w:space="0" w:color="auto"/>
              <w:right w:val="single" w:sz="4" w:space="0" w:color="auto"/>
            </w:tcBorders>
            <w:hideMark/>
          </w:tcPr>
          <w:p w:rsidR="000A7A87" w:rsidRPr="00072072" w:rsidRDefault="000A7A87" w:rsidP="004C0B7B">
            <w:pPr>
              <w:spacing w:after="0"/>
              <w:rPr>
                <w:rFonts w:ascii="Arial" w:hAnsi="Arial" w:cs="Arial"/>
                <w:sz w:val="20"/>
                <w:szCs w:val="20"/>
              </w:rPr>
            </w:pPr>
            <w:r>
              <w:rPr>
                <w:rFonts w:ascii="Arial" w:hAnsi="Arial" w:cs="Arial"/>
                <w:sz w:val="20"/>
                <w:szCs w:val="20"/>
              </w:rPr>
              <w:t>IPACX, OPACX</w:t>
            </w:r>
          </w:p>
        </w:tc>
        <w:tc>
          <w:tcPr>
            <w:tcW w:w="4323" w:type="pct"/>
            <w:tcBorders>
              <w:top w:val="single" w:sz="4" w:space="0" w:color="auto"/>
              <w:left w:val="single" w:sz="4" w:space="0" w:color="auto"/>
              <w:right w:val="single" w:sz="12" w:space="0" w:color="auto"/>
            </w:tcBorders>
          </w:tcPr>
          <w:p w:rsidR="000A7A87" w:rsidRDefault="000A7A87" w:rsidP="000A7A87">
            <w:pPr>
              <w:spacing w:after="0"/>
              <w:rPr>
                <w:rFonts w:ascii="Arial" w:hAnsi="Arial" w:cs="Arial"/>
                <w:sz w:val="20"/>
                <w:szCs w:val="20"/>
              </w:rPr>
            </w:pPr>
            <w:r>
              <w:rPr>
                <w:rFonts w:ascii="Arial" w:hAnsi="Arial" w:cs="Arial"/>
                <w:sz w:val="20"/>
                <w:szCs w:val="20"/>
              </w:rPr>
              <w:t>A function of both the size of the inpatient / outpatient facilities serving each data zone and the distance to the facility.</w:t>
            </w:r>
            <w:r w:rsidRPr="000A7A87">
              <w:rPr>
                <w:rFonts w:ascii="Arial" w:hAnsi="Arial" w:cs="Arial"/>
              </w:rPr>
              <w:t xml:space="preserve"> </w:t>
            </w:r>
            <w:r w:rsidRPr="000A7A87">
              <w:rPr>
                <w:rFonts w:ascii="Arial" w:hAnsi="Arial" w:cs="Arial"/>
                <w:sz w:val="20"/>
                <w:szCs w:val="20"/>
              </w:rPr>
              <w:t>This can be expressed algebraically as:</w:t>
            </w:r>
          </w:p>
          <w:p w:rsidR="000A7A87" w:rsidRPr="000A7A87" w:rsidRDefault="000A7A87" w:rsidP="000A7A87">
            <w:pPr>
              <w:spacing w:after="0"/>
              <w:rPr>
                <w:rFonts w:ascii="Arial" w:hAnsi="Arial" w:cs="Arial"/>
                <w:sz w:val="20"/>
                <w:szCs w:val="20"/>
              </w:rPr>
            </w:pPr>
          </w:p>
          <w:p w:rsidR="000A7A87" w:rsidRPr="000A7A87" w:rsidRDefault="000A7A87" w:rsidP="000A7A87">
            <w:pPr>
              <w:spacing w:after="0"/>
              <w:rPr>
                <w:rFonts w:ascii="Arial" w:hAnsi="Arial" w:cs="Arial"/>
                <w:i/>
                <w:sz w:val="20"/>
                <w:szCs w:val="20"/>
              </w:rPr>
            </w:pPr>
            <m:oMathPara>
              <m:oMath>
                <m:r>
                  <m:rPr>
                    <m:nor/>
                  </m:rPr>
                  <w:rPr>
                    <w:rFonts w:ascii="Arial" w:hAnsi="Arial" w:cs="Arial"/>
                    <w:sz w:val="20"/>
                    <w:szCs w:val="20"/>
                  </w:rPr>
                  <m:t>IPACX/OPACX</m:t>
                </m:r>
                <m:r>
                  <w:rPr>
                    <w:rFonts w:ascii="Cambria Math" w:hAnsi="Cambria Math" w:cs="Arial"/>
                    <w:sz w:val="20"/>
                    <w:szCs w:val="20"/>
                  </w:rPr>
                  <m:t xml:space="preserve">= </m:t>
                </m:r>
                <m:nary>
                  <m:naryPr>
                    <m:chr m:val="∑"/>
                    <m:limLoc m:val="undOvr"/>
                    <m:supHide m:val="on"/>
                    <m:ctrlPr>
                      <w:rPr>
                        <w:rFonts w:ascii="Cambria Math" w:hAnsi="Cambria Math" w:cs="Arial"/>
                        <w:i/>
                        <w:sz w:val="20"/>
                        <w:szCs w:val="20"/>
                      </w:rPr>
                    </m:ctrlPr>
                  </m:naryPr>
                  <m:sub>
                    <m:r>
                      <m:rPr>
                        <m:nor/>
                      </m:rPr>
                      <w:rPr>
                        <w:rFonts w:ascii="Arial" w:hAnsi="Arial" w:cs="Arial"/>
                        <w:sz w:val="20"/>
                        <w:szCs w:val="20"/>
                      </w:rPr>
                      <m:t>all facilities serving the DZ</m:t>
                    </m:r>
                  </m:sub>
                  <m:sup/>
                  <m:e>
                    <m:f>
                      <m:fPr>
                        <m:ctrlPr>
                          <w:rPr>
                            <w:rFonts w:ascii="Cambria Math" w:hAnsi="Cambria Math" w:cs="Arial"/>
                            <w:i/>
                            <w:sz w:val="20"/>
                            <w:szCs w:val="20"/>
                          </w:rPr>
                        </m:ctrlPr>
                      </m:fPr>
                      <m:num>
                        <m:r>
                          <m:rPr>
                            <m:nor/>
                          </m:rPr>
                          <w:rPr>
                            <w:rFonts w:ascii="Arial" w:hAnsi="Arial" w:cs="Arial"/>
                            <w:sz w:val="20"/>
                            <w:szCs w:val="20"/>
                          </w:rPr>
                          <m:t>number of episodes per facility</m:t>
                        </m:r>
                      </m:num>
                      <m:den>
                        <m:sSup>
                          <m:sSupPr>
                            <m:ctrlPr>
                              <w:rPr>
                                <w:rFonts w:ascii="Cambria Math" w:hAnsi="Cambria Math" w:cs="Arial"/>
                                <w:i/>
                                <w:sz w:val="20"/>
                                <w:szCs w:val="20"/>
                              </w:rPr>
                            </m:ctrlPr>
                          </m:sSupPr>
                          <m:e>
                            <m:d>
                              <m:dPr>
                                <m:ctrlPr>
                                  <w:rPr>
                                    <w:rFonts w:ascii="Cambria Math" w:hAnsi="Cambria Math" w:cs="Arial"/>
                                    <w:i/>
                                    <w:sz w:val="20"/>
                                    <w:szCs w:val="20"/>
                                  </w:rPr>
                                </m:ctrlPr>
                              </m:dPr>
                              <m:e>
                                <m:r>
                                  <m:rPr>
                                    <m:nor/>
                                  </m:rPr>
                                  <w:rPr>
                                    <w:rFonts w:ascii="Arial" w:hAnsi="Arial" w:cs="Arial"/>
                                    <w:sz w:val="20"/>
                                    <w:szCs w:val="20"/>
                                  </w:rPr>
                                  <m:t>distance to facility</m:t>
                                </m:r>
                                <m:r>
                                  <w:rPr>
                                    <w:rFonts w:ascii="Cambria Math" w:hAnsi="Cambria Math" w:cs="Arial"/>
                                    <w:sz w:val="20"/>
                                    <w:szCs w:val="20"/>
                                  </w:rPr>
                                  <m:t>+10</m:t>
                                </m:r>
                              </m:e>
                            </m:d>
                          </m:e>
                          <m:sup>
                            <m:r>
                              <m:rPr>
                                <m:nor/>
                              </m:rPr>
                              <w:rPr>
                                <w:rFonts w:ascii="Arial" w:hAnsi="Arial" w:cs="Arial"/>
                                <w:sz w:val="20"/>
                                <w:szCs w:val="20"/>
                              </w:rPr>
                              <m:t>2</m:t>
                            </m:r>
                          </m:sup>
                        </m:sSup>
                      </m:den>
                    </m:f>
                  </m:e>
                </m:nary>
              </m:oMath>
            </m:oMathPara>
          </w:p>
          <w:p w:rsidR="000A7A87" w:rsidRPr="00072072" w:rsidRDefault="000A7A87" w:rsidP="004C0B7B">
            <w:pPr>
              <w:spacing w:after="0"/>
              <w:rPr>
                <w:rFonts w:ascii="Arial" w:hAnsi="Arial" w:cs="Arial"/>
                <w:sz w:val="20"/>
                <w:szCs w:val="20"/>
              </w:rPr>
            </w:pPr>
          </w:p>
        </w:tc>
      </w:tr>
      <w:tr w:rsidR="000A7A87" w:rsidRPr="00072072" w:rsidTr="0000075D">
        <w:trPr>
          <w:trHeight w:val="284"/>
        </w:trPr>
        <w:tc>
          <w:tcPr>
            <w:tcW w:w="677" w:type="pct"/>
            <w:tcBorders>
              <w:top w:val="single" w:sz="4" w:space="0" w:color="auto"/>
              <w:left w:val="single" w:sz="12" w:space="0" w:color="auto"/>
              <w:bottom w:val="single" w:sz="12" w:space="0" w:color="auto"/>
              <w:right w:val="single" w:sz="4" w:space="0" w:color="auto"/>
            </w:tcBorders>
            <w:hideMark/>
          </w:tcPr>
          <w:p w:rsidR="000A7A87" w:rsidRPr="00072072" w:rsidRDefault="000A7A87" w:rsidP="004C0B7B">
            <w:pPr>
              <w:spacing w:after="0"/>
              <w:rPr>
                <w:rFonts w:ascii="Arial" w:hAnsi="Arial" w:cs="Arial"/>
                <w:sz w:val="20"/>
                <w:szCs w:val="20"/>
              </w:rPr>
            </w:pPr>
            <w:r>
              <w:rPr>
                <w:rFonts w:ascii="Arial" w:hAnsi="Arial" w:cs="Arial"/>
                <w:sz w:val="20"/>
                <w:szCs w:val="20"/>
              </w:rPr>
              <w:t>IPAC, OPAC</w:t>
            </w:r>
          </w:p>
        </w:tc>
        <w:tc>
          <w:tcPr>
            <w:tcW w:w="4323" w:type="pct"/>
            <w:tcBorders>
              <w:top w:val="single" w:sz="4" w:space="0" w:color="auto"/>
              <w:left w:val="single" w:sz="4" w:space="0" w:color="auto"/>
              <w:bottom w:val="single" w:sz="12" w:space="0" w:color="auto"/>
              <w:right w:val="single" w:sz="12" w:space="0" w:color="auto"/>
            </w:tcBorders>
          </w:tcPr>
          <w:p w:rsidR="000A7A87" w:rsidRDefault="000A7A87" w:rsidP="004C0B7B">
            <w:pPr>
              <w:spacing w:after="0"/>
              <w:rPr>
                <w:rFonts w:ascii="Arial" w:hAnsi="Arial" w:cs="Arial"/>
                <w:sz w:val="20"/>
                <w:szCs w:val="20"/>
              </w:rPr>
            </w:pPr>
            <w:r>
              <w:rPr>
                <w:rFonts w:ascii="Arial" w:hAnsi="Arial" w:cs="Arial"/>
                <w:sz w:val="20"/>
                <w:szCs w:val="20"/>
              </w:rPr>
              <w:t xml:space="preserve">Similar to IPACX and OPACX, but with an attempt to correct the size of the facility for </w:t>
            </w:r>
            <w:r w:rsidR="0000075D">
              <w:rPr>
                <w:rFonts w:ascii="Arial" w:hAnsi="Arial" w:cs="Arial"/>
                <w:sz w:val="20"/>
                <w:szCs w:val="20"/>
              </w:rPr>
              <w:t>the size of population that it serves</w:t>
            </w:r>
            <w:r>
              <w:rPr>
                <w:rFonts w:ascii="Arial" w:hAnsi="Arial" w:cs="Arial"/>
                <w:sz w:val="20"/>
                <w:szCs w:val="20"/>
              </w:rPr>
              <w:t>. Expressed algebraically as:</w:t>
            </w:r>
          </w:p>
          <w:p w:rsidR="000A7A87" w:rsidRDefault="000A7A87" w:rsidP="004C0B7B">
            <w:pPr>
              <w:spacing w:after="0"/>
              <w:rPr>
                <w:rFonts w:ascii="Arial" w:hAnsi="Arial" w:cs="Arial"/>
                <w:sz w:val="20"/>
                <w:szCs w:val="20"/>
              </w:rPr>
            </w:pPr>
          </w:p>
          <w:p w:rsidR="000A7A87" w:rsidRPr="000A7A87" w:rsidRDefault="002B4E2D" w:rsidP="000A7A87">
            <w:pPr>
              <w:spacing w:after="0"/>
              <w:rPr>
                <w:rFonts w:ascii="Arial" w:hAnsi="Arial" w:cs="Arial"/>
                <w:i/>
                <w:sz w:val="20"/>
                <w:szCs w:val="20"/>
              </w:rPr>
            </w:pPr>
            <m:oMathPara>
              <m:oMath>
                <m:r>
                  <m:rPr>
                    <m:nor/>
                  </m:rPr>
                  <w:rPr>
                    <w:rFonts w:ascii="Arial" w:hAnsi="Arial" w:cs="Arial"/>
                    <w:sz w:val="20"/>
                    <w:szCs w:val="20"/>
                  </w:rPr>
                  <m:t xml:space="preserve">IPAC/OPAC </m:t>
                </m:r>
                <m:r>
                  <w:rPr>
                    <w:rFonts w:ascii="Cambria Math" w:hAnsi="Arial" w:cs="Arial"/>
                    <w:sz w:val="20"/>
                    <w:szCs w:val="20"/>
                  </w:rPr>
                  <m:t xml:space="preserve">= </m:t>
                </m:r>
                <m:nary>
                  <m:naryPr>
                    <m:chr m:val="∑"/>
                    <m:limLoc m:val="undOvr"/>
                    <m:supHide m:val="on"/>
                    <m:ctrlPr>
                      <w:rPr>
                        <w:rFonts w:ascii="Cambria Math" w:hAnsi="Arial" w:cs="Arial"/>
                        <w:i/>
                        <w:sz w:val="20"/>
                        <w:szCs w:val="20"/>
                      </w:rPr>
                    </m:ctrlPr>
                  </m:naryPr>
                  <m:sub>
                    <m:r>
                      <w:rPr>
                        <w:rFonts w:ascii="Arial" w:hAnsi="Cambria Math" w:cs="Arial"/>
                        <w:sz w:val="20"/>
                        <w:szCs w:val="20"/>
                      </w:rPr>
                      <m:t>h</m:t>
                    </m:r>
                  </m:sub>
                  <m:sup/>
                  <m:e>
                    <m:f>
                      <m:fPr>
                        <m:ctrlPr>
                          <w:rPr>
                            <w:rFonts w:ascii="Cambria Math" w:hAnsi="Arial" w:cs="Arial"/>
                            <w:i/>
                            <w:sz w:val="20"/>
                            <w:szCs w:val="20"/>
                          </w:rPr>
                        </m:ctrlPr>
                      </m:fPr>
                      <m:num>
                        <m:f>
                          <m:fPr>
                            <m:type m:val="lin"/>
                            <m:ctrlPr>
                              <w:rPr>
                                <w:rFonts w:ascii="Cambria Math" w:hAnsi="Arial" w:cs="Arial"/>
                                <w:i/>
                                <w:sz w:val="20"/>
                                <w:szCs w:val="20"/>
                              </w:rPr>
                            </m:ctrlPr>
                          </m:fPr>
                          <m:num>
                            <m:r>
                              <m:rPr>
                                <m:nor/>
                              </m:rPr>
                              <w:rPr>
                                <w:rFonts w:ascii="Arial" w:hAnsi="Arial" w:cs="Arial"/>
                                <w:sz w:val="20"/>
                                <w:szCs w:val="20"/>
                              </w:rPr>
                              <m:t>number of episodes per facility</m:t>
                            </m:r>
                          </m:num>
                          <m:den>
                            <m:nary>
                              <m:naryPr>
                                <m:chr m:val="∑"/>
                                <m:ctrlPr>
                                  <w:rPr>
                                    <w:rFonts w:ascii="Cambria Math" w:hAnsi="Arial" w:cs="Arial"/>
                                    <w:i/>
                                    <w:sz w:val="20"/>
                                    <w:szCs w:val="20"/>
                                  </w:rPr>
                                </m:ctrlPr>
                              </m:naryPr>
                              <m:sub>
                                <m:r>
                                  <w:rPr>
                                    <w:rFonts w:ascii="Cambria Math" w:hAnsi="Arial" w:cs="Arial"/>
                                    <w:sz w:val="20"/>
                                    <w:szCs w:val="20"/>
                                  </w:rPr>
                                  <m:t>d=1</m:t>
                                </m:r>
                              </m:sub>
                              <m:sup>
                                <m:r>
                                  <w:rPr>
                                    <w:rFonts w:ascii="Cambria Math" w:hAnsi="Arial" w:cs="Arial"/>
                                    <w:sz w:val="20"/>
                                    <w:szCs w:val="20"/>
                                  </w:rPr>
                                  <m:t>N</m:t>
                                </m:r>
                              </m:sup>
                              <m:e>
                                <m:d>
                                  <m:dPr>
                                    <m:ctrlPr>
                                      <w:rPr>
                                        <w:rFonts w:ascii="Cambria Math" w:hAnsi="Arial" w:cs="Arial"/>
                                        <w:i/>
                                        <w:sz w:val="20"/>
                                        <w:szCs w:val="20"/>
                                      </w:rPr>
                                    </m:ctrlPr>
                                  </m:dPr>
                                  <m:e>
                                    <m:f>
                                      <m:fPr>
                                        <m:ctrlPr>
                                          <w:rPr>
                                            <w:rFonts w:ascii="Cambria Math" w:hAnsi="Arial" w:cs="Arial"/>
                                            <w:i/>
                                            <w:sz w:val="20"/>
                                            <w:szCs w:val="20"/>
                                          </w:rPr>
                                        </m:ctrlPr>
                                      </m:fPr>
                                      <m:num>
                                        <m:r>
                                          <m:rPr>
                                            <m:nor/>
                                          </m:rPr>
                                          <w:rPr>
                                            <w:rFonts w:ascii="Arial" w:hAnsi="Arial" w:cs="Arial"/>
                                            <w:sz w:val="20"/>
                                            <w:szCs w:val="20"/>
                                          </w:rPr>
                                          <m:t>DZ population</m:t>
                                        </m:r>
                                      </m:num>
                                      <m:den>
                                        <m:sSup>
                                          <m:sSupPr>
                                            <m:ctrlPr>
                                              <w:rPr>
                                                <w:rFonts w:ascii="Cambria Math" w:hAnsi="Arial" w:cs="Arial"/>
                                                <w:i/>
                                                <w:sz w:val="20"/>
                                                <w:szCs w:val="20"/>
                                              </w:rPr>
                                            </m:ctrlPr>
                                          </m:sSupPr>
                                          <m:e>
                                            <m:r>
                                              <m:rPr>
                                                <m:nor/>
                                              </m:rPr>
                                              <w:rPr>
                                                <w:rFonts w:ascii="Arial" w:hAnsi="Arial" w:cs="Arial"/>
                                                <w:sz w:val="20"/>
                                                <w:szCs w:val="20"/>
                                              </w:rPr>
                                              <m:t>distance to facility</m:t>
                                            </m:r>
                                          </m:e>
                                          <m:sup>
                                            <m:r>
                                              <w:rPr>
                                                <w:rFonts w:ascii="Cambria Math" w:hAnsi="Arial" w:cs="Arial"/>
                                                <w:sz w:val="20"/>
                                                <w:szCs w:val="20"/>
                                              </w:rPr>
                                              <m:t>2</m:t>
                                            </m:r>
                                          </m:sup>
                                        </m:sSup>
                                      </m:den>
                                    </m:f>
                                  </m:e>
                                </m:d>
                              </m:e>
                            </m:nary>
                          </m:den>
                        </m:f>
                      </m:num>
                      <m:den>
                        <m:sSup>
                          <m:sSupPr>
                            <m:ctrlPr>
                              <w:rPr>
                                <w:rFonts w:ascii="Cambria Math" w:hAnsi="Arial" w:cs="Arial"/>
                                <w:i/>
                                <w:sz w:val="20"/>
                                <w:szCs w:val="20"/>
                              </w:rPr>
                            </m:ctrlPr>
                          </m:sSupPr>
                          <m:e>
                            <m:d>
                              <m:dPr>
                                <m:ctrlPr>
                                  <w:rPr>
                                    <w:rFonts w:ascii="Cambria Math" w:hAnsi="Arial" w:cs="Arial"/>
                                    <w:i/>
                                    <w:sz w:val="20"/>
                                    <w:szCs w:val="20"/>
                                  </w:rPr>
                                </m:ctrlPr>
                              </m:dPr>
                              <m:e>
                                <m:r>
                                  <m:rPr>
                                    <m:nor/>
                                  </m:rPr>
                                  <w:rPr>
                                    <w:rFonts w:ascii="Arial" w:hAnsi="Arial" w:cs="Arial"/>
                                    <w:sz w:val="20"/>
                                    <w:szCs w:val="20"/>
                                  </w:rPr>
                                  <m:t>distance to facility</m:t>
                                </m:r>
                                <m:r>
                                  <w:rPr>
                                    <w:rFonts w:ascii="Cambria Math" w:hAnsi="Arial" w:cs="Arial"/>
                                    <w:sz w:val="20"/>
                                    <w:szCs w:val="20"/>
                                  </w:rPr>
                                  <m:t>+10</m:t>
                                </m:r>
                              </m:e>
                            </m:d>
                          </m:e>
                          <m:sup>
                            <m:r>
                              <w:rPr>
                                <w:rFonts w:ascii="Cambria Math" w:hAnsi="Arial" w:cs="Arial"/>
                                <w:sz w:val="20"/>
                                <w:szCs w:val="20"/>
                              </w:rPr>
                              <m:t>2</m:t>
                            </m:r>
                          </m:sup>
                        </m:sSup>
                      </m:den>
                    </m:f>
                  </m:e>
                </m:nary>
              </m:oMath>
            </m:oMathPara>
          </w:p>
          <w:p w:rsidR="000A7A87" w:rsidRDefault="000A7A87" w:rsidP="004C0B7B">
            <w:pPr>
              <w:spacing w:after="0"/>
              <w:rPr>
                <w:rFonts w:ascii="Arial" w:hAnsi="Arial" w:cs="Arial"/>
                <w:sz w:val="20"/>
                <w:szCs w:val="20"/>
              </w:rPr>
            </w:pPr>
          </w:p>
          <w:p w:rsidR="002B4E2D" w:rsidRPr="00072072" w:rsidRDefault="002B4E2D" w:rsidP="004C0B7B">
            <w:pPr>
              <w:spacing w:after="0"/>
              <w:rPr>
                <w:rFonts w:ascii="Arial" w:hAnsi="Arial" w:cs="Arial"/>
                <w:sz w:val="20"/>
                <w:szCs w:val="20"/>
              </w:rPr>
            </w:pPr>
            <w:proofErr w:type="gramStart"/>
            <w:r w:rsidRPr="002B4E2D">
              <w:rPr>
                <w:rFonts w:ascii="Arial" w:hAnsi="Arial" w:cs="Arial"/>
                <w:sz w:val="20"/>
                <w:szCs w:val="20"/>
              </w:rPr>
              <w:t>where</w:t>
            </w:r>
            <w:proofErr w:type="gramEnd"/>
            <w:r w:rsidRPr="002B4E2D">
              <w:rPr>
                <w:rFonts w:ascii="Arial" w:hAnsi="Arial" w:cs="Arial"/>
                <w:sz w:val="20"/>
                <w:szCs w:val="20"/>
              </w:rPr>
              <w:t xml:space="preserve"> the summation over ‘h’ is a summation over all hospitals serving the given data zone, and the summation over ‘d’ is over all data zones served by the</w:t>
            </w:r>
            <w:r w:rsidR="00315930">
              <w:rPr>
                <w:rFonts w:ascii="Arial" w:hAnsi="Arial" w:cs="Arial"/>
                <w:sz w:val="20"/>
                <w:szCs w:val="20"/>
              </w:rPr>
              <w:t xml:space="preserve"> particular</w:t>
            </w:r>
            <w:r w:rsidRPr="002B4E2D">
              <w:rPr>
                <w:rFonts w:ascii="Arial" w:hAnsi="Arial" w:cs="Arial"/>
                <w:sz w:val="20"/>
                <w:szCs w:val="20"/>
              </w:rPr>
              <w:t xml:space="preserve"> hospital.</w:t>
            </w:r>
          </w:p>
        </w:tc>
      </w:tr>
      <w:tr w:rsidR="000A7A87" w:rsidRPr="00072072" w:rsidTr="0000075D">
        <w:trPr>
          <w:trHeight w:val="284"/>
        </w:trPr>
        <w:tc>
          <w:tcPr>
            <w:tcW w:w="677" w:type="pct"/>
            <w:tcBorders>
              <w:top w:val="single" w:sz="12" w:space="0" w:color="auto"/>
              <w:left w:val="single" w:sz="12" w:space="0" w:color="auto"/>
              <w:bottom w:val="single" w:sz="12" w:space="0" w:color="auto"/>
              <w:right w:val="single" w:sz="4" w:space="0" w:color="auto"/>
            </w:tcBorders>
            <w:hideMark/>
          </w:tcPr>
          <w:p w:rsidR="000A7A87" w:rsidRPr="00072072" w:rsidRDefault="000A7A87" w:rsidP="004C0B7B">
            <w:pPr>
              <w:spacing w:after="0"/>
              <w:rPr>
                <w:rFonts w:ascii="Arial" w:hAnsi="Arial" w:cs="Arial"/>
                <w:sz w:val="20"/>
                <w:szCs w:val="20"/>
              </w:rPr>
            </w:pPr>
            <w:r>
              <w:rPr>
                <w:rFonts w:ascii="Arial" w:hAnsi="Arial" w:cs="Arial"/>
                <w:sz w:val="20"/>
                <w:szCs w:val="20"/>
              </w:rPr>
              <w:t>Health Board dummy variables</w:t>
            </w:r>
          </w:p>
        </w:tc>
        <w:tc>
          <w:tcPr>
            <w:tcW w:w="4323" w:type="pct"/>
            <w:tcBorders>
              <w:top w:val="single" w:sz="12" w:space="0" w:color="auto"/>
              <w:left w:val="single" w:sz="4" w:space="0" w:color="auto"/>
              <w:bottom w:val="single" w:sz="12" w:space="0" w:color="auto"/>
              <w:right w:val="single" w:sz="12" w:space="0" w:color="auto"/>
            </w:tcBorders>
          </w:tcPr>
          <w:p w:rsidR="000A7A87" w:rsidRPr="00072072" w:rsidRDefault="000A7A87" w:rsidP="004C0B7B">
            <w:pPr>
              <w:spacing w:after="0"/>
              <w:rPr>
                <w:rFonts w:ascii="Arial" w:hAnsi="Arial" w:cs="Arial"/>
                <w:sz w:val="20"/>
                <w:szCs w:val="20"/>
              </w:rPr>
            </w:pPr>
            <w:r>
              <w:rPr>
                <w:rFonts w:ascii="Arial" w:hAnsi="Arial" w:cs="Arial"/>
                <w:sz w:val="20"/>
                <w:szCs w:val="20"/>
              </w:rPr>
              <w:t xml:space="preserve">Represents the effect of the health board. </w:t>
            </w:r>
            <w:r w:rsidRPr="000A7A87">
              <w:rPr>
                <w:rFonts w:ascii="Arial" w:hAnsi="Arial" w:cs="Arial"/>
                <w:sz w:val="20"/>
                <w:szCs w:val="20"/>
              </w:rPr>
              <w:t>There is one binary variable representing each Health Board; it takes the value ‘1’ for data zones within the Health Board and ‘0’ otherwise.</w:t>
            </w:r>
          </w:p>
        </w:tc>
      </w:tr>
    </w:tbl>
    <w:p w:rsidR="004C0B7B" w:rsidRDefault="004C0B7B" w:rsidP="00155179">
      <w:pPr>
        <w:jc w:val="both"/>
        <w:rPr>
          <w:rFonts w:ascii="Arial" w:hAnsi="Arial" w:cs="Arial"/>
        </w:rPr>
      </w:pPr>
    </w:p>
    <w:p w:rsidR="00155179" w:rsidRDefault="00155179" w:rsidP="00155179">
      <w:pPr>
        <w:jc w:val="both"/>
        <w:rPr>
          <w:rFonts w:ascii="Arial" w:hAnsi="Arial" w:cs="Arial"/>
        </w:rPr>
      </w:pPr>
      <w:r>
        <w:rPr>
          <w:rFonts w:ascii="Arial" w:hAnsi="Arial" w:cs="Arial"/>
        </w:rPr>
        <w:t xml:space="preserve">The supply variables form three conceptual groups: GP supply, hospital supply, and health board dummy variables. </w:t>
      </w:r>
      <w:r w:rsidR="008D17BD">
        <w:rPr>
          <w:rFonts w:ascii="Arial" w:hAnsi="Arial" w:cs="Arial"/>
        </w:rPr>
        <w:t>The hospital and health board variables relate clearly to supply of secondary care</w:t>
      </w:r>
      <w:r w:rsidR="008B120A">
        <w:rPr>
          <w:rFonts w:ascii="Arial" w:hAnsi="Arial" w:cs="Arial"/>
        </w:rPr>
        <w:t>;</w:t>
      </w:r>
      <w:r w:rsidR="008D17BD">
        <w:rPr>
          <w:rFonts w:ascii="Arial" w:hAnsi="Arial" w:cs="Arial"/>
        </w:rPr>
        <w:t xml:space="preserve"> however, the role of the GP supply variables </w:t>
      </w:r>
      <w:r w:rsidR="008B120A">
        <w:rPr>
          <w:rFonts w:ascii="Arial" w:hAnsi="Arial" w:cs="Arial"/>
        </w:rPr>
        <w:t xml:space="preserve">is more ambiguous. </w:t>
      </w:r>
      <w:r w:rsidR="008D17BD">
        <w:rPr>
          <w:rFonts w:ascii="Arial" w:hAnsi="Arial" w:cs="Arial"/>
        </w:rPr>
        <w:t xml:space="preserve">GP supply </w:t>
      </w:r>
      <w:r w:rsidR="008D17BD">
        <w:rPr>
          <w:rFonts w:ascii="Arial" w:hAnsi="Arial" w:cs="Arial"/>
        </w:rPr>
        <w:lastRenderedPageBreak/>
        <w:t xml:space="preserve">could be seen as either a substitute for secondary care or as a complement. GPs are substitutes when they treat patients who would otherwise have gone to A&amp;E or would have needed more serious and higher cost treatment without the early intervention provided by </w:t>
      </w:r>
      <w:r w:rsidR="007A4F7C">
        <w:rPr>
          <w:rFonts w:ascii="Arial" w:hAnsi="Arial" w:cs="Arial"/>
        </w:rPr>
        <w:t>more r</w:t>
      </w:r>
      <w:r w:rsidR="008B120A">
        <w:rPr>
          <w:rFonts w:ascii="Arial" w:hAnsi="Arial" w:cs="Arial"/>
        </w:rPr>
        <w:t xml:space="preserve">eadily available primary care. </w:t>
      </w:r>
      <w:r w:rsidR="007A4F7C">
        <w:rPr>
          <w:rFonts w:ascii="Arial" w:hAnsi="Arial" w:cs="Arial"/>
        </w:rPr>
        <w:t xml:space="preserve">In contrast a higher supply of GPs might generate additional episodes of hospital care through a higher level of referrals. </w:t>
      </w:r>
    </w:p>
    <w:p w:rsidR="00315930" w:rsidRPr="00315930" w:rsidRDefault="00155179" w:rsidP="00315930">
      <w:pPr>
        <w:jc w:val="both"/>
        <w:rPr>
          <w:rFonts w:ascii="Arial" w:hAnsi="Arial" w:cs="Arial"/>
        </w:rPr>
      </w:pPr>
      <w:r>
        <w:rPr>
          <w:rFonts w:ascii="Arial" w:hAnsi="Arial" w:cs="Arial"/>
        </w:rPr>
        <w:t xml:space="preserve">The health board dummies aim to capture </w:t>
      </w:r>
      <w:r w:rsidR="00435FE9">
        <w:rPr>
          <w:rFonts w:ascii="Arial" w:hAnsi="Arial" w:cs="Arial"/>
        </w:rPr>
        <w:t xml:space="preserve">broad </w:t>
      </w:r>
      <w:r>
        <w:rPr>
          <w:rFonts w:ascii="Arial" w:hAnsi="Arial" w:cs="Arial"/>
        </w:rPr>
        <w:t>differences between the 14 health boards. The GP and hospital supply variables are all intended to represent the availability of healthcare</w:t>
      </w:r>
      <w:r w:rsidR="002B4E2D">
        <w:rPr>
          <w:rFonts w:ascii="Arial" w:hAnsi="Arial" w:cs="Arial"/>
        </w:rPr>
        <w:t xml:space="preserve"> at a finer-grained level</w:t>
      </w:r>
      <w:r>
        <w:rPr>
          <w:rFonts w:ascii="Arial" w:hAnsi="Arial" w:cs="Arial"/>
        </w:rPr>
        <w:t xml:space="preserve">, in various ways. The simplest of these </w:t>
      </w:r>
      <w:r w:rsidR="002B4E2D">
        <w:rPr>
          <w:rFonts w:ascii="Arial" w:hAnsi="Arial" w:cs="Arial"/>
        </w:rPr>
        <w:t>(</w:t>
      </w:r>
      <w:proofErr w:type="spellStart"/>
      <w:r w:rsidR="002B4E2D">
        <w:rPr>
          <w:rFonts w:ascii="Arial" w:hAnsi="Arial" w:cs="Arial"/>
        </w:rPr>
        <w:t>GPCount</w:t>
      </w:r>
      <w:proofErr w:type="spellEnd"/>
      <w:r w:rsidR="002B4E2D">
        <w:rPr>
          <w:rFonts w:ascii="Arial" w:hAnsi="Arial" w:cs="Arial"/>
        </w:rPr>
        <w:t xml:space="preserve">, IA1, OA1, IA2, OA2) </w:t>
      </w:r>
      <w:r>
        <w:rPr>
          <w:rFonts w:ascii="Arial" w:hAnsi="Arial" w:cs="Arial"/>
        </w:rPr>
        <w:t xml:space="preserve">look only at the ‘size’ of the facilities serving each data zone – </w:t>
      </w:r>
      <w:r w:rsidR="0000075D">
        <w:rPr>
          <w:rFonts w:ascii="Arial" w:hAnsi="Arial" w:cs="Arial"/>
        </w:rPr>
        <w:t xml:space="preserve">in terms of </w:t>
      </w:r>
      <w:r>
        <w:rPr>
          <w:rFonts w:ascii="Arial" w:hAnsi="Arial" w:cs="Arial"/>
        </w:rPr>
        <w:t xml:space="preserve">numbers of GPs, or </w:t>
      </w:r>
      <w:r w:rsidR="002B4E2D">
        <w:rPr>
          <w:rFonts w:ascii="Arial" w:hAnsi="Arial" w:cs="Arial"/>
        </w:rPr>
        <w:t>episode counts for nearby hospitals – with the rationale being that bigger facilities represent a greater availability of healthcare (or</w:t>
      </w:r>
      <w:r w:rsidR="0000075D">
        <w:rPr>
          <w:rFonts w:ascii="Arial" w:hAnsi="Arial" w:cs="Arial"/>
        </w:rPr>
        <w:t>,</w:t>
      </w:r>
      <w:r w:rsidR="002B4E2D">
        <w:rPr>
          <w:rFonts w:ascii="Arial" w:hAnsi="Arial" w:cs="Arial"/>
        </w:rPr>
        <w:t xml:space="preserve"> perhaps</w:t>
      </w:r>
      <w:r w:rsidR="0000075D">
        <w:rPr>
          <w:rFonts w:ascii="Arial" w:hAnsi="Arial" w:cs="Arial"/>
        </w:rPr>
        <w:t>,</w:t>
      </w:r>
      <w:r w:rsidR="002B4E2D">
        <w:rPr>
          <w:rFonts w:ascii="Arial" w:hAnsi="Arial" w:cs="Arial"/>
        </w:rPr>
        <w:t xml:space="preserve"> a perception thereof on the part of patients). More complex variables (</w:t>
      </w:r>
      <w:proofErr w:type="spellStart"/>
      <w:r w:rsidR="002B4E2D">
        <w:rPr>
          <w:rFonts w:ascii="Arial" w:hAnsi="Arial" w:cs="Arial"/>
        </w:rPr>
        <w:t>GPSup</w:t>
      </w:r>
      <w:proofErr w:type="spellEnd"/>
      <w:r w:rsidR="002B4E2D">
        <w:rPr>
          <w:rFonts w:ascii="Arial" w:hAnsi="Arial" w:cs="Arial"/>
        </w:rPr>
        <w:t xml:space="preserve">, GPSup5, GPSup10, IPACX, </w:t>
      </w:r>
      <w:proofErr w:type="gramStart"/>
      <w:r w:rsidR="002B4E2D">
        <w:rPr>
          <w:rFonts w:ascii="Arial" w:hAnsi="Arial" w:cs="Arial"/>
        </w:rPr>
        <w:t>OPACX</w:t>
      </w:r>
      <w:proofErr w:type="gramEnd"/>
      <w:r w:rsidR="002B4E2D">
        <w:rPr>
          <w:rFonts w:ascii="Arial" w:hAnsi="Arial" w:cs="Arial"/>
        </w:rPr>
        <w:t xml:space="preserve">) </w:t>
      </w:r>
      <w:r w:rsidR="0000075D">
        <w:rPr>
          <w:rFonts w:ascii="Arial" w:hAnsi="Arial" w:cs="Arial"/>
        </w:rPr>
        <w:t xml:space="preserve">include a term for </w:t>
      </w:r>
      <w:r w:rsidR="002B4E2D">
        <w:rPr>
          <w:rFonts w:ascii="Arial" w:hAnsi="Arial" w:cs="Arial"/>
        </w:rPr>
        <w:t xml:space="preserve">the distance between the data zone and the facility, since facilities that are nearby are more accessible than facilities some distance away. Finally, the most complex variables, IPAC and OPAC, apply a further correction that accounts for the </w:t>
      </w:r>
      <w:r w:rsidR="00315930">
        <w:rPr>
          <w:rFonts w:ascii="Arial" w:hAnsi="Arial" w:cs="Arial"/>
        </w:rPr>
        <w:t xml:space="preserve">size of the population served by each facility. This can be thought of as an adjustment for “demand”. </w:t>
      </w:r>
      <w:r w:rsidR="00315930" w:rsidRPr="00315930">
        <w:rPr>
          <w:rFonts w:ascii="Arial" w:hAnsi="Arial" w:cs="Arial"/>
        </w:rPr>
        <w:t xml:space="preserve">A </w:t>
      </w:r>
      <w:r w:rsidR="00315930">
        <w:rPr>
          <w:rFonts w:ascii="Arial" w:hAnsi="Arial" w:cs="Arial"/>
        </w:rPr>
        <w:t>large</w:t>
      </w:r>
      <w:r w:rsidR="00315930" w:rsidRPr="00315930">
        <w:rPr>
          <w:rFonts w:ascii="Arial" w:hAnsi="Arial" w:cs="Arial"/>
        </w:rPr>
        <w:t xml:space="preserve"> hospital can treat </w:t>
      </w:r>
      <w:r w:rsidR="0000075D">
        <w:rPr>
          <w:rFonts w:ascii="Arial" w:hAnsi="Arial" w:cs="Arial"/>
        </w:rPr>
        <w:t>many</w:t>
      </w:r>
      <w:r w:rsidR="00315930" w:rsidRPr="00315930">
        <w:rPr>
          <w:rFonts w:ascii="Arial" w:hAnsi="Arial" w:cs="Arial"/>
        </w:rPr>
        <w:t xml:space="preserve"> patients, but if a</w:t>
      </w:r>
      <w:r w:rsidR="00315930">
        <w:rPr>
          <w:rFonts w:ascii="Arial" w:hAnsi="Arial" w:cs="Arial"/>
        </w:rPr>
        <w:t xml:space="preserve"> very</w:t>
      </w:r>
      <w:r w:rsidR="00315930" w:rsidRPr="00315930">
        <w:rPr>
          <w:rFonts w:ascii="Arial" w:hAnsi="Arial" w:cs="Arial"/>
        </w:rPr>
        <w:t xml:space="preserve"> </w:t>
      </w:r>
      <w:r w:rsidR="00315930">
        <w:rPr>
          <w:rFonts w:ascii="Arial" w:hAnsi="Arial" w:cs="Arial"/>
        </w:rPr>
        <w:t>large number</w:t>
      </w:r>
      <w:r w:rsidR="00315930" w:rsidRPr="00315930">
        <w:rPr>
          <w:rFonts w:ascii="Arial" w:hAnsi="Arial" w:cs="Arial"/>
        </w:rPr>
        <w:t xml:space="preserve"> of potential patients live close by then this might not </w:t>
      </w:r>
      <w:r w:rsidR="00435FE9">
        <w:rPr>
          <w:rFonts w:ascii="Arial" w:hAnsi="Arial" w:cs="Arial"/>
        </w:rPr>
        <w:t>amount to</w:t>
      </w:r>
      <w:r w:rsidR="00315930" w:rsidRPr="00315930">
        <w:rPr>
          <w:rFonts w:ascii="Arial" w:hAnsi="Arial" w:cs="Arial"/>
        </w:rPr>
        <w:t xml:space="preserve"> a high availability of healthcare (or a perception thereof) for an individual.</w:t>
      </w:r>
      <w:r w:rsidR="0000075D">
        <w:rPr>
          <w:rFonts w:ascii="Arial" w:hAnsi="Arial" w:cs="Arial"/>
        </w:rPr>
        <w:t xml:space="preserve"> IPAC and OPAC try to </w:t>
      </w:r>
      <w:r w:rsidR="00710204">
        <w:rPr>
          <w:rFonts w:ascii="Arial" w:hAnsi="Arial" w:cs="Arial"/>
        </w:rPr>
        <w:t>account for</w:t>
      </w:r>
      <w:r w:rsidR="0000075D">
        <w:rPr>
          <w:rFonts w:ascii="Arial" w:hAnsi="Arial" w:cs="Arial"/>
        </w:rPr>
        <w:t xml:space="preserve"> this.</w:t>
      </w:r>
    </w:p>
    <w:p w:rsidR="00155179" w:rsidRDefault="00315930" w:rsidP="00155179">
      <w:pPr>
        <w:jc w:val="both"/>
        <w:rPr>
          <w:rFonts w:ascii="Arial" w:hAnsi="Arial" w:cs="Arial"/>
        </w:rPr>
      </w:pPr>
      <w:r>
        <w:rPr>
          <w:rFonts w:ascii="Arial" w:hAnsi="Arial" w:cs="Arial"/>
        </w:rPr>
        <w:t xml:space="preserve">The equation for IPAC / OPAC in Table 1 differs slightly from that given in previous papers. This is a correction. Technical Report D of the 2007 NRAC review cites </w:t>
      </w:r>
      <w:r w:rsidR="00435FE9">
        <w:rPr>
          <w:rFonts w:ascii="Arial" w:hAnsi="Arial" w:cs="Arial"/>
        </w:rPr>
        <w:t>the</w:t>
      </w:r>
      <w:r>
        <w:rPr>
          <w:rFonts w:ascii="Arial" w:hAnsi="Arial" w:cs="Arial"/>
        </w:rPr>
        <w:t xml:space="preserve"> book </w:t>
      </w:r>
      <w:r w:rsidR="00435FE9">
        <w:rPr>
          <w:rFonts w:ascii="Arial" w:hAnsi="Arial" w:cs="Arial"/>
        </w:rPr>
        <w:t>‘</w:t>
      </w:r>
      <w:r>
        <w:rPr>
          <w:rFonts w:ascii="Arial" w:hAnsi="Arial" w:cs="Arial"/>
        </w:rPr>
        <w:t>Urban Modelling</w:t>
      </w:r>
      <w:r w:rsidR="00435FE9">
        <w:rPr>
          <w:rFonts w:ascii="Arial" w:hAnsi="Arial" w:cs="Arial"/>
        </w:rPr>
        <w:t>’</w:t>
      </w:r>
      <w:r>
        <w:rPr>
          <w:rFonts w:ascii="Arial" w:hAnsi="Arial" w:cs="Arial"/>
        </w:rPr>
        <w:t xml:space="preserve"> by Michael Batty</w:t>
      </w:r>
      <w:r>
        <w:rPr>
          <w:rStyle w:val="FootnoteReference"/>
          <w:rFonts w:ascii="Arial" w:hAnsi="Arial" w:cs="Arial"/>
        </w:rPr>
        <w:footnoteReference w:id="2"/>
      </w:r>
      <w:r>
        <w:rPr>
          <w:rFonts w:ascii="Arial" w:hAnsi="Arial" w:cs="Arial"/>
        </w:rPr>
        <w:t xml:space="preserve"> in relation to IPAC and OPAC; the equation in Table 1 above is </w:t>
      </w:r>
      <w:r w:rsidR="005B5198">
        <w:rPr>
          <w:rFonts w:ascii="Arial" w:hAnsi="Arial" w:cs="Arial"/>
        </w:rPr>
        <w:t xml:space="preserve">now </w:t>
      </w:r>
      <w:r>
        <w:rPr>
          <w:rFonts w:ascii="Arial" w:hAnsi="Arial" w:cs="Arial"/>
        </w:rPr>
        <w:t xml:space="preserve">consistent with what is given in the book. </w:t>
      </w:r>
    </w:p>
    <w:p w:rsidR="004C0B7B" w:rsidRDefault="004C0B7B" w:rsidP="004D4088">
      <w:pPr>
        <w:spacing w:after="240"/>
        <w:jc w:val="both"/>
        <w:rPr>
          <w:rFonts w:ascii="Arial" w:hAnsi="Arial" w:cs="Arial"/>
        </w:rPr>
      </w:pPr>
    </w:p>
    <w:p w:rsidR="004C0B7B" w:rsidRPr="004C0B7B" w:rsidRDefault="004C0B7B" w:rsidP="004D4088">
      <w:pPr>
        <w:spacing w:after="240"/>
        <w:jc w:val="both"/>
        <w:rPr>
          <w:rFonts w:ascii="Arial" w:hAnsi="Arial" w:cs="Arial"/>
          <w:b/>
        </w:rPr>
      </w:pPr>
      <w:r w:rsidRPr="004C0B7B">
        <w:rPr>
          <w:rFonts w:ascii="Arial" w:hAnsi="Arial" w:cs="Arial"/>
          <w:b/>
        </w:rPr>
        <w:t>3. Analysis of supply variables</w:t>
      </w:r>
    </w:p>
    <w:p w:rsidR="004D4088" w:rsidRDefault="005B5198" w:rsidP="004D4088">
      <w:pPr>
        <w:spacing w:after="240"/>
        <w:jc w:val="both"/>
        <w:rPr>
          <w:rFonts w:ascii="Arial" w:hAnsi="Arial" w:cs="Arial"/>
        </w:rPr>
      </w:pPr>
      <w:r>
        <w:rPr>
          <w:rFonts w:ascii="Arial" w:hAnsi="Arial" w:cs="Arial"/>
        </w:rPr>
        <w:t xml:space="preserve">In this section, the </w:t>
      </w:r>
      <w:r w:rsidR="004D4088">
        <w:rPr>
          <w:rFonts w:ascii="Arial" w:hAnsi="Arial" w:cs="Arial"/>
        </w:rPr>
        <w:t xml:space="preserve">analysis </w:t>
      </w:r>
      <w:r>
        <w:rPr>
          <w:rFonts w:ascii="Arial" w:hAnsi="Arial" w:cs="Arial"/>
        </w:rPr>
        <w:t xml:space="preserve">of the </w:t>
      </w:r>
      <w:r w:rsidR="004D4088">
        <w:rPr>
          <w:rFonts w:ascii="Arial" w:hAnsi="Arial" w:cs="Arial"/>
        </w:rPr>
        <w:t>different supply variables</w:t>
      </w:r>
      <w:r>
        <w:rPr>
          <w:rFonts w:ascii="Arial" w:hAnsi="Arial" w:cs="Arial"/>
        </w:rPr>
        <w:t xml:space="preserve"> presented in paper TAMLC36 is updated, in three ways: IPAC and OPAC are corrected as noted </w:t>
      </w:r>
      <w:r w:rsidR="00710204">
        <w:rPr>
          <w:rFonts w:ascii="Arial" w:hAnsi="Arial" w:cs="Arial"/>
        </w:rPr>
        <w:t xml:space="preserve">in </w:t>
      </w:r>
      <w:r w:rsidR="00B82F08">
        <w:rPr>
          <w:rFonts w:ascii="Arial" w:hAnsi="Arial" w:cs="Arial"/>
        </w:rPr>
        <w:t>s</w:t>
      </w:r>
      <w:r w:rsidR="00710204">
        <w:rPr>
          <w:rFonts w:ascii="Arial" w:hAnsi="Arial" w:cs="Arial"/>
        </w:rPr>
        <w:t xml:space="preserve">ection 2 </w:t>
      </w:r>
      <w:r>
        <w:rPr>
          <w:rFonts w:ascii="Arial" w:hAnsi="Arial" w:cs="Arial"/>
        </w:rPr>
        <w:t>above; the inpatient and outpatient hospital variables are examined separately; and the effect on the coefficient of the needs index (</w:t>
      </w:r>
      <w:r w:rsidR="00710204">
        <w:rPr>
          <w:rFonts w:ascii="Arial" w:hAnsi="Arial" w:cs="Arial"/>
        </w:rPr>
        <w:t xml:space="preserve">i.e. the </w:t>
      </w:r>
      <w:r>
        <w:rPr>
          <w:rFonts w:ascii="Arial" w:hAnsi="Arial" w:cs="Arial"/>
        </w:rPr>
        <w:t>slope of the fitted line) is also examined.</w:t>
      </w:r>
    </w:p>
    <w:p w:rsidR="004D4088" w:rsidRDefault="004D4088" w:rsidP="004D4088">
      <w:pPr>
        <w:rPr>
          <w:rFonts w:ascii="Arial" w:hAnsi="Arial" w:cs="Arial"/>
          <w:b/>
        </w:rPr>
      </w:pPr>
      <w:r>
        <w:rPr>
          <w:rFonts w:ascii="Arial" w:hAnsi="Arial" w:cs="Arial"/>
          <w:b/>
        </w:rPr>
        <w:t>3</w:t>
      </w:r>
      <w:r w:rsidRPr="00180CFC">
        <w:rPr>
          <w:rFonts w:ascii="Arial" w:hAnsi="Arial" w:cs="Arial"/>
          <w:b/>
        </w:rPr>
        <w:t>.1 Correlations</w:t>
      </w:r>
      <w:r>
        <w:rPr>
          <w:rFonts w:ascii="Arial" w:hAnsi="Arial" w:cs="Arial"/>
          <w:b/>
        </w:rPr>
        <w:t xml:space="preserve"> among supply variables, cost ratios and current acute index</w:t>
      </w:r>
    </w:p>
    <w:p w:rsidR="00C418DB" w:rsidRDefault="004D4088" w:rsidP="004D4088">
      <w:pPr>
        <w:jc w:val="both"/>
        <w:rPr>
          <w:rFonts w:ascii="Arial" w:hAnsi="Arial" w:cs="Arial"/>
        </w:rPr>
      </w:pPr>
      <w:r w:rsidRPr="00F01426">
        <w:rPr>
          <w:rFonts w:ascii="Arial" w:hAnsi="Arial" w:cs="Arial"/>
        </w:rPr>
        <w:t xml:space="preserve">The correlations between </w:t>
      </w:r>
      <w:r w:rsidR="00C418DB">
        <w:rPr>
          <w:rFonts w:ascii="Arial" w:hAnsi="Arial" w:cs="Arial"/>
        </w:rPr>
        <w:t xml:space="preserve">the </w:t>
      </w:r>
      <w:r w:rsidRPr="00F01426">
        <w:rPr>
          <w:rFonts w:ascii="Arial" w:hAnsi="Arial" w:cs="Arial"/>
        </w:rPr>
        <w:t xml:space="preserve">supply variables and </w:t>
      </w:r>
      <w:r w:rsidR="00C418DB">
        <w:rPr>
          <w:rFonts w:ascii="Arial" w:hAnsi="Arial" w:cs="Arial"/>
        </w:rPr>
        <w:t xml:space="preserve">the </w:t>
      </w:r>
      <w:r w:rsidRPr="00F01426">
        <w:rPr>
          <w:rFonts w:ascii="Arial" w:hAnsi="Arial" w:cs="Arial"/>
        </w:rPr>
        <w:t xml:space="preserve">cost ratios </w:t>
      </w:r>
      <w:r>
        <w:rPr>
          <w:rFonts w:ascii="Arial" w:hAnsi="Arial" w:cs="Arial"/>
        </w:rPr>
        <w:t xml:space="preserve">for each diagnostic group </w:t>
      </w:r>
      <w:r w:rsidRPr="00F01426">
        <w:rPr>
          <w:rFonts w:ascii="Arial" w:hAnsi="Arial" w:cs="Arial"/>
        </w:rPr>
        <w:t xml:space="preserve">are </w:t>
      </w:r>
      <w:r>
        <w:rPr>
          <w:rFonts w:ascii="Arial" w:hAnsi="Arial" w:cs="Arial"/>
        </w:rPr>
        <w:t xml:space="preserve">shown in Table </w:t>
      </w:r>
      <w:r w:rsidR="00C418DB">
        <w:rPr>
          <w:rFonts w:ascii="Arial" w:hAnsi="Arial" w:cs="Arial"/>
        </w:rPr>
        <w:t>2</w:t>
      </w:r>
      <w:r>
        <w:rPr>
          <w:rFonts w:ascii="Arial" w:hAnsi="Arial" w:cs="Arial"/>
        </w:rPr>
        <w:t xml:space="preserve">. </w:t>
      </w:r>
      <w:r w:rsidR="00C418DB">
        <w:rPr>
          <w:rFonts w:ascii="Arial" w:hAnsi="Arial" w:cs="Arial"/>
        </w:rPr>
        <w:t xml:space="preserve">The correlations with the current Acute needs index are also shown. </w:t>
      </w:r>
    </w:p>
    <w:p w:rsidR="00C418DB" w:rsidRDefault="00B42D09" w:rsidP="004D4088">
      <w:pPr>
        <w:jc w:val="both"/>
        <w:rPr>
          <w:rFonts w:ascii="Arial" w:hAnsi="Arial" w:cs="Arial"/>
        </w:rPr>
      </w:pPr>
      <w:r>
        <w:rPr>
          <w:rFonts w:ascii="Arial" w:hAnsi="Arial" w:cs="Arial"/>
        </w:rPr>
        <w:t xml:space="preserve">IPACX, OPACX and IPAC are correlated most strongly with the cost ratios and with the needs index. </w:t>
      </w:r>
      <w:r w:rsidR="00C418DB">
        <w:rPr>
          <w:rFonts w:ascii="Arial" w:hAnsi="Arial" w:cs="Arial"/>
        </w:rPr>
        <w:t xml:space="preserve">OA1, OA2, and the </w:t>
      </w:r>
      <w:proofErr w:type="spellStart"/>
      <w:r w:rsidR="00C418DB">
        <w:rPr>
          <w:rFonts w:ascii="Arial" w:hAnsi="Arial" w:cs="Arial"/>
        </w:rPr>
        <w:t>GPSup</w:t>
      </w:r>
      <w:proofErr w:type="spellEnd"/>
      <w:r w:rsidR="00C418DB">
        <w:rPr>
          <w:rFonts w:ascii="Arial" w:hAnsi="Arial" w:cs="Arial"/>
        </w:rPr>
        <w:t xml:space="preserve"> variables all have some (small) negative correlations with the cost ratios. This is counter-</w:t>
      </w:r>
      <w:r w:rsidR="00710204">
        <w:rPr>
          <w:rFonts w:ascii="Arial" w:hAnsi="Arial" w:cs="Arial"/>
        </w:rPr>
        <w:t>intuitive for a supply variable:</w:t>
      </w:r>
      <w:r w:rsidR="00C418DB">
        <w:rPr>
          <w:rFonts w:ascii="Arial" w:hAnsi="Arial" w:cs="Arial"/>
        </w:rPr>
        <w:t xml:space="preserve"> activity (and hence cost) would be expected to be higher where availability of healthcare is higher. For this relationship to go the opposite way implies that the supply variables in question are not</w:t>
      </w:r>
      <w:r w:rsidR="00710204">
        <w:rPr>
          <w:rFonts w:ascii="Arial" w:hAnsi="Arial" w:cs="Arial"/>
        </w:rPr>
        <w:t xml:space="preserve"> a good representation of </w:t>
      </w:r>
      <w:r w:rsidR="00C418DB">
        <w:rPr>
          <w:rFonts w:ascii="Arial" w:hAnsi="Arial" w:cs="Arial"/>
        </w:rPr>
        <w:t>supply</w:t>
      </w:r>
      <w:r w:rsidR="008B120A">
        <w:rPr>
          <w:rFonts w:ascii="Arial" w:hAnsi="Arial" w:cs="Arial"/>
        </w:rPr>
        <w:t>,</w:t>
      </w:r>
      <w:r w:rsidR="007A4F7C">
        <w:rPr>
          <w:rFonts w:ascii="Arial" w:hAnsi="Arial" w:cs="Arial"/>
        </w:rPr>
        <w:t xml:space="preserve"> or that GPs are substituting for hospital care</w:t>
      </w:r>
    </w:p>
    <w:p w:rsidR="004D4088" w:rsidRPr="00436F2A" w:rsidRDefault="004D4088" w:rsidP="004D4088">
      <w:pPr>
        <w:spacing w:after="0"/>
        <w:rPr>
          <w:rFonts w:ascii="Arial" w:hAnsi="Arial" w:cs="Arial"/>
          <w:i/>
        </w:rPr>
      </w:pPr>
      <w:proofErr w:type="gramStart"/>
      <w:r w:rsidRPr="00180CFC">
        <w:rPr>
          <w:rFonts w:ascii="Arial" w:hAnsi="Arial" w:cs="Arial"/>
          <w:i/>
        </w:rPr>
        <w:lastRenderedPageBreak/>
        <w:t xml:space="preserve">Table </w:t>
      </w:r>
      <w:r w:rsidR="00B42D09">
        <w:rPr>
          <w:rFonts w:ascii="Arial" w:hAnsi="Arial" w:cs="Arial"/>
          <w:i/>
        </w:rPr>
        <w:t>2</w:t>
      </w:r>
      <w:r w:rsidRPr="00180CFC">
        <w:rPr>
          <w:rFonts w:ascii="Arial" w:hAnsi="Arial" w:cs="Arial"/>
          <w:i/>
        </w:rPr>
        <w:t>.</w:t>
      </w:r>
      <w:proofErr w:type="gramEnd"/>
      <w:r w:rsidRPr="00180CFC">
        <w:rPr>
          <w:rFonts w:ascii="Arial" w:hAnsi="Arial" w:cs="Arial"/>
          <w:i/>
        </w:rPr>
        <w:t xml:space="preserve"> </w:t>
      </w:r>
      <w:r>
        <w:rPr>
          <w:rFonts w:ascii="Arial" w:hAnsi="Arial" w:cs="Arial"/>
          <w:i/>
        </w:rPr>
        <w:t xml:space="preserve">Correlations between supply variables and </w:t>
      </w:r>
      <w:r w:rsidR="00B42D09">
        <w:rPr>
          <w:rFonts w:ascii="Arial" w:hAnsi="Arial" w:cs="Arial"/>
          <w:i/>
        </w:rPr>
        <w:t>(</w:t>
      </w:r>
      <w:proofErr w:type="spellStart"/>
      <w:r w:rsidR="00B42D09">
        <w:rPr>
          <w:rFonts w:ascii="Arial" w:hAnsi="Arial" w:cs="Arial"/>
          <w:i/>
        </w:rPr>
        <w:t>i</w:t>
      </w:r>
      <w:proofErr w:type="spellEnd"/>
      <w:r w:rsidR="00B42D09">
        <w:rPr>
          <w:rFonts w:ascii="Arial" w:hAnsi="Arial" w:cs="Arial"/>
          <w:i/>
        </w:rPr>
        <w:t xml:space="preserve">) </w:t>
      </w:r>
      <w:r>
        <w:rPr>
          <w:rFonts w:ascii="Arial" w:hAnsi="Arial" w:cs="Arial"/>
          <w:i/>
        </w:rPr>
        <w:t>cost ratios</w:t>
      </w:r>
      <w:r w:rsidR="00B42D09">
        <w:rPr>
          <w:rFonts w:ascii="Arial" w:hAnsi="Arial" w:cs="Arial"/>
          <w:i/>
        </w:rPr>
        <w:t>, (ii) needs index</w:t>
      </w:r>
      <w:r>
        <w:rPr>
          <w:rFonts w:ascii="Arial" w:hAnsi="Arial" w:cs="Arial"/>
          <w:i/>
        </w:rPr>
        <w:t>.</w:t>
      </w:r>
    </w:p>
    <w:tbl>
      <w:tblPr>
        <w:tblW w:w="9585" w:type="dxa"/>
        <w:tblInd w:w="93" w:type="dxa"/>
        <w:tblLayout w:type="fixed"/>
        <w:tblLook w:val="04A0"/>
      </w:tblPr>
      <w:tblGrid>
        <w:gridCol w:w="1277"/>
        <w:gridCol w:w="923"/>
        <w:gridCol w:w="923"/>
        <w:gridCol w:w="923"/>
        <w:gridCol w:w="923"/>
        <w:gridCol w:w="923"/>
        <w:gridCol w:w="923"/>
        <w:gridCol w:w="923"/>
        <w:gridCol w:w="923"/>
        <w:gridCol w:w="924"/>
      </w:tblGrid>
      <w:tr w:rsidR="00F42E7F" w:rsidRPr="00436F2A" w:rsidTr="00F42E7F">
        <w:trPr>
          <w:cantSplit/>
          <w:trHeight w:val="1327"/>
        </w:trPr>
        <w:tc>
          <w:tcPr>
            <w:tcW w:w="1277" w:type="dxa"/>
            <w:tcBorders>
              <w:top w:val="single" w:sz="12" w:space="0" w:color="000000"/>
              <w:left w:val="single" w:sz="12" w:space="0" w:color="000000"/>
              <w:bottom w:val="single" w:sz="12" w:space="0" w:color="000000"/>
              <w:right w:val="single" w:sz="12" w:space="0" w:color="000000"/>
            </w:tcBorders>
            <w:shd w:val="clear" w:color="auto" w:fill="auto"/>
            <w:hideMark/>
          </w:tcPr>
          <w:p w:rsidR="00F42E7F" w:rsidRPr="00436F2A" w:rsidRDefault="00F42E7F" w:rsidP="004D4088">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 xml:space="preserve">Correlations </w:t>
            </w:r>
          </w:p>
        </w:tc>
        <w:tc>
          <w:tcPr>
            <w:tcW w:w="923" w:type="dxa"/>
            <w:tcBorders>
              <w:top w:val="single" w:sz="12" w:space="0" w:color="000000"/>
              <w:left w:val="single" w:sz="12" w:space="0" w:color="000000"/>
              <w:bottom w:val="single" w:sz="12" w:space="0" w:color="000000"/>
              <w:right w:val="single" w:sz="4" w:space="0" w:color="000000"/>
            </w:tcBorders>
            <w:textDirection w:val="btLr"/>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Pr>
                <w:rFonts w:ascii="Arial" w:eastAsia="Times New Roman" w:hAnsi="Arial" w:cs="Arial"/>
                <w:b/>
                <w:bCs/>
                <w:color w:val="000000"/>
                <w:sz w:val="18"/>
                <w:szCs w:val="18"/>
              </w:rPr>
              <w:t>Whole Acute cost ratios</w:t>
            </w:r>
          </w:p>
        </w:tc>
        <w:tc>
          <w:tcPr>
            <w:tcW w:w="923" w:type="dxa"/>
            <w:tcBorders>
              <w:top w:val="single" w:sz="12" w:space="0" w:color="000000"/>
              <w:left w:val="single" w:sz="4" w:space="0" w:color="000000"/>
              <w:bottom w:val="single" w:sz="12" w:space="0" w:color="000000"/>
              <w:right w:val="single" w:sz="4" w:space="0" w:color="000000"/>
            </w:tcBorders>
            <w:shd w:val="clear" w:color="auto" w:fill="auto"/>
            <w:textDirection w:val="btLr"/>
            <w:vAlign w:val="center"/>
            <w:hideMark/>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Cancer</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Heart</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Digestive</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 xml:space="preserve">Injury </w:t>
            </w:r>
            <w:r w:rsidRPr="009D785C">
              <w:rPr>
                <w:rFonts w:ascii="Arial" w:eastAsia="Times New Roman" w:hAnsi="Arial" w:cs="Arial"/>
                <w:b/>
                <w:bCs/>
                <w:color w:val="000000"/>
                <w:sz w:val="18"/>
                <w:szCs w:val="18"/>
              </w:rPr>
              <w:br/>
              <w:t xml:space="preserve">cost </w:t>
            </w:r>
            <w:r w:rsidRPr="009D785C">
              <w:rPr>
                <w:rFonts w:ascii="Arial" w:eastAsia="Times New Roman" w:hAnsi="Arial" w:cs="Arial"/>
                <w:b/>
                <w:bCs/>
                <w:color w:val="000000"/>
                <w:sz w:val="18"/>
                <w:szCs w:val="18"/>
              </w:rPr>
              <w:br/>
              <w:t>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Other</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Respiratory</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Outpatients</w:t>
            </w:r>
            <w:r w:rsidRPr="009D785C">
              <w:rPr>
                <w:rFonts w:ascii="Arial" w:eastAsia="Times New Roman" w:hAnsi="Arial" w:cs="Arial"/>
                <w:b/>
                <w:bCs/>
                <w:color w:val="000000"/>
                <w:sz w:val="18"/>
                <w:szCs w:val="18"/>
              </w:rPr>
              <w:br/>
              <w:t>cost ratios</w:t>
            </w:r>
          </w:p>
        </w:tc>
        <w:tc>
          <w:tcPr>
            <w:tcW w:w="924"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hideMark/>
          </w:tcPr>
          <w:p w:rsidR="00F42E7F" w:rsidRPr="009D785C" w:rsidRDefault="00F42E7F" w:rsidP="004D4088">
            <w:pPr>
              <w:spacing w:after="0" w:line="240" w:lineRule="auto"/>
              <w:ind w:left="113" w:right="113"/>
              <w:jc w:val="center"/>
              <w:rPr>
                <w:rFonts w:ascii="Arial" w:eastAsia="Times New Roman" w:hAnsi="Arial" w:cs="Arial"/>
                <w:b/>
                <w:bCs/>
                <w:color w:val="000000"/>
                <w:sz w:val="18"/>
                <w:szCs w:val="18"/>
              </w:rPr>
            </w:pPr>
            <w:r w:rsidRPr="00E171BE">
              <w:rPr>
                <w:rFonts w:ascii="Arial" w:eastAsia="Times New Roman" w:hAnsi="Arial" w:cs="Arial"/>
                <w:b/>
                <w:bCs/>
                <w:color w:val="000000"/>
                <w:sz w:val="18"/>
                <w:szCs w:val="18"/>
              </w:rPr>
              <w:t>Current Acute</w:t>
            </w:r>
            <w:r w:rsidR="00B42D09">
              <w:rPr>
                <w:rFonts w:ascii="Arial" w:eastAsia="Times New Roman" w:hAnsi="Arial" w:cs="Arial"/>
                <w:b/>
                <w:bCs/>
                <w:color w:val="000000"/>
                <w:sz w:val="18"/>
                <w:szCs w:val="18"/>
              </w:rPr>
              <w:t xml:space="preserve"> needs</w:t>
            </w:r>
            <w:r w:rsidRPr="00E171BE">
              <w:rPr>
                <w:rFonts w:ascii="Arial" w:eastAsia="Times New Roman" w:hAnsi="Arial" w:cs="Arial"/>
                <w:b/>
                <w:bCs/>
                <w:color w:val="000000"/>
                <w:sz w:val="18"/>
                <w:szCs w:val="18"/>
              </w:rPr>
              <w:t xml:space="preserve"> Index</w:t>
            </w:r>
          </w:p>
        </w:tc>
      </w:tr>
      <w:tr w:rsidR="00C160EE" w:rsidRPr="00436F2A" w:rsidTr="00C418DB">
        <w:trPr>
          <w:trHeight w:val="318"/>
        </w:trPr>
        <w:tc>
          <w:tcPr>
            <w:tcW w:w="1277" w:type="dxa"/>
            <w:tcBorders>
              <w:top w:val="single" w:sz="12"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IPACX</w:t>
            </w:r>
          </w:p>
        </w:tc>
        <w:tc>
          <w:tcPr>
            <w:tcW w:w="923" w:type="dxa"/>
            <w:tcBorders>
              <w:top w:val="single" w:sz="12"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0.360</w:t>
            </w:r>
          </w:p>
        </w:tc>
        <w:tc>
          <w:tcPr>
            <w:tcW w:w="923" w:type="dxa"/>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0.187</w:t>
            </w:r>
          </w:p>
        </w:tc>
        <w:tc>
          <w:tcPr>
            <w:tcW w:w="923"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0.140</w:t>
            </w:r>
          </w:p>
        </w:tc>
        <w:tc>
          <w:tcPr>
            <w:tcW w:w="923"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0.292</w:t>
            </w:r>
          </w:p>
        </w:tc>
        <w:tc>
          <w:tcPr>
            <w:tcW w:w="923"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0.129</w:t>
            </w:r>
          </w:p>
        </w:tc>
        <w:tc>
          <w:tcPr>
            <w:tcW w:w="923"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0.269</w:t>
            </w:r>
          </w:p>
        </w:tc>
        <w:tc>
          <w:tcPr>
            <w:tcW w:w="923"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0.299</w:t>
            </w:r>
          </w:p>
        </w:tc>
        <w:tc>
          <w:tcPr>
            <w:tcW w:w="923" w:type="dxa"/>
            <w:tcBorders>
              <w:top w:val="single" w:sz="12"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0.353</w:t>
            </w:r>
          </w:p>
        </w:tc>
        <w:tc>
          <w:tcPr>
            <w:tcW w:w="924" w:type="dxa"/>
            <w:tcBorders>
              <w:top w:val="single" w:sz="12"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0.290</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OPACX</w:t>
            </w:r>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0.322</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0.167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0.118</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0.221</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0.121</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0.212</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0.277</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0.401</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0.247</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IPAC</w:t>
            </w:r>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0.281</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0.136</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0.127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0.237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0.094</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0.254</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0.206</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0.207</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Default="00A33A11" w:rsidP="00FE1741">
            <w:pPr>
              <w:contextualSpacing/>
              <w:jc w:val="right"/>
              <w:rPr>
                <w:rFonts w:ascii="Arial" w:hAnsi="Arial" w:cs="Arial"/>
                <w:color w:val="000000"/>
                <w:sz w:val="18"/>
                <w:szCs w:val="18"/>
              </w:rPr>
            </w:pPr>
            <w:r>
              <w:rPr>
                <w:rFonts w:ascii="Arial" w:hAnsi="Arial" w:cs="Arial"/>
                <w:color w:val="000000"/>
                <w:sz w:val="18"/>
                <w:szCs w:val="18"/>
              </w:rPr>
              <w:t>0.245</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OPAC</w:t>
            </w:r>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0.170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0.062</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0.069</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0.085</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0.047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0.131</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0.131</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Default="00C160EE" w:rsidP="00C418DB">
            <w:pPr>
              <w:contextualSpacing/>
              <w:jc w:val="right"/>
              <w:rPr>
                <w:rFonts w:ascii="Arial" w:hAnsi="Arial" w:cs="Arial"/>
                <w:color w:val="000000"/>
                <w:sz w:val="18"/>
                <w:szCs w:val="18"/>
              </w:rPr>
            </w:pPr>
            <w:r>
              <w:rPr>
                <w:rFonts w:ascii="Arial" w:hAnsi="Arial" w:cs="Arial"/>
                <w:color w:val="000000"/>
                <w:sz w:val="18"/>
                <w:szCs w:val="18"/>
              </w:rPr>
              <w:t>0.247</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Default="00A33A11" w:rsidP="00FE1741">
            <w:pPr>
              <w:contextualSpacing/>
              <w:jc w:val="right"/>
              <w:rPr>
                <w:rFonts w:ascii="Arial" w:hAnsi="Arial" w:cs="Arial"/>
                <w:color w:val="000000"/>
                <w:sz w:val="18"/>
                <w:szCs w:val="18"/>
              </w:rPr>
            </w:pPr>
            <w:r>
              <w:rPr>
                <w:rFonts w:ascii="Arial" w:hAnsi="Arial" w:cs="Arial"/>
                <w:color w:val="000000"/>
                <w:sz w:val="18"/>
                <w:szCs w:val="18"/>
              </w:rPr>
              <w:t>0.159</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IA1</w:t>
            </w:r>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0.140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0.076</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0.071</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0.170</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0.033</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0.104</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0.126</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0.090</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0.144</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OA1</w:t>
            </w:r>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-0.002</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0.019</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-0.026</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-0.021</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-0.013</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-0.009</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0.009</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0.033</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-0.008</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IA2</w:t>
            </w:r>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0.148</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0.087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0.075</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0.161</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0.046</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0.088</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0.137</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0.134</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0.130</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OA2</w:t>
            </w:r>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0.020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0.029</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0.007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-0.009</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0.014</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0.019</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0.048</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-0.024</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proofErr w:type="spellStart"/>
            <w:r w:rsidRPr="00436F2A">
              <w:rPr>
                <w:rFonts w:ascii="Arial" w:eastAsia="Times New Roman" w:hAnsi="Arial" w:cs="Arial"/>
                <w:b/>
                <w:bCs/>
                <w:color w:val="000000"/>
                <w:sz w:val="18"/>
                <w:szCs w:val="18"/>
              </w:rPr>
              <w:t>GPCount</w:t>
            </w:r>
            <w:proofErr w:type="spellEnd"/>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0.055</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0.127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0.109</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0.137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0.086</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0.114</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0.193</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0.305</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0.148</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proofErr w:type="spellStart"/>
            <w:r w:rsidRPr="00436F2A">
              <w:rPr>
                <w:rFonts w:ascii="Arial" w:eastAsia="Times New Roman" w:hAnsi="Arial" w:cs="Arial"/>
                <w:b/>
                <w:bCs/>
                <w:color w:val="000000"/>
                <w:sz w:val="18"/>
                <w:szCs w:val="18"/>
              </w:rPr>
              <w:t>GPSup</w:t>
            </w:r>
            <w:proofErr w:type="spellEnd"/>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0.007</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0.034</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0.064</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-0.015</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0.087</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0.019</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0.057</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0.043</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0.084</w:t>
            </w:r>
          </w:p>
        </w:tc>
      </w:tr>
      <w:tr w:rsidR="00C160EE" w:rsidRPr="00436F2A" w:rsidTr="00C418DB">
        <w:trPr>
          <w:trHeight w:val="30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GPsup5</w:t>
            </w:r>
          </w:p>
        </w:tc>
        <w:tc>
          <w:tcPr>
            <w:tcW w:w="923" w:type="dxa"/>
            <w:tcBorders>
              <w:top w:val="single" w:sz="4" w:space="0" w:color="000000"/>
              <w:left w:val="single" w:sz="12" w:space="0" w:color="000000"/>
              <w:bottom w:val="single" w:sz="4"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-0.021</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0.015</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0.043</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-0.041</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0.056</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-0.030</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0.030</w:t>
            </w:r>
          </w:p>
        </w:tc>
        <w:tc>
          <w:tcPr>
            <w:tcW w:w="923"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0.011</w:t>
            </w:r>
          </w:p>
        </w:tc>
        <w:tc>
          <w:tcPr>
            <w:tcW w:w="924" w:type="dxa"/>
            <w:tcBorders>
              <w:top w:val="single" w:sz="4" w:space="0" w:color="000000"/>
              <w:left w:val="single" w:sz="12" w:space="0" w:color="000000"/>
              <w:bottom w:val="single" w:sz="4"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0.029</w:t>
            </w:r>
          </w:p>
        </w:tc>
      </w:tr>
      <w:tr w:rsidR="00C160EE" w:rsidRPr="00436F2A" w:rsidTr="00C418DB">
        <w:trPr>
          <w:trHeight w:val="318"/>
        </w:trPr>
        <w:tc>
          <w:tcPr>
            <w:tcW w:w="1277" w:type="dxa"/>
            <w:tcBorders>
              <w:top w:val="single" w:sz="4" w:space="0" w:color="000000"/>
              <w:left w:val="single" w:sz="12" w:space="0" w:color="000000"/>
              <w:bottom w:val="single" w:sz="12" w:space="0" w:color="000000"/>
              <w:right w:val="single" w:sz="12" w:space="0" w:color="000000"/>
            </w:tcBorders>
            <w:shd w:val="clear" w:color="auto" w:fill="auto"/>
            <w:vAlign w:val="center"/>
            <w:hideMark/>
          </w:tcPr>
          <w:p w:rsidR="00C160EE" w:rsidRPr="00436F2A" w:rsidRDefault="00C160EE" w:rsidP="00F42E7F">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GPSup10</w:t>
            </w:r>
          </w:p>
        </w:tc>
        <w:tc>
          <w:tcPr>
            <w:tcW w:w="923" w:type="dxa"/>
            <w:tcBorders>
              <w:top w:val="single" w:sz="4" w:space="0" w:color="000000"/>
              <w:left w:val="single" w:sz="12" w:space="0" w:color="000000"/>
              <w:bottom w:val="single" w:sz="12" w:space="0" w:color="000000"/>
              <w:right w:val="single" w:sz="4" w:space="0" w:color="000000"/>
            </w:tcBorders>
            <w:vAlign w:val="center"/>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0.219</w:t>
            </w:r>
          </w:p>
        </w:tc>
        <w:tc>
          <w:tcPr>
            <w:tcW w:w="923" w:type="dxa"/>
            <w:tcBorders>
              <w:top w:val="single" w:sz="4" w:space="0" w:color="000000"/>
              <w:left w:val="single" w:sz="4" w:space="0" w:color="000000"/>
              <w:bottom w:val="single" w:sz="12"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0.004</w:t>
            </w:r>
          </w:p>
        </w:tc>
        <w:tc>
          <w:tcPr>
            <w:tcW w:w="923"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0.030</w:t>
            </w:r>
          </w:p>
        </w:tc>
        <w:tc>
          <w:tcPr>
            <w:tcW w:w="923"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-0.055</w:t>
            </w:r>
          </w:p>
        </w:tc>
        <w:tc>
          <w:tcPr>
            <w:tcW w:w="923"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0.038</w:t>
            </w:r>
          </w:p>
        </w:tc>
        <w:tc>
          <w:tcPr>
            <w:tcW w:w="923"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-0.054</w:t>
            </w:r>
          </w:p>
        </w:tc>
        <w:tc>
          <w:tcPr>
            <w:tcW w:w="923"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0.012</w:t>
            </w:r>
          </w:p>
        </w:tc>
        <w:tc>
          <w:tcPr>
            <w:tcW w:w="923" w:type="dxa"/>
            <w:tcBorders>
              <w:top w:val="single" w:sz="4" w:space="0" w:color="000000"/>
              <w:left w:val="nil"/>
              <w:bottom w:val="single" w:sz="12"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-0.011</w:t>
            </w:r>
          </w:p>
        </w:tc>
        <w:tc>
          <w:tcPr>
            <w:tcW w:w="924" w:type="dxa"/>
            <w:tcBorders>
              <w:top w:val="single" w:sz="4" w:space="0" w:color="000000"/>
              <w:left w:val="single" w:sz="12" w:space="0" w:color="000000"/>
              <w:bottom w:val="single" w:sz="12" w:space="0" w:color="000000"/>
              <w:right w:val="single" w:sz="12"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-0.003</w:t>
            </w:r>
          </w:p>
        </w:tc>
      </w:tr>
    </w:tbl>
    <w:p w:rsidR="004D4088" w:rsidRDefault="004D4088" w:rsidP="004D4088">
      <w:pPr>
        <w:autoSpaceDE w:val="0"/>
        <w:autoSpaceDN w:val="0"/>
        <w:adjustRightInd w:val="0"/>
        <w:rPr>
          <w:rFonts w:ascii="Arial" w:hAnsi="Arial" w:cs="Arial"/>
          <w:b/>
        </w:rPr>
      </w:pPr>
    </w:p>
    <w:p w:rsidR="004D4088" w:rsidRPr="00C97CB9" w:rsidRDefault="004D4088" w:rsidP="00C97CB9">
      <w:pPr>
        <w:jc w:val="both"/>
        <w:rPr>
          <w:rFonts w:ascii="Arial" w:hAnsi="Arial" w:cs="Arial"/>
        </w:rPr>
      </w:pPr>
      <w:r>
        <w:rPr>
          <w:rFonts w:ascii="Arial" w:hAnsi="Arial" w:cs="Arial"/>
        </w:rPr>
        <w:t xml:space="preserve">Tables </w:t>
      </w:r>
      <w:r w:rsidR="00B42D09">
        <w:rPr>
          <w:rFonts w:ascii="Arial" w:hAnsi="Arial" w:cs="Arial"/>
        </w:rPr>
        <w:t>3</w:t>
      </w:r>
      <w:r>
        <w:rPr>
          <w:rFonts w:ascii="Arial" w:hAnsi="Arial" w:cs="Arial"/>
        </w:rPr>
        <w:t xml:space="preserve"> and </w:t>
      </w:r>
      <w:r w:rsidR="00B42D09">
        <w:rPr>
          <w:rFonts w:ascii="Arial" w:hAnsi="Arial" w:cs="Arial"/>
        </w:rPr>
        <w:t>4</w:t>
      </w:r>
      <w:r>
        <w:rPr>
          <w:rFonts w:ascii="Arial" w:hAnsi="Arial" w:cs="Arial"/>
        </w:rPr>
        <w:t xml:space="preserve"> show the inter-correlations among the hospital supply variables and the </w:t>
      </w:r>
      <w:r w:rsidR="00B42D09">
        <w:rPr>
          <w:rFonts w:ascii="Arial" w:hAnsi="Arial" w:cs="Arial"/>
        </w:rPr>
        <w:t>GP</w:t>
      </w:r>
      <w:r>
        <w:rPr>
          <w:rFonts w:ascii="Arial" w:hAnsi="Arial" w:cs="Arial"/>
        </w:rPr>
        <w:t xml:space="preserve"> supply variables, respectively. As we would expect, there are strong associations a</w:t>
      </w:r>
      <w:r w:rsidR="00B42D09">
        <w:rPr>
          <w:rFonts w:ascii="Arial" w:hAnsi="Arial" w:cs="Arial"/>
        </w:rPr>
        <w:t xml:space="preserve">mong some of these variables since they are conceptually similar and </w:t>
      </w:r>
      <w:r w:rsidR="00710204">
        <w:rPr>
          <w:rFonts w:ascii="Arial" w:hAnsi="Arial" w:cs="Arial"/>
        </w:rPr>
        <w:t xml:space="preserve">are </w:t>
      </w:r>
      <w:r w:rsidR="00B42D09">
        <w:rPr>
          <w:rFonts w:ascii="Arial" w:hAnsi="Arial" w:cs="Arial"/>
        </w:rPr>
        <w:t>based on common data sets</w:t>
      </w:r>
      <w:r>
        <w:rPr>
          <w:rFonts w:ascii="Arial" w:hAnsi="Arial" w:cs="Arial"/>
        </w:rPr>
        <w:t>.</w:t>
      </w:r>
    </w:p>
    <w:p w:rsidR="004D4088" w:rsidRPr="000C0930" w:rsidRDefault="004D4088" w:rsidP="004D4088">
      <w:pPr>
        <w:spacing w:after="0"/>
        <w:rPr>
          <w:rFonts w:ascii="Arial" w:hAnsi="Arial" w:cs="Arial"/>
          <w:i/>
        </w:rPr>
      </w:pPr>
      <w:proofErr w:type="gramStart"/>
      <w:r w:rsidRPr="00180CFC">
        <w:rPr>
          <w:rFonts w:ascii="Arial" w:hAnsi="Arial" w:cs="Arial"/>
          <w:i/>
        </w:rPr>
        <w:t xml:space="preserve">Table </w:t>
      </w:r>
      <w:r w:rsidR="00B42D09">
        <w:rPr>
          <w:rFonts w:ascii="Arial" w:hAnsi="Arial" w:cs="Arial"/>
          <w:i/>
        </w:rPr>
        <w:t>3</w:t>
      </w:r>
      <w:r w:rsidRPr="00180CFC">
        <w:rPr>
          <w:rFonts w:ascii="Arial" w:hAnsi="Arial" w:cs="Arial"/>
          <w:i/>
        </w:rPr>
        <w:t>.</w:t>
      </w:r>
      <w:proofErr w:type="gramEnd"/>
      <w:r w:rsidRPr="00180CFC">
        <w:rPr>
          <w:rFonts w:ascii="Arial" w:hAnsi="Arial" w:cs="Arial"/>
          <w:i/>
        </w:rPr>
        <w:t xml:space="preserve"> </w:t>
      </w:r>
      <w:r>
        <w:rPr>
          <w:rFonts w:ascii="Arial" w:hAnsi="Arial" w:cs="Arial"/>
          <w:i/>
        </w:rPr>
        <w:t>Correlations among hospital supply variables.</w:t>
      </w:r>
    </w:p>
    <w:tbl>
      <w:tblPr>
        <w:tblW w:w="8923" w:type="dxa"/>
        <w:tblLayout w:type="fixed"/>
        <w:tblLook w:val="04A0"/>
      </w:tblPr>
      <w:tblGrid>
        <w:gridCol w:w="1277"/>
        <w:gridCol w:w="955"/>
        <w:gridCol w:w="956"/>
        <w:gridCol w:w="956"/>
        <w:gridCol w:w="956"/>
        <w:gridCol w:w="955"/>
        <w:gridCol w:w="956"/>
        <w:gridCol w:w="956"/>
        <w:gridCol w:w="956"/>
      </w:tblGrid>
      <w:tr w:rsidR="004D4088" w:rsidRPr="00C05F0A" w:rsidTr="00F42E7F">
        <w:trPr>
          <w:trHeight w:val="413"/>
        </w:trPr>
        <w:tc>
          <w:tcPr>
            <w:tcW w:w="1277" w:type="dxa"/>
            <w:tcBorders>
              <w:top w:val="single" w:sz="12" w:space="0" w:color="000000"/>
              <w:left w:val="single" w:sz="12" w:space="0" w:color="000000"/>
              <w:bottom w:val="single" w:sz="12" w:space="0" w:color="000000"/>
              <w:right w:val="nil"/>
            </w:tcBorders>
            <w:shd w:val="clear" w:color="auto" w:fill="auto"/>
            <w:hideMark/>
          </w:tcPr>
          <w:p w:rsidR="004D4088" w:rsidRPr="00C05F0A" w:rsidRDefault="004D4088" w:rsidP="004D4088">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Correlations</w:t>
            </w:r>
          </w:p>
        </w:tc>
        <w:tc>
          <w:tcPr>
            <w:tcW w:w="955" w:type="dxa"/>
            <w:tcBorders>
              <w:top w:val="single" w:sz="12" w:space="0" w:color="000000"/>
              <w:left w:val="single" w:sz="12" w:space="0" w:color="000000"/>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IPACX</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OPACX</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IPAC</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OPAC</w:t>
            </w:r>
          </w:p>
        </w:tc>
        <w:tc>
          <w:tcPr>
            <w:tcW w:w="955"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IA1</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OA1</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IA2</w:t>
            </w:r>
          </w:p>
        </w:tc>
        <w:tc>
          <w:tcPr>
            <w:tcW w:w="956" w:type="dxa"/>
            <w:tcBorders>
              <w:top w:val="single" w:sz="12" w:space="0" w:color="000000"/>
              <w:left w:val="nil"/>
              <w:bottom w:val="single" w:sz="12" w:space="0" w:color="000000"/>
              <w:right w:val="single" w:sz="12"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OA2</w:t>
            </w:r>
          </w:p>
        </w:tc>
      </w:tr>
      <w:tr w:rsidR="00C160EE" w:rsidRPr="00C05F0A" w:rsidTr="00F42E7F">
        <w:trPr>
          <w:trHeight w:val="255"/>
        </w:trPr>
        <w:tc>
          <w:tcPr>
            <w:tcW w:w="1277" w:type="dxa"/>
            <w:tcBorders>
              <w:top w:val="single" w:sz="12" w:space="0" w:color="000000"/>
              <w:left w:val="single" w:sz="12" w:space="0" w:color="000000"/>
              <w:bottom w:val="single" w:sz="4" w:space="0" w:color="000000"/>
              <w:right w:val="nil"/>
            </w:tcBorders>
            <w:shd w:val="clear" w:color="auto" w:fill="auto"/>
            <w:vAlign w:val="center"/>
            <w:hideMark/>
          </w:tcPr>
          <w:p w:rsidR="00C160EE" w:rsidRPr="00C05F0A" w:rsidRDefault="00C160E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IPACX</w:t>
            </w:r>
          </w:p>
        </w:tc>
        <w:tc>
          <w:tcPr>
            <w:tcW w:w="955" w:type="dxa"/>
            <w:tcBorders>
              <w:top w:val="single" w:sz="12" w:space="0" w:color="000000"/>
              <w:left w:val="single" w:sz="12"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1.000</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0.961</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0.670</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0.423</w:t>
            </w:r>
          </w:p>
        </w:tc>
        <w:tc>
          <w:tcPr>
            <w:tcW w:w="955"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0.500</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0.245</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0.460</w:t>
            </w:r>
          </w:p>
        </w:tc>
        <w:tc>
          <w:tcPr>
            <w:tcW w:w="956" w:type="dxa"/>
            <w:tcBorders>
              <w:top w:val="single" w:sz="12" w:space="0" w:color="000000"/>
              <w:left w:val="nil"/>
              <w:bottom w:val="single" w:sz="4" w:space="0" w:color="000000"/>
              <w:right w:val="single" w:sz="12"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0.343</w:t>
            </w:r>
          </w:p>
        </w:tc>
      </w:tr>
      <w:tr w:rsidR="00C160EE" w:rsidRPr="00C05F0A" w:rsidTr="00F42E7F">
        <w:trPr>
          <w:trHeight w:val="243"/>
        </w:trPr>
        <w:tc>
          <w:tcPr>
            <w:tcW w:w="1277" w:type="dxa"/>
            <w:tcBorders>
              <w:top w:val="single" w:sz="4" w:space="0" w:color="000000"/>
              <w:left w:val="single" w:sz="12" w:space="0" w:color="000000"/>
              <w:bottom w:val="single" w:sz="4" w:space="0" w:color="000000"/>
              <w:right w:val="nil"/>
            </w:tcBorders>
            <w:shd w:val="clear" w:color="auto" w:fill="auto"/>
            <w:vAlign w:val="center"/>
            <w:hideMark/>
          </w:tcPr>
          <w:p w:rsidR="00C160EE" w:rsidRPr="00C05F0A" w:rsidRDefault="00C160E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OPACX</w:t>
            </w:r>
          </w:p>
        </w:tc>
        <w:tc>
          <w:tcPr>
            <w:tcW w:w="955" w:type="dxa"/>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0.961</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1.000</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0.649</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0.515</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0.462</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0.269</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F42E7F" w:rsidRDefault="00C160E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0.421</w:t>
            </w:r>
          </w:p>
        </w:tc>
        <w:tc>
          <w:tcPr>
            <w:tcW w:w="956"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0.364</w:t>
            </w:r>
          </w:p>
        </w:tc>
      </w:tr>
      <w:tr w:rsidR="00C160EE" w:rsidRPr="00C05F0A" w:rsidTr="00F42E7F">
        <w:trPr>
          <w:trHeight w:val="243"/>
        </w:trPr>
        <w:tc>
          <w:tcPr>
            <w:tcW w:w="1277" w:type="dxa"/>
            <w:tcBorders>
              <w:top w:val="single" w:sz="4" w:space="0" w:color="000000"/>
              <w:left w:val="single" w:sz="12" w:space="0" w:color="000000"/>
              <w:bottom w:val="single" w:sz="4" w:space="0" w:color="000000"/>
              <w:right w:val="nil"/>
            </w:tcBorders>
            <w:shd w:val="clear" w:color="auto" w:fill="auto"/>
            <w:vAlign w:val="center"/>
            <w:hideMark/>
          </w:tcPr>
          <w:p w:rsidR="00C160EE" w:rsidRPr="00C05F0A" w:rsidRDefault="00C160E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IPAC</w:t>
            </w:r>
          </w:p>
        </w:tc>
        <w:tc>
          <w:tcPr>
            <w:tcW w:w="955" w:type="dxa"/>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0.670</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0.649</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1.000</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0.859</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0.471</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0.263</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0.426</w:t>
            </w:r>
          </w:p>
        </w:tc>
        <w:tc>
          <w:tcPr>
            <w:tcW w:w="956"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0.385</w:t>
            </w:r>
          </w:p>
        </w:tc>
      </w:tr>
      <w:tr w:rsidR="00C160EE" w:rsidRPr="00C05F0A" w:rsidTr="00F42E7F">
        <w:trPr>
          <w:trHeight w:val="243"/>
        </w:trPr>
        <w:tc>
          <w:tcPr>
            <w:tcW w:w="1277" w:type="dxa"/>
            <w:tcBorders>
              <w:top w:val="single" w:sz="4" w:space="0" w:color="000000"/>
              <w:left w:val="single" w:sz="12" w:space="0" w:color="000000"/>
              <w:bottom w:val="single" w:sz="4" w:space="0" w:color="000000"/>
              <w:right w:val="nil"/>
            </w:tcBorders>
            <w:shd w:val="clear" w:color="auto" w:fill="auto"/>
            <w:vAlign w:val="center"/>
            <w:hideMark/>
          </w:tcPr>
          <w:p w:rsidR="00C160EE" w:rsidRPr="00C05F0A" w:rsidRDefault="00C160E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OPAC</w:t>
            </w:r>
          </w:p>
        </w:tc>
        <w:tc>
          <w:tcPr>
            <w:tcW w:w="955" w:type="dxa"/>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0.423</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0.515</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0.859</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1.000</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0.316</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0.245</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0.310</w:t>
            </w:r>
          </w:p>
        </w:tc>
        <w:tc>
          <w:tcPr>
            <w:tcW w:w="956"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0.338</w:t>
            </w:r>
          </w:p>
        </w:tc>
      </w:tr>
      <w:tr w:rsidR="00C160EE" w:rsidRPr="00C05F0A" w:rsidTr="00F42E7F">
        <w:trPr>
          <w:trHeight w:val="243"/>
        </w:trPr>
        <w:tc>
          <w:tcPr>
            <w:tcW w:w="1277" w:type="dxa"/>
            <w:tcBorders>
              <w:top w:val="single" w:sz="4" w:space="0" w:color="000000"/>
              <w:left w:val="single" w:sz="12" w:space="0" w:color="000000"/>
              <w:bottom w:val="single" w:sz="4" w:space="0" w:color="000000"/>
              <w:right w:val="nil"/>
            </w:tcBorders>
            <w:shd w:val="clear" w:color="auto" w:fill="auto"/>
            <w:vAlign w:val="center"/>
            <w:hideMark/>
          </w:tcPr>
          <w:p w:rsidR="00C160EE" w:rsidRPr="00C05F0A" w:rsidRDefault="00C160E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IA1</w:t>
            </w:r>
          </w:p>
        </w:tc>
        <w:tc>
          <w:tcPr>
            <w:tcW w:w="955" w:type="dxa"/>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0.500</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0.462</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0.471</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0.316</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0.342</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0.552</w:t>
            </w:r>
          </w:p>
        </w:tc>
        <w:tc>
          <w:tcPr>
            <w:tcW w:w="956"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0.406</w:t>
            </w:r>
          </w:p>
        </w:tc>
      </w:tr>
      <w:tr w:rsidR="00C160EE" w:rsidRPr="00C05F0A" w:rsidTr="00F42E7F">
        <w:trPr>
          <w:trHeight w:val="243"/>
        </w:trPr>
        <w:tc>
          <w:tcPr>
            <w:tcW w:w="1277" w:type="dxa"/>
            <w:tcBorders>
              <w:top w:val="single" w:sz="4" w:space="0" w:color="000000"/>
              <w:left w:val="single" w:sz="12" w:space="0" w:color="000000"/>
              <w:bottom w:val="single" w:sz="4" w:space="0" w:color="000000"/>
              <w:right w:val="nil"/>
            </w:tcBorders>
            <w:shd w:val="clear" w:color="auto" w:fill="auto"/>
            <w:vAlign w:val="center"/>
            <w:hideMark/>
          </w:tcPr>
          <w:p w:rsidR="00C160EE" w:rsidRPr="00C05F0A" w:rsidRDefault="00C160E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OA1</w:t>
            </w:r>
          </w:p>
        </w:tc>
        <w:tc>
          <w:tcPr>
            <w:tcW w:w="955" w:type="dxa"/>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0.245</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0.269</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0.263</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0.245</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0.342</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0.181</w:t>
            </w:r>
          </w:p>
        </w:tc>
        <w:tc>
          <w:tcPr>
            <w:tcW w:w="956"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0.593</w:t>
            </w:r>
          </w:p>
        </w:tc>
      </w:tr>
      <w:tr w:rsidR="00C160EE" w:rsidRPr="00C05F0A" w:rsidTr="00F42E7F">
        <w:trPr>
          <w:trHeight w:val="243"/>
        </w:trPr>
        <w:tc>
          <w:tcPr>
            <w:tcW w:w="1277" w:type="dxa"/>
            <w:tcBorders>
              <w:top w:val="single" w:sz="4" w:space="0" w:color="000000"/>
              <w:left w:val="single" w:sz="12" w:space="0" w:color="000000"/>
              <w:bottom w:val="single" w:sz="4" w:space="0" w:color="000000"/>
              <w:right w:val="nil"/>
            </w:tcBorders>
            <w:shd w:val="clear" w:color="auto" w:fill="auto"/>
            <w:vAlign w:val="center"/>
            <w:hideMark/>
          </w:tcPr>
          <w:p w:rsidR="00C160EE" w:rsidRPr="00C05F0A" w:rsidRDefault="00C160E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IA2</w:t>
            </w:r>
          </w:p>
        </w:tc>
        <w:tc>
          <w:tcPr>
            <w:tcW w:w="955" w:type="dxa"/>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0.460</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0.421</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0.426</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0.310</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0.552</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0.181</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single" w:sz="4" w:space="0" w:color="000000"/>
              <w:left w:val="nil"/>
              <w:bottom w:val="single" w:sz="4" w:space="0" w:color="000000"/>
              <w:right w:val="single" w:sz="12"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0.310</w:t>
            </w:r>
          </w:p>
        </w:tc>
      </w:tr>
      <w:tr w:rsidR="00C160EE" w:rsidRPr="00C05F0A" w:rsidTr="00F42E7F">
        <w:trPr>
          <w:trHeight w:val="243"/>
        </w:trPr>
        <w:tc>
          <w:tcPr>
            <w:tcW w:w="1277" w:type="dxa"/>
            <w:tcBorders>
              <w:top w:val="single" w:sz="4" w:space="0" w:color="000000"/>
              <w:left w:val="single" w:sz="12" w:space="0" w:color="000000"/>
              <w:bottom w:val="single" w:sz="12" w:space="0" w:color="000000"/>
              <w:right w:val="nil"/>
            </w:tcBorders>
            <w:shd w:val="clear" w:color="auto" w:fill="auto"/>
            <w:vAlign w:val="center"/>
            <w:hideMark/>
          </w:tcPr>
          <w:p w:rsidR="00C160EE" w:rsidRPr="00C05F0A" w:rsidRDefault="00C160E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OA2</w:t>
            </w:r>
          </w:p>
        </w:tc>
        <w:tc>
          <w:tcPr>
            <w:tcW w:w="955" w:type="dxa"/>
            <w:tcBorders>
              <w:top w:val="single" w:sz="4" w:space="0" w:color="000000"/>
              <w:left w:val="single" w:sz="12" w:space="0" w:color="000000"/>
              <w:bottom w:val="single" w:sz="12"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0.343</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0.364</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0.385</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Default="00C160EE" w:rsidP="00C160EE">
            <w:pPr>
              <w:contextualSpacing/>
              <w:jc w:val="right"/>
              <w:rPr>
                <w:rFonts w:ascii="Arial" w:hAnsi="Arial" w:cs="Arial"/>
                <w:color w:val="000000"/>
                <w:sz w:val="18"/>
                <w:szCs w:val="18"/>
              </w:rPr>
            </w:pPr>
            <w:r>
              <w:rPr>
                <w:rFonts w:ascii="Arial" w:hAnsi="Arial" w:cs="Arial"/>
                <w:color w:val="000000"/>
                <w:sz w:val="18"/>
                <w:szCs w:val="18"/>
              </w:rPr>
              <w:t>0.338</w:t>
            </w:r>
          </w:p>
        </w:tc>
        <w:tc>
          <w:tcPr>
            <w:tcW w:w="955"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0.406</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0.593</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0.310</w:t>
            </w:r>
          </w:p>
        </w:tc>
        <w:tc>
          <w:tcPr>
            <w:tcW w:w="956" w:type="dxa"/>
            <w:tcBorders>
              <w:top w:val="single" w:sz="4" w:space="0" w:color="000000"/>
              <w:left w:val="nil"/>
              <w:bottom w:val="single" w:sz="12" w:space="0" w:color="000000"/>
              <w:right w:val="single" w:sz="12" w:space="0" w:color="000000"/>
            </w:tcBorders>
            <w:shd w:val="clear" w:color="auto" w:fill="auto"/>
            <w:noWrap/>
            <w:vAlign w:val="center"/>
            <w:hideMark/>
          </w:tcPr>
          <w:p w:rsidR="00C160EE" w:rsidRPr="00C05F0A" w:rsidRDefault="00C160E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r>
    </w:tbl>
    <w:p w:rsidR="00F240CE" w:rsidRDefault="00F240CE">
      <w:pPr>
        <w:rPr>
          <w:rFonts w:ascii="Arial" w:hAnsi="Arial" w:cs="Arial"/>
          <w:i/>
        </w:rPr>
      </w:pPr>
    </w:p>
    <w:p w:rsidR="004D4088" w:rsidRPr="000C0930" w:rsidRDefault="004D4088" w:rsidP="004D4088">
      <w:pPr>
        <w:spacing w:after="0"/>
        <w:rPr>
          <w:rFonts w:ascii="Arial" w:hAnsi="Arial" w:cs="Arial"/>
          <w:i/>
        </w:rPr>
      </w:pPr>
      <w:proofErr w:type="gramStart"/>
      <w:r w:rsidRPr="00180CFC">
        <w:rPr>
          <w:rFonts w:ascii="Arial" w:hAnsi="Arial" w:cs="Arial"/>
          <w:i/>
        </w:rPr>
        <w:t xml:space="preserve">Table </w:t>
      </w:r>
      <w:r w:rsidR="00B42D09">
        <w:rPr>
          <w:rFonts w:ascii="Arial" w:hAnsi="Arial" w:cs="Arial"/>
          <w:i/>
        </w:rPr>
        <w:t>4</w:t>
      </w:r>
      <w:r w:rsidRPr="00180CFC">
        <w:rPr>
          <w:rFonts w:ascii="Arial" w:hAnsi="Arial" w:cs="Arial"/>
          <w:i/>
        </w:rPr>
        <w:t>.</w:t>
      </w:r>
      <w:proofErr w:type="gramEnd"/>
      <w:r w:rsidRPr="00180CFC">
        <w:rPr>
          <w:rFonts w:ascii="Arial" w:hAnsi="Arial" w:cs="Arial"/>
          <w:i/>
        </w:rPr>
        <w:t xml:space="preserve"> </w:t>
      </w:r>
      <w:r>
        <w:rPr>
          <w:rFonts w:ascii="Arial" w:hAnsi="Arial" w:cs="Arial"/>
          <w:i/>
        </w:rPr>
        <w:t>Correlations among General Practice supply variables.</w:t>
      </w:r>
    </w:p>
    <w:tbl>
      <w:tblPr>
        <w:tblW w:w="8967" w:type="dxa"/>
        <w:tblLayout w:type="fixed"/>
        <w:tblLook w:val="04A0"/>
      </w:tblPr>
      <w:tblGrid>
        <w:gridCol w:w="2099"/>
        <w:gridCol w:w="1717"/>
        <w:gridCol w:w="1717"/>
        <w:gridCol w:w="1717"/>
        <w:gridCol w:w="1717"/>
      </w:tblGrid>
      <w:tr w:rsidR="004D4088" w:rsidRPr="00C05F0A" w:rsidTr="00F42E7F">
        <w:trPr>
          <w:trHeight w:val="368"/>
        </w:trPr>
        <w:tc>
          <w:tcPr>
            <w:tcW w:w="2099" w:type="dxa"/>
            <w:tcBorders>
              <w:top w:val="single" w:sz="12" w:space="0" w:color="000000"/>
              <w:left w:val="single" w:sz="12" w:space="0" w:color="000000"/>
              <w:bottom w:val="single" w:sz="12" w:space="0" w:color="000000"/>
              <w:right w:val="nil"/>
            </w:tcBorders>
            <w:shd w:val="clear" w:color="auto" w:fill="auto"/>
            <w:hideMark/>
          </w:tcPr>
          <w:p w:rsidR="004D4088" w:rsidRPr="00C05F0A" w:rsidRDefault="004D4088" w:rsidP="004D4088">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Correlations</w:t>
            </w:r>
          </w:p>
        </w:tc>
        <w:tc>
          <w:tcPr>
            <w:tcW w:w="1717" w:type="dxa"/>
            <w:tcBorders>
              <w:top w:val="single" w:sz="12" w:space="0" w:color="000000"/>
              <w:left w:val="single" w:sz="12" w:space="0" w:color="000000"/>
              <w:bottom w:val="single" w:sz="12" w:space="0" w:color="000000"/>
              <w:right w:val="single" w:sz="4" w:space="0" w:color="000000"/>
            </w:tcBorders>
            <w:shd w:val="clear" w:color="auto" w:fill="auto"/>
            <w:hideMark/>
          </w:tcPr>
          <w:p w:rsidR="004D4088" w:rsidRPr="00C05F0A" w:rsidRDefault="004D4088" w:rsidP="004D4088">
            <w:pPr>
              <w:spacing w:after="0" w:line="240" w:lineRule="auto"/>
              <w:jc w:val="center"/>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GPCount</w:t>
            </w:r>
            <w:proofErr w:type="spellEnd"/>
          </w:p>
        </w:tc>
        <w:tc>
          <w:tcPr>
            <w:tcW w:w="1717" w:type="dxa"/>
            <w:tcBorders>
              <w:top w:val="single" w:sz="12" w:space="0" w:color="000000"/>
              <w:left w:val="nil"/>
              <w:bottom w:val="single" w:sz="12" w:space="0" w:color="000000"/>
              <w:right w:val="single" w:sz="4" w:space="0" w:color="000000"/>
            </w:tcBorders>
            <w:shd w:val="clear" w:color="auto" w:fill="auto"/>
            <w:hideMark/>
          </w:tcPr>
          <w:p w:rsidR="004D4088" w:rsidRPr="00C05F0A" w:rsidRDefault="004D4088" w:rsidP="004D4088">
            <w:pPr>
              <w:spacing w:after="0" w:line="240" w:lineRule="auto"/>
              <w:jc w:val="center"/>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GPSup</w:t>
            </w:r>
            <w:proofErr w:type="spellEnd"/>
          </w:p>
        </w:tc>
        <w:tc>
          <w:tcPr>
            <w:tcW w:w="1717" w:type="dxa"/>
            <w:tcBorders>
              <w:top w:val="single" w:sz="12" w:space="0" w:color="000000"/>
              <w:left w:val="nil"/>
              <w:bottom w:val="single" w:sz="12" w:space="0" w:color="000000"/>
              <w:right w:val="single" w:sz="4" w:space="0" w:color="000000"/>
            </w:tcBorders>
            <w:shd w:val="clear" w:color="auto" w:fill="auto"/>
            <w:hideMark/>
          </w:tcPr>
          <w:p w:rsidR="004D4088" w:rsidRPr="00C05F0A" w:rsidRDefault="004D4088" w:rsidP="004D4088">
            <w:pPr>
              <w:spacing w:after="0" w:line="240" w:lineRule="auto"/>
              <w:jc w:val="center"/>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GPSup5</w:t>
            </w:r>
          </w:p>
        </w:tc>
        <w:tc>
          <w:tcPr>
            <w:tcW w:w="1717" w:type="dxa"/>
            <w:tcBorders>
              <w:top w:val="single" w:sz="12" w:space="0" w:color="000000"/>
              <w:left w:val="nil"/>
              <w:bottom w:val="single" w:sz="12" w:space="0" w:color="000000"/>
              <w:right w:val="single" w:sz="12" w:space="0" w:color="000000"/>
            </w:tcBorders>
            <w:shd w:val="clear" w:color="auto" w:fill="auto"/>
            <w:hideMark/>
          </w:tcPr>
          <w:p w:rsidR="004D4088" w:rsidRPr="00C05F0A" w:rsidRDefault="004D4088" w:rsidP="004D4088">
            <w:pPr>
              <w:spacing w:after="0" w:line="240" w:lineRule="auto"/>
              <w:jc w:val="center"/>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GPSup10</w:t>
            </w:r>
          </w:p>
        </w:tc>
      </w:tr>
      <w:tr w:rsidR="004D4088" w:rsidRPr="00C05F0A" w:rsidTr="00F42E7F">
        <w:trPr>
          <w:trHeight w:val="227"/>
        </w:trPr>
        <w:tc>
          <w:tcPr>
            <w:tcW w:w="2099" w:type="dxa"/>
            <w:tcBorders>
              <w:top w:val="single" w:sz="12" w:space="0" w:color="000000"/>
              <w:left w:val="single" w:sz="12" w:space="0" w:color="000000"/>
              <w:bottom w:val="single" w:sz="4" w:space="0" w:color="000000"/>
              <w:right w:val="nil"/>
            </w:tcBorders>
            <w:shd w:val="clear" w:color="auto" w:fill="auto"/>
            <w:vAlign w:val="center"/>
            <w:hideMark/>
          </w:tcPr>
          <w:p w:rsidR="004D4088" w:rsidRPr="00C05F0A" w:rsidRDefault="004D4088" w:rsidP="00F42E7F">
            <w:pPr>
              <w:spacing w:after="0" w:line="240" w:lineRule="auto"/>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GPCount</w:t>
            </w:r>
            <w:proofErr w:type="spellEnd"/>
          </w:p>
        </w:tc>
        <w:tc>
          <w:tcPr>
            <w:tcW w:w="1717" w:type="dxa"/>
            <w:tcBorders>
              <w:top w:val="single" w:sz="12" w:space="0" w:color="000000"/>
              <w:left w:val="single" w:sz="12" w:space="0" w:color="000000"/>
              <w:bottom w:val="single" w:sz="4" w:space="0" w:color="000000"/>
              <w:right w:val="single" w:sz="4" w:space="0" w:color="000000"/>
            </w:tcBorders>
            <w:shd w:val="clear" w:color="auto" w:fill="auto"/>
            <w:noWrap/>
            <w:vAlign w:val="center"/>
            <w:hideMark/>
          </w:tcPr>
          <w:p w:rsidR="004D4088" w:rsidRPr="00C05F0A" w:rsidRDefault="004D4088" w:rsidP="004D4088">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1717" w:type="dxa"/>
            <w:tcBorders>
              <w:top w:val="single" w:sz="12" w:space="0" w:color="000000"/>
              <w:left w:val="nil"/>
              <w:bottom w:val="single" w:sz="4" w:space="0" w:color="000000"/>
              <w:right w:val="single" w:sz="4"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0.096</w:t>
            </w:r>
          </w:p>
        </w:tc>
        <w:tc>
          <w:tcPr>
            <w:tcW w:w="1717" w:type="dxa"/>
            <w:tcBorders>
              <w:top w:val="single" w:sz="12" w:space="0" w:color="000000"/>
              <w:left w:val="nil"/>
              <w:bottom w:val="single" w:sz="4" w:space="0" w:color="000000"/>
              <w:right w:val="single" w:sz="4"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0.142</w:t>
            </w:r>
          </w:p>
        </w:tc>
        <w:tc>
          <w:tcPr>
            <w:tcW w:w="1717" w:type="dxa"/>
            <w:tcBorders>
              <w:top w:val="single" w:sz="12" w:space="0" w:color="000000"/>
              <w:left w:val="nil"/>
              <w:bottom w:val="single" w:sz="4" w:space="0" w:color="000000"/>
              <w:right w:val="single" w:sz="12"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0.154</w:t>
            </w:r>
          </w:p>
        </w:tc>
      </w:tr>
      <w:tr w:rsidR="004D4088" w:rsidRPr="00C05F0A" w:rsidTr="00F42E7F">
        <w:trPr>
          <w:trHeight w:val="217"/>
        </w:trPr>
        <w:tc>
          <w:tcPr>
            <w:tcW w:w="2099" w:type="dxa"/>
            <w:tcBorders>
              <w:top w:val="single" w:sz="4" w:space="0" w:color="000000"/>
              <w:left w:val="single" w:sz="12" w:space="0" w:color="000000"/>
              <w:bottom w:val="single" w:sz="4" w:space="0" w:color="000000"/>
              <w:right w:val="nil"/>
            </w:tcBorders>
            <w:shd w:val="clear" w:color="auto" w:fill="auto"/>
            <w:vAlign w:val="center"/>
            <w:hideMark/>
          </w:tcPr>
          <w:p w:rsidR="004D4088" w:rsidRPr="00C05F0A" w:rsidRDefault="004D4088" w:rsidP="00F42E7F">
            <w:pPr>
              <w:spacing w:after="0" w:line="240" w:lineRule="auto"/>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GPSup</w:t>
            </w:r>
            <w:proofErr w:type="spellEnd"/>
          </w:p>
        </w:tc>
        <w:tc>
          <w:tcPr>
            <w:tcW w:w="1717" w:type="dxa"/>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4D4088" w:rsidRPr="00C05F0A" w:rsidRDefault="004D4088" w:rsidP="004D4088">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0.096</w:t>
            </w:r>
          </w:p>
        </w:tc>
        <w:tc>
          <w:tcPr>
            <w:tcW w:w="1717" w:type="dxa"/>
            <w:tcBorders>
              <w:top w:val="single" w:sz="4" w:space="0" w:color="000000"/>
              <w:left w:val="nil"/>
              <w:bottom w:val="single" w:sz="4" w:space="0" w:color="000000"/>
              <w:right w:val="single" w:sz="4"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1.000</w:t>
            </w:r>
          </w:p>
        </w:tc>
        <w:tc>
          <w:tcPr>
            <w:tcW w:w="1717" w:type="dxa"/>
            <w:tcBorders>
              <w:top w:val="single" w:sz="4" w:space="0" w:color="000000"/>
              <w:left w:val="nil"/>
              <w:bottom w:val="single" w:sz="4" w:space="0" w:color="000000"/>
              <w:right w:val="single" w:sz="4"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0.890</w:t>
            </w:r>
          </w:p>
        </w:tc>
        <w:tc>
          <w:tcPr>
            <w:tcW w:w="1717" w:type="dxa"/>
            <w:tcBorders>
              <w:top w:val="single" w:sz="4" w:space="0" w:color="000000"/>
              <w:left w:val="nil"/>
              <w:bottom w:val="single" w:sz="4" w:space="0" w:color="000000"/>
              <w:right w:val="single" w:sz="12"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0.813</w:t>
            </w:r>
          </w:p>
        </w:tc>
      </w:tr>
      <w:tr w:rsidR="004D4088" w:rsidRPr="00C05F0A" w:rsidTr="00F42E7F">
        <w:trPr>
          <w:trHeight w:val="217"/>
        </w:trPr>
        <w:tc>
          <w:tcPr>
            <w:tcW w:w="2099" w:type="dxa"/>
            <w:tcBorders>
              <w:top w:val="single" w:sz="4" w:space="0" w:color="000000"/>
              <w:left w:val="single" w:sz="12" w:space="0" w:color="000000"/>
              <w:bottom w:val="single" w:sz="4" w:space="0" w:color="000000"/>
              <w:right w:val="nil"/>
            </w:tcBorders>
            <w:shd w:val="clear" w:color="auto" w:fill="auto"/>
            <w:vAlign w:val="center"/>
            <w:hideMark/>
          </w:tcPr>
          <w:p w:rsidR="004D4088" w:rsidRPr="00C05F0A" w:rsidRDefault="004D4088"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GPSup5</w:t>
            </w:r>
          </w:p>
        </w:tc>
        <w:tc>
          <w:tcPr>
            <w:tcW w:w="1717" w:type="dxa"/>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4D4088" w:rsidRPr="00C05F0A" w:rsidRDefault="004D4088" w:rsidP="004D4088">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0.142</w:t>
            </w:r>
          </w:p>
        </w:tc>
        <w:tc>
          <w:tcPr>
            <w:tcW w:w="1717" w:type="dxa"/>
            <w:tcBorders>
              <w:top w:val="single" w:sz="4" w:space="0" w:color="000000"/>
              <w:left w:val="nil"/>
              <w:bottom w:val="single" w:sz="4" w:space="0" w:color="000000"/>
              <w:right w:val="single" w:sz="4"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0.890</w:t>
            </w:r>
          </w:p>
        </w:tc>
        <w:tc>
          <w:tcPr>
            <w:tcW w:w="1717" w:type="dxa"/>
            <w:tcBorders>
              <w:top w:val="single" w:sz="4" w:space="0" w:color="000000"/>
              <w:left w:val="nil"/>
              <w:bottom w:val="single" w:sz="4" w:space="0" w:color="000000"/>
              <w:right w:val="single" w:sz="4"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1.000</w:t>
            </w:r>
          </w:p>
        </w:tc>
        <w:tc>
          <w:tcPr>
            <w:tcW w:w="1717" w:type="dxa"/>
            <w:tcBorders>
              <w:top w:val="single" w:sz="4" w:space="0" w:color="000000"/>
              <w:left w:val="nil"/>
              <w:bottom w:val="single" w:sz="4" w:space="0" w:color="000000"/>
              <w:right w:val="single" w:sz="12"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0.985</w:t>
            </w:r>
          </w:p>
        </w:tc>
      </w:tr>
      <w:tr w:rsidR="004D4088" w:rsidRPr="00C05F0A" w:rsidTr="00F42E7F">
        <w:trPr>
          <w:trHeight w:val="227"/>
        </w:trPr>
        <w:tc>
          <w:tcPr>
            <w:tcW w:w="2099" w:type="dxa"/>
            <w:tcBorders>
              <w:top w:val="single" w:sz="4" w:space="0" w:color="000000"/>
              <w:left w:val="single" w:sz="12" w:space="0" w:color="000000"/>
              <w:bottom w:val="single" w:sz="12" w:space="0" w:color="000000"/>
              <w:right w:val="nil"/>
            </w:tcBorders>
            <w:shd w:val="clear" w:color="auto" w:fill="auto"/>
            <w:vAlign w:val="center"/>
            <w:hideMark/>
          </w:tcPr>
          <w:p w:rsidR="004D4088" w:rsidRPr="00C05F0A" w:rsidRDefault="004D4088"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GPSup10</w:t>
            </w:r>
          </w:p>
        </w:tc>
        <w:tc>
          <w:tcPr>
            <w:tcW w:w="1717" w:type="dxa"/>
            <w:tcBorders>
              <w:top w:val="single" w:sz="4" w:space="0" w:color="000000"/>
              <w:left w:val="single" w:sz="12" w:space="0" w:color="000000"/>
              <w:bottom w:val="single" w:sz="12" w:space="0" w:color="000000"/>
              <w:right w:val="single" w:sz="4" w:space="0" w:color="000000"/>
            </w:tcBorders>
            <w:shd w:val="clear" w:color="auto" w:fill="auto"/>
            <w:noWrap/>
            <w:vAlign w:val="center"/>
            <w:hideMark/>
          </w:tcPr>
          <w:p w:rsidR="004D4088" w:rsidRPr="00C05F0A" w:rsidRDefault="004D4088" w:rsidP="004D4088">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0.154</w:t>
            </w:r>
          </w:p>
        </w:tc>
        <w:tc>
          <w:tcPr>
            <w:tcW w:w="1717" w:type="dxa"/>
            <w:tcBorders>
              <w:top w:val="single" w:sz="4" w:space="0" w:color="000000"/>
              <w:left w:val="nil"/>
              <w:bottom w:val="single" w:sz="12" w:space="0" w:color="000000"/>
              <w:right w:val="single" w:sz="4"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0.813</w:t>
            </w:r>
          </w:p>
        </w:tc>
        <w:tc>
          <w:tcPr>
            <w:tcW w:w="1717" w:type="dxa"/>
            <w:tcBorders>
              <w:top w:val="single" w:sz="4" w:space="0" w:color="000000"/>
              <w:left w:val="nil"/>
              <w:bottom w:val="single" w:sz="12" w:space="0" w:color="000000"/>
              <w:right w:val="single" w:sz="4"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0.985</w:t>
            </w:r>
          </w:p>
        </w:tc>
        <w:tc>
          <w:tcPr>
            <w:tcW w:w="1717" w:type="dxa"/>
            <w:tcBorders>
              <w:top w:val="single" w:sz="4" w:space="0" w:color="000000"/>
              <w:left w:val="nil"/>
              <w:bottom w:val="single" w:sz="12" w:space="0" w:color="000000"/>
              <w:right w:val="single" w:sz="12" w:space="0" w:color="000000"/>
            </w:tcBorders>
            <w:shd w:val="clear" w:color="auto" w:fill="auto"/>
            <w:noWrap/>
            <w:vAlign w:val="center"/>
            <w:hideMark/>
          </w:tcPr>
          <w:p w:rsidR="004D4088" w:rsidRPr="00F42E7F" w:rsidRDefault="004D4088" w:rsidP="004D4088">
            <w:pPr>
              <w:spacing w:after="0" w:line="240" w:lineRule="auto"/>
              <w:jc w:val="center"/>
              <w:rPr>
                <w:rFonts w:ascii="Arial" w:eastAsia="Times New Roman" w:hAnsi="Arial" w:cs="Arial"/>
                <w:sz w:val="18"/>
                <w:szCs w:val="18"/>
              </w:rPr>
            </w:pPr>
            <w:r w:rsidRPr="00F42E7F">
              <w:rPr>
                <w:rFonts w:ascii="Arial" w:eastAsia="Times New Roman" w:hAnsi="Arial" w:cs="Arial"/>
                <w:sz w:val="18"/>
                <w:szCs w:val="18"/>
              </w:rPr>
              <w:t>1.000</w:t>
            </w:r>
          </w:p>
        </w:tc>
      </w:tr>
    </w:tbl>
    <w:p w:rsidR="004D4088" w:rsidRDefault="004D4088" w:rsidP="004D4088">
      <w:pPr>
        <w:spacing w:after="0"/>
        <w:rPr>
          <w:rFonts w:ascii="Arial" w:hAnsi="Arial" w:cs="Arial"/>
          <w:b/>
        </w:rPr>
      </w:pPr>
    </w:p>
    <w:p w:rsidR="004D4088" w:rsidRPr="0031471A" w:rsidRDefault="004D4088" w:rsidP="004D4088">
      <w:pPr>
        <w:jc w:val="both"/>
        <w:rPr>
          <w:rFonts w:ascii="Arial" w:hAnsi="Arial" w:cs="Arial"/>
        </w:rPr>
      </w:pPr>
      <w:r>
        <w:rPr>
          <w:rFonts w:ascii="Arial" w:hAnsi="Arial" w:cs="Arial"/>
        </w:rPr>
        <w:t xml:space="preserve">Table </w:t>
      </w:r>
      <w:r w:rsidR="00B42D09">
        <w:rPr>
          <w:rFonts w:ascii="Arial" w:hAnsi="Arial" w:cs="Arial"/>
        </w:rPr>
        <w:t>5</w:t>
      </w:r>
      <w:r>
        <w:rPr>
          <w:rFonts w:ascii="Arial" w:hAnsi="Arial" w:cs="Arial"/>
        </w:rPr>
        <w:t xml:space="preserve"> shows the correlations between </w:t>
      </w:r>
      <w:r w:rsidR="00B42D09">
        <w:rPr>
          <w:rFonts w:ascii="Arial" w:hAnsi="Arial" w:cs="Arial"/>
        </w:rPr>
        <w:t xml:space="preserve">the </w:t>
      </w:r>
      <w:r>
        <w:rPr>
          <w:rFonts w:ascii="Arial" w:hAnsi="Arial" w:cs="Arial"/>
        </w:rPr>
        <w:t xml:space="preserve">GP </w:t>
      </w:r>
      <w:r w:rsidR="00435FE9">
        <w:rPr>
          <w:rFonts w:ascii="Arial" w:hAnsi="Arial" w:cs="Arial"/>
        </w:rPr>
        <w:t xml:space="preserve">supply variables </w:t>
      </w:r>
      <w:r>
        <w:rPr>
          <w:rFonts w:ascii="Arial" w:hAnsi="Arial" w:cs="Arial"/>
        </w:rPr>
        <w:t xml:space="preserve">and </w:t>
      </w:r>
      <w:r w:rsidR="00435FE9">
        <w:rPr>
          <w:rFonts w:ascii="Arial" w:hAnsi="Arial" w:cs="Arial"/>
        </w:rPr>
        <w:t xml:space="preserve">the </w:t>
      </w:r>
      <w:r>
        <w:rPr>
          <w:rFonts w:ascii="Arial" w:hAnsi="Arial" w:cs="Arial"/>
        </w:rPr>
        <w:t xml:space="preserve">hospital supply variables. </w:t>
      </w:r>
      <w:proofErr w:type="spellStart"/>
      <w:r>
        <w:rPr>
          <w:rFonts w:ascii="Arial" w:hAnsi="Arial" w:cs="Arial"/>
        </w:rPr>
        <w:t>GPCount</w:t>
      </w:r>
      <w:proofErr w:type="spellEnd"/>
      <w:r>
        <w:rPr>
          <w:rFonts w:ascii="Arial" w:hAnsi="Arial" w:cs="Arial"/>
        </w:rPr>
        <w:t xml:space="preserve"> is highly correlated with IPACX and OPACX</w:t>
      </w:r>
      <w:r w:rsidR="00B42D09">
        <w:rPr>
          <w:rFonts w:ascii="Arial" w:hAnsi="Arial" w:cs="Arial"/>
        </w:rPr>
        <w:t>, and GPSup10 is moderately correlated with IPAC and OPAC</w:t>
      </w:r>
      <w:r>
        <w:rPr>
          <w:rFonts w:ascii="Arial" w:hAnsi="Arial" w:cs="Arial"/>
        </w:rPr>
        <w:t xml:space="preserve">. </w:t>
      </w:r>
      <w:r w:rsidR="00B42D09">
        <w:rPr>
          <w:rFonts w:ascii="Arial" w:hAnsi="Arial" w:cs="Arial"/>
        </w:rPr>
        <w:t>Most other correlations are quite low</w:t>
      </w:r>
      <w:r>
        <w:rPr>
          <w:rFonts w:ascii="Arial" w:hAnsi="Arial" w:cs="Arial"/>
        </w:rPr>
        <w:t>.</w:t>
      </w:r>
    </w:p>
    <w:p w:rsidR="004D4088" w:rsidRPr="000C0930" w:rsidRDefault="004D4088" w:rsidP="004D4088">
      <w:pPr>
        <w:spacing w:after="0"/>
        <w:rPr>
          <w:rFonts w:ascii="Arial" w:hAnsi="Arial" w:cs="Arial"/>
          <w:i/>
        </w:rPr>
      </w:pPr>
      <w:proofErr w:type="gramStart"/>
      <w:r w:rsidRPr="00180CFC">
        <w:rPr>
          <w:rFonts w:ascii="Arial" w:hAnsi="Arial" w:cs="Arial"/>
          <w:i/>
        </w:rPr>
        <w:lastRenderedPageBreak/>
        <w:t xml:space="preserve">Table </w:t>
      </w:r>
      <w:r w:rsidR="00B42D09">
        <w:rPr>
          <w:rFonts w:ascii="Arial" w:hAnsi="Arial" w:cs="Arial"/>
          <w:i/>
        </w:rPr>
        <w:t>5</w:t>
      </w:r>
      <w:r w:rsidRPr="00180CFC">
        <w:rPr>
          <w:rFonts w:ascii="Arial" w:hAnsi="Arial" w:cs="Arial"/>
          <w:i/>
        </w:rPr>
        <w:t>.</w:t>
      </w:r>
      <w:proofErr w:type="gramEnd"/>
      <w:r w:rsidRPr="00180CFC">
        <w:rPr>
          <w:rFonts w:ascii="Arial" w:hAnsi="Arial" w:cs="Arial"/>
          <w:i/>
        </w:rPr>
        <w:t xml:space="preserve"> </w:t>
      </w:r>
      <w:r>
        <w:rPr>
          <w:rFonts w:ascii="Arial" w:hAnsi="Arial" w:cs="Arial"/>
          <w:i/>
        </w:rPr>
        <w:t>Correlations between GP and hospital supply variables.</w:t>
      </w:r>
    </w:p>
    <w:tbl>
      <w:tblPr>
        <w:tblW w:w="8923" w:type="dxa"/>
        <w:tblLayout w:type="fixed"/>
        <w:tblLook w:val="04A0"/>
      </w:tblPr>
      <w:tblGrid>
        <w:gridCol w:w="1277"/>
        <w:gridCol w:w="955"/>
        <w:gridCol w:w="956"/>
        <w:gridCol w:w="956"/>
        <w:gridCol w:w="956"/>
        <w:gridCol w:w="955"/>
        <w:gridCol w:w="956"/>
        <w:gridCol w:w="956"/>
        <w:gridCol w:w="956"/>
      </w:tblGrid>
      <w:tr w:rsidR="004D4088" w:rsidRPr="00C05F0A" w:rsidTr="00F42E7F">
        <w:trPr>
          <w:trHeight w:val="413"/>
        </w:trPr>
        <w:tc>
          <w:tcPr>
            <w:tcW w:w="1277" w:type="dxa"/>
            <w:tcBorders>
              <w:top w:val="single" w:sz="12" w:space="0" w:color="000000"/>
              <w:left w:val="single" w:sz="12" w:space="0" w:color="000000"/>
              <w:bottom w:val="single" w:sz="12" w:space="0" w:color="000000"/>
              <w:right w:val="nil"/>
            </w:tcBorders>
            <w:shd w:val="clear" w:color="auto" w:fill="auto"/>
            <w:hideMark/>
          </w:tcPr>
          <w:p w:rsidR="004D4088" w:rsidRPr="00C05F0A" w:rsidRDefault="004D4088" w:rsidP="004D4088">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Correlations</w:t>
            </w:r>
          </w:p>
        </w:tc>
        <w:tc>
          <w:tcPr>
            <w:tcW w:w="955" w:type="dxa"/>
            <w:tcBorders>
              <w:top w:val="single" w:sz="12" w:space="0" w:color="000000"/>
              <w:left w:val="single" w:sz="12" w:space="0" w:color="000000"/>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IPACX</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OPACX</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IPAC</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OPAC</w:t>
            </w:r>
          </w:p>
        </w:tc>
        <w:tc>
          <w:tcPr>
            <w:tcW w:w="955"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IA1</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OA1</w:t>
            </w:r>
          </w:p>
        </w:tc>
        <w:tc>
          <w:tcPr>
            <w:tcW w:w="956" w:type="dxa"/>
            <w:tcBorders>
              <w:top w:val="single" w:sz="12" w:space="0" w:color="000000"/>
              <w:left w:val="nil"/>
              <w:bottom w:val="single" w:sz="12" w:space="0" w:color="000000"/>
              <w:right w:val="single" w:sz="4"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IA2</w:t>
            </w:r>
          </w:p>
        </w:tc>
        <w:tc>
          <w:tcPr>
            <w:tcW w:w="956" w:type="dxa"/>
            <w:tcBorders>
              <w:top w:val="single" w:sz="12" w:space="0" w:color="000000"/>
              <w:left w:val="nil"/>
              <w:bottom w:val="single" w:sz="12" w:space="0" w:color="000000"/>
              <w:right w:val="single" w:sz="12" w:space="0" w:color="000000"/>
            </w:tcBorders>
            <w:shd w:val="clear" w:color="auto" w:fill="auto"/>
            <w:hideMark/>
          </w:tcPr>
          <w:p w:rsidR="004D4088" w:rsidRDefault="004D4088" w:rsidP="004D4088">
            <w:pPr>
              <w:jc w:val="center"/>
              <w:rPr>
                <w:rFonts w:ascii="Arial" w:hAnsi="Arial" w:cs="Arial"/>
                <w:b/>
                <w:bCs/>
                <w:color w:val="000000"/>
                <w:sz w:val="18"/>
                <w:szCs w:val="18"/>
              </w:rPr>
            </w:pPr>
            <w:r>
              <w:rPr>
                <w:rFonts w:ascii="Arial" w:hAnsi="Arial" w:cs="Arial"/>
                <w:b/>
                <w:bCs/>
                <w:color w:val="000000"/>
                <w:sz w:val="18"/>
                <w:szCs w:val="18"/>
              </w:rPr>
              <w:t>OA2</w:t>
            </w:r>
          </w:p>
        </w:tc>
      </w:tr>
      <w:tr w:rsidR="009E6FAE" w:rsidRPr="00C05F0A" w:rsidTr="00F42E7F">
        <w:trPr>
          <w:trHeight w:val="243"/>
        </w:trPr>
        <w:tc>
          <w:tcPr>
            <w:tcW w:w="1277" w:type="dxa"/>
            <w:tcBorders>
              <w:top w:val="single" w:sz="12" w:space="0" w:color="000000"/>
              <w:left w:val="single" w:sz="12" w:space="0" w:color="000000"/>
              <w:bottom w:val="single" w:sz="4" w:space="0" w:color="000000"/>
              <w:right w:val="single" w:sz="12" w:space="0" w:color="000000"/>
            </w:tcBorders>
            <w:shd w:val="clear" w:color="auto" w:fill="auto"/>
            <w:vAlign w:val="center"/>
            <w:hideMark/>
          </w:tcPr>
          <w:p w:rsidR="009E6FAE" w:rsidRPr="00C05F0A" w:rsidRDefault="009E6FAE" w:rsidP="00F42E7F">
            <w:pPr>
              <w:spacing w:after="0" w:line="240" w:lineRule="auto"/>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GPCount</w:t>
            </w:r>
            <w:proofErr w:type="spellEnd"/>
          </w:p>
        </w:tc>
        <w:tc>
          <w:tcPr>
            <w:tcW w:w="955" w:type="dxa"/>
            <w:tcBorders>
              <w:top w:val="single" w:sz="12" w:space="0" w:color="000000"/>
              <w:left w:val="nil"/>
              <w:bottom w:val="single" w:sz="4" w:space="0" w:color="000000"/>
              <w:right w:val="single" w:sz="4" w:space="0" w:color="000000"/>
            </w:tcBorders>
            <w:shd w:val="clear" w:color="auto" w:fill="auto"/>
            <w:noWrap/>
            <w:vAlign w:val="center"/>
            <w:hideMark/>
          </w:tcPr>
          <w:p w:rsidR="009E6FAE" w:rsidRPr="00F42E7F" w:rsidRDefault="009E6FA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0.741</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9E6FAE" w:rsidRPr="00F42E7F" w:rsidRDefault="009E6FAE" w:rsidP="004D4088">
            <w:pPr>
              <w:spacing w:after="0" w:line="240" w:lineRule="auto"/>
              <w:jc w:val="right"/>
              <w:rPr>
                <w:rFonts w:ascii="Arial" w:eastAsia="Times New Roman" w:hAnsi="Arial" w:cs="Arial"/>
                <w:sz w:val="18"/>
                <w:szCs w:val="18"/>
              </w:rPr>
            </w:pPr>
            <w:r w:rsidRPr="00F42E7F">
              <w:rPr>
                <w:rFonts w:ascii="Arial" w:eastAsia="Times New Roman" w:hAnsi="Arial" w:cs="Arial"/>
                <w:sz w:val="18"/>
                <w:szCs w:val="18"/>
              </w:rPr>
              <w:t>0.782</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9E6FAE" w:rsidRDefault="009E6FAE" w:rsidP="009E6FAE">
            <w:pPr>
              <w:contextualSpacing/>
              <w:jc w:val="right"/>
              <w:rPr>
                <w:rFonts w:ascii="Arial" w:hAnsi="Arial" w:cs="Arial"/>
                <w:color w:val="000000"/>
                <w:sz w:val="18"/>
                <w:szCs w:val="18"/>
              </w:rPr>
            </w:pPr>
            <w:r>
              <w:rPr>
                <w:rFonts w:ascii="Arial" w:hAnsi="Arial" w:cs="Arial"/>
                <w:color w:val="000000"/>
                <w:sz w:val="18"/>
                <w:szCs w:val="18"/>
              </w:rPr>
              <w:t>0.036</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9E6FAE" w:rsidRDefault="009E6FAE" w:rsidP="009E6FAE">
            <w:pPr>
              <w:contextualSpacing/>
              <w:jc w:val="right"/>
              <w:rPr>
                <w:rFonts w:ascii="Arial" w:hAnsi="Arial" w:cs="Arial"/>
                <w:color w:val="000000"/>
                <w:sz w:val="18"/>
                <w:szCs w:val="18"/>
              </w:rPr>
            </w:pPr>
            <w:r>
              <w:rPr>
                <w:rFonts w:ascii="Arial" w:hAnsi="Arial" w:cs="Arial"/>
                <w:color w:val="000000"/>
                <w:sz w:val="18"/>
                <w:szCs w:val="18"/>
              </w:rPr>
              <w:t>0.089</w:t>
            </w:r>
          </w:p>
        </w:tc>
        <w:tc>
          <w:tcPr>
            <w:tcW w:w="955" w:type="dxa"/>
            <w:tcBorders>
              <w:top w:val="single" w:sz="12"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0.301</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0.173</w:t>
            </w:r>
          </w:p>
        </w:tc>
        <w:tc>
          <w:tcPr>
            <w:tcW w:w="956" w:type="dxa"/>
            <w:tcBorders>
              <w:top w:val="single" w:sz="12"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0.348</w:t>
            </w:r>
          </w:p>
        </w:tc>
        <w:tc>
          <w:tcPr>
            <w:tcW w:w="956" w:type="dxa"/>
            <w:tcBorders>
              <w:top w:val="single" w:sz="12" w:space="0" w:color="000000"/>
              <w:left w:val="nil"/>
              <w:bottom w:val="single" w:sz="4" w:space="0" w:color="000000"/>
              <w:right w:val="single" w:sz="12"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0.251</w:t>
            </w:r>
          </w:p>
        </w:tc>
      </w:tr>
      <w:tr w:rsidR="009E6FAE" w:rsidRPr="00C05F0A" w:rsidTr="00F42E7F">
        <w:trPr>
          <w:trHeight w:val="24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9E6FAE" w:rsidRPr="00C05F0A" w:rsidRDefault="009E6FAE" w:rsidP="00F42E7F">
            <w:pPr>
              <w:spacing w:after="0" w:line="240" w:lineRule="auto"/>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GPSup</w:t>
            </w:r>
            <w:proofErr w:type="spellEnd"/>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0.043</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0.111</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Default="009E6FAE" w:rsidP="009E6FAE">
            <w:pPr>
              <w:contextualSpacing/>
              <w:jc w:val="right"/>
              <w:rPr>
                <w:rFonts w:ascii="Arial" w:hAnsi="Arial" w:cs="Arial"/>
                <w:color w:val="000000"/>
                <w:sz w:val="18"/>
                <w:szCs w:val="18"/>
              </w:rPr>
            </w:pPr>
            <w:r>
              <w:rPr>
                <w:rFonts w:ascii="Arial" w:hAnsi="Arial" w:cs="Arial"/>
                <w:color w:val="000000"/>
                <w:sz w:val="18"/>
                <w:szCs w:val="18"/>
              </w:rPr>
              <w:t>0.077</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Default="009E6FAE" w:rsidP="009E6FAE">
            <w:pPr>
              <w:contextualSpacing/>
              <w:jc w:val="right"/>
              <w:rPr>
                <w:rFonts w:ascii="Arial" w:hAnsi="Arial" w:cs="Arial"/>
                <w:color w:val="000000"/>
                <w:sz w:val="18"/>
                <w:szCs w:val="18"/>
              </w:rPr>
            </w:pPr>
            <w:r>
              <w:rPr>
                <w:rFonts w:ascii="Arial" w:hAnsi="Arial" w:cs="Arial"/>
                <w:color w:val="000000"/>
                <w:sz w:val="18"/>
                <w:szCs w:val="18"/>
              </w:rPr>
              <w:t>0.140</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-0.003</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0.014</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-0.028</w:t>
            </w:r>
          </w:p>
        </w:tc>
        <w:tc>
          <w:tcPr>
            <w:tcW w:w="956" w:type="dxa"/>
            <w:tcBorders>
              <w:top w:val="single" w:sz="4" w:space="0" w:color="000000"/>
              <w:left w:val="nil"/>
              <w:bottom w:val="single" w:sz="4" w:space="0" w:color="000000"/>
              <w:right w:val="single" w:sz="12"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0.004</w:t>
            </w:r>
          </w:p>
        </w:tc>
      </w:tr>
      <w:tr w:rsidR="009E6FAE" w:rsidRPr="00C05F0A" w:rsidTr="00F42E7F">
        <w:trPr>
          <w:trHeight w:val="243"/>
        </w:trPr>
        <w:tc>
          <w:tcPr>
            <w:tcW w:w="1277" w:type="dxa"/>
            <w:tcBorders>
              <w:top w:val="single" w:sz="4" w:space="0" w:color="000000"/>
              <w:left w:val="single" w:sz="12" w:space="0" w:color="000000"/>
              <w:bottom w:val="single" w:sz="4" w:space="0" w:color="000000"/>
              <w:right w:val="single" w:sz="12" w:space="0" w:color="000000"/>
            </w:tcBorders>
            <w:shd w:val="clear" w:color="auto" w:fill="auto"/>
            <w:vAlign w:val="center"/>
            <w:hideMark/>
          </w:tcPr>
          <w:p w:rsidR="009E6FAE" w:rsidRPr="00C05F0A" w:rsidRDefault="009E6FA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GPSup5</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0.046</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0.119</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Default="009E6FAE" w:rsidP="009E6FAE">
            <w:pPr>
              <w:contextualSpacing/>
              <w:jc w:val="right"/>
              <w:rPr>
                <w:rFonts w:ascii="Arial" w:hAnsi="Arial" w:cs="Arial"/>
                <w:color w:val="000000"/>
                <w:sz w:val="18"/>
                <w:szCs w:val="18"/>
              </w:rPr>
            </w:pPr>
            <w:r>
              <w:rPr>
                <w:rFonts w:ascii="Arial" w:hAnsi="Arial" w:cs="Arial"/>
                <w:color w:val="000000"/>
                <w:sz w:val="18"/>
                <w:szCs w:val="18"/>
              </w:rPr>
              <w:t>0.079</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Default="009E6FAE" w:rsidP="009E6FAE">
            <w:pPr>
              <w:contextualSpacing/>
              <w:jc w:val="right"/>
              <w:rPr>
                <w:rFonts w:ascii="Arial" w:hAnsi="Arial" w:cs="Arial"/>
                <w:color w:val="000000"/>
                <w:sz w:val="18"/>
                <w:szCs w:val="18"/>
              </w:rPr>
            </w:pPr>
            <w:r>
              <w:rPr>
                <w:rFonts w:ascii="Arial" w:hAnsi="Arial" w:cs="Arial"/>
                <w:color w:val="000000"/>
                <w:sz w:val="18"/>
                <w:szCs w:val="18"/>
              </w:rPr>
              <w:t>0.142</w:t>
            </w:r>
          </w:p>
        </w:tc>
        <w:tc>
          <w:tcPr>
            <w:tcW w:w="955"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0.018</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0.033</w:t>
            </w:r>
          </w:p>
        </w:tc>
        <w:tc>
          <w:tcPr>
            <w:tcW w:w="956" w:type="dxa"/>
            <w:tcBorders>
              <w:top w:val="single" w:sz="4" w:space="0" w:color="000000"/>
              <w:left w:val="nil"/>
              <w:bottom w:val="single" w:sz="4"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0.015</w:t>
            </w:r>
          </w:p>
        </w:tc>
        <w:tc>
          <w:tcPr>
            <w:tcW w:w="956" w:type="dxa"/>
            <w:tcBorders>
              <w:top w:val="single" w:sz="4" w:space="0" w:color="000000"/>
              <w:left w:val="nil"/>
              <w:bottom w:val="single" w:sz="4" w:space="0" w:color="000000"/>
              <w:right w:val="single" w:sz="12"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0.034</w:t>
            </w:r>
          </w:p>
        </w:tc>
      </w:tr>
      <w:tr w:rsidR="009E6FAE" w:rsidRPr="00C05F0A" w:rsidTr="00F42E7F">
        <w:trPr>
          <w:trHeight w:val="255"/>
        </w:trPr>
        <w:tc>
          <w:tcPr>
            <w:tcW w:w="1277" w:type="dxa"/>
            <w:tcBorders>
              <w:top w:val="single" w:sz="4" w:space="0" w:color="000000"/>
              <w:left w:val="single" w:sz="12" w:space="0" w:color="000000"/>
              <w:bottom w:val="single" w:sz="12" w:space="0" w:color="000000"/>
              <w:right w:val="single" w:sz="12" w:space="0" w:color="000000"/>
            </w:tcBorders>
            <w:shd w:val="clear" w:color="auto" w:fill="auto"/>
            <w:vAlign w:val="center"/>
            <w:hideMark/>
          </w:tcPr>
          <w:p w:rsidR="009E6FAE" w:rsidRPr="00C05F0A" w:rsidRDefault="009E6FAE" w:rsidP="00F42E7F">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GPSup10</w:t>
            </w:r>
          </w:p>
        </w:tc>
        <w:tc>
          <w:tcPr>
            <w:tcW w:w="955" w:type="dxa"/>
            <w:tcBorders>
              <w:top w:val="single" w:sz="4" w:space="0" w:color="000000"/>
              <w:left w:val="nil"/>
              <w:bottom w:val="single" w:sz="12"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0.032</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0.104</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9E6FAE" w:rsidRDefault="009E6FAE" w:rsidP="009E6FAE">
            <w:pPr>
              <w:contextualSpacing/>
              <w:jc w:val="right"/>
              <w:rPr>
                <w:rFonts w:ascii="Arial" w:hAnsi="Arial" w:cs="Arial"/>
                <w:color w:val="000000"/>
                <w:sz w:val="18"/>
                <w:szCs w:val="18"/>
              </w:rPr>
            </w:pPr>
            <w:r>
              <w:rPr>
                <w:rFonts w:ascii="Arial" w:hAnsi="Arial" w:cs="Arial"/>
                <w:color w:val="000000"/>
                <w:sz w:val="18"/>
                <w:szCs w:val="18"/>
              </w:rPr>
              <w:t>0.585</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9E6FAE" w:rsidRDefault="009E6FAE" w:rsidP="009E6FAE">
            <w:pPr>
              <w:contextualSpacing/>
              <w:jc w:val="right"/>
              <w:rPr>
                <w:rFonts w:ascii="Arial" w:hAnsi="Arial" w:cs="Arial"/>
                <w:color w:val="000000"/>
                <w:sz w:val="18"/>
                <w:szCs w:val="18"/>
              </w:rPr>
            </w:pPr>
            <w:r>
              <w:rPr>
                <w:rFonts w:ascii="Arial" w:hAnsi="Arial" w:cs="Arial"/>
                <w:color w:val="000000"/>
                <w:sz w:val="18"/>
                <w:szCs w:val="18"/>
              </w:rPr>
              <w:t>0.488</w:t>
            </w:r>
          </w:p>
        </w:tc>
        <w:tc>
          <w:tcPr>
            <w:tcW w:w="955" w:type="dxa"/>
            <w:tcBorders>
              <w:top w:val="single" w:sz="4" w:space="0" w:color="000000"/>
              <w:left w:val="nil"/>
              <w:bottom w:val="single" w:sz="12"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0.020</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0.035</w:t>
            </w:r>
          </w:p>
        </w:tc>
        <w:tc>
          <w:tcPr>
            <w:tcW w:w="956" w:type="dxa"/>
            <w:tcBorders>
              <w:top w:val="single" w:sz="4" w:space="0" w:color="000000"/>
              <w:left w:val="nil"/>
              <w:bottom w:val="single" w:sz="12" w:space="0" w:color="000000"/>
              <w:right w:val="single" w:sz="4"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0.025</w:t>
            </w:r>
          </w:p>
        </w:tc>
        <w:tc>
          <w:tcPr>
            <w:tcW w:w="956" w:type="dxa"/>
            <w:tcBorders>
              <w:top w:val="single" w:sz="4" w:space="0" w:color="000000"/>
              <w:left w:val="nil"/>
              <w:bottom w:val="single" w:sz="12" w:space="0" w:color="000000"/>
              <w:right w:val="single" w:sz="12" w:space="0" w:color="000000"/>
            </w:tcBorders>
            <w:shd w:val="clear" w:color="auto" w:fill="auto"/>
            <w:noWrap/>
            <w:vAlign w:val="center"/>
            <w:hideMark/>
          </w:tcPr>
          <w:p w:rsidR="009E6FAE" w:rsidRPr="00C05F0A" w:rsidRDefault="009E6FAE" w:rsidP="004D4088">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0.041</w:t>
            </w:r>
          </w:p>
        </w:tc>
      </w:tr>
    </w:tbl>
    <w:p w:rsidR="004D4088" w:rsidRDefault="004D4088" w:rsidP="004D4088">
      <w:pPr>
        <w:rPr>
          <w:rFonts w:ascii="Arial" w:hAnsi="Arial" w:cs="Arial"/>
          <w:b/>
        </w:rPr>
      </w:pPr>
    </w:p>
    <w:p w:rsidR="004D4088" w:rsidRDefault="004D4088" w:rsidP="004D4088">
      <w:pPr>
        <w:autoSpaceDE w:val="0"/>
        <w:autoSpaceDN w:val="0"/>
        <w:adjustRightInd w:val="0"/>
        <w:rPr>
          <w:rFonts w:ascii="Arial" w:hAnsi="Arial" w:cs="Arial"/>
          <w:b/>
        </w:rPr>
      </w:pPr>
      <w:r>
        <w:rPr>
          <w:rFonts w:ascii="Arial" w:hAnsi="Arial" w:cs="Arial"/>
          <w:b/>
        </w:rPr>
        <w:t>3</w:t>
      </w:r>
      <w:r w:rsidRPr="00180CFC">
        <w:rPr>
          <w:rFonts w:ascii="Arial" w:hAnsi="Arial" w:cs="Arial"/>
          <w:b/>
        </w:rPr>
        <w:t>.</w:t>
      </w:r>
      <w:r>
        <w:rPr>
          <w:rFonts w:ascii="Arial" w:hAnsi="Arial" w:cs="Arial"/>
          <w:b/>
        </w:rPr>
        <w:t>2</w:t>
      </w:r>
      <w:r w:rsidRPr="00180CFC">
        <w:rPr>
          <w:rFonts w:ascii="Arial" w:hAnsi="Arial" w:cs="Arial"/>
          <w:b/>
        </w:rPr>
        <w:t xml:space="preserve"> </w:t>
      </w:r>
      <w:r>
        <w:rPr>
          <w:rFonts w:ascii="Arial" w:hAnsi="Arial" w:cs="Arial"/>
          <w:b/>
        </w:rPr>
        <w:t>Performance of supply variables in regression analysis</w:t>
      </w:r>
    </w:p>
    <w:p w:rsidR="004D4088" w:rsidRDefault="004D4088" w:rsidP="004D4088">
      <w:pPr>
        <w:jc w:val="both"/>
        <w:rPr>
          <w:rFonts w:ascii="Arial" w:hAnsi="Arial" w:cs="Arial"/>
        </w:rPr>
      </w:pPr>
      <w:r>
        <w:rPr>
          <w:rFonts w:ascii="Arial" w:hAnsi="Arial" w:cs="Arial"/>
        </w:rPr>
        <w:t xml:space="preserve">Adjusted R-squared values </w:t>
      </w:r>
      <w:r w:rsidRPr="00180CFC">
        <w:rPr>
          <w:rFonts w:ascii="Arial" w:hAnsi="Arial" w:cs="Arial"/>
        </w:rPr>
        <w:t>are</w:t>
      </w:r>
      <w:r>
        <w:rPr>
          <w:rFonts w:ascii="Arial" w:hAnsi="Arial" w:cs="Arial"/>
        </w:rPr>
        <w:t xml:space="preserve"> </w:t>
      </w:r>
      <w:r w:rsidRPr="00180CFC">
        <w:rPr>
          <w:rFonts w:ascii="Arial" w:hAnsi="Arial" w:cs="Arial"/>
        </w:rPr>
        <w:t>used as a goodness of fit measure</w:t>
      </w:r>
      <w:r>
        <w:rPr>
          <w:rFonts w:ascii="Arial" w:hAnsi="Arial" w:cs="Arial"/>
        </w:rPr>
        <w:t>, indicating the amount of variation in the observations that is explained by a model</w:t>
      </w:r>
      <w:r w:rsidRPr="00180CFC">
        <w:rPr>
          <w:rFonts w:ascii="Arial" w:hAnsi="Arial" w:cs="Arial"/>
        </w:rPr>
        <w:t>. The</w:t>
      </w:r>
      <w:r>
        <w:rPr>
          <w:rFonts w:ascii="Arial" w:hAnsi="Arial" w:cs="Arial"/>
        </w:rPr>
        <w:t xml:space="preserve"> performance of</w:t>
      </w:r>
      <w:r w:rsidRPr="00180CFC">
        <w:rPr>
          <w:rFonts w:ascii="Arial" w:hAnsi="Arial" w:cs="Arial"/>
        </w:rPr>
        <w:t xml:space="preserve"> </w:t>
      </w:r>
      <w:r>
        <w:rPr>
          <w:rFonts w:ascii="Arial" w:hAnsi="Arial" w:cs="Arial"/>
        </w:rPr>
        <w:t>the different supply variables (or pairs of variables)</w:t>
      </w:r>
      <w:r w:rsidR="00710204">
        <w:rPr>
          <w:rFonts w:ascii="Arial" w:hAnsi="Arial" w:cs="Arial"/>
        </w:rPr>
        <w:t>,</w:t>
      </w:r>
      <w:r w:rsidRPr="00180CFC">
        <w:rPr>
          <w:rFonts w:ascii="Arial" w:hAnsi="Arial" w:cs="Arial"/>
        </w:rPr>
        <w:t xml:space="preserve"> </w:t>
      </w:r>
      <w:r>
        <w:rPr>
          <w:rFonts w:ascii="Arial" w:hAnsi="Arial" w:cs="Arial"/>
        </w:rPr>
        <w:t xml:space="preserve">when entered </w:t>
      </w:r>
      <w:r w:rsidR="00235B89">
        <w:rPr>
          <w:rFonts w:ascii="Arial" w:hAnsi="Arial" w:cs="Arial"/>
        </w:rPr>
        <w:t xml:space="preserve">into the regression model </w:t>
      </w:r>
      <w:r>
        <w:rPr>
          <w:rFonts w:ascii="Arial" w:hAnsi="Arial" w:cs="Arial"/>
        </w:rPr>
        <w:t xml:space="preserve">along with the current needs </w:t>
      </w:r>
      <w:r w:rsidR="00235B89">
        <w:rPr>
          <w:rFonts w:ascii="Arial" w:hAnsi="Arial" w:cs="Arial"/>
        </w:rPr>
        <w:t>index and health board dummies</w:t>
      </w:r>
      <w:r w:rsidR="00710204">
        <w:rPr>
          <w:rFonts w:ascii="Arial" w:hAnsi="Arial" w:cs="Arial"/>
        </w:rPr>
        <w:t>,</w:t>
      </w:r>
      <w:r w:rsidR="00235B89">
        <w:rPr>
          <w:rFonts w:ascii="Arial" w:hAnsi="Arial" w:cs="Arial"/>
        </w:rPr>
        <w:t xml:space="preserve"> </w:t>
      </w:r>
      <w:r>
        <w:rPr>
          <w:rFonts w:ascii="Arial" w:hAnsi="Arial" w:cs="Arial"/>
        </w:rPr>
        <w:t>has been examined</w:t>
      </w:r>
      <w:r w:rsidR="00710204">
        <w:rPr>
          <w:rFonts w:ascii="Arial" w:hAnsi="Arial" w:cs="Arial"/>
        </w:rPr>
        <w:t xml:space="preserve"> by looking at R-squared</w:t>
      </w:r>
      <w:r w:rsidRPr="00180CFC">
        <w:rPr>
          <w:rFonts w:ascii="Arial" w:hAnsi="Arial" w:cs="Arial"/>
        </w:rPr>
        <w:t>.</w:t>
      </w:r>
      <w:r>
        <w:rPr>
          <w:rFonts w:ascii="Arial" w:hAnsi="Arial" w:cs="Arial"/>
        </w:rPr>
        <w:t xml:space="preserve"> </w:t>
      </w:r>
      <w:r w:rsidR="00235B89">
        <w:rPr>
          <w:rFonts w:ascii="Arial" w:hAnsi="Arial" w:cs="Arial"/>
        </w:rPr>
        <w:t>Table 6 shows the results</w:t>
      </w:r>
      <w:r w:rsidR="002A00CC">
        <w:rPr>
          <w:rFonts w:ascii="Arial" w:hAnsi="Arial" w:cs="Arial"/>
        </w:rPr>
        <w:t>, for the best-performing supply variable options</w:t>
      </w:r>
      <w:r w:rsidR="00235B89">
        <w:rPr>
          <w:rFonts w:ascii="Arial" w:hAnsi="Arial" w:cs="Arial"/>
        </w:rPr>
        <w:t>.</w:t>
      </w:r>
    </w:p>
    <w:p w:rsidR="00710204" w:rsidRPr="00710204" w:rsidRDefault="00710204" w:rsidP="00710204">
      <w:pPr>
        <w:jc w:val="both"/>
        <w:rPr>
          <w:rFonts w:ascii="Arial" w:hAnsi="Arial" w:cs="Arial"/>
        </w:rPr>
      </w:pPr>
      <w:r>
        <w:rPr>
          <w:rFonts w:ascii="Arial" w:hAnsi="Arial" w:cs="Arial"/>
        </w:rPr>
        <w:t xml:space="preserve">While </w:t>
      </w:r>
      <w:proofErr w:type="spellStart"/>
      <w:r>
        <w:rPr>
          <w:rFonts w:ascii="Arial" w:hAnsi="Arial" w:cs="Arial"/>
        </w:rPr>
        <w:t>GPSup</w:t>
      </w:r>
      <w:proofErr w:type="spellEnd"/>
      <w:r>
        <w:rPr>
          <w:rFonts w:ascii="Arial" w:hAnsi="Arial" w:cs="Arial"/>
        </w:rPr>
        <w:t xml:space="preserve"> did not perform well, it was the best of the GP supply variables and since it is not highly correlated with the hospital supply variables and is conceptually different, a combined </w:t>
      </w:r>
      <w:proofErr w:type="spellStart"/>
      <w:r>
        <w:rPr>
          <w:rFonts w:ascii="Arial" w:hAnsi="Arial" w:cs="Arial"/>
        </w:rPr>
        <w:t>GPSup</w:t>
      </w:r>
      <w:proofErr w:type="spellEnd"/>
      <w:r>
        <w:rPr>
          <w:rFonts w:ascii="Arial" w:hAnsi="Arial" w:cs="Arial"/>
        </w:rPr>
        <w:t>-IPACX-OPACX option is analysed.</w:t>
      </w:r>
    </w:p>
    <w:p w:rsidR="00B4697E" w:rsidRPr="00A65DAD" w:rsidRDefault="00235B89" w:rsidP="00A65DAD">
      <w:pPr>
        <w:jc w:val="both"/>
        <w:rPr>
          <w:rFonts w:ascii="Arial" w:hAnsi="Arial" w:cs="Arial"/>
        </w:rPr>
      </w:pPr>
      <w:r>
        <w:rPr>
          <w:rFonts w:ascii="Arial" w:hAnsi="Arial" w:cs="Arial"/>
        </w:rPr>
        <w:t xml:space="preserve">The methodology </w:t>
      </w:r>
      <w:r w:rsidR="00710204">
        <w:rPr>
          <w:rFonts w:ascii="Arial" w:hAnsi="Arial" w:cs="Arial"/>
        </w:rPr>
        <w:t xml:space="preserve">of the 2007 NRAC review </w:t>
      </w:r>
      <w:r>
        <w:rPr>
          <w:rFonts w:ascii="Arial" w:hAnsi="Arial" w:cs="Arial"/>
        </w:rPr>
        <w:t xml:space="preserve">treated the hospital supply variables as pairs, with the inpatient and outpatient components for each variant taken together. However, since most hospitals are both inpatient and outpatient facilities, these variables are highly correlated (see Table 3), and so it may be </w:t>
      </w:r>
      <w:r w:rsidR="00710204">
        <w:rPr>
          <w:rFonts w:ascii="Arial" w:hAnsi="Arial" w:cs="Arial"/>
        </w:rPr>
        <w:t>more reasonable</w:t>
      </w:r>
      <w:r>
        <w:rPr>
          <w:rFonts w:ascii="Arial" w:hAnsi="Arial" w:cs="Arial"/>
        </w:rPr>
        <w:t xml:space="preserve"> to use only one of the pair. Table 6 </w:t>
      </w:r>
      <w:r w:rsidR="002A00CC">
        <w:rPr>
          <w:rFonts w:ascii="Arial" w:hAnsi="Arial" w:cs="Arial"/>
        </w:rPr>
        <w:t xml:space="preserve">therefore </w:t>
      </w:r>
      <w:r>
        <w:rPr>
          <w:rFonts w:ascii="Arial" w:hAnsi="Arial" w:cs="Arial"/>
        </w:rPr>
        <w:t>includes results for IPACX alone and OPACX alone</w:t>
      </w:r>
      <w:r w:rsidR="006C2FEC">
        <w:rPr>
          <w:rFonts w:ascii="Arial" w:hAnsi="Arial" w:cs="Arial"/>
        </w:rPr>
        <w:t xml:space="preserve">; </w:t>
      </w:r>
      <w:r w:rsidR="00710204">
        <w:rPr>
          <w:rFonts w:ascii="Arial" w:hAnsi="Arial" w:cs="Arial"/>
        </w:rPr>
        <w:t xml:space="preserve">for face validity reasons, </w:t>
      </w:r>
      <w:r w:rsidR="006C2FEC">
        <w:rPr>
          <w:rFonts w:ascii="Arial" w:hAnsi="Arial" w:cs="Arial"/>
        </w:rPr>
        <w:t>OPACX is applied to the Outpatients group while IPACX is applied to all inpatient diagnostic groups.</w:t>
      </w:r>
    </w:p>
    <w:p w:rsidR="00B42D09" w:rsidRPr="00B42D09" w:rsidRDefault="00B42D09" w:rsidP="00B42D09">
      <w:pPr>
        <w:spacing w:after="0"/>
        <w:rPr>
          <w:rFonts w:ascii="Arial" w:hAnsi="Arial" w:cs="Arial"/>
          <w:i/>
        </w:rPr>
      </w:pPr>
      <w:r>
        <w:rPr>
          <w:rFonts w:ascii="Arial" w:hAnsi="Arial" w:cs="Arial"/>
          <w:i/>
        </w:rPr>
        <w:t>Table 6</w:t>
      </w:r>
      <w:r w:rsidRPr="00B42D09">
        <w:rPr>
          <w:rFonts w:ascii="Arial" w:hAnsi="Arial" w:cs="Arial"/>
          <w:i/>
        </w:rPr>
        <w:t>: Adjusted R</w:t>
      </w:r>
      <w:r w:rsidRPr="00B42D09">
        <w:rPr>
          <w:rFonts w:ascii="Arial" w:hAnsi="Arial" w:cs="Arial"/>
          <w:i/>
          <w:vertAlign w:val="superscript"/>
        </w:rPr>
        <w:t>2</w:t>
      </w:r>
      <w:r w:rsidRPr="00B42D09">
        <w:rPr>
          <w:rFonts w:ascii="Arial" w:hAnsi="Arial" w:cs="Arial"/>
          <w:i/>
        </w:rPr>
        <w:t xml:space="preserve"> values</w:t>
      </w:r>
    </w:p>
    <w:tbl>
      <w:tblPr>
        <w:tblW w:w="9606" w:type="dxa"/>
        <w:tblLayout w:type="fixed"/>
        <w:tblLook w:val="04A0"/>
      </w:tblPr>
      <w:tblGrid>
        <w:gridCol w:w="2660"/>
        <w:gridCol w:w="868"/>
        <w:gridCol w:w="868"/>
        <w:gridCol w:w="868"/>
        <w:gridCol w:w="869"/>
        <w:gridCol w:w="868"/>
        <w:gridCol w:w="868"/>
        <w:gridCol w:w="868"/>
        <w:gridCol w:w="869"/>
      </w:tblGrid>
      <w:tr w:rsidR="00B42D09" w:rsidRPr="00235B89" w:rsidTr="00235B89">
        <w:trPr>
          <w:cantSplit/>
          <w:trHeight w:val="144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D09" w:rsidRPr="00235B89" w:rsidRDefault="00B42D09" w:rsidP="00B42D09">
            <w:pPr>
              <w:jc w:val="center"/>
              <w:rPr>
                <w:rFonts w:ascii="Arial" w:hAnsi="Arial" w:cs="Arial"/>
                <w:b/>
                <w:sz w:val="20"/>
                <w:szCs w:val="20"/>
              </w:rPr>
            </w:pPr>
            <w:r w:rsidRPr="00235B89">
              <w:rPr>
                <w:rFonts w:ascii="Arial" w:hAnsi="Arial" w:cs="Arial"/>
                <w:b/>
                <w:sz w:val="20"/>
                <w:szCs w:val="20"/>
              </w:rPr>
              <w:t>Option</w:t>
            </w:r>
          </w:p>
        </w:tc>
        <w:tc>
          <w:tcPr>
            <w:tcW w:w="868" w:type="dxa"/>
            <w:tcBorders>
              <w:top w:val="single" w:sz="4" w:space="0" w:color="auto"/>
              <w:left w:val="nil"/>
              <w:bottom w:val="single" w:sz="4" w:space="0" w:color="auto"/>
              <w:right w:val="single" w:sz="4" w:space="0" w:color="auto"/>
            </w:tcBorders>
            <w:textDirection w:val="btLr"/>
          </w:tcPr>
          <w:p w:rsidR="00B42D09" w:rsidRPr="00235B89" w:rsidRDefault="00235B89" w:rsidP="00B42D09">
            <w:pPr>
              <w:spacing w:before="240" w:after="0" w:line="240" w:lineRule="auto"/>
              <w:ind w:left="113" w:right="113"/>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Whole</w:t>
            </w:r>
            <w:r w:rsidR="00B42D09" w:rsidRPr="00235B89">
              <w:rPr>
                <w:rFonts w:ascii="Arial" w:eastAsia="Times New Roman" w:hAnsi="Arial" w:cs="Arial"/>
                <w:b/>
                <w:color w:val="000000"/>
                <w:sz w:val="20"/>
                <w:szCs w:val="20"/>
                <w:lang w:eastAsia="en-GB"/>
              </w:rPr>
              <w:t xml:space="preserve"> Acute </w:t>
            </w:r>
          </w:p>
        </w:tc>
        <w:tc>
          <w:tcPr>
            <w:tcW w:w="86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2D09" w:rsidRPr="00235B89" w:rsidRDefault="00B42D09" w:rsidP="00B42D09">
            <w:pPr>
              <w:spacing w:after="0" w:line="240" w:lineRule="auto"/>
              <w:ind w:left="113" w:right="113"/>
              <w:jc w:val="center"/>
              <w:rPr>
                <w:rFonts w:ascii="Arial" w:eastAsia="Times New Roman" w:hAnsi="Arial" w:cs="Arial"/>
                <w:b/>
                <w:color w:val="000000"/>
                <w:sz w:val="20"/>
                <w:szCs w:val="20"/>
                <w:lang w:eastAsia="en-GB"/>
              </w:rPr>
            </w:pPr>
            <w:r w:rsidRPr="00235B89">
              <w:rPr>
                <w:rFonts w:ascii="Arial" w:eastAsia="Times New Roman" w:hAnsi="Arial" w:cs="Arial"/>
                <w:b/>
                <w:color w:val="000000"/>
                <w:sz w:val="20"/>
                <w:szCs w:val="20"/>
                <w:lang w:eastAsia="en-GB"/>
              </w:rPr>
              <w:t>Cancer</w:t>
            </w:r>
          </w:p>
        </w:tc>
        <w:tc>
          <w:tcPr>
            <w:tcW w:w="8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D09" w:rsidRPr="00235B89" w:rsidRDefault="00B42D09" w:rsidP="00B42D09">
            <w:pPr>
              <w:spacing w:after="0" w:line="240" w:lineRule="auto"/>
              <w:ind w:left="113" w:right="113"/>
              <w:jc w:val="center"/>
              <w:rPr>
                <w:rFonts w:ascii="Arial" w:eastAsia="Times New Roman" w:hAnsi="Arial" w:cs="Arial"/>
                <w:b/>
                <w:color w:val="000000"/>
                <w:sz w:val="20"/>
                <w:szCs w:val="20"/>
                <w:lang w:eastAsia="en-GB"/>
              </w:rPr>
            </w:pPr>
            <w:r w:rsidRPr="00235B89">
              <w:rPr>
                <w:rFonts w:ascii="Arial" w:eastAsia="Times New Roman" w:hAnsi="Arial" w:cs="Arial"/>
                <w:b/>
                <w:color w:val="000000"/>
                <w:sz w:val="20"/>
                <w:szCs w:val="20"/>
                <w:lang w:eastAsia="en-GB"/>
              </w:rPr>
              <w:t>Heart</w:t>
            </w:r>
          </w:p>
        </w:tc>
        <w:tc>
          <w:tcPr>
            <w:tcW w:w="8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D09" w:rsidRPr="00235B89" w:rsidRDefault="00B42D09" w:rsidP="00B42D09">
            <w:pPr>
              <w:spacing w:after="0" w:line="240" w:lineRule="auto"/>
              <w:ind w:left="113" w:right="113"/>
              <w:jc w:val="center"/>
              <w:rPr>
                <w:rFonts w:ascii="Arial" w:eastAsia="Times New Roman" w:hAnsi="Arial" w:cs="Arial"/>
                <w:b/>
                <w:color w:val="000000"/>
                <w:sz w:val="20"/>
                <w:szCs w:val="20"/>
                <w:lang w:eastAsia="en-GB"/>
              </w:rPr>
            </w:pPr>
            <w:r w:rsidRPr="00235B89">
              <w:rPr>
                <w:rFonts w:ascii="Arial" w:eastAsia="Times New Roman" w:hAnsi="Arial" w:cs="Arial"/>
                <w:b/>
                <w:color w:val="000000"/>
                <w:sz w:val="20"/>
                <w:szCs w:val="20"/>
                <w:lang w:eastAsia="en-GB"/>
              </w:rPr>
              <w:t>Digestive</w:t>
            </w:r>
          </w:p>
        </w:tc>
        <w:tc>
          <w:tcPr>
            <w:tcW w:w="8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D09" w:rsidRPr="00235B89" w:rsidRDefault="00B42D09" w:rsidP="00B42D09">
            <w:pPr>
              <w:spacing w:after="0" w:line="240" w:lineRule="auto"/>
              <w:ind w:left="113" w:right="113"/>
              <w:jc w:val="center"/>
              <w:rPr>
                <w:rFonts w:ascii="Arial" w:eastAsia="Times New Roman" w:hAnsi="Arial" w:cs="Arial"/>
                <w:b/>
                <w:color w:val="000000"/>
                <w:sz w:val="20"/>
                <w:szCs w:val="20"/>
                <w:lang w:eastAsia="en-GB"/>
              </w:rPr>
            </w:pPr>
            <w:r w:rsidRPr="00235B89">
              <w:rPr>
                <w:rFonts w:ascii="Arial" w:eastAsia="Times New Roman" w:hAnsi="Arial" w:cs="Arial"/>
                <w:b/>
                <w:color w:val="000000"/>
                <w:sz w:val="20"/>
                <w:szCs w:val="20"/>
                <w:lang w:eastAsia="en-GB"/>
              </w:rPr>
              <w:t>Injury</w:t>
            </w:r>
          </w:p>
        </w:tc>
        <w:tc>
          <w:tcPr>
            <w:tcW w:w="8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D09" w:rsidRPr="00235B89" w:rsidRDefault="00B42D09" w:rsidP="00B42D09">
            <w:pPr>
              <w:spacing w:after="0" w:line="240" w:lineRule="auto"/>
              <w:ind w:left="113" w:right="113"/>
              <w:jc w:val="center"/>
              <w:rPr>
                <w:rFonts w:ascii="Arial" w:eastAsia="Times New Roman" w:hAnsi="Arial" w:cs="Arial"/>
                <w:b/>
                <w:color w:val="000000"/>
                <w:sz w:val="20"/>
                <w:szCs w:val="20"/>
                <w:lang w:eastAsia="en-GB"/>
              </w:rPr>
            </w:pPr>
            <w:r w:rsidRPr="00235B89">
              <w:rPr>
                <w:rFonts w:ascii="Arial" w:eastAsia="Times New Roman" w:hAnsi="Arial" w:cs="Arial"/>
                <w:b/>
                <w:color w:val="000000"/>
                <w:sz w:val="20"/>
                <w:szCs w:val="20"/>
                <w:lang w:eastAsia="en-GB"/>
              </w:rPr>
              <w:t>Other</w:t>
            </w:r>
          </w:p>
        </w:tc>
        <w:tc>
          <w:tcPr>
            <w:tcW w:w="8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D09" w:rsidRPr="00235B89" w:rsidRDefault="00B42D09" w:rsidP="00B42D09">
            <w:pPr>
              <w:spacing w:after="0" w:line="240" w:lineRule="auto"/>
              <w:ind w:left="113" w:right="113"/>
              <w:jc w:val="center"/>
              <w:rPr>
                <w:rFonts w:ascii="Arial" w:eastAsia="Times New Roman" w:hAnsi="Arial" w:cs="Arial"/>
                <w:b/>
                <w:color w:val="000000"/>
                <w:sz w:val="20"/>
                <w:szCs w:val="20"/>
                <w:lang w:eastAsia="en-GB"/>
              </w:rPr>
            </w:pPr>
            <w:r w:rsidRPr="00235B89">
              <w:rPr>
                <w:rFonts w:ascii="Arial" w:eastAsia="Times New Roman" w:hAnsi="Arial" w:cs="Arial"/>
                <w:b/>
                <w:color w:val="000000"/>
                <w:sz w:val="20"/>
                <w:szCs w:val="20"/>
                <w:lang w:eastAsia="en-GB"/>
              </w:rPr>
              <w:t>Respiratory</w:t>
            </w:r>
          </w:p>
        </w:tc>
        <w:tc>
          <w:tcPr>
            <w:tcW w:w="8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D09" w:rsidRPr="00235B89" w:rsidRDefault="00B42D09" w:rsidP="00B42D09">
            <w:pPr>
              <w:spacing w:after="0" w:line="240" w:lineRule="auto"/>
              <w:ind w:left="113" w:right="113"/>
              <w:jc w:val="center"/>
              <w:rPr>
                <w:rFonts w:ascii="Arial" w:eastAsia="Times New Roman" w:hAnsi="Arial" w:cs="Arial"/>
                <w:b/>
                <w:color w:val="000000"/>
                <w:sz w:val="20"/>
                <w:szCs w:val="20"/>
                <w:lang w:eastAsia="en-GB"/>
              </w:rPr>
            </w:pPr>
            <w:r w:rsidRPr="00235B89">
              <w:rPr>
                <w:rFonts w:ascii="Arial" w:eastAsia="Times New Roman" w:hAnsi="Arial" w:cs="Arial"/>
                <w:b/>
                <w:color w:val="000000"/>
                <w:sz w:val="20"/>
                <w:szCs w:val="20"/>
                <w:lang w:eastAsia="en-GB"/>
              </w:rPr>
              <w:t>Outpatients</w:t>
            </w:r>
          </w:p>
        </w:tc>
      </w:tr>
      <w:tr w:rsidR="00DA1459" w:rsidRPr="00235B89" w:rsidTr="008752C8">
        <w:trPr>
          <w:trHeight w:val="342"/>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459" w:rsidRPr="00235B89" w:rsidRDefault="00DA1459" w:rsidP="008752C8">
            <w:pPr>
              <w:spacing w:after="0" w:line="240" w:lineRule="auto"/>
              <w:contextualSpacing/>
              <w:rPr>
                <w:rFonts w:ascii="Arial" w:eastAsia="Times New Roman" w:hAnsi="Arial" w:cs="Arial"/>
                <w:color w:val="000000"/>
                <w:sz w:val="20"/>
                <w:szCs w:val="20"/>
                <w:lang w:eastAsia="en-GB"/>
              </w:rPr>
            </w:pPr>
            <w:r w:rsidRPr="00235B89">
              <w:rPr>
                <w:rFonts w:ascii="Arial" w:eastAsia="Times New Roman" w:hAnsi="Arial" w:cs="Arial"/>
                <w:color w:val="000000"/>
                <w:sz w:val="20"/>
                <w:szCs w:val="20"/>
                <w:lang w:eastAsia="en-GB"/>
              </w:rPr>
              <w:t>IPAC + OPAC</w:t>
            </w:r>
          </w:p>
        </w:tc>
        <w:tc>
          <w:tcPr>
            <w:tcW w:w="868" w:type="dxa"/>
            <w:tcBorders>
              <w:top w:val="single" w:sz="4" w:space="0" w:color="auto"/>
              <w:left w:val="nil"/>
              <w:bottom w:val="single" w:sz="4" w:space="0" w:color="auto"/>
              <w:right w:val="single" w:sz="4" w:space="0" w:color="auto"/>
            </w:tcBorders>
            <w:shd w:val="clear" w:color="auto" w:fill="auto"/>
            <w:vAlign w:val="center"/>
          </w:tcPr>
          <w:p w:rsidR="00DA1459" w:rsidRPr="00235B89" w:rsidRDefault="00DA1459" w:rsidP="008752C8">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58.8%</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DA1459" w:rsidRPr="00235B89" w:rsidRDefault="00DA1459" w:rsidP="008752C8">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10.7%</w:t>
            </w:r>
          </w:p>
        </w:tc>
        <w:tc>
          <w:tcPr>
            <w:tcW w:w="868" w:type="dxa"/>
            <w:tcBorders>
              <w:top w:val="nil"/>
              <w:left w:val="nil"/>
              <w:bottom w:val="single" w:sz="4" w:space="0" w:color="auto"/>
              <w:right w:val="single" w:sz="4" w:space="0" w:color="auto"/>
            </w:tcBorders>
            <w:shd w:val="clear" w:color="auto" w:fill="auto"/>
            <w:noWrap/>
            <w:vAlign w:val="center"/>
            <w:hideMark/>
          </w:tcPr>
          <w:p w:rsidR="00DA1459" w:rsidRPr="00235B89" w:rsidRDefault="00DA1459" w:rsidP="008752C8">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20.5%</w:t>
            </w:r>
          </w:p>
        </w:tc>
        <w:tc>
          <w:tcPr>
            <w:tcW w:w="869" w:type="dxa"/>
            <w:tcBorders>
              <w:top w:val="nil"/>
              <w:left w:val="nil"/>
              <w:bottom w:val="single" w:sz="4" w:space="0" w:color="auto"/>
              <w:right w:val="single" w:sz="4" w:space="0" w:color="auto"/>
            </w:tcBorders>
            <w:shd w:val="clear" w:color="auto" w:fill="auto"/>
            <w:noWrap/>
            <w:vAlign w:val="center"/>
            <w:hideMark/>
          </w:tcPr>
          <w:p w:rsidR="00DA1459" w:rsidRPr="00235B89" w:rsidRDefault="00DA1459" w:rsidP="008752C8">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38.3%</w:t>
            </w:r>
          </w:p>
        </w:tc>
        <w:tc>
          <w:tcPr>
            <w:tcW w:w="868" w:type="dxa"/>
            <w:tcBorders>
              <w:top w:val="nil"/>
              <w:left w:val="nil"/>
              <w:bottom w:val="single" w:sz="4" w:space="0" w:color="auto"/>
              <w:right w:val="single" w:sz="4" w:space="0" w:color="auto"/>
            </w:tcBorders>
            <w:shd w:val="clear" w:color="auto" w:fill="auto"/>
            <w:noWrap/>
            <w:vAlign w:val="center"/>
            <w:hideMark/>
          </w:tcPr>
          <w:p w:rsidR="00DA1459" w:rsidRPr="00235B89" w:rsidRDefault="00DA1459" w:rsidP="008752C8">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25.8%</w:t>
            </w:r>
          </w:p>
        </w:tc>
        <w:tc>
          <w:tcPr>
            <w:tcW w:w="868" w:type="dxa"/>
            <w:tcBorders>
              <w:top w:val="nil"/>
              <w:left w:val="nil"/>
              <w:bottom w:val="single" w:sz="4" w:space="0" w:color="auto"/>
              <w:right w:val="single" w:sz="4" w:space="0" w:color="auto"/>
            </w:tcBorders>
            <w:shd w:val="clear" w:color="auto" w:fill="auto"/>
            <w:noWrap/>
            <w:vAlign w:val="center"/>
            <w:hideMark/>
          </w:tcPr>
          <w:p w:rsidR="00DA1459" w:rsidRPr="00235B89" w:rsidRDefault="00DA1459" w:rsidP="008752C8">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44.9%</w:t>
            </w:r>
          </w:p>
        </w:tc>
        <w:tc>
          <w:tcPr>
            <w:tcW w:w="868" w:type="dxa"/>
            <w:tcBorders>
              <w:top w:val="nil"/>
              <w:left w:val="nil"/>
              <w:bottom w:val="single" w:sz="4" w:space="0" w:color="auto"/>
              <w:right w:val="single" w:sz="4" w:space="0" w:color="auto"/>
            </w:tcBorders>
            <w:shd w:val="clear" w:color="auto" w:fill="auto"/>
            <w:noWrap/>
            <w:vAlign w:val="center"/>
            <w:hideMark/>
          </w:tcPr>
          <w:p w:rsidR="00DA1459" w:rsidRPr="00235B89" w:rsidRDefault="00DA1459" w:rsidP="008752C8">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37.1%</w:t>
            </w:r>
          </w:p>
        </w:tc>
        <w:tc>
          <w:tcPr>
            <w:tcW w:w="869" w:type="dxa"/>
            <w:tcBorders>
              <w:top w:val="nil"/>
              <w:left w:val="nil"/>
              <w:bottom w:val="single" w:sz="4" w:space="0" w:color="auto"/>
              <w:right w:val="single" w:sz="4" w:space="0" w:color="auto"/>
            </w:tcBorders>
            <w:shd w:val="clear" w:color="auto" w:fill="auto"/>
            <w:noWrap/>
            <w:vAlign w:val="center"/>
            <w:hideMark/>
          </w:tcPr>
          <w:p w:rsidR="00DA1459" w:rsidRPr="00235B89" w:rsidRDefault="00DA1459" w:rsidP="008752C8">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48.5%</w:t>
            </w:r>
          </w:p>
        </w:tc>
      </w:tr>
      <w:tr w:rsidR="00B42D09" w:rsidRPr="00235B89" w:rsidTr="00235B89">
        <w:trPr>
          <w:trHeight w:val="342"/>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D09" w:rsidRPr="00235B89" w:rsidRDefault="00B42D09" w:rsidP="00235B89">
            <w:pPr>
              <w:spacing w:after="0" w:line="240" w:lineRule="auto"/>
              <w:contextualSpacing/>
              <w:rPr>
                <w:rFonts w:ascii="Arial" w:eastAsia="Times New Roman" w:hAnsi="Arial" w:cs="Arial"/>
                <w:color w:val="000000"/>
                <w:sz w:val="20"/>
                <w:szCs w:val="20"/>
                <w:lang w:eastAsia="en-GB"/>
              </w:rPr>
            </w:pPr>
            <w:r w:rsidRPr="00235B89">
              <w:rPr>
                <w:rFonts w:ascii="Arial" w:eastAsia="Times New Roman" w:hAnsi="Arial" w:cs="Arial"/>
                <w:color w:val="000000"/>
                <w:sz w:val="20"/>
                <w:szCs w:val="20"/>
                <w:lang w:eastAsia="en-GB"/>
              </w:rPr>
              <w:t>IPACX + OPACX</w:t>
            </w:r>
          </w:p>
        </w:tc>
        <w:tc>
          <w:tcPr>
            <w:tcW w:w="868" w:type="dxa"/>
            <w:tcBorders>
              <w:top w:val="single" w:sz="4" w:space="0" w:color="auto"/>
              <w:left w:val="nil"/>
              <w:bottom w:val="single" w:sz="4" w:space="0" w:color="auto"/>
              <w:right w:val="single" w:sz="4" w:space="0" w:color="auto"/>
            </w:tcBorders>
            <w:shd w:val="clear" w:color="auto" w:fill="auto"/>
            <w:vAlign w:val="center"/>
          </w:tcPr>
          <w:p w:rsidR="00B42D09" w:rsidRPr="00235B89" w:rsidRDefault="00B42D09" w:rsidP="00235B89">
            <w:pPr>
              <w:spacing w:after="0" w:line="240" w:lineRule="auto"/>
              <w:contextualSpacing/>
              <w:jc w:val="center"/>
              <w:rPr>
                <w:rFonts w:ascii="Arial" w:eastAsia="Times New Roman" w:hAnsi="Arial" w:cs="Arial"/>
                <w:sz w:val="20"/>
                <w:szCs w:val="20"/>
                <w:lang w:eastAsia="en-GB"/>
              </w:rPr>
            </w:pPr>
            <w:r w:rsidRPr="00235B89">
              <w:rPr>
                <w:rFonts w:ascii="Arial" w:hAnsi="Arial" w:cs="Arial"/>
                <w:sz w:val="20"/>
                <w:szCs w:val="20"/>
              </w:rPr>
              <w:t>58.9%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B42D09" w:rsidRPr="00235B89" w:rsidRDefault="00B42D09" w:rsidP="00235B89">
            <w:pPr>
              <w:contextualSpacing/>
              <w:jc w:val="center"/>
              <w:rPr>
                <w:rFonts w:ascii="Arial" w:hAnsi="Arial" w:cs="Arial"/>
                <w:sz w:val="20"/>
                <w:szCs w:val="20"/>
              </w:rPr>
            </w:pPr>
            <w:r w:rsidRPr="00235B89">
              <w:rPr>
                <w:rFonts w:ascii="Arial" w:hAnsi="Arial" w:cs="Arial"/>
                <w:sz w:val="20"/>
                <w:szCs w:val="20"/>
              </w:rPr>
              <w:t>10.8%</w:t>
            </w:r>
          </w:p>
        </w:tc>
        <w:tc>
          <w:tcPr>
            <w:tcW w:w="868"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contextualSpacing/>
              <w:jc w:val="center"/>
              <w:rPr>
                <w:rFonts w:ascii="Arial" w:hAnsi="Arial" w:cs="Arial"/>
                <w:sz w:val="20"/>
                <w:szCs w:val="20"/>
              </w:rPr>
            </w:pPr>
            <w:r w:rsidRPr="00235B89">
              <w:rPr>
                <w:rFonts w:ascii="Arial" w:hAnsi="Arial" w:cs="Arial"/>
                <w:sz w:val="20"/>
                <w:szCs w:val="20"/>
              </w:rPr>
              <w:t>20.5%</w:t>
            </w:r>
          </w:p>
        </w:tc>
        <w:tc>
          <w:tcPr>
            <w:tcW w:w="869"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contextualSpacing/>
              <w:jc w:val="center"/>
              <w:rPr>
                <w:rFonts w:ascii="Arial" w:hAnsi="Arial" w:cs="Arial"/>
                <w:sz w:val="20"/>
                <w:szCs w:val="20"/>
              </w:rPr>
            </w:pPr>
            <w:r w:rsidRPr="00235B89">
              <w:rPr>
                <w:rFonts w:ascii="Arial" w:hAnsi="Arial" w:cs="Arial"/>
                <w:sz w:val="20"/>
                <w:szCs w:val="20"/>
              </w:rPr>
              <w:t>38.4%</w:t>
            </w:r>
          </w:p>
        </w:tc>
        <w:tc>
          <w:tcPr>
            <w:tcW w:w="868"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contextualSpacing/>
              <w:jc w:val="center"/>
              <w:rPr>
                <w:rFonts w:ascii="Arial" w:hAnsi="Arial" w:cs="Arial"/>
                <w:sz w:val="20"/>
                <w:szCs w:val="20"/>
              </w:rPr>
            </w:pPr>
            <w:r w:rsidRPr="00235B89">
              <w:rPr>
                <w:rFonts w:ascii="Arial" w:hAnsi="Arial" w:cs="Arial"/>
                <w:sz w:val="20"/>
                <w:szCs w:val="20"/>
              </w:rPr>
              <w:t>25.8%</w:t>
            </w:r>
          </w:p>
        </w:tc>
        <w:tc>
          <w:tcPr>
            <w:tcW w:w="868"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contextualSpacing/>
              <w:jc w:val="center"/>
              <w:rPr>
                <w:rFonts w:ascii="Arial" w:hAnsi="Arial" w:cs="Arial"/>
                <w:sz w:val="20"/>
                <w:szCs w:val="20"/>
              </w:rPr>
            </w:pPr>
            <w:r w:rsidRPr="00235B89">
              <w:rPr>
                <w:rFonts w:ascii="Arial" w:hAnsi="Arial" w:cs="Arial"/>
                <w:sz w:val="20"/>
                <w:szCs w:val="20"/>
              </w:rPr>
              <w:t>44.8%</w:t>
            </w:r>
          </w:p>
        </w:tc>
        <w:tc>
          <w:tcPr>
            <w:tcW w:w="868"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contextualSpacing/>
              <w:jc w:val="center"/>
              <w:rPr>
                <w:rFonts w:ascii="Arial" w:hAnsi="Arial" w:cs="Arial"/>
                <w:sz w:val="20"/>
                <w:szCs w:val="20"/>
              </w:rPr>
            </w:pPr>
            <w:r w:rsidRPr="00235B89">
              <w:rPr>
                <w:rFonts w:ascii="Arial" w:hAnsi="Arial" w:cs="Arial"/>
                <w:sz w:val="20"/>
                <w:szCs w:val="20"/>
              </w:rPr>
              <w:t>37.5%</w:t>
            </w:r>
          </w:p>
        </w:tc>
        <w:tc>
          <w:tcPr>
            <w:tcW w:w="869"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contextualSpacing/>
              <w:jc w:val="center"/>
              <w:rPr>
                <w:rFonts w:ascii="Arial" w:hAnsi="Arial" w:cs="Arial"/>
                <w:sz w:val="20"/>
                <w:szCs w:val="20"/>
              </w:rPr>
            </w:pPr>
            <w:r w:rsidRPr="00235B89">
              <w:rPr>
                <w:rFonts w:ascii="Arial" w:hAnsi="Arial" w:cs="Arial"/>
                <w:sz w:val="20"/>
                <w:szCs w:val="20"/>
              </w:rPr>
              <w:t>48.9%</w:t>
            </w:r>
          </w:p>
        </w:tc>
      </w:tr>
      <w:tr w:rsidR="00B42D09" w:rsidRPr="00235B89" w:rsidTr="00235B89">
        <w:trPr>
          <w:trHeight w:val="342"/>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D09" w:rsidRPr="00235B89" w:rsidRDefault="00B42D09" w:rsidP="00235B89">
            <w:pPr>
              <w:spacing w:after="0" w:line="240" w:lineRule="auto"/>
              <w:contextualSpacing/>
              <w:rPr>
                <w:rFonts w:ascii="Arial" w:eastAsia="Times New Roman" w:hAnsi="Arial" w:cs="Arial"/>
                <w:color w:val="000000"/>
                <w:sz w:val="20"/>
                <w:szCs w:val="20"/>
                <w:lang w:eastAsia="en-GB"/>
              </w:rPr>
            </w:pPr>
            <w:r w:rsidRPr="00235B89">
              <w:rPr>
                <w:rFonts w:ascii="Arial" w:hAnsi="Arial" w:cs="Arial"/>
                <w:sz w:val="20"/>
                <w:szCs w:val="20"/>
              </w:rPr>
              <w:t>IPACX</w:t>
            </w:r>
          </w:p>
        </w:tc>
        <w:tc>
          <w:tcPr>
            <w:tcW w:w="868" w:type="dxa"/>
            <w:tcBorders>
              <w:top w:val="single" w:sz="4" w:space="0" w:color="auto"/>
              <w:left w:val="nil"/>
              <w:bottom w:val="single" w:sz="4" w:space="0" w:color="auto"/>
              <w:right w:val="single" w:sz="4" w:space="0" w:color="auto"/>
            </w:tcBorders>
            <w:shd w:val="clear" w:color="auto" w:fill="auto"/>
            <w:vAlign w:val="center"/>
          </w:tcPr>
          <w:p w:rsidR="00B42D09" w:rsidRPr="00235B89" w:rsidRDefault="00B42D0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58</w:t>
            </w:r>
            <w:r w:rsidR="00235B89" w:rsidRPr="00235B89">
              <w:rPr>
                <w:rFonts w:ascii="Arial" w:eastAsia="Times New Roman" w:hAnsi="Arial" w:cs="Arial"/>
                <w:sz w:val="20"/>
                <w:szCs w:val="20"/>
                <w:lang w:eastAsia="en-GB"/>
              </w:rPr>
              <w:t>.8%</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B42D09" w:rsidRPr="00235B89" w:rsidRDefault="00B42D0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10.8%</w:t>
            </w:r>
          </w:p>
        </w:tc>
        <w:tc>
          <w:tcPr>
            <w:tcW w:w="868"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20.5%</w:t>
            </w:r>
          </w:p>
        </w:tc>
        <w:tc>
          <w:tcPr>
            <w:tcW w:w="869"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38.3%</w:t>
            </w:r>
          </w:p>
        </w:tc>
        <w:tc>
          <w:tcPr>
            <w:tcW w:w="868"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25.7%</w:t>
            </w:r>
          </w:p>
        </w:tc>
        <w:tc>
          <w:tcPr>
            <w:tcW w:w="868"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44.7%</w:t>
            </w:r>
          </w:p>
        </w:tc>
        <w:tc>
          <w:tcPr>
            <w:tcW w:w="868" w:type="dxa"/>
            <w:tcBorders>
              <w:top w:val="nil"/>
              <w:left w:val="nil"/>
              <w:bottom w:val="single" w:sz="4" w:space="0" w:color="auto"/>
              <w:right w:val="single" w:sz="4" w:space="0" w:color="auto"/>
            </w:tcBorders>
            <w:shd w:val="clear" w:color="auto" w:fill="auto"/>
            <w:noWrap/>
            <w:vAlign w:val="center"/>
            <w:hideMark/>
          </w:tcPr>
          <w:p w:rsidR="00B42D09" w:rsidRPr="00235B89" w:rsidRDefault="00B42D0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37.5%</w:t>
            </w:r>
          </w:p>
        </w:tc>
        <w:tc>
          <w:tcPr>
            <w:tcW w:w="869" w:type="dxa"/>
            <w:tcBorders>
              <w:top w:val="nil"/>
              <w:left w:val="nil"/>
              <w:bottom w:val="single" w:sz="4" w:space="0" w:color="auto"/>
              <w:right w:val="single" w:sz="4" w:space="0" w:color="auto"/>
            </w:tcBorders>
            <w:shd w:val="clear" w:color="auto" w:fill="auto"/>
            <w:noWrap/>
            <w:vAlign w:val="center"/>
            <w:hideMark/>
          </w:tcPr>
          <w:p w:rsidR="00B42D0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w:t>
            </w:r>
          </w:p>
        </w:tc>
      </w:tr>
      <w:tr w:rsidR="00235B89" w:rsidRPr="00235B89" w:rsidTr="00235B89">
        <w:trPr>
          <w:trHeight w:val="342"/>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rPr>
                <w:rFonts w:ascii="Arial" w:hAnsi="Arial" w:cs="Arial"/>
                <w:sz w:val="20"/>
                <w:szCs w:val="20"/>
              </w:rPr>
            </w:pPr>
            <w:r w:rsidRPr="00235B89">
              <w:rPr>
                <w:rFonts w:ascii="Arial" w:hAnsi="Arial" w:cs="Arial"/>
                <w:sz w:val="20"/>
                <w:szCs w:val="20"/>
              </w:rPr>
              <w:t>OPACX</w:t>
            </w:r>
          </w:p>
        </w:tc>
        <w:tc>
          <w:tcPr>
            <w:tcW w:w="868" w:type="dxa"/>
            <w:tcBorders>
              <w:top w:val="single" w:sz="4" w:space="0" w:color="auto"/>
              <w:left w:val="nil"/>
              <w:bottom w:val="single" w:sz="4" w:space="0" w:color="auto"/>
              <w:right w:val="single" w:sz="4" w:space="0" w:color="auto"/>
            </w:tcBorders>
            <w:shd w:val="clear" w:color="auto" w:fill="auto"/>
            <w:vAlign w:val="center"/>
          </w:tcPr>
          <w:p w:rsidR="00235B8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58.8%</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w:t>
            </w:r>
          </w:p>
        </w:tc>
        <w:tc>
          <w:tcPr>
            <w:tcW w:w="868"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w:t>
            </w:r>
          </w:p>
        </w:tc>
        <w:tc>
          <w:tcPr>
            <w:tcW w:w="869"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w:t>
            </w:r>
          </w:p>
        </w:tc>
        <w:tc>
          <w:tcPr>
            <w:tcW w:w="868"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w:t>
            </w:r>
          </w:p>
        </w:tc>
        <w:tc>
          <w:tcPr>
            <w:tcW w:w="868"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w:t>
            </w:r>
          </w:p>
        </w:tc>
        <w:tc>
          <w:tcPr>
            <w:tcW w:w="868"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w:t>
            </w:r>
          </w:p>
        </w:tc>
        <w:tc>
          <w:tcPr>
            <w:tcW w:w="869"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jc w:val="center"/>
              <w:rPr>
                <w:rFonts w:ascii="Arial" w:eastAsia="Times New Roman" w:hAnsi="Arial" w:cs="Arial"/>
                <w:sz w:val="20"/>
                <w:szCs w:val="20"/>
                <w:lang w:eastAsia="en-GB"/>
              </w:rPr>
            </w:pPr>
            <w:r w:rsidRPr="00235B89">
              <w:rPr>
                <w:rFonts w:ascii="Arial" w:eastAsia="Times New Roman" w:hAnsi="Arial" w:cs="Arial"/>
                <w:sz w:val="20"/>
                <w:szCs w:val="20"/>
                <w:lang w:eastAsia="en-GB"/>
              </w:rPr>
              <w:t>48.9%</w:t>
            </w:r>
          </w:p>
        </w:tc>
      </w:tr>
      <w:tr w:rsidR="00235B89" w:rsidRPr="00235B89" w:rsidTr="00235B89">
        <w:trPr>
          <w:trHeight w:val="342"/>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contextualSpacing/>
              <w:rPr>
                <w:rFonts w:ascii="Arial" w:eastAsia="Times New Roman" w:hAnsi="Arial" w:cs="Arial"/>
                <w:color w:val="000000"/>
                <w:sz w:val="20"/>
                <w:szCs w:val="20"/>
                <w:lang w:eastAsia="en-GB"/>
              </w:rPr>
            </w:pPr>
            <w:r w:rsidRPr="00235B89">
              <w:rPr>
                <w:rFonts w:ascii="Arial" w:eastAsia="Times New Roman" w:hAnsi="Arial" w:cs="Arial"/>
                <w:color w:val="000000"/>
                <w:sz w:val="20"/>
                <w:szCs w:val="20"/>
              </w:rPr>
              <w:t xml:space="preserve">IPACX + OPACX + </w:t>
            </w:r>
            <w:proofErr w:type="spellStart"/>
            <w:r w:rsidRPr="00235B89">
              <w:rPr>
                <w:rFonts w:ascii="Arial" w:hAnsi="Arial" w:cs="Arial"/>
                <w:sz w:val="20"/>
                <w:szCs w:val="20"/>
              </w:rPr>
              <w:t>GPSup</w:t>
            </w:r>
            <w:proofErr w:type="spellEnd"/>
          </w:p>
        </w:tc>
        <w:tc>
          <w:tcPr>
            <w:tcW w:w="868" w:type="dxa"/>
            <w:tcBorders>
              <w:top w:val="single" w:sz="4" w:space="0" w:color="auto"/>
              <w:left w:val="nil"/>
              <w:bottom w:val="single" w:sz="4" w:space="0" w:color="auto"/>
              <w:right w:val="single" w:sz="4" w:space="0" w:color="auto"/>
            </w:tcBorders>
            <w:shd w:val="clear" w:color="auto" w:fill="auto"/>
            <w:vAlign w:val="center"/>
          </w:tcPr>
          <w:p w:rsidR="00235B89" w:rsidRPr="00235B89" w:rsidRDefault="00446D6F" w:rsidP="00235B89">
            <w:pPr>
              <w:spacing w:after="0" w:line="240" w:lineRule="auto"/>
              <w:jc w:val="center"/>
              <w:rPr>
                <w:rFonts w:ascii="Arial" w:eastAsia="Times New Roman" w:hAnsi="Arial" w:cs="Arial"/>
                <w:sz w:val="20"/>
                <w:szCs w:val="20"/>
              </w:rPr>
            </w:pPr>
            <w:r>
              <w:rPr>
                <w:rFonts w:ascii="Arial" w:eastAsia="Times New Roman" w:hAnsi="Arial" w:cs="Arial"/>
                <w:sz w:val="20"/>
                <w:szCs w:val="20"/>
              </w:rPr>
              <w:t>59.6%</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jc w:val="center"/>
              <w:rPr>
                <w:rFonts w:ascii="Arial" w:eastAsia="Times New Roman" w:hAnsi="Arial" w:cs="Arial"/>
                <w:sz w:val="20"/>
                <w:szCs w:val="20"/>
              </w:rPr>
            </w:pPr>
            <w:r w:rsidRPr="00235B89">
              <w:rPr>
                <w:rFonts w:ascii="Arial" w:eastAsia="Times New Roman" w:hAnsi="Arial" w:cs="Arial"/>
                <w:sz w:val="20"/>
                <w:szCs w:val="20"/>
              </w:rPr>
              <w:t>10.8%</w:t>
            </w:r>
          </w:p>
        </w:tc>
        <w:tc>
          <w:tcPr>
            <w:tcW w:w="868"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jc w:val="center"/>
              <w:rPr>
                <w:rFonts w:ascii="Arial" w:eastAsia="Times New Roman" w:hAnsi="Arial" w:cs="Arial"/>
                <w:sz w:val="20"/>
                <w:szCs w:val="20"/>
              </w:rPr>
            </w:pPr>
            <w:r w:rsidRPr="00235B89">
              <w:rPr>
                <w:rFonts w:ascii="Arial" w:eastAsia="Times New Roman" w:hAnsi="Arial" w:cs="Arial"/>
                <w:sz w:val="20"/>
                <w:szCs w:val="20"/>
              </w:rPr>
              <w:t>20.5%</w:t>
            </w:r>
          </w:p>
        </w:tc>
        <w:tc>
          <w:tcPr>
            <w:tcW w:w="869"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jc w:val="center"/>
              <w:rPr>
                <w:rFonts w:ascii="Arial" w:eastAsia="Times New Roman" w:hAnsi="Arial" w:cs="Arial"/>
                <w:sz w:val="20"/>
                <w:szCs w:val="20"/>
              </w:rPr>
            </w:pPr>
            <w:r w:rsidRPr="00235B89">
              <w:rPr>
                <w:rFonts w:ascii="Arial" w:eastAsia="Times New Roman" w:hAnsi="Arial" w:cs="Arial"/>
                <w:sz w:val="20"/>
                <w:szCs w:val="20"/>
              </w:rPr>
              <w:t>38.4%</w:t>
            </w:r>
          </w:p>
        </w:tc>
        <w:tc>
          <w:tcPr>
            <w:tcW w:w="868"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jc w:val="center"/>
              <w:rPr>
                <w:rFonts w:ascii="Arial" w:eastAsia="Times New Roman" w:hAnsi="Arial" w:cs="Arial"/>
                <w:sz w:val="20"/>
                <w:szCs w:val="20"/>
              </w:rPr>
            </w:pPr>
            <w:r w:rsidRPr="00235B89">
              <w:rPr>
                <w:rFonts w:ascii="Arial" w:eastAsia="Times New Roman" w:hAnsi="Arial" w:cs="Arial"/>
                <w:sz w:val="20"/>
                <w:szCs w:val="20"/>
              </w:rPr>
              <w:t>25.8%</w:t>
            </w:r>
          </w:p>
        </w:tc>
        <w:tc>
          <w:tcPr>
            <w:tcW w:w="868"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jc w:val="center"/>
              <w:rPr>
                <w:rFonts w:ascii="Arial" w:eastAsia="Times New Roman" w:hAnsi="Arial" w:cs="Arial"/>
                <w:sz w:val="20"/>
                <w:szCs w:val="20"/>
              </w:rPr>
            </w:pPr>
            <w:r w:rsidRPr="00235B89">
              <w:rPr>
                <w:rFonts w:ascii="Arial" w:eastAsia="Times New Roman" w:hAnsi="Arial" w:cs="Arial"/>
                <w:sz w:val="20"/>
                <w:szCs w:val="20"/>
              </w:rPr>
              <w:t>44.8%</w:t>
            </w:r>
          </w:p>
        </w:tc>
        <w:tc>
          <w:tcPr>
            <w:tcW w:w="868"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jc w:val="center"/>
              <w:rPr>
                <w:rFonts w:ascii="Arial" w:eastAsia="Times New Roman" w:hAnsi="Arial" w:cs="Arial"/>
                <w:sz w:val="20"/>
                <w:szCs w:val="20"/>
              </w:rPr>
            </w:pPr>
            <w:r w:rsidRPr="00235B89">
              <w:rPr>
                <w:rFonts w:ascii="Arial" w:eastAsia="Times New Roman" w:hAnsi="Arial" w:cs="Arial"/>
                <w:sz w:val="20"/>
                <w:szCs w:val="20"/>
              </w:rPr>
              <w:t>37.5%</w:t>
            </w:r>
          </w:p>
        </w:tc>
        <w:tc>
          <w:tcPr>
            <w:tcW w:w="869" w:type="dxa"/>
            <w:tcBorders>
              <w:top w:val="nil"/>
              <w:left w:val="nil"/>
              <w:bottom w:val="single" w:sz="4" w:space="0" w:color="auto"/>
              <w:right w:val="single" w:sz="4" w:space="0" w:color="auto"/>
            </w:tcBorders>
            <w:shd w:val="clear" w:color="auto" w:fill="auto"/>
            <w:noWrap/>
            <w:vAlign w:val="center"/>
            <w:hideMark/>
          </w:tcPr>
          <w:p w:rsidR="00235B89" w:rsidRPr="00235B89" w:rsidRDefault="00235B89" w:rsidP="00235B89">
            <w:pPr>
              <w:spacing w:after="0" w:line="240" w:lineRule="auto"/>
              <w:jc w:val="center"/>
              <w:rPr>
                <w:rFonts w:ascii="Arial" w:eastAsia="Times New Roman" w:hAnsi="Arial" w:cs="Arial"/>
                <w:sz w:val="20"/>
                <w:szCs w:val="20"/>
              </w:rPr>
            </w:pPr>
            <w:r w:rsidRPr="00235B89">
              <w:rPr>
                <w:rFonts w:ascii="Arial" w:eastAsia="Times New Roman" w:hAnsi="Arial" w:cs="Arial"/>
                <w:sz w:val="20"/>
                <w:szCs w:val="20"/>
              </w:rPr>
              <w:t>49.0%</w:t>
            </w:r>
          </w:p>
        </w:tc>
      </w:tr>
    </w:tbl>
    <w:p w:rsidR="00B42D09" w:rsidRPr="00B42D09" w:rsidRDefault="00B42D09" w:rsidP="004D4088">
      <w:pPr>
        <w:jc w:val="both"/>
        <w:rPr>
          <w:rFonts w:ascii="Arial" w:hAnsi="Arial" w:cs="Arial"/>
        </w:rPr>
      </w:pPr>
    </w:p>
    <w:p w:rsidR="004D4088" w:rsidRDefault="00DA1459" w:rsidP="004D4088">
      <w:pPr>
        <w:spacing w:before="240"/>
        <w:jc w:val="both"/>
        <w:rPr>
          <w:rFonts w:ascii="Arial" w:hAnsi="Arial" w:cs="Arial"/>
        </w:rPr>
      </w:pPr>
      <w:r>
        <w:rPr>
          <w:rFonts w:ascii="Arial" w:hAnsi="Arial" w:cs="Arial"/>
        </w:rPr>
        <w:t>There is little to choose between any of these options in terms of the R-squared values</w:t>
      </w:r>
      <w:r w:rsidR="00B42D09">
        <w:rPr>
          <w:rFonts w:ascii="Arial" w:hAnsi="Arial" w:cs="Arial"/>
        </w:rPr>
        <w:t>.</w:t>
      </w:r>
      <w:r>
        <w:rPr>
          <w:rFonts w:ascii="Arial" w:hAnsi="Arial" w:cs="Arial"/>
        </w:rPr>
        <w:t xml:space="preserve"> The values for IPACX + OPACX are slightly higher than those for IPAC + OPAC. Taking IPACX or OPACX on their own, there is almost no difference in R-squared compared to taking both together. Including </w:t>
      </w:r>
      <w:proofErr w:type="spellStart"/>
      <w:r>
        <w:rPr>
          <w:rFonts w:ascii="Arial" w:hAnsi="Arial" w:cs="Arial"/>
        </w:rPr>
        <w:t>GPSup</w:t>
      </w:r>
      <w:proofErr w:type="spellEnd"/>
      <w:r>
        <w:rPr>
          <w:rFonts w:ascii="Arial" w:hAnsi="Arial" w:cs="Arial"/>
        </w:rPr>
        <w:t xml:space="preserve"> in the supply model does not increase the model’s explanatory power.</w:t>
      </w:r>
    </w:p>
    <w:p w:rsidR="000E13D9" w:rsidRDefault="000E13D9">
      <w:pPr>
        <w:rPr>
          <w:rFonts w:ascii="Arial" w:hAnsi="Arial" w:cs="Arial"/>
          <w:b/>
        </w:rPr>
      </w:pPr>
      <w:r>
        <w:rPr>
          <w:rFonts w:ascii="Arial" w:hAnsi="Arial" w:cs="Arial"/>
          <w:b/>
        </w:rPr>
        <w:br w:type="page"/>
      </w:r>
    </w:p>
    <w:p w:rsidR="00476244" w:rsidRDefault="00476244" w:rsidP="00476244">
      <w:pPr>
        <w:autoSpaceDE w:val="0"/>
        <w:autoSpaceDN w:val="0"/>
        <w:adjustRightInd w:val="0"/>
        <w:rPr>
          <w:rFonts w:ascii="Arial" w:hAnsi="Arial" w:cs="Arial"/>
          <w:b/>
        </w:rPr>
      </w:pPr>
      <w:r>
        <w:rPr>
          <w:rFonts w:ascii="Arial" w:hAnsi="Arial" w:cs="Arial"/>
          <w:b/>
        </w:rPr>
        <w:lastRenderedPageBreak/>
        <w:t>3</w:t>
      </w:r>
      <w:r w:rsidRPr="00180CFC">
        <w:rPr>
          <w:rFonts w:ascii="Arial" w:hAnsi="Arial" w:cs="Arial"/>
          <w:b/>
        </w:rPr>
        <w:t>.</w:t>
      </w:r>
      <w:r>
        <w:rPr>
          <w:rFonts w:ascii="Arial" w:hAnsi="Arial" w:cs="Arial"/>
          <w:b/>
        </w:rPr>
        <w:t>3</w:t>
      </w:r>
      <w:r w:rsidRPr="00180CFC">
        <w:rPr>
          <w:rFonts w:ascii="Arial" w:hAnsi="Arial" w:cs="Arial"/>
          <w:b/>
        </w:rPr>
        <w:t xml:space="preserve"> </w:t>
      </w:r>
      <w:r>
        <w:rPr>
          <w:rFonts w:ascii="Arial" w:hAnsi="Arial" w:cs="Arial"/>
          <w:b/>
        </w:rPr>
        <w:t>Effect of supply variables on the Acute needs index coefficient</w:t>
      </w:r>
    </w:p>
    <w:p w:rsidR="00572FF5" w:rsidRPr="00572FF5" w:rsidRDefault="008752C8" w:rsidP="00A65DAD">
      <w:pPr>
        <w:jc w:val="both"/>
        <w:rPr>
          <w:rFonts w:ascii="Arial" w:hAnsi="Arial" w:cs="Arial"/>
        </w:rPr>
      </w:pPr>
      <w:r>
        <w:rPr>
          <w:rFonts w:ascii="Arial" w:hAnsi="Arial" w:cs="Arial"/>
        </w:rPr>
        <w:t>Including t</w:t>
      </w:r>
      <w:r w:rsidR="00572FF5">
        <w:rPr>
          <w:rFonts w:ascii="Arial" w:hAnsi="Arial" w:cs="Arial"/>
        </w:rPr>
        <w:t>he</w:t>
      </w:r>
      <w:r>
        <w:rPr>
          <w:rFonts w:ascii="Arial" w:hAnsi="Arial" w:cs="Arial"/>
        </w:rPr>
        <w:t xml:space="preserve"> supply model in the linear regression has an effect on the coefficient of the </w:t>
      </w:r>
      <w:proofErr w:type="gramStart"/>
      <w:r>
        <w:rPr>
          <w:rFonts w:ascii="Arial" w:hAnsi="Arial" w:cs="Arial"/>
        </w:rPr>
        <w:t>Acute</w:t>
      </w:r>
      <w:proofErr w:type="gramEnd"/>
      <w:r>
        <w:rPr>
          <w:rFonts w:ascii="Arial" w:hAnsi="Arial" w:cs="Arial"/>
        </w:rPr>
        <w:t xml:space="preserve"> needs index, since some of the variation in costs is now explained by the supply variables. Table 7 shows the effect, for each of the considered supply models.</w:t>
      </w:r>
    </w:p>
    <w:p w:rsidR="00476244" w:rsidRPr="00476244" w:rsidRDefault="00476244" w:rsidP="00476244">
      <w:pPr>
        <w:spacing w:after="0"/>
        <w:rPr>
          <w:rFonts w:ascii="Arial" w:hAnsi="Arial" w:cs="Arial"/>
          <w:i/>
        </w:rPr>
      </w:pPr>
      <w:r w:rsidRPr="00476244">
        <w:rPr>
          <w:rFonts w:ascii="Arial" w:hAnsi="Arial" w:cs="Arial"/>
          <w:i/>
        </w:rPr>
        <w:t xml:space="preserve">Table </w:t>
      </w:r>
      <w:r w:rsidR="00572FF5">
        <w:rPr>
          <w:rFonts w:ascii="Arial" w:hAnsi="Arial" w:cs="Arial"/>
          <w:i/>
        </w:rPr>
        <w:t>7</w:t>
      </w:r>
      <w:r w:rsidRPr="00476244">
        <w:rPr>
          <w:rFonts w:ascii="Arial" w:hAnsi="Arial" w:cs="Arial"/>
          <w:i/>
        </w:rPr>
        <w:t>: Acute needs index coefficient values</w:t>
      </w:r>
      <w:r w:rsidR="008752C8">
        <w:rPr>
          <w:rFonts w:ascii="Arial" w:hAnsi="Arial" w:cs="Arial"/>
          <w:i/>
        </w:rPr>
        <w:t xml:space="preserve"> obtained from regression using different models</w:t>
      </w:r>
    </w:p>
    <w:tbl>
      <w:tblPr>
        <w:tblW w:w="9606" w:type="dxa"/>
        <w:tblLayout w:type="fixed"/>
        <w:tblLook w:val="04A0"/>
      </w:tblPr>
      <w:tblGrid>
        <w:gridCol w:w="2802"/>
        <w:gridCol w:w="850"/>
        <w:gridCol w:w="851"/>
        <w:gridCol w:w="850"/>
        <w:gridCol w:w="851"/>
        <w:gridCol w:w="850"/>
        <w:gridCol w:w="851"/>
        <w:gridCol w:w="850"/>
        <w:gridCol w:w="851"/>
      </w:tblGrid>
      <w:tr w:rsidR="00476244" w:rsidRPr="00476244" w:rsidTr="008752C8">
        <w:trPr>
          <w:cantSplit/>
          <w:trHeight w:val="1547"/>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244" w:rsidRPr="00476244" w:rsidRDefault="008752C8" w:rsidP="008752C8">
            <w:pPr>
              <w:spacing w:after="0"/>
              <w:jc w:val="center"/>
              <w:rPr>
                <w:rFonts w:ascii="Arial" w:hAnsi="Arial" w:cs="Arial"/>
                <w:b/>
                <w:sz w:val="20"/>
                <w:szCs w:val="20"/>
              </w:rPr>
            </w:pPr>
            <w:r>
              <w:rPr>
                <w:rFonts w:ascii="Arial" w:hAnsi="Arial" w:cs="Arial"/>
                <w:b/>
                <w:sz w:val="20"/>
                <w:szCs w:val="20"/>
              </w:rPr>
              <w:t>Model</w:t>
            </w:r>
          </w:p>
        </w:tc>
        <w:tc>
          <w:tcPr>
            <w:tcW w:w="850" w:type="dxa"/>
            <w:tcBorders>
              <w:top w:val="single" w:sz="4" w:space="0" w:color="auto"/>
              <w:left w:val="nil"/>
              <w:bottom w:val="single" w:sz="4" w:space="0" w:color="auto"/>
              <w:right w:val="single" w:sz="4" w:space="0" w:color="auto"/>
            </w:tcBorders>
            <w:textDirection w:val="btLr"/>
          </w:tcPr>
          <w:p w:rsidR="00476244" w:rsidRPr="00476244" w:rsidRDefault="00476244" w:rsidP="008752C8">
            <w:pPr>
              <w:spacing w:before="240" w:after="0" w:line="240" w:lineRule="auto"/>
              <w:ind w:left="113" w:right="113"/>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Whole</w:t>
            </w:r>
            <w:r w:rsidRPr="00476244">
              <w:rPr>
                <w:rFonts w:ascii="Arial" w:eastAsia="Times New Roman" w:hAnsi="Arial" w:cs="Arial"/>
                <w:b/>
                <w:color w:val="000000"/>
                <w:sz w:val="20"/>
                <w:szCs w:val="20"/>
                <w:lang w:eastAsia="en-GB"/>
              </w:rPr>
              <w:t xml:space="preserve"> Acute </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76244" w:rsidRPr="00476244" w:rsidRDefault="00476244" w:rsidP="008752C8">
            <w:pPr>
              <w:spacing w:after="0" w:line="240" w:lineRule="auto"/>
              <w:ind w:left="113" w:right="113"/>
              <w:jc w:val="center"/>
              <w:rPr>
                <w:rFonts w:ascii="Arial" w:eastAsia="Times New Roman" w:hAnsi="Arial" w:cs="Arial"/>
                <w:b/>
                <w:color w:val="000000"/>
                <w:sz w:val="20"/>
                <w:szCs w:val="20"/>
                <w:lang w:eastAsia="en-GB"/>
              </w:rPr>
            </w:pPr>
            <w:r w:rsidRPr="00476244">
              <w:rPr>
                <w:rFonts w:ascii="Arial" w:eastAsia="Times New Roman" w:hAnsi="Arial" w:cs="Arial"/>
                <w:b/>
                <w:color w:val="000000"/>
                <w:sz w:val="20"/>
                <w:szCs w:val="20"/>
                <w:lang w:eastAsia="en-GB"/>
              </w:rPr>
              <w:t>Cancer</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6244" w:rsidRPr="00476244" w:rsidRDefault="00476244" w:rsidP="008752C8">
            <w:pPr>
              <w:spacing w:after="0" w:line="240" w:lineRule="auto"/>
              <w:ind w:left="113" w:right="113"/>
              <w:jc w:val="center"/>
              <w:rPr>
                <w:rFonts w:ascii="Arial" w:eastAsia="Times New Roman" w:hAnsi="Arial" w:cs="Arial"/>
                <w:b/>
                <w:color w:val="000000"/>
                <w:sz w:val="20"/>
                <w:szCs w:val="20"/>
                <w:lang w:eastAsia="en-GB"/>
              </w:rPr>
            </w:pPr>
            <w:r w:rsidRPr="00476244">
              <w:rPr>
                <w:rFonts w:ascii="Arial" w:eastAsia="Times New Roman" w:hAnsi="Arial" w:cs="Arial"/>
                <w:b/>
                <w:color w:val="000000"/>
                <w:sz w:val="20"/>
                <w:szCs w:val="20"/>
                <w:lang w:eastAsia="en-GB"/>
              </w:rPr>
              <w:t>Heart</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6244" w:rsidRPr="00476244" w:rsidRDefault="00476244" w:rsidP="008752C8">
            <w:pPr>
              <w:spacing w:after="0" w:line="240" w:lineRule="auto"/>
              <w:ind w:left="113" w:right="113"/>
              <w:jc w:val="center"/>
              <w:rPr>
                <w:rFonts w:ascii="Arial" w:eastAsia="Times New Roman" w:hAnsi="Arial" w:cs="Arial"/>
                <w:b/>
                <w:color w:val="000000"/>
                <w:sz w:val="20"/>
                <w:szCs w:val="20"/>
                <w:lang w:eastAsia="en-GB"/>
              </w:rPr>
            </w:pPr>
            <w:r w:rsidRPr="00476244">
              <w:rPr>
                <w:rFonts w:ascii="Arial" w:eastAsia="Times New Roman" w:hAnsi="Arial" w:cs="Arial"/>
                <w:b/>
                <w:color w:val="000000"/>
                <w:sz w:val="20"/>
                <w:szCs w:val="20"/>
                <w:lang w:eastAsia="en-GB"/>
              </w:rPr>
              <w:t>Digestive</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6244" w:rsidRPr="00476244" w:rsidRDefault="00476244" w:rsidP="008752C8">
            <w:pPr>
              <w:spacing w:after="0" w:line="240" w:lineRule="auto"/>
              <w:ind w:left="113" w:right="113"/>
              <w:jc w:val="center"/>
              <w:rPr>
                <w:rFonts w:ascii="Arial" w:eastAsia="Times New Roman" w:hAnsi="Arial" w:cs="Arial"/>
                <w:b/>
                <w:color w:val="000000"/>
                <w:sz w:val="20"/>
                <w:szCs w:val="20"/>
                <w:lang w:eastAsia="en-GB"/>
              </w:rPr>
            </w:pPr>
            <w:r w:rsidRPr="00476244">
              <w:rPr>
                <w:rFonts w:ascii="Arial" w:eastAsia="Times New Roman" w:hAnsi="Arial" w:cs="Arial"/>
                <w:b/>
                <w:color w:val="000000"/>
                <w:sz w:val="20"/>
                <w:szCs w:val="20"/>
                <w:lang w:eastAsia="en-GB"/>
              </w:rPr>
              <w:t>Injury</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6244" w:rsidRPr="00476244" w:rsidRDefault="00476244" w:rsidP="008752C8">
            <w:pPr>
              <w:spacing w:after="0" w:line="240" w:lineRule="auto"/>
              <w:ind w:left="113" w:right="113"/>
              <w:jc w:val="center"/>
              <w:rPr>
                <w:rFonts w:ascii="Arial" w:eastAsia="Times New Roman" w:hAnsi="Arial" w:cs="Arial"/>
                <w:b/>
                <w:color w:val="000000"/>
                <w:sz w:val="20"/>
                <w:szCs w:val="20"/>
                <w:lang w:eastAsia="en-GB"/>
              </w:rPr>
            </w:pPr>
            <w:r w:rsidRPr="00476244">
              <w:rPr>
                <w:rFonts w:ascii="Arial" w:eastAsia="Times New Roman" w:hAnsi="Arial" w:cs="Arial"/>
                <w:b/>
                <w:color w:val="000000"/>
                <w:sz w:val="20"/>
                <w:szCs w:val="20"/>
                <w:lang w:eastAsia="en-GB"/>
              </w:rPr>
              <w:t>Other</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6244" w:rsidRPr="00476244" w:rsidRDefault="00476244" w:rsidP="008752C8">
            <w:pPr>
              <w:spacing w:after="0" w:line="240" w:lineRule="auto"/>
              <w:ind w:left="113" w:right="113"/>
              <w:jc w:val="center"/>
              <w:rPr>
                <w:rFonts w:ascii="Arial" w:eastAsia="Times New Roman" w:hAnsi="Arial" w:cs="Arial"/>
                <w:b/>
                <w:color w:val="000000"/>
                <w:sz w:val="20"/>
                <w:szCs w:val="20"/>
                <w:lang w:eastAsia="en-GB"/>
              </w:rPr>
            </w:pPr>
            <w:r w:rsidRPr="00476244">
              <w:rPr>
                <w:rFonts w:ascii="Arial" w:eastAsia="Times New Roman" w:hAnsi="Arial" w:cs="Arial"/>
                <w:b/>
                <w:color w:val="000000"/>
                <w:sz w:val="20"/>
                <w:szCs w:val="20"/>
                <w:lang w:eastAsia="en-GB"/>
              </w:rPr>
              <w:t>Respiratory</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6244" w:rsidRPr="00476244" w:rsidRDefault="00476244" w:rsidP="008752C8">
            <w:pPr>
              <w:spacing w:after="0" w:line="240" w:lineRule="auto"/>
              <w:ind w:left="113" w:right="113"/>
              <w:jc w:val="center"/>
              <w:rPr>
                <w:rFonts w:ascii="Arial" w:eastAsia="Times New Roman" w:hAnsi="Arial" w:cs="Arial"/>
                <w:b/>
                <w:color w:val="000000"/>
                <w:sz w:val="20"/>
                <w:szCs w:val="20"/>
                <w:lang w:eastAsia="en-GB"/>
              </w:rPr>
            </w:pPr>
            <w:r w:rsidRPr="00476244">
              <w:rPr>
                <w:rFonts w:ascii="Arial" w:eastAsia="Times New Roman" w:hAnsi="Arial" w:cs="Arial"/>
                <w:b/>
                <w:color w:val="000000"/>
                <w:sz w:val="20"/>
                <w:szCs w:val="20"/>
                <w:lang w:eastAsia="en-GB"/>
              </w:rPr>
              <w:t>Outpatients</w:t>
            </w:r>
          </w:p>
        </w:tc>
      </w:tr>
      <w:tr w:rsidR="004E2261" w:rsidRPr="00476244" w:rsidTr="008752C8">
        <w:trPr>
          <w:trHeight w:val="368"/>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261" w:rsidRPr="00476244" w:rsidRDefault="004E2261" w:rsidP="00476244">
            <w:pPr>
              <w:spacing w:after="0" w:line="240" w:lineRule="auto"/>
              <w:contextualSpacing/>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needs index only</w:t>
            </w:r>
          </w:p>
        </w:tc>
        <w:tc>
          <w:tcPr>
            <w:tcW w:w="850" w:type="dxa"/>
            <w:tcBorders>
              <w:top w:val="single" w:sz="4" w:space="0" w:color="auto"/>
              <w:left w:val="nil"/>
              <w:bottom w:val="single" w:sz="4" w:space="0" w:color="auto"/>
              <w:right w:val="single" w:sz="4" w:space="0" w:color="auto"/>
            </w:tcBorders>
            <w:shd w:val="clear" w:color="auto" w:fill="auto"/>
            <w:vAlign w:val="center"/>
          </w:tcPr>
          <w:p w:rsidR="004E2261" w:rsidRPr="004E2261" w:rsidRDefault="00446D6F" w:rsidP="00476244">
            <w:pPr>
              <w:spacing w:after="0" w:line="240" w:lineRule="auto"/>
              <w:contextualSpacing/>
              <w:jc w:val="center"/>
              <w:rPr>
                <w:rFonts w:ascii="Arial" w:eastAsia="Times New Roman" w:hAnsi="Arial" w:cs="Arial"/>
                <w:sz w:val="20"/>
                <w:szCs w:val="20"/>
                <w:lang w:eastAsia="en-GB"/>
              </w:rPr>
            </w:pPr>
            <w:r>
              <w:rPr>
                <w:rFonts w:ascii="Arial" w:eastAsia="Times New Roman" w:hAnsi="Arial" w:cs="Arial"/>
                <w:sz w:val="20"/>
                <w:szCs w:val="20"/>
                <w:lang w:eastAsia="en-GB"/>
              </w:rPr>
              <w:t>0.097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2261" w:rsidRPr="00476244" w:rsidRDefault="004E2261" w:rsidP="00476244">
            <w:pPr>
              <w:spacing w:after="0" w:line="240" w:lineRule="auto"/>
              <w:contextualSpacing/>
              <w:jc w:val="center"/>
              <w:rPr>
                <w:rFonts w:ascii="Arial" w:eastAsia="Times New Roman" w:hAnsi="Arial" w:cs="Arial"/>
                <w:sz w:val="20"/>
                <w:szCs w:val="20"/>
                <w:lang w:eastAsia="en-GB"/>
              </w:rPr>
            </w:pPr>
            <w:r w:rsidRPr="00406D61">
              <w:rPr>
                <w:rFonts w:ascii="Arial" w:hAnsi="Arial" w:cs="Arial"/>
                <w:color w:val="000000"/>
                <w:sz w:val="20"/>
                <w:szCs w:val="20"/>
              </w:rPr>
              <w:t>0.0</w:t>
            </w:r>
            <w:r>
              <w:rPr>
                <w:rFonts w:ascii="Arial" w:hAnsi="Arial" w:cs="Arial"/>
                <w:color w:val="000000"/>
                <w:sz w:val="20"/>
                <w:szCs w:val="20"/>
              </w:rPr>
              <w:t>63</w:t>
            </w:r>
          </w:p>
        </w:tc>
        <w:tc>
          <w:tcPr>
            <w:tcW w:w="850"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spacing w:after="0" w:line="240" w:lineRule="auto"/>
              <w:contextualSpacing/>
              <w:jc w:val="center"/>
              <w:rPr>
                <w:rFonts w:ascii="Arial" w:eastAsia="Times New Roman" w:hAnsi="Arial" w:cs="Arial"/>
                <w:sz w:val="20"/>
                <w:szCs w:val="20"/>
                <w:lang w:eastAsia="en-GB"/>
              </w:rPr>
            </w:pPr>
            <w:r w:rsidRPr="00406D61">
              <w:rPr>
                <w:rFonts w:ascii="Arial" w:hAnsi="Arial" w:cs="Arial"/>
                <w:color w:val="000000"/>
                <w:sz w:val="20"/>
                <w:szCs w:val="20"/>
              </w:rPr>
              <w:t>0.11</w:t>
            </w:r>
            <w:r>
              <w:rPr>
                <w:rFonts w:ascii="Arial" w:hAnsi="Arial" w:cs="Arial"/>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406D61">
              <w:rPr>
                <w:rFonts w:ascii="Arial" w:hAnsi="Arial" w:cs="Arial"/>
                <w:color w:val="000000"/>
                <w:sz w:val="20"/>
                <w:szCs w:val="20"/>
              </w:rPr>
              <w:t>0.1</w:t>
            </w:r>
            <w:r>
              <w:rPr>
                <w:rFonts w:ascii="Arial" w:hAnsi="Arial" w:cs="Arial"/>
                <w:color w:val="000000"/>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406D61">
              <w:rPr>
                <w:rFonts w:ascii="Arial" w:hAnsi="Arial" w:cs="Arial"/>
                <w:color w:val="000000"/>
                <w:sz w:val="20"/>
                <w:szCs w:val="20"/>
              </w:rPr>
              <w:t>0.1</w:t>
            </w:r>
            <w:r>
              <w:rPr>
                <w:rFonts w:ascii="Arial" w:hAnsi="Arial" w:cs="Arial"/>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406D61">
              <w:rPr>
                <w:rFonts w:ascii="Arial" w:hAnsi="Arial" w:cs="Arial"/>
                <w:color w:val="000000"/>
                <w:sz w:val="20"/>
                <w:szCs w:val="20"/>
              </w:rPr>
              <w:t>0.</w:t>
            </w:r>
            <w:r>
              <w:rPr>
                <w:rFonts w:ascii="Arial" w:hAnsi="Arial" w:cs="Arial"/>
                <w:color w:val="000000"/>
                <w:sz w:val="20"/>
                <w:szCs w:val="20"/>
              </w:rPr>
              <w:t>104</w:t>
            </w:r>
          </w:p>
        </w:tc>
        <w:tc>
          <w:tcPr>
            <w:tcW w:w="850"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406D61">
              <w:rPr>
                <w:rFonts w:ascii="Arial" w:hAnsi="Arial" w:cs="Arial"/>
                <w:color w:val="000000"/>
                <w:sz w:val="20"/>
                <w:szCs w:val="20"/>
              </w:rPr>
              <w:t>0.1</w:t>
            </w:r>
            <w:r>
              <w:rPr>
                <w:rFonts w:ascii="Arial" w:hAnsi="Arial" w:cs="Arial"/>
                <w:color w:val="000000"/>
                <w:sz w:val="20"/>
                <w:szCs w:val="20"/>
              </w:rPr>
              <w:t>97</w:t>
            </w:r>
          </w:p>
        </w:tc>
        <w:tc>
          <w:tcPr>
            <w:tcW w:w="851"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406D61">
              <w:rPr>
                <w:rFonts w:ascii="Arial" w:hAnsi="Arial" w:cs="Arial"/>
                <w:color w:val="000000"/>
                <w:sz w:val="20"/>
                <w:szCs w:val="20"/>
              </w:rPr>
              <w:t>0.0</w:t>
            </w:r>
            <w:r>
              <w:rPr>
                <w:rFonts w:ascii="Arial" w:hAnsi="Arial" w:cs="Arial"/>
                <w:color w:val="000000"/>
                <w:sz w:val="20"/>
                <w:szCs w:val="20"/>
              </w:rPr>
              <w:t>47</w:t>
            </w:r>
          </w:p>
        </w:tc>
      </w:tr>
      <w:tr w:rsidR="004E2261" w:rsidRPr="00476244" w:rsidTr="008752C8">
        <w:trPr>
          <w:trHeight w:val="368"/>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261" w:rsidRPr="00476244" w:rsidRDefault="004E2261" w:rsidP="008752C8">
            <w:pPr>
              <w:spacing w:after="0" w:line="240" w:lineRule="auto"/>
              <w:contextualSpacing/>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health board dummies </w:t>
            </w:r>
            <w:r w:rsidR="008752C8">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needs index </w:t>
            </w:r>
          </w:p>
        </w:tc>
        <w:tc>
          <w:tcPr>
            <w:tcW w:w="850" w:type="dxa"/>
            <w:tcBorders>
              <w:top w:val="single" w:sz="4" w:space="0" w:color="auto"/>
              <w:left w:val="nil"/>
              <w:bottom w:val="single" w:sz="4" w:space="0" w:color="auto"/>
              <w:right w:val="single" w:sz="4" w:space="0" w:color="auto"/>
            </w:tcBorders>
            <w:shd w:val="clear" w:color="auto" w:fill="auto"/>
            <w:vAlign w:val="center"/>
          </w:tcPr>
          <w:p w:rsidR="004E2261" w:rsidRPr="004E2261" w:rsidRDefault="00446D6F" w:rsidP="00476244">
            <w:pPr>
              <w:spacing w:after="0" w:line="240" w:lineRule="auto"/>
              <w:contextualSpacing/>
              <w:jc w:val="center"/>
              <w:rPr>
                <w:rFonts w:ascii="Arial" w:eastAsia="Times New Roman" w:hAnsi="Arial" w:cs="Arial"/>
                <w:sz w:val="20"/>
                <w:szCs w:val="20"/>
                <w:lang w:eastAsia="en-GB"/>
              </w:rPr>
            </w:pPr>
            <w:r>
              <w:rPr>
                <w:rFonts w:ascii="Arial" w:eastAsia="Times New Roman" w:hAnsi="Arial" w:cs="Arial"/>
                <w:sz w:val="20"/>
                <w:szCs w:val="20"/>
                <w:lang w:eastAsia="en-GB"/>
              </w:rPr>
              <w:t>0.091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2261" w:rsidRPr="00476244" w:rsidRDefault="004E2261" w:rsidP="00476244">
            <w:pPr>
              <w:spacing w:after="0" w:line="240" w:lineRule="auto"/>
              <w:contextualSpacing/>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0.0</w:t>
            </w:r>
            <w:r>
              <w:rPr>
                <w:rFonts w:ascii="Arial" w:eastAsia="Times New Roman" w:hAnsi="Arial" w:cs="Arial"/>
                <w:color w:val="000000"/>
                <w:sz w:val="20"/>
                <w:szCs w:val="20"/>
                <w:lang w:eastAsia="en-GB"/>
              </w:rPr>
              <w:t>55</w:t>
            </w:r>
          </w:p>
        </w:tc>
        <w:tc>
          <w:tcPr>
            <w:tcW w:w="850"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spacing w:after="0" w:line="240" w:lineRule="auto"/>
              <w:contextualSpacing/>
              <w:jc w:val="center"/>
              <w:rPr>
                <w:rFonts w:ascii="Arial" w:eastAsia="Times New Roman" w:hAnsi="Arial" w:cs="Arial"/>
                <w:sz w:val="20"/>
                <w:szCs w:val="20"/>
                <w:lang w:eastAsia="en-GB"/>
              </w:rPr>
            </w:pPr>
            <w:r w:rsidRPr="00E577A3">
              <w:rPr>
                <w:rFonts w:ascii="Arial" w:eastAsia="Times New Roman" w:hAnsi="Arial" w:cs="Arial"/>
                <w:color w:val="000000"/>
                <w:sz w:val="20"/>
                <w:szCs w:val="20"/>
                <w:lang w:eastAsia="en-GB"/>
              </w:rPr>
              <w:t>0.1</w:t>
            </w:r>
            <w:r>
              <w:rPr>
                <w:rFonts w:ascii="Arial" w:eastAsia="Times New Roman" w:hAnsi="Arial" w:cs="Arial"/>
                <w:color w:val="000000"/>
                <w:sz w:val="20"/>
                <w:szCs w:val="20"/>
                <w:lang w:eastAsia="en-GB"/>
              </w:rPr>
              <w:t>1</w:t>
            </w:r>
            <w:r w:rsidRPr="00E577A3">
              <w:rPr>
                <w:rFonts w:ascii="Arial" w:eastAsia="Times New Roman" w:hAnsi="Arial" w:cs="Arial"/>
                <w:color w:val="000000"/>
                <w:sz w:val="20"/>
                <w:szCs w:val="20"/>
                <w:lang w:eastAsia="en-GB"/>
              </w:rPr>
              <w:t>7</w:t>
            </w:r>
          </w:p>
        </w:tc>
        <w:tc>
          <w:tcPr>
            <w:tcW w:w="851"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E577A3">
              <w:rPr>
                <w:rFonts w:ascii="Arial" w:eastAsia="Times New Roman" w:hAnsi="Arial" w:cs="Arial"/>
                <w:color w:val="000000"/>
                <w:sz w:val="20"/>
                <w:szCs w:val="20"/>
                <w:lang w:eastAsia="en-GB"/>
              </w:rPr>
              <w:t>0.11</w:t>
            </w:r>
            <w:r>
              <w:rPr>
                <w:rFonts w:ascii="Arial" w:eastAsia="Times New Roman" w:hAnsi="Arial" w:cs="Arial"/>
                <w:color w:val="000000"/>
                <w:sz w:val="20"/>
                <w:szCs w:val="20"/>
                <w:lang w:eastAsia="en-GB"/>
              </w:rPr>
              <w:t>7</w:t>
            </w:r>
          </w:p>
        </w:tc>
        <w:tc>
          <w:tcPr>
            <w:tcW w:w="850"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E577A3">
              <w:rPr>
                <w:rFonts w:ascii="Arial" w:eastAsia="Times New Roman" w:hAnsi="Arial" w:cs="Arial"/>
                <w:color w:val="000000"/>
                <w:sz w:val="20"/>
                <w:szCs w:val="20"/>
                <w:lang w:eastAsia="en-GB"/>
              </w:rPr>
              <w:t>0.1</w:t>
            </w:r>
            <w:r>
              <w:rPr>
                <w:rFonts w:ascii="Arial" w:eastAsia="Times New Roman" w:hAnsi="Arial" w:cs="Arial"/>
                <w:color w:val="000000"/>
                <w:sz w:val="20"/>
                <w:szCs w:val="20"/>
                <w:lang w:eastAsia="en-GB"/>
              </w:rPr>
              <w:t>21</w:t>
            </w:r>
          </w:p>
        </w:tc>
        <w:tc>
          <w:tcPr>
            <w:tcW w:w="851"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E577A3">
              <w:rPr>
                <w:rFonts w:ascii="Arial" w:eastAsia="Times New Roman" w:hAnsi="Arial" w:cs="Arial"/>
                <w:color w:val="000000"/>
                <w:sz w:val="20"/>
                <w:szCs w:val="20"/>
                <w:lang w:eastAsia="en-GB"/>
              </w:rPr>
              <w:t>0.09</w:t>
            </w:r>
            <w:r>
              <w:rPr>
                <w:rFonts w:ascii="Arial" w:eastAsia="Times New Roman" w:hAnsi="Arial" w:cs="Arial"/>
                <w:color w:val="000000"/>
                <w:sz w:val="20"/>
                <w:szCs w:val="20"/>
                <w:lang w:eastAsia="en-GB"/>
              </w:rPr>
              <w:t>8</w:t>
            </w:r>
          </w:p>
        </w:tc>
        <w:tc>
          <w:tcPr>
            <w:tcW w:w="850"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E577A3">
              <w:rPr>
                <w:rFonts w:ascii="Arial" w:eastAsia="Times New Roman" w:hAnsi="Arial" w:cs="Arial"/>
                <w:color w:val="000000"/>
                <w:sz w:val="20"/>
                <w:szCs w:val="20"/>
                <w:lang w:eastAsia="en-GB"/>
              </w:rPr>
              <w:t>0.18</w:t>
            </w:r>
            <w:r>
              <w:rPr>
                <w:rFonts w:ascii="Arial" w:eastAsia="Times New Roman" w:hAnsi="Arial" w:cs="Arial"/>
                <w:color w:val="000000"/>
                <w:sz w:val="20"/>
                <w:szCs w:val="20"/>
                <w:lang w:eastAsia="en-GB"/>
              </w:rPr>
              <w:t>7</w:t>
            </w:r>
          </w:p>
        </w:tc>
        <w:tc>
          <w:tcPr>
            <w:tcW w:w="851" w:type="dxa"/>
            <w:tcBorders>
              <w:top w:val="nil"/>
              <w:left w:val="nil"/>
              <w:bottom w:val="single" w:sz="4" w:space="0" w:color="auto"/>
              <w:right w:val="single" w:sz="4" w:space="0" w:color="auto"/>
            </w:tcBorders>
            <w:shd w:val="clear" w:color="auto" w:fill="auto"/>
            <w:noWrap/>
            <w:vAlign w:val="center"/>
            <w:hideMark/>
          </w:tcPr>
          <w:p w:rsidR="004E2261" w:rsidRPr="00476244" w:rsidRDefault="004E2261" w:rsidP="00476244">
            <w:pPr>
              <w:contextualSpacing/>
              <w:jc w:val="center"/>
              <w:rPr>
                <w:rFonts w:ascii="Arial" w:hAnsi="Arial" w:cs="Arial"/>
                <w:sz w:val="20"/>
                <w:szCs w:val="20"/>
              </w:rPr>
            </w:pPr>
            <w:r w:rsidRPr="00E577A3">
              <w:rPr>
                <w:rFonts w:ascii="Arial" w:eastAsia="Times New Roman" w:hAnsi="Arial" w:cs="Arial"/>
                <w:color w:val="000000"/>
                <w:sz w:val="20"/>
                <w:szCs w:val="20"/>
                <w:lang w:eastAsia="en-GB"/>
              </w:rPr>
              <w:t>0.03</w:t>
            </w:r>
            <w:r>
              <w:rPr>
                <w:rFonts w:ascii="Arial" w:eastAsia="Times New Roman" w:hAnsi="Arial" w:cs="Arial"/>
                <w:color w:val="000000"/>
                <w:sz w:val="20"/>
                <w:szCs w:val="20"/>
                <w:lang w:eastAsia="en-GB"/>
              </w:rPr>
              <w:t>7</w:t>
            </w:r>
          </w:p>
        </w:tc>
      </w:tr>
      <w:tr w:rsidR="00476244" w:rsidRPr="00476244" w:rsidTr="008752C8">
        <w:trPr>
          <w:trHeight w:val="368"/>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2C8" w:rsidRDefault="00476244" w:rsidP="00476244">
            <w:pPr>
              <w:spacing w:after="0" w:line="240" w:lineRule="auto"/>
              <w:contextualSpacing/>
              <w:rPr>
                <w:rFonts w:ascii="Arial" w:eastAsia="Times New Roman" w:hAnsi="Arial" w:cs="Arial"/>
                <w:color w:val="000000"/>
                <w:sz w:val="20"/>
                <w:szCs w:val="20"/>
                <w:lang w:eastAsia="en-GB"/>
              </w:rPr>
            </w:pPr>
            <w:r w:rsidRPr="00476244">
              <w:rPr>
                <w:rFonts w:ascii="Arial" w:eastAsia="Times New Roman" w:hAnsi="Arial" w:cs="Arial"/>
                <w:color w:val="000000"/>
                <w:sz w:val="20"/>
                <w:szCs w:val="20"/>
                <w:lang w:eastAsia="en-GB"/>
              </w:rPr>
              <w:t>IPAC + OPAC</w:t>
            </w:r>
            <w:r w:rsidR="008752C8">
              <w:rPr>
                <w:rFonts w:ascii="Arial" w:eastAsia="Times New Roman" w:hAnsi="Arial" w:cs="Arial"/>
                <w:color w:val="000000"/>
                <w:sz w:val="20"/>
                <w:szCs w:val="20"/>
                <w:lang w:eastAsia="en-GB"/>
              </w:rPr>
              <w:t xml:space="preserve"> + </w:t>
            </w:r>
          </w:p>
          <w:p w:rsidR="00476244" w:rsidRPr="00476244" w:rsidRDefault="008752C8" w:rsidP="00476244">
            <w:pPr>
              <w:spacing w:after="0" w:line="240" w:lineRule="auto"/>
              <w:contextualSpacing/>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health board dummies + needs index</w:t>
            </w:r>
          </w:p>
        </w:tc>
        <w:tc>
          <w:tcPr>
            <w:tcW w:w="850" w:type="dxa"/>
            <w:tcBorders>
              <w:top w:val="single" w:sz="4" w:space="0" w:color="auto"/>
              <w:left w:val="nil"/>
              <w:bottom w:val="single" w:sz="4" w:space="0" w:color="auto"/>
              <w:right w:val="single" w:sz="4" w:space="0" w:color="auto"/>
            </w:tcBorders>
            <w:shd w:val="clear" w:color="auto" w:fill="auto"/>
            <w:vAlign w:val="center"/>
          </w:tcPr>
          <w:p w:rsidR="00476244" w:rsidRPr="00476244" w:rsidRDefault="00476244" w:rsidP="00476244">
            <w:pPr>
              <w:spacing w:after="0" w:line="240" w:lineRule="auto"/>
              <w:contextualSpacing/>
              <w:jc w:val="center"/>
              <w:rPr>
                <w:rFonts w:ascii="Arial" w:eastAsia="Times New Roman" w:hAnsi="Arial" w:cs="Arial"/>
                <w:sz w:val="20"/>
                <w:szCs w:val="20"/>
                <w:lang w:eastAsia="en-GB"/>
              </w:rPr>
            </w:pPr>
            <w:r w:rsidRPr="00476244">
              <w:rPr>
                <w:rFonts w:ascii="Arial" w:eastAsia="Times New Roman" w:hAnsi="Arial" w:cs="Arial"/>
                <w:sz w:val="20"/>
                <w:szCs w:val="20"/>
                <w:lang w:eastAsia="en-GB"/>
              </w:rPr>
              <w:t>0.090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76244" w:rsidRPr="00476244" w:rsidRDefault="00476244" w:rsidP="00476244">
            <w:pPr>
              <w:spacing w:after="0" w:line="240" w:lineRule="auto"/>
              <w:contextualSpacing/>
              <w:jc w:val="center"/>
              <w:rPr>
                <w:rFonts w:ascii="Arial" w:eastAsia="Times New Roman" w:hAnsi="Arial" w:cs="Arial"/>
                <w:sz w:val="20"/>
                <w:szCs w:val="20"/>
                <w:lang w:eastAsia="en-GB"/>
              </w:rPr>
            </w:pPr>
            <w:r w:rsidRPr="00476244">
              <w:rPr>
                <w:rFonts w:ascii="Arial" w:eastAsia="Times New Roman" w:hAnsi="Arial" w:cs="Arial"/>
                <w:sz w:val="20"/>
                <w:szCs w:val="20"/>
                <w:lang w:eastAsia="en-GB"/>
              </w:rPr>
              <w:t>0.054</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spacing w:after="0" w:line="240" w:lineRule="auto"/>
              <w:contextualSpacing/>
              <w:jc w:val="center"/>
              <w:rPr>
                <w:rFonts w:ascii="Arial" w:eastAsia="Times New Roman" w:hAnsi="Arial" w:cs="Arial"/>
                <w:sz w:val="20"/>
                <w:szCs w:val="20"/>
                <w:lang w:eastAsia="en-GB"/>
              </w:rPr>
            </w:pPr>
            <w:r w:rsidRPr="00476244">
              <w:rPr>
                <w:rFonts w:ascii="Arial" w:eastAsia="Times New Roman" w:hAnsi="Arial" w:cs="Arial"/>
                <w:sz w:val="20"/>
                <w:szCs w:val="20"/>
                <w:lang w:eastAsia="en-GB"/>
              </w:rPr>
              <w:t>0.115</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0.116</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0.120</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0.096</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0.185</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0.037</w:t>
            </w:r>
          </w:p>
        </w:tc>
      </w:tr>
      <w:tr w:rsidR="00476244" w:rsidRPr="00476244" w:rsidTr="008752C8">
        <w:trPr>
          <w:trHeight w:val="368"/>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2C8" w:rsidRDefault="00476244" w:rsidP="00476244">
            <w:pPr>
              <w:spacing w:after="0" w:line="240" w:lineRule="auto"/>
              <w:contextualSpacing/>
              <w:rPr>
                <w:rFonts w:ascii="Arial" w:eastAsia="Times New Roman" w:hAnsi="Arial" w:cs="Arial"/>
                <w:color w:val="000000"/>
                <w:sz w:val="20"/>
                <w:szCs w:val="20"/>
                <w:lang w:eastAsia="en-GB"/>
              </w:rPr>
            </w:pPr>
            <w:r w:rsidRPr="00476244">
              <w:rPr>
                <w:rFonts w:ascii="Arial" w:eastAsia="Times New Roman" w:hAnsi="Arial" w:cs="Arial"/>
                <w:color w:val="000000"/>
                <w:sz w:val="20"/>
                <w:szCs w:val="20"/>
                <w:lang w:eastAsia="en-GB"/>
              </w:rPr>
              <w:t>IPACX + OPACX</w:t>
            </w:r>
            <w:r w:rsidR="008752C8">
              <w:rPr>
                <w:rFonts w:ascii="Arial" w:eastAsia="Times New Roman" w:hAnsi="Arial" w:cs="Arial"/>
                <w:color w:val="000000"/>
                <w:sz w:val="20"/>
                <w:szCs w:val="20"/>
                <w:lang w:eastAsia="en-GB"/>
              </w:rPr>
              <w:t xml:space="preserve"> + </w:t>
            </w:r>
          </w:p>
          <w:p w:rsidR="00476244" w:rsidRPr="00476244" w:rsidRDefault="008752C8" w:rsidP="00476244">
            <w:pPr>
              <w:spacing w:after="0" w:line="240" w:lineRule="auto"/>
              <w:contextualSpacing/>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health board dummies + needs index</w:t>
            </w:r>
          </w:p>
        </w:tc>
        <w:tc>
          <w:tcPr>
            <w:tcW w:w="850" w:type="dxa"/>
            <w:tcBorders>
              <w:top w:val="single" w:sz="4" w:space="0" w:color="auto"/>
              <w:left w:val="nil"/>
              <w:bottom w:val="single" w:sz="4" w:space="0" w:color="auto"/>
              <w:right w:val="single" w:sz="4" w:space="0" w:color="auto"/>
            </w:tcBorders>
            <w:shd w:val="clear" w:color="auto" w:fill="auto"/>
            <w:vAlign w:val="center"/>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0.089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0.054</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0.115</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0.116</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0.120</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0.097</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0.184</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0.037</w:t>
            </w:r>
          </w:p>
        </w:tc>
      </w:tr>
      <w:tr w:rsidR="00476244" w:rsidRPr="00476244" w:rsidTr="008752C8">
        <w:trPr>
          <w:trHeight w:val="368"/>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2C8" w:rsidRDefault="00476244" w:rsidP="008752C8">
            <w:pPr>
              <w:spacing w:after="0" w:line="240" w:lineRule="auto"/>
              <w:contextualSpacing/>
              <w:rPr>
                <w:rFonts w:ascii="Arial" w:hAnsi="Arial" w:cs="Arial"/>
                <w:sz w:val="20"/>
                <w:szCs w:val="20"/>
              </w:rPr>
            </w:pPr>
            <w:r w:rsidRPr="00476244">
              <w:rPr>
                <w:rFonts w:ascii="Arial" w:hAnsi="Arial" w:cs="Arial"/>
                <w:sz w:val="20"/>
                <w:szCs w:val="20"/>
              </w:rPr>
              <w:t xml:space="preserve">IPACX </w:t>
            </w:r>
            <w:r w:rsidR="008752C8">
              <w:rPr>
                <w:rFonts w:ascii="Arial" w:hAnsi="Arial" w:cs="Arial"/>
                <w:sz w:val="20"/>
                <w:szCs w:val="20"/>
              </w:rPr>
              <w:t xml:space="preserve">+ </w:t>
            </w:r>
          </w:p>
          <w:p w:rsidR="00476244" w:rsidRPr="00476244" w:rsidRDefault="008752C8" w:rsidP="008752C8">
            <w:pPr>
              <w:spacing w:after="0" w:line="240" w:lineRule="auto"/>
              <w:contextualSpacing/>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health board dummies + needs index</w:t>
            </w:r>
          </w:p>
        </w:tc>
        <w:tc>
          <w:tcPr>
            <w:tcW w:w="850" w:type="dxa"/>
            <w:tcBorders>
              <w:top w:val="single" w:sz="4" w:space="0" w:color="auto"/>
              <w:left w:val="nil"/>
              <w:bottom w:val="single" w:sz="4" w:space="0" w:color="auto"/>
              <w:right w:val="single" w:sz="4" w:space="0" w:color="auto"/>
            </w:tcBorders>
            <w:shd w:val="clear" w:color="auto" w:fill="auto"/>
            <w:vAlign w:val="center"/>
          </w:tcPr>
          <w:p w:rsidR="00476244" w:rsidRPr="00476244" w:rsidRDefault="00476244" w:rsidP="004E2261">
            <w:pPr>
              <w:contextualSpacing/>
              <w:jc w:val="center"/>
              <w:rPr>
                <w:rFonts w:ascii="Arial" w:hAnsi="Arial" w:cs="Arial"/>
                <w:sz w:val="20"/>
                <w:szCs w:val="20"/>
              </w:rPr>
            </w:pPr>
            <w:r>
              <w:rPr>
                <w:rFonts w:ascii="Arial" w:hAnsi="Arial" w:cs="Arial"/>
                <w:sz w:val="20"/>
                <w:szCs w:val="20"/>
              </w:rPr>
              <w:t>0.090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0.054</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0.115</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0.117</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0.121</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0.097</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0.184</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Pr>
                <w:rFonts w:ascii="Arial" w:hAnsi="Arial" w:cs="Arial"/>
                <w:sz w:val="20"/>
                <w:szCs w:val="20"/>
              </w:rPr>
              <w:t>-</w:t>
            </w:r>
          </w:p>
        </w:tc>
      </w:tr>
      <w:tr w:rsidR="00476244" w:rsidRPr="00476244" w:rsidTr="008752C8">
        <w:trPr>
          <w:trHeight w:val="368"/>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2C8" w:rsidRDefault="00476244" w:rsidP="008752C8">
            <w:pPr>
              <w:spacing w:after="0" w:line="240" w:lineRule="auto"/>
              <w:contextualSpacing/>
              <w:rPr>
                <w:rFonts w:ascii="Arial" w:eastAsia="Times New Roman" w:hAnsi="Arial" w:cs="Arial"/>
                <w:color w:val="000000"/>
                <w:sz w:val="20"/>
                <w:szCs w:val="20"/>
                <w:lang w:eastAsia="en-GB"/>
              </w:rPr>
            </w:pPr>
            <w:r w:rsidRPr="00476244">
              <w:rPr>
                <w:rFonts w:ascii="Arial" w:hAnsi="Arial" w:cs="Arial"/>
                <w:sz w:val="20"/>
                <w:szCs w:val="20"/>
              </w:rPr>
              <w:t>OPACX</w:t>
            </w:r>
            <w:r w:rsidR="008752C8">
              <w:rPr>
                <w:rFonts w:ascii="Arial" w:hAnsi="Arial" w:cs="Arial"/>
                <w:sz w:val="20"/>
                <w:szCs w:val="20"/>
              </w:rPr>
              <w:t xml:space="preserve"> +</w:t>
            </w:r>
            <w:r w:rsidR="008752C8">
              <w:rPr>
                <w:rFonts w:ascii="Arial" w:eastAsia="Times New Roman" w:hAnsi="Arial" w:cs="Arial"/>
                <w:color w:val="000000"/>
                <w:sz w:val="20"/>
                <w:szCs w:val="20"/>
                <w:lang w:eastAsia="en-GB"/>
              </w:rPr>
              <w:t xml:space="preserve"> </w:t>
            </w:r>
          </w:p>
          <w:p w:rsidR="00476244" w:rsidRPr="00476244" w:rsidRDefault="008752C8" w:rsidP="008752C8">
            <w:pPr>
              <w:spacing w:after="0" w:line="240" w:lineRule="auto"/>
              <w:contextualSpacing/>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health board dummies + needs index</w:t>
            </w:r>
          </w:p>
        </w:tc>
        <w:tc>
          <w:tcPr>
            <w:tcW w:w="850" w:type="dxa"/>
            <w:tcBorders>
              <w:top w:val="single" w:sz="4" w:space="0" w:color="auto"/>
              <w:left w:val="nil"/>
              <w:bottom w:val="single" w:sz="4" w:space="0" w:color="auto"/>
              <w:right w:val="single" w:sz="4" w:space="0" w:color="auto"/>
            </w:tcBorders>
            <w:shd w:val="clear" w:color="auto" w:fill="auto"/>
            <w:vAlign w:val="center"/>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Pr>
                <w:rFonts w:ascii="Arial" w:hAnsi="Arial" w:cs="Arial"/>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Pr>
                <w:rFonts w:ascii="Arial" w:hAnsi="Arial" w:cs="Arial"/>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Pr>
                <w:rFonts w:ascii="Arial" w:hAnsi="Arial" w:cs="Arial"/>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76244" w:rsidP="00476244">
            <w:pPr>
              <w:contextualSpacing/>
              <w:jc w:val="center"/>
              <w:rPr>
                <w:rFonts w:ascii="Arial" w:hAnsi="Arial" w:cs="Arial"/>
                <w:sz w:val="20"/>
                <w:szCs w:val="20"/>
              </w:rPr>
            </w:pPr>
            <w:r w:rsidRPr="00476244">
              <w:rPr>
                <w:rFonts w:ascii="Arial" w:hAnsi="Arial" w:cs="Arial"/>
                <w:sz w:val="20"/>
                <w:szCs w:val="20"/>
              </w:rPr>
              <w:t>0.036</w:t>
            </w:r>
          </w:p>
        </w:tc>
      </w:tr>
      <w:tr w:rsidR="00476244" w:rsidRPr="00476244" w:rsidTr="008752C8">
        <w:trPr>
          <w:trHeight w:val="368"/>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2C8" w:rsidRDefault="00476244" w:rsidP="00476244">
            <w:pPr>
              <w:spacing w:after="0" w:line="240" w:lineRule="auto"/>
              <w:contextualSpacing/>
              <w:rPr>
                <w:rFonts w:ascii="Arial" w:hAnsi="Arial" w:cs="Arial"/>
                <w:sz w:val="20"/>
                <w:szCs w:val="20"/>
              </w:rPr>
            </w:pPr>
            <w:r w:rsidRPr="00235B89">
              <w:rPr>
                <w:rFonts w:ascii="Arial" w:eastAsia="Times New Roman" w:hAnsi="Arial" w:cs="Arial"/>
                <w:color w:val="000000"/>
                <w:sz w:val="20"/>
                <w:szCs w:val="20"/>
              </w:rPr>
              <w:t xml:space="preserve">IPACX + OPACX + </w:t>
            </w:r>
            <w:proofErr w:type="spellStart"/>
            <w:r w:rsidRPr="00235B89">
              <w:rPr>
                <w:rFonts w:ascii="Arial" w:hAnsi="Arial" w:cs="Arial"/>
                <w:sz w:val="20"/>
                <w:szCs w:val="20"/>
              </w:rPr>
              <w:t>GPSup</w:t>
            </w:r>
            <w:proofErr w:type="spellEnd"/>
            <w:r w:rsidR="008752C8">
              <w:rPr>
                <w:rFonts w:ascii="Arial" w:hAnsi="Arial" w:cs="Arial"/>
                <w:sz w:val="20"/>
                <w:szCs w:val="20"/>
              </w:rPr>
              <w:t xml:space="preserve"> + </w:t>
            </w:r>
          </w:p>
          <w:p w:rsidR="00476244" w:rsidRPr="00476244" w:rsidRDefault="008752C8" w:rsidP="00476244">
            <w:pPr>
              <w:spacing w:after="0" w:line="240" w:lineRule="auto"/>
              <w:contextualSpacing/>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health board dummies + needs index</w:t>
            </w:r>
          </w:p>
        </w:tc>
        <w:tc>
          <w:tcPr>
            <w:tcW w:w="850" w:type="dxa"/>
            <w:tcBorders>
              <w:top w:val="single" w:sz="4" w:space="0" w:color="auto"/>
              <w:left w:val="nil"/>
              <w:bottom w:val="single" w:sz="4" w:space="0" w:color="auto"/>
              <w:right w:val="single" w:sz="4" w:space="0" w:color="auto"/>
            </w:tcBorders>
            <w:shd w:val="clear" w:color="auto" w:fill="auto"/>
            <w:vAlign w:val="center"/>
          </w:tcPr>
          <w:p w:rsidR="00476244" w:rsidRPr="00476244" w:rsidRDefault="00446D6F" w:rsidP="00476244">
            <w:pPr>
              <w:contextualSpacing/>
              <w:jc w:val="center"/>
              <w:rPr>
                <w:rFonts w:ascii="Arial" w:hAnsi="Arial" w:cs="Arial"/>
                <w:sz w:val="20"/>
                <w:szCs w:val="20"/>
              </w:rPr>
            </w:pPr>
            <w:r>
              <w:rPr>
                <w:rFonts w:ascii="Arial" w:hAnsi="Arial" w:cs="Arial"/>
                <w:sz w:val="20"/>
                <w:szCs w:val="20"/>
              </w:rPr>
              <w:t>0.090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76244" w:rsidRPr="00476244" w:rsidRDefault="00446D6F" w:rsidP="00476244">
            <w:pPr>
              <w:contextualSpacing/>
              <w:jc w:val="center"/>
              <w:rPr>
                <w:rFonts w:ascii="Arial" w:hAnsi="Arial" w:cs="Arial"/>
                <w:sz w:val="20"/>
                <w:szCs w:val="20"/>
              </w:rPr>
            </w:pPr>
            <w:r>
              <w:rPr>
                <w:rFonts w:ascii="Arial" w:hAnsi="Arial" w:cs="Arial"/>
                <w:sz w:val="20"/>
                <w:szCs w:val="20"/>
              </w:rPr>
              <w:t>0.054</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46D6F" w:rsidP="00476244">
            <w:pPr>
              <w:contextualSpacing/>
              <w:jc w:val="center"/>
              <w:rPr>
                <w:rFonts w:ascii="Arial" w:hAnsi="Arial" w:cs="Arial"/>
                <w:sz w:val="20"/>
                <w:szCs w:val="20"/>
              </w:rPr>
            </w:pPr>
            <w:r>
              <w:rPr>
                <w:rFonts w:ascii="Arial" w:hAnsi="Arial" w:cs="Arial"/>
                <w:sz w:val="20"/>
                <w:szCs w:val="20"/>
              </w:rPr>
              <w:t>0.115</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46D6F" w:rsidP="00476244">
            <w:pPr>
              <w:contextualSpacing/>
              <w:jc w:val="center"/>
              <w:rPr>
                <w:rFonts w:ascii="Arial" w:hAnsi="Arial" w:cs="Arial"/>
                <w:sz w:val="20"/>
                <w:szCs w:val="20"/>
              </w:rPr>
            </w:pPr>
            <w:r>
              <w:rPr>
                <w:rFonts w:ascii="Arial" w:hAnsi="Arial" w:cs="Arial"/>
                <w:sz w:val="20"/>
                <w:szCs w:val="20"/>
              </w:rPr>
              <w:t>0.116</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46D6F" w:rsidP="00476244">
            <w:pPr>
              <w:contextualSpacing/>
              <w:jc w:val="center"/>
              <w:rPr>
                <w:rFonts w:ascii="Arial" w:hAnsi="Arial" w:cs="Arial"/>
                <w:sz w:val="20"/>
                <w:szCs w:val="20"/>
              </w:rPr>
            </w:pPr>
            <w:r>
              <w:rPr>
                <w:rFonts w:ascii="Arial" w:hAnsi="Arial" w:cs="Arial"/>
                <w:sz w:val="20"/>
                <w:szCs w:val="20"/>
              </w:rPr>
              <w:t>0.120</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46D6F" w:rsidP="00476244">
            <w:pPr>
              <w:contextualSpacing/>
              <w:jc w:val="center"/>
              <w:rPr>
                <w:rFonts w:ascii="Arial" w:hAnsi="Arial" w:cs="Arial"/>
                <w:sz w:val="20"/>
                <w:szCs w:val="20"/>
              </w:rPr>
            </w:pPr>
            <w:r>
              <w:rPr>
                <w:rFonts w:ascii="Arial" w:hAnsi="Arial" w:cs="Arial"/>
                <w:sz w:val="20"/>
                <w:szCs w:val="20"/>
              </w:rPr>
              <w:t>0.097</w:t>
            </w:r>
          </w:p>
        </w:tc>
        <w:tc>
          <w:tcPr>
            <w:tcW w:w="850" w:type="dxa"/>
            <w:tcBorders>
              <w:top w:val="nil"/>
              <w:left w:val="nil"/>
              <w:bottom w:val="single" w:sz="4" w:space="0" w:color="auto"/>
              <w:right w:val="single" w:sz="4" w:space="0" w:color="auto"/>
            </w:tcBorders>
            <w:shd w:val="clear" w:color="auto" w:fill="auto"/>
            <w:noWrap/>
            <w:vAlign w:val="center"/>
            <w:hideMark/>
          </w:tcPr>
          <w:p w:rsidR="00476244" w:rsidRPr="00476244" w:rsidRDefault="00446D6F" w:rsidP="00476244">
            <w:pPr>
              <w:contextualSpacing/>
              <w:jc w:val="center"/>
              <w:rPr>
                <w:rFonts w:ascii="Arial" w:hAnsi="Arial" w:cs="Arial"/>
                <w:sz w:val="20"/>
                <w:szCs w:val="20"/>
              </w:rPr>
            </w:pPr>
            <w:r>
              <w:rPr>
                <w:rFonts w:ascii="Arial" w:hAnsi="Arial" w:cs="Arial"/>
                <w:sz w:val="20"/>
                <w:szCs w:val="20"/>
              </w:rPr>
              <w:t>0.185</w:t>
            </w:r>
          </w:p>
        </w:tc>
        <w:tc>
          <w:tcPr>
            <w:tcW w:w="851" w:type="dxa"/>
            <w:tcBorders>
              <w:top w:val="nil"/>
              <w:left w:val="nil"/>
              <w:bottom w:val="single" w:sz="4" w:space="0" w:color="auto"/>
              <w:right w:val="single" w:sz="4" w:space="0" w:color="auto"/>
            </w:tcBorders>
            <w:shd w:val="clear" w:color="auto" w:fill="auto"/>
            <w:noWrap/>
            <w:vAlign w:val="center"/>
            <w:hideMark/>
          </w:tcPr>
          <w:p w:rsidR="00476244" w:rsidRPr="00476244" w:rsidRDefault="00446D6F" w:rsidP="00476244">
            <w:pPr>
              <w:contextualSpacing/>
              <w:jc w:val="center"/>
              <w:rPr>
                <w:rFonts w:ascii="Arial" w:hAnsi="Arial" w:cs="Arial"/>
                <w:sz w:val="20"/>
                <w:szCs w:val="20"/>
              </w:rPr>
            </w:pPr>
            <w:r>
              <w:rPr>
                <w:rFonts w:ascii="Arial" w:hAnsi="Arial" w:cs="Arial"/>
                <w:sz w:val="20"/>
                <w:szCs w:val="20"/>
              </w:rPr>
              <w:t>0.037</w:t>
            </w:r>
          </w:p>
        </w:tc>
      </w:tr>
    </w:tbl>
    <w:p w:rsidR="00A65DAD" w:rsidRDefault="00A65DAD" w:rsidP="004E2261">
      <w:pPr>
        <w:jc w:val="both"/>
        <w:rPr>
          <w:rFonts w:ascii="Arial" w:hAnsi="Arial" w:cs="Arial"/>
        </w:rPr>
      </w:pPr>
    </w:p>
    <w:p w:rsidR="008752C8" w:rsidRDefault="008752C8" w:rsidP="004E2261">
      <w:pPr>
        <w:jc w:val="both"/>
        <w:rPr>
          <w:rFonts w:ascii="Arial" w:hAnsi="Arial" w:cs="Arial"/>
        </w:rPr>
      </w:pPr>
      <w:r>
        <w:rPr>
          <w:rFonts w:ascii="Arial" w:hAnsi="Arial" w:cs="Arial"/>
        </w:rPr>
        <w:t xml:space="preserve">Generally the effect of </w:t>
      </w:r>
      <w:r w:rsidR="00A338EF">
        <w:rPr>
          <w:rFonts w:ascii="Arial" w:hAnsi="Arial" w:cs="Arial"/>
        </w:rPr>
        <w:t xml:space="preserve">including </w:t>
      </w:r>
      <w:r>
        <w:rPr>
          <w:rFonts w:ascii="Arial" w:hAnsi="Arial" w:cs="Arial"/>
        </w:rPr>
        <w:t>the supply model</w:t>
      </w:r>
      <w:r w:rsidR="00A338EF">
        <w:rPr>
          <w:rFonts w:ascii="Arial" w:hAnsi="Arial" w:cs="Arial"/>
        </w:rPr>
        <w:t>s</w:t>
      </w:r>
      <w:r>
        <w:rPr>
          <w:rFonts w:ascii="Arial" w:hAnsi="Arial" w:cs="Arial"/>
        </w:rPr>
        <w:t xml:space="preserve"> is to lower the needs index coefficient, although </w:t>
      </w:r>
      <w:r w:rsidR="00A338EF">
        <w:rPr>
          <w:rFonts w:ascii="Arial" w:hAnsi="Arial" w:cs="Arial"/>
        </w:rPr>
        <w:t xml:space="preserve">this is not the case for the diagnostic group </w:t>
      </w:r>
      <w:r>
        <w:rPr>
          <w:rFonts w:ascii="Arial" w:hAnsi="Arial" w:cs="Arial"/>
        </w:rPr>
        <w:t>Injury.</w:t>
      </w:r>
      <w:r w:rsidR="00A338EF">
        <w:rPr>
          <w:rFonts w:ascii="Arial" w:hAnsi="Arial" w:cs="Arial"/>
        </w:rPr>
        <w:t xml:space="preserve"> T</w:t>
      </w:r>
      <w:r>
        <w:rPr>
          <w:rFonts w:ascii="Arial" w:hAnsi="Arial" w:cs="Arial"/>
        </w:rPr>
        <w:t xml:space="preserve">here is almost no difference between the </w:t>
      </w:r>
      <w:r w:rsidR="00A338EF">
        <w:rPr>
          <w:rFonts w:ascii="Arial" w:hAnsi="Arial" w:cs="Arial"/>
        </w:rPr>
        <w:t xml:space="preserve">considered supply models in terms of the resulting needs index </w:t>
      </w:r>
      <w:r>
        <w:rPr>
          <w:rFonts w:ascii="Arial" w:hAnsi="Arial" w:cs="Arial"/>
        </w:rPr>
        <w:t>coefficients.</w:t>
      </w:r>
    </w:p>
    <w:p w:rsidR="008752C8" w:rsidRDefault="008752C8" w:rsidP="004E2261">
      <w:pPr>
        <w:jc w:val="both"/>
        <w:rPr>
          <w:rFonts w:ascii="Arial" w:hAnsi="Arial" w:cs="Arial"/>
        </w:rPr>
      </w:pPr>
    </w:p>
    <w:p w:rsidR="008752C8" w:rsidRPr="008752C8" w:rsidRDefault="008752C8" w:rsidP="004E2261">
      <w:pPr>
        <w:jc w:val="both"/>
        <w:rPr>
          <w:rFonts w:ascii="Arial" w:hAnsi="Arial" w:cs="Arial"/>
          <w:b/>
        </w:rPr>
      </w:pPr>
      <w:r w:rsidRPr="008752C8">
        <w:rPr>
          <w:rFonts w:ascii="Arial" w:hAnsi="Arial" w:cs="Arial"/>
          <w:b/>
        </w:rPr>
        <w:t>4. Selecting the supply model</w:t>
      </w:r>
    </w:p>
    <w:p w:rsidR="00B4697E" w:rsidRDefault="00B4697E" w:rsidP="004E2261">
      <w:pPr>
        <w:jc w:val="both"/>
        <w:rPr>
          <w:rFonts w:ascii="Arial" w:hAnsi="Arial" w:cs="Arial"/>
        </w:rPr>
      </w:pPr>
      <w:r>
        <w:rPr>
          <w:rFonts w:ascii="Arial" w:hAnsi="Arial" w:cs="Arial"/>
        </w:rPr>
        <w:t xml:space="preserve">Following the above analysis, there are </w:t>
      </w:r>
      <w:r w:rsidR="00A65DAD">
        <w:rPr>
          <w:rFonts w:ascii="Arial" w:hAnsi="Arial" w:cs="Arial"/>
        </w:rPr>
        <w:t xml:space="preserve">now </w:t>
      </w:r>
      <w:r>
        <w:rPr>
          <w:rFonts w:ascii="Arial" w:hAnsi="Arial" w:cs="Arial"/>
        </w:rPr>
        <w:t>three decisions involved in selecting the supply model:</w:t>
      </w:r>
    </w:p>
    <w:p w:rsidR="00B4697E" w:rsidRDefault="00B4697E" w:rsidP="00B4697E">
      <w:pPr>
        <w:pStyle w:val="ListParagraph"/>
        <w:numPr>
          <w:ilvl w:val="0"/>
          <w:numId w:val="29"/>
        </w:numPr>
        <w:jc w:val="both"/>
        <w:rPr>
          <w:rFonts w:ascii="Arial" w:hAnsi="Arial" w:cs="Arial"/>
        </w:rPr>
      </w:pPr>
      <w:r>
        <w:rPr>
          <w:rFonts w:ascii="Arial" w:hAnsi="Arial" w:cs="Arial"/>
        </w:rPr>
        <w:t xml:space="preserve">Whether to include </w:t>
      </w:r>
      <w:proofErr w:type="spellStart"/>
      <w:r>
        <w:rPr>
          <w:rFonts w:ascii="Arial" w:hAnsi="Arial" w:cs="Arial"/>
        </w:rPr>
        <w:t>GPSup</w:t>
      </w:r>
      <w:proofErr w:type="spellEnd"/>
      <w:r>
        <w:rPr>
          <w:rFonts w:ascii="Arial" w:hAnsi="Arial" w:cs="Arial"/>
        </w:rPr>
        <w:t>;</w:t>
      </w:r>
    </w:p>
    <w:p w:rsidR="00B4697E" w:rsidRDefault="00B4697E" w:rsidP="00B4697E">
      <w:pPr>
        <w:pStyle w:val="ListParagraph"/>
        <w:numPr>
          <w:ilvl w:val="0"/>
          <w:numId w:val="29"/>
        </w:numPr>
        <w:jc w:val="both"/>
        <w:rPr>
          <w:rFonts w:ascii="Arial" w:hAnsi="Arial" w:cs="Arial"/>
        </w:rPr>
      </w:pPr>
      <w:r>
        <w:rPr>
          <w:rFonts w:ascii="Arial" w:hAnsi="Arial" w:cs="Arial"/>
        </w:rPr>
        <w:t>Whether to treat hospital supply variables as a pair or use them singly;</w:t>
      </w:r>
    </w:p>
    <w:p w:rsidR="00B4697E" w:rsidRPr="00B4697E" w:rsidRDefault="00B4697E" w:rsidP="00B4697E">
      <w:pPr>
        <w:pStyle w:val="ListParagraph"/>
        <w:numPr>
          <w:ilvl w:val="0"/>
          <w:numId w:val="29"/>
        </w:numPr>
        <w:jc w:val="both"/>
        <w:rPr>
          <w:rFonts w:ascii="Arial" w:hAnsi="Arial" w:cs="Arial"/>
        </w:rPr>
      </w:pPr>
      <w:r>
        <w:rPr>
          <w:rFonts w:ascii="Arial" w:hAnsi="Arial" w:cs="Arial"/>
        </w:rPr>
        <w:t>Whether to use IPACX / OPACX (variables with no population correction) or IPAC / OPAC (variables with population correction).</w:t>
      </w:r>
    </w:p>
    <w:p w:rsidR="00B4697E" w:rsidRDefault="008752C8" w:rsidP="004E2261">
      <w:pPr>
        <w:jc w:val="both"/>
        <w:rPr>
          <w:rFonts w:ascii="Arial" w:hAnsi="Arial" w:cs="Arial"/>
        </w:rPr>
      </w:pPr>
      <w:r>
        <w:rPr>
          <w:rFonts w:ascii="Arial" w:hAnsi="Arial" w:cs="Arial"/>
        </w:rPr>
        <w:t>In Section 3</w:t>
      </w:r>
      <w:r w:rsidR="00801A08">
        <w:rPr>
          <w:rFonts w:ascii="Arial" w:hAnsi="Arial" w:cs="Arial"/>
        </w:rPr>
        <w:t>,</w:t>
      </w:r>
      <w:r>
        <w:rPr>
          <w:rFonts w:ascii="Arial" w:hAnsi="Arial" w:cs="Arial"/>
        </w:rPr>
        <w:t xml:space="preserve"> </w:t>
      </w:r>
      <w:r w:rsidR="00801A08">
        <w:rPr>
          <w:rFonts w:ascii="Arial" w:hAnsi="Arial" w:cs="Arial"/>
        </w:rPr>
        <w:t xml:space="preserve">it was found that </w:t>
      </w:r>
      <w:proofErr w:type="spellStart"/>
      <w:r>
        <w:rPr>
          <w:rFonts w:ascii="Arial" w:hAnsi="Arial" w:cs="Arial"/>
        </w:rPr>
        <w:t>GPSup</w:t>
      </w:r>
      <w:proofErr w:type="spellEnd"/>
      <w:r>
        <w:rPr>
          <w:rFonts w:ascii="Arial" w:hAnsi="Arial" w:cs="Arial"/>
        </w:rPr>
        <w:t xml:space="preserve"> did not a</w:t>
      </w:r>
      <w:r w:rsidR="00801A08">
        <w:rPr>
          <w:rFonts w:ascii="Arial" w:hAnsi="Arial" w:cs="Arial"/>
        </w:rPr>
        <w:t>dd anything to the supply model.</w:t>
      </w:r>
      <w:r>
        <w:rPr>
          <w:rFonts w:ascii="Arial" w:hAnsi="Arial" w:cs="Arial"/>
        </w:rPr>
        <w:t xml:space="preserve"> </w:t>
      </w:r>
      <w:r w:rsidR="00B4697E">
        <w:rPr>
          <w:rFonts w:ascii="Arial" w:hAnsi="Arial" w:cs="Arial"/>
        </w:rPr>
        <w:t>Additionally</w:t>
      </w:r>
      <w:r>
        <w:rPr>
          <w:rFonts w:ascii="Arial" w:hAnsi="Arial" w:cs="Arial"/>
        </w:rPr>
        <w:t>,</w:t>
      </w:r>
      <w:r w:rsidR="00B4697E">
        <w:rPr>
          <w:rFonts w:ascii="Arial" w:hAnsi="Arial" w:cs="Arial"/>
        </w:rPr>
        <w:t xml:space="preserve"> there is less of a clear relevance to</w:t>
      </w:r>
      <w:r>
        <w:rPr>
          <w:rFonts w:ascii="Arial" w:hAnsi="Arial" w:cs="Arial"/>
        </w:rPr>
        <w:t xml:space="preserve"> GP supply for modelling </w:t>
      </w:r>
      <w:proofErr w:type="gramStart"/>
      <w:r>
        <w:rPr>
          <w:rFonts w:ascii="Arial" w:hAnsi="Arial" w:cs="Arial"/>
        </w:rPr>
        <w:t>Acute</w:t>
      </w:r>
      <w:proofErr w:type="gramEnd"/>
      <w:r>
        <w:rPr>
          <w:rFonts w:ascii="Arial" w:hAnsi="Arial" w:cs="Arial"/>
        </w:rPr>
        <w:t xml:space="preserve"> hosp</w:t>
      </w:r>
      <w:r w:rsidR="00B4697E">
        <w:rPr>
          <w:rFonts w:ascii="Arial" w:hAnsi="Arial" w:cs="Arial"/>
        </w:rPr>
        <w:t>ital activity</w:t>
      </w:r>
      <w:r>
        <w:rPr>
          <w:rFonts w:ascii="Arial" w:hAnsi="Arial" w:cs="Arial"/>
        </w:rPr>
        <w:t>.</w:t>
      </w:r>
    </w:p>
    <w:p w:rsidR="00B4697E" w:rsidRDefault="004C3312" w:rsidP="004E2261">
      <w:pPr>
        <w:jc w:val="both"/>
        <w:rPr>
          <w:rFonts w:ascii="Arial" w:hAnsi="Arial" w:cs="Arial"/>
        </w:rPr>
      </w:pPr>
      <w:r>
        <w:rPr>
          <w:rFonts w:ascii="Arial" w:hAnsi="Arial" w:cs="Arial"/>
        </w:rPr>
        <w:lastRenderedPageBreak/>
        <w:t xml:space="preserve">Using only </w:t>
      </w:r>
      <w:r w:rsidR="00A338EF">
        <w:rPr>
          <w:rFonts w:ascii="Arial" w:hAnsi="Arial" w:cs="Arial"/>
        </w:rPr>
        <w:t>a single</w:t>
      </w:r>
      <w:r>
        <w:rPr>
          <w:rFonts w:ascii="Arial" w:hAnsi="Arial" w:cs="Arial"/>
        </w:rPr>
        <w:t xml:space="preserve"> hospital </w:t>
      </w:r>
      <w:r w:rsidR="00A338EF">
        <w:rPr>
          <w:rFonts w:ascii="Arial" w:hAnsi="Arial" w:cs="Arial"/>
        </w:rPr>
        <w:t>supply variable</w:t>
      </w:r>
      <w:r>
        <w:rPr>
          <w:rFonts w:ascii="Arial" w:hAnsi="Arial" w:cs="Arial"/>
        </w:rPr>
        <w:t xml:space="preserve"> produced results that were</w:t>
      </w:r>
      <w:r w:rsidR="00F02A6A">
        <w:rPr>
          <w:rFonts w:ascii="Arial" w:hAnsi="Arial" w:cs="Arial"/>
        </w:rPr>
        <w:t xml:space="preserve"> just as good as using the pair.</w:t>
      </w:r>
      <w:r>
        <w:rPr>
          <w:rFonts w:ascii="Arial" w:hAnsi="Arial" w:cs="Arial"/>
        </w:rPr>
        <w:t xml:space="preserve"> </w:t>
      </w:r>
      <w:r w:rsidR="00F02A6A">
        <w:rPr>
          <w:rFonts w:ascii="Arial" w:hAnsi="Arial" w:cs="Arial"/>
        </w:rPr>
        <w:t>T</w:t>
      </w:r>
      <w:r>
        <w:rPr>
          <w:rFonts w:ascii="Arial" w:hAnsi="Arial" w:cs="Arial"/>
        </w:rPr>
        <w:t xml:space="preserve">he </w:t>
      </w:r>
      <w:proofErr w:type="spellStart"/>
      <w:r>
        <w:rPr>
          <w:rFonts w:ascii="Arial" w:hAnsi="Arial" w:cs="Arial"/>
        </w:rPr>
        <w:t>collinearity</w:t>
      </w:r>
      <w:proofErr w:type="spellEnd"/>
      <w:r>
        <w:rPr>
          <w:rFonts w:ascii="Arial" w:hAnsi="Arial" w:cs="Arial"/>
        </w:rPr>
        <w:t xml:space="preserve"> of each pair</w:t>
      </w:r>
      <w:r w:rsidR="00F02A6A">
        <w:rPr>
          <w:rFonts w:ascii="Arial" w:hAnsi="Arial" w:cs="Arial"/>
        </w:rPr>
        <w:t xml:space="preserve"> is an argument for using just</w:t>
      </w:r>
      <w:r>
        <w:rPr>
          <w:rFonts w:ascii="Arial" w:hAnsi="Arial" w:cs="Arial"/>
        </w:rPr>
        <w:t xml:space="preserve"> a single variable.</w:t>
      </w:r>
    </w:p>
    <w:p w:rsidR="008752C8" w:rsidRDefault="00801A08" w:rsidP="004E2261">
      <w:pPr>
        <w:jc w:val="both"/>
        <w:rPr>
          <w:rFonts w:ascii="Arial" w:hAnsi="Arial" w:cs="Arial"/>
        </w:rPr>
      </w:pPr>
      <w:r>
        <w:rPr>
          <w:rFonts w:ascii="Arial" w:hAnsi="Arial" w:cs="Arial"/>
        </w:rPr>
        <w:t>The choice between IPACX / OPACX and IPAC / OPAC is more difficult as these were found to perform equally well in terms of the amount of cost variation that they explained.</w:t>
      </w:r>
    </w:p>
    <w:p w:rsidR="004146A8" w:rsidRDefault="004E2261" w:rsidP="004E2261">
      <w:pPr>
        <w:jc w:val="both"/>
        <w:rPr>
          <w:rFonts w:ascii="Arial" w:hAnsi="Arial" w:cs="Arial"/>
        </w:rPr>
      </w:pPr>
      <w:r>
        <w:rPr>
          <w:rFonts w:ascii="Arial" w:hAnsi="Arial" w:cs="Arial"/>
        </w:rPr>
        <w:t xml:space="preserve">Technical Report D </w:t>
      </w:r>
      <w:r w:rsidR="008752C8">
        <w:rPr>
          <w:rFonts w:ascii="Arial" w:hAnsi="Arial" w:cs="Arial"/>
        </w:rPr>
        <w:t>expressed some concerns around IPAC and OPAC, noting</w:t>
      </w:r>
      <w:r>
        <w:rPr>
          <w:rFonts w:ascii="Arial" w:hAnsi="Arial" w:cs="Arial"/>
        </w:rPr>
        <w:t xml:space="preserve"> that some remote data zones in the Island boards had similar values of IPAC / OPAC to some very urban data zones.</w:t>
      </w:r>
      <w:r w:rsidRPr="004E2261">
        <w:rPr>
          <w:rFonts w:ascii="Arial" w:hAnsi="Arial" w:cs="Arial"/>
        </w:rPr>
        <w:t xml:space="preserve"> </w:t>
      </w:r>
      <w:r>
        <w:rPr>
          <w:rFonts w:ascii="Arial" w:hAnsi="Arial" w:cs="Arial"/>
        </w:rPr>
        <w:t>We find that this difference between IPAC / OPAC</w:t>
      </w:r>
      <w:r w:rsidR="008752C8">
        <w:rPr>
          <w:rFonts w:ascii="Arial" w:hAnsi="Arial" w:cs="Arial"/>
        </w:rPr>
        <w:t xml:space="preserve"> and IPACX / OPACX still holds: for example, for data zones in NHS Greater Glasgow &amp; Clyde</w:t>
      </w:r>
      <w:r w:rsidR="004146A8">
        <w:rPr>
          <w:rFonts w:ascii="Arial" w:hAnsi="Arial" w:cs="Arial"/>
        </w:rPr>
        <w:t xml:space="preserve">, OPACX values range from </w:t>
      </w:r>
      <w:r w:rsidR="004146A8" w:rsidRPr="004146A8">
        <w:rPr>
          <w:rFonts w:ascii="Arial" w:hAnsi="Arial" w:cs="Arial"/>
        </w:rPr>
        <w:t>227</w:t>
      </w:r>
      <w:r w:rsidR="004146A8">
        <w:rPr>
          <w:rFonts w:ascii="Arial" w:hAnsi="Arial" w:cs="Arial"/>
        </w:rPr>
        <w:t xml:space="preserve"> to 2,134</w:t>
      </w:r>
      <w:r w:rsidR="00A338EF">
        <w:rPr>
          <w:rFonts w:ascii="Arial" w:hAnsi="Arial" w:cs="Arial"/>
        </w:rPr>
        <w:t>, giving no</w:t>
      </w:r>
      <w:r w:rsidR="004146A8">
        <w:rPr>
          <w:rFonts w:ascii="Arial" w:hAnsi="Arial" w:cs="Arial"/>
        </w:rPr>
        <w:t xml:space="preserve"> overlap with the range of 4 to 44 for NHS Orkney; OPAC by contrast ranges from </w:t>
      </w:r>
      <w:r w:rsidR="004146A8" w:rsidRPr="004146A8">
        <w:rPr>
          <w:rFonts w:ascii="Arial" w:hAnsi="Arial" w:cs="Arial"/>
        </w:rPr>
        <w:t>0.11</w:t>
      </w:r>
      <w:r w:rsidR="004146A8">
        <w:rPr>
          <w:rFonts w:ascii="Arial" w:hAnsi="Arial" w:cs="Arial"/>
        </w:rPr>
        <w:t xml:space="preserve"> to </w:t>
      </w:r>
      <w:r w:rsidR="004146A8" w:rsidRPr="004146A8">
        <w:rPr>
          <w:rFonts w:ascii="Arial" w:hAnsi="Arial" w:cs="Arial"/>
        </w:rPr>
        <w:t>0.5</w:t>
      </w:r>
      <w:r w:rsidR="004146A8">
        <w:rPr>
          <w:rFonts w:ascii="Arial" w:hAnsi="Arial" w:cs="Arial"/>
        </w:rPr>
        <w:t xml:space="preserve">4 for NHS Greater Glasgow &amp; Clyde and from </w:t>
      </w:r>
      <w:r w:rsidR="004146A8" w:rsidRPr="004146A8">
        <w:rPr>
          <w:rFonts w:ascii="Arial" w:hAnsi="Arial" w:cs="Arial"/>
        </w:rPr>
        <w:t>0.02</w:t>
      </w:r>
      <w:r w:rsidR="004146A8">
        <w:rPr>
          <w:rFonts w:ascii="Arial" w:hAnsi="Arial" w:cs="Arial"/>
        </w:rPr>
        <w:t xml:space="preserve"> to </w:t>
      </w:r>
      <w:r w:rsidR="004146A8" w:rsidRPr="004146A8">
        <w:rPr>
          <w:rFonts w:ascii="Arial" w:hAnsi="Arial" w:cs="Arial"/>
        </w:rPr>
        <w:t>0.47</w:t>
      </w:r>
      <w:r w:rsidR="004146A8">
        <w:rPr>
          <w:rFonts w:ascii="Arial" w:hAnsi="Arial" w:cs="Arial"/>
        </w:rPr>
        <w:t xml:space="preserve"> for NHS Orkney, so there is a significant overlap in values </w:t>
      </w:r>
      <w:r w:rsidR="00FE7A05">
        <w:rPr>
          <w:rFonts w:ascii="Arial" w:hAnsi="Arial" w:cs="Arial"/>
        </w:rPr>
        <w:t>between</w:t>
      </w:r>
      <w:r w:rsidR="004146A8">
        <w:rPr>
          <w:rFonts w:ascii="Arial" w:hAnsi="Arial" w:cs="Arial"/>
        </w:rPr>
        <w:t xml:space="preserve"> these two boards.</w:t>
      </w:r>
    </w:p>
    <w:p w:rsidR="00B4697E" w:rsidRDefault="004146A8" w:rsidP="004E2261">
      <w:pPr>
        <w:jc w:val="both"/>
        <w:rPr>
          <w:rFonts w:ascii="Arial" w:hAnsi="Arial" w:cs="Arial"/>
        </w:rPr>
      </w:pPr>
      <w:r>
        <w:rPr>
          <w:rFonts w:ascii="Arial" w:hAnsi="Arial" w:cs="Arial"/>
        </w:rPr>
        <w:t xml:space="preserve">What this </w:t>
      </w:r>
      <w:r w:rsidR="00FE7A05">
        <w:rPr>
          <w:rFonts w:ascii="Arial" w:hAnsi="Arial" w:cs="Arial"/>
        </w:rPr>
        <w:t>shows</w:t>
      </w:r>
      <w:r>
        <w:rPr>
          <w:rFonts w:ascii="Arial" w:hAnsi="Arial" w:cs="Arial"/>
        </w:rPr>
        <w:t xml:space="preserve"> is that when using IPAC and OPAC, distant hospitals that serve only very small populations (as in Orkney) have a similar weight in terms of “supply” </w:t>
      </w:r>
      <w:r w:rsidR="00A338EF">
        <w:rPr>
          <w:rFonts w:ascii="Arial" w:hAnsi="Arial" w:cs="Arial"/>
        </w:rPr>
        <w:t>to</w:t>
      </w:r>
      <w:r>
        <w:rPr>
          <w:rFonts w:ascii="Arial" w:hAnsi="Arial" w:cs="Arial"/>
        </w:rPr>
        <w:t xml:space="preserve"> hospitals close by that serve much larger populations (as in Glasgow).</w:t>
      </w:r>
      <w:r w:rsidR="00FE7A05">
        <w:rPr>
          <w:rFonts w:ascii="Arial" w:hAnsi="Arial" w:cs="Arial"/>
        </w:rPr>
        <w:t xml:space="preserve"> By contrast,</w:t>
      </w:r>
      <w:r>
        <w:rPr>
          <w:rFonts w:ascii="Arial" w:hAnsi="Arial" w:cs="Arial"/>
        </w:rPr>
        <w:t xml:space="preserve"> IPACX and OPACX, which do not consider the population size, </w:t>
      </w:r>
      <w:r w:rsidR="00FE7A05">
        <w:rPr>
          <w:rFonts w:ascii="Arial" w:hAnsi="Arial" w:cs="Arial"/>
        </w:rPr>
        <w:t>regard</w:t>
      </w:r>
      <w:r>
        <w:rPr>
          <w:rFonts w:ascii="Arial" w:hAnsi="Arial" w:cs="Arial"/>
        </w:rPr>
        <w:t xml:space="preserve"> urban areas </w:t>
      </w:r>
      <w:r w:rsidR="00FE7A05">
        <w:rPr>
          <w:rFonts w:ascii="Arial" w:hAnsi="Arial" w:cs="Arial"/>
        </w:rPr>
        <w:t xml:space="preserve">– where the </w:t>
      </w:r>
      <w:r>
        <w:rPr>
          <w:rFonts w:ascii="Arial" w:hAnsi="Arial" w:cs="Arial"/>
        </w:rPr>
        <w:t xml:space="preserve">distances to hospitals </w:t>
      </w:r>
      <w:r w:rsidR="00FE7A05">
        <w:rPr>
          <w:rFonts w:ascii="Arial" w:hAnsi="Arial" w:cs="Arial"/>
        </w:rPr>
        <w:t xml:space="preserve">are much shorter – as having </w:t>
      </w:r>
      <w:r>
        <w:rPr>
          <w:rFonts w:ascii="Arial" w:hAnsi="Arial" w:cs="Arial"/>
        </w:rPr>
        <w:t xml:space="preserve">much greater levels of supply. </w:t>
      </w:r>
    </w:p>
    <w:p w:rsidR="00F02A6A" w:rsidRDefault="00F02A6A" w:rsidP="00F02A6A">
      <w:pPr>
        <w:jc w:val="both"/>
        <w:rPr>
          <w:rFonts w:ascii="Arial" w:hAnsi="Arial" w:cs="Arial"/>
        </w:rPr>
      </w:pPr>
      <w:r>
        <w:rPr>
          <w:rFonts w:ascii="Arial" w:hAnsi="Arial" w:cs="Arial"/>
        </w:rPr>
        <w:t xml:space="preserve">IPACX and OPACX have higher correlations with the cost ratios than IPAC and OPAC, and result in slightly higher R-squared in a few diagnostic groups. They also have a simpler, more easily explainable formulation, and are currently in use within the NRAC formula. </w:t>
      </w:r>
    </w:p>
    <w:p w:rsidR="00F02A6A" w:rsidRDefault="004E2261" w:rsidP="00396774">
      <w:pPr>
        <w:jc w:val="both"/>
        <w:rPr>
          <w:rFonts w:ascii="Arial" w:hAnsi="Arial" w:cs="Arial"/>
        </w:rPr>
      </w:pPr>
      <w:r>
        <w:rPr>
          <w:rFonts w:ascii="Arial" w:hAnsi="Arial" w:cs="Arial"/>
        </w:rPr>
        <w:t>However, it makes no practical difference to the result</w:t>
      </w:r>
      <w:r w:rsidR="00F02A6A">
        <w:rPr>
          <w:rFonts w:ascii="Arial" w:hAnsi="Arial" w:cs="Arial"/>
        </w:rPr>
        <w:t xml:space="preserve"> which of these options is used</w:t>
      </w:r>
      <w:r>
        <w:rPr>
          <w:rFonts w:ascii="Arial" w:hAnsi="Arial" w:cs="Arial"/>
        </w:rPr>
        <w:t xml:space="preserve">, </w:t>
      </w:r>
      <w:r w:rsidR="00C6002F">
        <w:rPr>
          <w:rFonts w:ascii="Arial" w:hAnsi="Arial" w:cs="Arial"/>
        </w:rPr>
        <w:t>as seen in Section 3</w:t>
      </w:r>
      <w:r>
        <w:rPr>
          <w:rFonts w:ascii="Arial" w:hAnsi="Arial" w:cs="Arial"/>
        </w:rPr>
        <w:t>. This perhaps</w:t>
      </w:r>
      <w:r w:rsidR="00C6002F">
        <w:rPr>
          <w:rFonts w:ascii="Arial" w:hAnsi="Arial" w:cs="Arial"/>
        </w:rPr>
        <w:t xml:space="preserve"> simply</w:t>
      </w:r>
      <w:r>
        <w:rPr>
          <w:rFonts w:ascii="Arial" w:hAnsi="Arial" w:cs="Arial"/>
        </w:rPr>
        <w:t xml:space="preserve"> reflects that the supply variables (whichever ones are used) </w:t>
      </w:r>
      <w:r w:rsidR="00C6002F">
        <w:rPr>
          <w:rFonts w:ascii="Arial" w:hAnsi="Arial" w:cs="Arial"/>
        </w:rPr>
        <w:t xml:space="preserve">only </w:t>
      </w:r>
      <w:r>
        <w:rPr>
          <w:rFonts w:ascii="Arial" w:hAnsi="Arial" w:cs="Arial"/>
        </w:rPr>
        <w:t xml:space="preserve">explain </w:t>
      </w:r>
      <w:r w:rsidR="00C6002F">
        <w:rPr>
          <w:rFonts w:ascii="Arial" w:hAnsi="Arial" w:cs="Arial"/>
        </w:rPr>
        <w:t xml:space="preserve">a very small proportion </w:t>
      </w:r>
      <w:r>
        <w:rPr>
          <w:rFonts w:ascii="Arial" w:hAnsi="Arial" w:cs="Arial"/>
        </w:rPr>
        <w:t>of the variation in cost.</w:t>
      </w:r>
      <w:r w:rsidR="00A338EF">
        <w:rPr>
          <w:rFonts w:ascii="Arial" w:hAnsi="Arial" w:cs="Arial"/>
        </w:rPr>
        <w:t xml:space="preserve"> Indeed, the increase in R-squared obtained when including the supply variables – as c</w:t>
      </w:r>
      <w:r w:rsidR="0000211F">
        <w:rPr>
          <w:rFonts w:ascii="Arial" w:hAnsi="Arial" w:cs="Arial"/>
        </w:rPr>
        <w:t xml:space="preserve">ompared to a regression on just </w:t>
      </w:r>
      <w:r w:rsidR="00A338EF">
        <w:rPr>
          <w:rFonts w:ascii="Arial" w:hAnsi="Arial" w:cs="Arial"/>
        </w:rPr>
        <w:t xml:space="preserve">the health board dummies and needs index – is less than 1 percentage point </w:t>
      </w:r>
      <w:r w:rsidR="007A24C2">
        <w:rPr>
          <w:rFonts w:ascii="Arial" w:hAnsi="Arial" w:cs="Arial"/>
        </w:rPr>
        <w:t xml:space="preserve">for all diagnostic groups </w:t>
      </w:r>
      <w:r w:rsidR="00A338EF">
        <w:rPr>
          <w:rFonts w:ascii="Arial" w:hAnsi="Arial" w:cs="Arial"/>
        </w:rPr>
        <w:t>and typically 0.1</w:t>
      </w:r>
      <w:r w:rsidR="007A24C2">
        <w:rPr>
          <w:rFonts w:ascii="Arial" w:hAnsi="Arial" w:cs="Arial"/>
        </w:rPr>
        <w:t>—</w:t>
      </w:r>
      <w:r w:rsidR="00A338EF">
        <w:rPr>
          <w:rFonts w:ascii="Arial" w:hAnsi="Arial" w:cs="Arial"/>
        </w:rPr>
        <w:t>0</w:t>
      </w:r>
      <w:r w:rsidR="007A24C2">
        <w:rPr>
          <w:rFonts w:ascii="Arial" w:hAnsi="Arial" w:cs="Arial"/>
        </w:rPr>
        <w:t>.</w:t>
      </w:r>
      <w:r w:rsidR="00A338EF">
        <w:rPr>
          <w:rFonts w:ascii="Arial" w:hAnsi="Arial" w:cs="Arial"/>
        </w:rPr>
        <w:t>2 percentage points</w:t>
      </w:r>
      <w:r w:rsidR="00396774">
        <w:rPr>
          <w:rStyle w:val="FootnoteReference"/>
          <w:rFonts w:ascii="Arial" w:hAnsi="Arial" w:cs="Arial"/>
        </w:rPr>
        <w:footnoteReference w:id="3"/>
      </w:r>
      <w:r w:rsidR="00A338EF">
        <w:rPr>
          <w:rFonts w:ascii="Arial" w:hAnsi="Arial" w:cs="Arial"/>
        </w:rPr>
        <w:t>.</w:t>
      </w:r>
    </w:p>
    <w:p w:rsidR="0000211F" w:rsidRDefault="00396774" w:rsidP="00396774">
      <w:pPr>
        <w:jc w:val="both"/>
        <w:rPr>
          <w:rFonts w:ascii="Arial" w:hAnsi="Arial" w:cs="Arial"/>
          <w:b/>
        </w:rPr>
      </w:pPr>
      <w:r>
        <w:rPr>
          <w:rFonts w:ascii="Arial" w:hAnsi="Arial" w:cs="Arial"/>
        </w:rPr>
        <w:t>Table 8 evaluates each of the three decisions against the TAGRA core criteria</w:t>
      </w:r>
      <w:r w:rsidR="0000211F">
        <w:rPr>
          <w:rFonts w:ascii="Arial" w:hAnsi="Arial" w:cs="Arial"/>
        </w:rPr>
        <w:t xml:space="preserve"> where possible</w:t>
      </w:r>
      <w:r>
        <w:rPr>
          <w:rFonts w:ascii="Arial" w:hAnsi="Arial" w:cs="Arial"/>
        </w:rPr>
        <w:t>.</w:t>
      </w:r>
      <w:r w:rsidR="0000211F" w:rsidRPr="0000211F">
        <w:rPr>
          <w:rFonts w:ascii="Arial" w:hAnsi="Arial" w:cs="Arial"/>
          <w:b/>
        </w:rPr>
        <w:t xml:space="preserve"> </w:t>
      </w:r>
    </w:p>
    <w:p w:rsidR="0000211F" w:rsidRDefault="00A65DAD" w:rsidP="00396774">
      <w:pPr>
        <w:jc w:val="both"/>
        <w:rPr>
          <w:rFonts w:ascii="Arial" w:hAnsi="Arial" w:cs="Arial"/>
        </w:rPr>
      </w:pPr>
      <w:r>
        <w:rPr>
          <w:rFonts w:ascii="Arial" w:hAnsi="Arial" w:cs="Arial"/>
          <w:b/>
        </w:rPr>
        <w:t xml:space="preserve">Q1: </w:t>
      </w:r>
      <w:r w:rsidR="00D751B0">
        <w:rPr>
          <w:rFonts w:ascii="Arial" w:hAnsi="Arial" w:cs="Arial"/>
          <w:b/>
        </w:rPr>
        <w:t xml:space="preserve">AST propose </w:t>
      </w:r>
      <w:r w:rsidR="00D751B0">
        <w:rPr>
          <w:rFonts w:ascii="Arial" w:hAnsi="Arial" w:cs="Arial"/>
          <w:b/>
        </w:rPr>
        <w:t>to retain</w:t>
      </w:r>
      <w:r w:rsidR="00D751B0" w:rsidRPr="0031471A">
        <w:rPr>
          <w:rFonts w:ascii="Arial" w:hAnsi="Arial" w:cs="Arial"/>
          <w:b/>
        </w:rPr>
        <w:t xml:space="preserve"> the existing supply </w:t>
      </w:r>
      <w:r w:rsidR="00D751B0">
        <w:rPr>
          <w:rFonts w:ascii="Arial" w:hAnsi="Arial" w:cs="Arial"/>
          <w:b/>
        </w:rPr>
        <w:t>variables</w:t>
      </w:r>
      <w:r w:rsidR="00D751B0" w:rsidRPr="0031471A">
        <w:rPr>
          <w:rFonts w:ascii="Arial" w:hAnsi="Arial" w:cs="Arial"/>
          <w:b/>
        </w:rPr>
        <w:t xml:space="preserve"> (IPACX </w:t>
      </w:r>
      <w:r w:rsidR="00D751B0">
        <w:rPr>
          <w:rFonts w:ascii="Arial" w:hAnsi="Arial" w:cs="Arial"/>
          <w:b/>
        </w:rPr>
        <w:t>or</w:t>
      </w:r>
      <w:r w:rsidR="00D751B0" w:rsidRPr="0031471A">
        <w:rPr>
          <w:rFonts w:ascii="Arial" w:hAnsi="Arial" w:cs="Arial"/>
          <w:b/>
        </w:rPr>
        <w:t xml:space="preserve"> OPACX</w:t>
      </w:r>
      <w:r w:rsidR="00D751B0">
        <w:rPr>
          <w:rFonts w:ascii="Arial" w:hAnsi="Arial" w:cs="Arial"/>
          <w:b/>
        </w:rPr>
        <w:t>, plus health board dummies</w:t>
      </w:r>
      <w:r w:rsidR="00D751B0" w:rsidRPr="0031471A">
        <w:rPr>
          <w:rFonts w:ascii="Arial" w:hAnsi="Arial" w:cs="Arial"/>
          <w:b/>
        </w:rPr>
        <w:t>)</w:t>
      </w:r>
      <w:r w:rsidR="00D751B0">
        <w:rPr>
          <w:rFonts w:ascii="Arial" w:hAnsi="Arial" w:cs="Arial"/>
          <w:b/>
        </w:rPr>
        <w:t xml:space="preserve"> for the Acute MLC model, with OPACX used for Outpatients and IPACX used for all inpatient diagnostic groups</w:t>
      </w:r>
      <w:r w:rsidR="00D751B0">
        <w:rPr>
          <w:rFonts w:ascii="Arial" w:hAnsi="Arial" w:cs="Arial"/>
          <w:b/>
        </w:rPr>
        <w:t>. Is the Subgroup happy to endorse this?</w:t>
      </w:r>
    </w:p>
    <w:p w:rsidR="00D751B0" w:rsidRPr="00D751B0" w:rsidRDefault="00D751B0" w:rsidP="00396774">
      <w:pPr>
        <w:jc w:val="both"/>
        <w:rPr>
          <w:rFonts w:ascii="Arial" w:hAnsi="Arial" w:cs="Arial"/>
        </w:rPr>
        <w:sectPr w:rsidR="00D751B0" w:rsidRPr="00D751B0" w:rsidSect="0000211F">
          <w:headerReference w:type="default" r:id="rId8"/>
          <w:footerReference w:type="default" r:id="rId9"/>
          <w:pgSz w:w="11906" w:h="16838"/>
          <w:pgMar w:top="1440" w:right="1440" w:bottom="1440" w:left="1440" w:header="708" w:footer="708" w:gutter="0"/>
          <w:cols w:space="708"/>
          <w:docGrid w:linePitch="360"/>
        </w:sectPr>
      </w:pPr>
    </w:p>
    <w:p w:rsidR="00396774" w:rsidRPr="00F02A6A" w:rsidRDefault="00396774" w:rsidP="00396774">
      <w:pPr>
        <w:jc w:val="both"/>
        <w:rPr>
          <w:rFonts w:ascii="Arial" w:hAnsi="Arial" w:cs="Arial"/>
          <w:i/>
        </w:rPr>
      </w:pPr>
      <w:proofErr w:type="gramStart"/>
      <w:r w:rsidRPr="00F02A6A">
        <w:rPr>
          <w:rFonts w:ascii="Arial" w:hAnsi="Arial" w:cs="Arial"/>
          <w:i/>
        </w:rPr>
        <w:lastRenderedPageBreak/>
        <w:t>Table 8.</w:t>
      </w:r>
      <w:proofErr w:type="gramEnd"/>
      <w:r w:rsidRPr="00F02A6A">
        <w:rPr>
          <w:rFonts w:ascii="Arial" w:hAnsi="Arial" w:cs="Arial"/>
          <w:i/>
        </w:rPr>
        <w:t xml:space="preserve"> </w:t>
      </w:r>
      <w:proofErr w:type="gramStart"/>
      <w:r w:rsidRPr="00F02A6A">
        <w:rPr>
          <w:rFonts w:ascii="Arial" w:hAnsi="Arial" w:cs="Arial"/>
          <w:i/>
        </w:rPr>
        <w:t>TAGRA core criteria evaluation for supply variable options.</w:t>
      </w:r>
      <w:proofErr w:type="gramEnd"/>
    </w:p>
    <w:tbl>
      <w:tblPr>
        <w:tblStyle w:val="TableGrid"/>
        <w:tblW w:w="0" w:type="auto"/>
        <w:tblLook w:val="04A0"/>
      </w:tblPr>
      <w:tblGrid>
        <w:gridCol w:w="1809"/>
        <w:gridCol w:w="709"/>
        <w:gridCol w:w="1701"/>
        <w:gridCol w:w="1276"/>
        <w:gridCol w:w="1843"/>
        <w:gridCol w:w="708"/>
        <w:gridCol w:w="1701"/>
        <w:gridCol w:w="709"/>
        <w:gridCol w:w="709"/>
        <w:gridCol w:w="2977"/>
      </w:tblGrid>
      <w:tr w:rsidR="00396774" w:rsidRPr="00F02A6A" w:rsidTr="0000211F">
        <w:trPr>
          <w:cantSplit/>
          <w:trHeight w:val="1641"/>
        </w:trPr>
        <w:tc>
          <w:tcPr>
            <w:tcW w:w="1809" w:type="dxa"/>
            <w:vAlign w:val="center"/>
          </w:tcPr>
          <w:p w:rsidR="00396774" w:rsidRPr="00F02A6A" w:rsidRDefault="00396774" w:rsidP="00F02A6A">
            <w:pPr>
              <w:jc w:val="center"/>
              <w:rPr>
                <w:rFonts w:ascii="Arial" w:hAnsi="Arial" w:cs="Arial"/>
                <w:b/>
                <w:sz w:val="20"/>
                <w:szCs w:val="20"/>
              </w:rPr>
            </w:pPr>
            <w:r w:rsidRPr="00F02A6A">
              <w:rPr>
                <w:rFonts w:ascii="Arial" w:hAnsi="Arial" w:cs="Arial"/>
                <w:b/>
                <w:sz w:val="20"/>
                <w:szCs w:val="20"/>
              </w:rPr>
              <w:t>Decision:</w:t>
            </w:r>
          </w:p>
        </w:tc>
        <w:tc>
          <w:tcPr>
            <w:tcW w:w="709"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Equity</w:t>
            </w:r>
          </w:p>
        </w:tc>
        <w:tc>
          <w:tcPr>
            <w:tcW w:w="1701"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Practicality</w:t>
            </w:r>
          </w:p>
        </w:tc>
        <w:tc>
          <w:tcPr>
            <w:tcW w:w="1276"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Transparency</w:t>
            </w:r>
          </w:p>
        </w:tc>
        <w:tc>
          <w:tcPr>
            <w:tcW w:w="1843"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Objectivity</w:t>
            </w:r>
          </w:p>
        </w:tc>
        <w:tc>
          <w:tcPr>
            <w:tcW w:w="708"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Avoiding Perverse Incentives</w:t>
            </w:r>
          </w:p>
        </w:tc>
        <w:tc>
          <w:tcPr>
            <w:tcW w:w="1701"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Relevance</w:t>
            </w:r>
          </w:p>
        </w:tc>
        <w:tc>
          <w:tcPr>
            <w:tcW w:w="709"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Stability</w:t>
            </w:r>
          </w:p>
        </w:tc>
        <w:tc>
          <w:tcPr>
            <w:tcW w:w="709"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Responsive</w:t>
            </w:r>
            <w:r w:rsidR="00505F33">
              <w:rPr>
                <w:rFonts w:ascii="Arial" w:hAnsi="Arial" w:cs="Arial"/>
                <w:b/>
                <w:sz w:val="20"/>
                <w:szCs w:val="20"/>
              </w:rPr>
              <w:t>-</w:t>
            </w:r>
            <w:proofErr w:type="spellStart"/>
            <w:r w:rsidRPr="00F02A6A">
              <w:rPr>
                <w:rFonts w:ascii="Arial" w:hAnsi="Arial" w:cs="Arial"/>
                <w:b/>
                <w:sz w:val="20"/>
                <w:szCs w:val="20"/>
              </w:rPr>
              <w:t>ness</w:t>
            </w:r>
            <w:proofErr w:type="spellEnd"/>
          </w:p>
        </w:tc>
        <w:tc>
          <w:tcPr>
            <w:tcW w:w="2977" w:type="dxa"/>
            <w:textDirection w:val="btLr"/>
            <w:vAlign w:val="center"/>
          </w:tcPr>
          <w:p w:rsidR="00396774" w:rsidRPr="00F02A6A" w:rsidRDefault="00396774" w:rsidP="00396774">
            <w:pPr>
              <w:ind w:left="113" w:right="113"/>
              <w:jc w:val="center"/>
              <w:rPr>
                <w:rFonts w:ascii="Arial" w:hAnsi="Arial" w:cs="Arial"/>
                <w:b/>
                <w:sz w:val="20"/>
                <w:szCs w:val="20"/>
              </w:rPr>
            </w:pPr>
            <w:r w:rsidRPr="00F02A6A">
              <w:rPr>
                <w:rFonts w:ascii="Arial" w:hAnsi="Arial" w:cs="Arial"/>
                <w:b/>
                <w:sz w:val="20"/>
                <w:szCs w:val="20"/>
              </w:rPr>
              <w:t>Face Validity</w:t>
            </w:r>
          </w:p>
        </w:tc>
      </w:tr>
      <w:tr w:rsidR="00396774" w:rsidTr="0000211F">
        <w:tc>
          <w:tcPr>
            <w:tcW w:w="1809" w:type="dxa"/>
          </w:tcPr>
          <w:p w:rsidR="00396774" w:rsidRPr="00F02A6A" w:rsidRDefault="00F02A6A" w:rsidP="00F02A6A">
            <w:pPr>
              <w:rPr>
                <w:rFonts w:ascii="Arial" w:hAnsi="Arial" w:cs="Arial"/>
                <w:b/>
                <w:sz w:val="20"/>
                <w:szCs w:val="20"/>
              </w:rPr>
            </w:pPr>
            <w:r w:rsidRPr="00F02A6A">
              <w:rPr>
                <w:rFonts w:ascii="Arial" w:hAnsi="Arial" w:cs="Arial"/>
                <w:b/>
                <w:sz w:val="20"/>
                <w:szCs w:val="20"/>
              </w:rPr>
              <w:t xml:space="preserve">Whether to include </w:t>
            </w:r>
            <w:proofErr w:type="spellStart"/>
            <w:r w:rsidRPr="00F02A6A">
              <w:rPr>
                <w:rFonts w:ascii="Arial" w:hAnsi="Arial" w:cs="Arial"/>
                <w:b/>
                <w:sz w:val="20"/>
                <w:szCs w:val="20"/>
              </w:rPr>
              <w:t>GPSup</w:t>
            </w:r>
            <w:proofErr w:type="spellEnd"/>
          </w:p>
        </w:tc>
        <w:tc>
          <w:tcPr>
            <w:tcW w:w="709" w:type="dxa"/>
          </w:tcPr>
          <w:p w:rsidR="00396774" w:rsidRPr="00396774" w:rsidRDefault="00396774" w:rsidP="00F02A6A">
            <w:pPr>
              <w:rPr>
                <w:rFonts w:ascii="Arial" w:hAnsi="Arial" w:cs="Arial"/>
                <w:sz w:val="20"/>
                <w:szCs w:val="20"/>
              </w:rPr>
            </w:pPr>
          </w:p>
        </w:tc>
        <w:tc>
          <w:tcPr>
            <w:tcW w:w="1701" w:type="dxa"/>
          </w:tcPr>
          <w:p w:rsidR="00396774" w:rsidRPr="00396774" w:rsidRDefault="00F02A6A" w:rsidP="00F02A6A">
            <w:pPr>
              <w:rPr>
                <w:rFonts w:ascii="Arial" w:hAnsi="Arial" w:cs="Arial"/>
                <w:sz w:val="20"/>
                <w:szCs w:val="20"/>
              </w:rPr>
            </w:pPr>
            <w:r>
              <w:rPr>
                <w:rFonts w:ascii="Arial" w:hAnsi="Arial" w:cs="Arial"/>
                <w:sz w:val="20"/>
                <w:szCs w:val="20"/>
              </w:rPr>
              <w:t xml:space="preserve">Including </w:t>
            </w:r>
            <w:proofErr w:type="spellStart"/>
            <w:r>
              <w:rPr>
                <w:rFonts w:ascii="Arial" w:hAnsi="Arial" w:cs="Arial"/>
                <w:sz w:val="20"/>
                <w:szCs w:val="20"/>
              </w:rPr>
              <w:t>GPSup</w:t>
            </w:r>
            <w:proofErr w:type="spellEnd"/>
            <w:r>
              <w:rPr>
                <w:rFonts w:ascii="Arial" w:hAnsi="Arial" w:cs="Arial"/>
                <w:sz w:val="20"/>
                <w:szCs w:val="20"/>
              </w:rPr>
              <w:t xml:space="preserve"> would make Acute supply model more complex</w:t>
            </w:r>
          </w:p>
        </w:tc>
        <w:tc>
          <w:tcPr>
            <w:tcW w:w="1276" w:type="dxa"/>
          </w:tcPr>
          <w:p w:rsidR="00396774" w:rsidRPr="00396774" w:rsidRDefault="00396774" w:rsidP="00F02A6A">
            <w:pPr>
              <w:rPr>
                <w:rFonts w:ascii="Arial" w:hAnsi="Arial" w:cs="Arial"/>
                <w:sz w:val="20"/>
                <w:szCs w:val="20"/>
              </w:rPr>
            </w:pPr>
          </w:p>
        </w:tc>
        <w:tc>
          <w:tcPr>
            <w:tcW w:w="1843" w:type="dxa"/>
          </w:tcPr>
          <w:p w:rsidR="00396774" w:rsidRPr="00396774" w:rsidRDefault="00F02A6A" w:rsidP="00F02A6A">
            <w:pPr>
              <w:rPr>
                <w:rFonts w:ascii="Arial" w:hAnsi="Arial" w:cs="Arial"/>
                <w:sz w:val="20"/>
                <w:szCs w:val="20"/>
              </w:rPr>
            </w:pPr>
            <w:proofErr w:type="spellStart"/>
            <w:r>
              <w:rPr>
                <w:rFonts w:ascii="Arial" w:hAnsi="Arial" w:cs="Arial"/>
                <w:sz w:val="20"/>
                <w:szCs w:val="20"/>
              </w:rPr>
              <w:t>GPSup</w:t>
            </w:r>
            <w:proofErr w:type="spellEnd"/>
            <w:r>
              <w:rPr>
                <w:rFonts w:ascii="Arial" w:hAnsi="Arial" w:cs="Arial"/>
                <w:sz w:val="20"/>
                <w:szCs w:val="20"/>
              </w:rPr>
              <w:t xml:space="preserve"> did not increase R</w:t>
            </w:r>
            <w:r w:rsidRPr="00F02A6A">
              <w:rPr>
                <w:rFonts w:ascii="Arial" w:hAnsi="Arial" w:cs="Arial"/>
                <w:sz w:val="20"/>
                <w:szCs w:val="20"/>
                <w:vertAlign w:val="superscript"/>
              </w:rPr>
              <w:t>2</w:t>
            </w:r>
            <w:r>
              <w:rPr>
                <w:rFonts w:ascii="Arial" w:hAnsi="Arial" w:cs="Arial"/>
                <w:sz w:val="20"/>
                <w:szCs w:val="20"/>
              </w:rPr>
              <w:t xml:space="preserve"> when added to supply model</w:t>
            </w:r>
          </w:p>
        </w:tc>
        <w:tc>
          <w:tcPr>
            <w:tcW w:w="708" w:type="dxa"/>
          </w:tcPr>
          <w:p w:rsidR="00396774" w:rsidRPr="00396774" w:rsidRDefault="00396774" w:rsidP="00F02A6A">
            <w:pPr>
              <w:rPr>
                <w:rFonts w:ascii="Arial" w:hAnsi="Arial" w:cs="Arial"/>
                <w:sz w:val="20"/>
                <w:szCs w:val="20"/>
              </w:rPr>
            </w:pPr>
          </w:p>
        </w:tc>
        <w:tc>
          <w:tcPr>
            <w:tcW w:w="1701" w:type="dxa"/>
          </w:tcPr>
          <w:p w:rsidR="00396774" w:rsidRPr="00F02A6A" w:rsidRDefault="00F02A6A" w:rsidP="00F02A6A">
            <w:pPr>
              <w:rPr>
                <w:rFonts w:ascii="Arial" w:hAnsi="Arial" w:cs="Arial"/>
                <w:sz w:val="20"/>
                <w:szCs w:val="20"/>
              </w:rPr>
            </w:pPr>
            <w:r>
              <w:rPr>
                <w:rFonts w:ascii="Arial" w:hAnsi="Arial" w:cs="Arial"/>
                <w:sz w:val="20"/>
                <w:szCs w:val="20"/>
              </w:rPr>
              <w:t>GP supply not clearly relevant to Acute need</w:t>
            </w:r>
          </w:p>
        </w:tc>
        <w:tc>
          <w:tcPr>
            <w:tcW w:w="709" w:type="dxa"/>
          </w:tcPr>
          <w:p w:rsidR="00396774" w:rsidRPr="00396774" w:rsidRDefault="00396774" w:rsidP="00F02A6A">
            <w:pPr>
              <w:rPr>
                <w:rFonts w:ascii="Arial" w:hAnsi="Arial" w:cs="Arial"/>
                <w:sz w:val="20"/>
                <w:szCs w:val="20"/>
              </w:rPr>
            </w:pPr>
          </w:p>
        </w:tc>
        <w:tc>
          <w:tcPr>
            <w:tcW w:w="709" w:type="dxa"/>
          </w:tcPr>
          <w:p w:rsidR="00396774" w:rsidRPr="00396774" w:rsidRDefault="00396774" w:rsidP="00F02A6A">
            <w:pPr>
              <w:rPr>
                <w:rFonts w:ascii="Arial" w:hAnsi="Arial" w:cs="Arial"/>
                <w:sz w:val="20"/>
                <w:szCs w:val="20"/>
              </w:rPr>
            </w:pPr>
          </w:p>
        </w:tc>
        <w:tc>
          <w:tcPr>
            <w:tcW w:w="2977" w:type="dxa"/>
          </w:tcPr>
          <w:p w:rsidR="00396774" w:rsidRPr="00396774" w:rsidRDefault="00F02A6A" w:rsidP="00F02A6A">
            <w:pPr>
              <w:rPr>
                <w:rFonts w:ascii="Arial" w:hAnsi="Arial" w:cs="Arial"/>
                <w:sz w:val="20"/>
                <w:szCs w:val="20"/>
              </w:rPr>
            </w:pPr>
            <w:r>
              <w:rPr>
                <w:rFonts w:ascii="Arial" w:hAnsi="Arial" w:cs="Arial"/>
                <w:sz w:val="20"/>
                <w:szCs w:val="20"/>
              </w:rPr>
              <w:t>GP supply not clearly relevant to Acute need</w:t>
            </w:r>
          </w:p>
        </w:tc>
      </w:tr>
      <w:tr w:rsidR="00505F33" w:rsidTr="0000211F">
        <w:tc>
          <w:tcPr>
            <w:tcW w:w="1809" w:type="dxa"/>
          </w:tcPr>
          <w:p w:rsidR="00505F33" w:rsidRPr="00F02A6A" w:rsidRDefault="00505F33" w:rsidP="00F02A6A">
            <w:pPr>
              <w:rPr>
                <w:rFonts w:ascii="Arial" w:hAnsi="Arial" w:cs="Arial"/>
                <w:b/>
                <w:sz w:val="20"/>
                <w:szCs w:val="20"/>
              </w:rPr>
            </w:pPr>
            <w:r w:rsidRPr="00F02A6A">
              <w:rPr>
                <w:rFonts w:ascii="Arial" w:hAnsi="Arial" w:cs="Arial"/>
                <w:b/>
                <w:sz w:val="20"/>
                <w:szCs w:val="20"/>
              </w:rPr>
              <w:t>Whether to treat hospital supply variables as a pair or use them singly</w:t>
            </w:r>
          </w:p>
        </w:tc>
        <w:tc>
          <w:tcPr>
            <w:tcW w:w="709" w:type="dxa"/>
          </w:tcPr>
          <w:p w:rsidR="00505F33" w:rsidRPr="00396774" w:rsidRDefault="00505F33" w:rsidP="00F02A6A">
            <w:pPr>
              <w:rPr>
                <w:rFonts w:ascii="Arial" w:hAnsi="Arial" w:cs="Arial"/>
                <w:sz w:val="20"/>
                <w:szCs w:val="20"/>
              </w:rPr>
            </w:pPr>
          </w:p>
        </w:tc>
        <w:tc>
          <w:tcPr>
            <w:tcW w:w="1701" w:type="dxa"/>
          </w:tcPr>
          <w:p w:rsidR="00505F33" w:rsidRPr="00396774" w:rsidRDefault="00505F33" w:rsidP="00F02A6A">
            <w:pPr>
              <w:rPr>
                <w:rFonts w:ascii="Arial" w:hAnsi="Arial" w:cs="Arial"/>
                <w:sz w:val="20"/>
                <w:szCs w:val="20"/>
              </w:rPr>
            </w:pPr>
            <w:r>
              <w:rPr>
                <w:rFonts w:ascii="Arial" w:hAnsi="Arial" w:cs="Arial"/>
                <w:sz w:val="20"/>
                <w:szCs w:val="20"/>
              </w:rPr>
              <w:t>Using a single variable simplifies the supply model</w:t>
            </w:r>
          </w:p>
        </w:tc>
        <w:tc>
          <w:tcPr>
            <w:tcW w:w="1276" w:type="dxa"/>
          </w:tcPr>
          <w:p w:rsidR="00505F33" w:rsidRPr="00396774" w:rsidRDefault="00505F33" w:rsidP="00F02A6A">
            <w:pPr>
              <w:rPr>
                <w:rFonts w:ascii="Arial" w:hAnsi="Arial" w:cs="Arial"/>
                <w:sz w:val="20"/>
                <w:szCs w:val="20"/>
              </w:rPr>
            </w:pPr>
          </w:p>
        </w:tc>
        <w:tc>
          <w:tcPr>
            <w:tcW w:w="1843" w:type="dxa"/>
          </w:tcPr>
          <w:p w:rsidR="00505F33" w:rsidRPr="00396774" w:rsidRDefault="00505F33" w:rsidP="0000211F">
            <w:pPr>
              <w:rPr>
                <w:rFonts w:ascii="Arial" w:hAnsi="Arial" w:cs="Arial"/>
                <w:sz w:val="20"/>
                <w:szCs w:val="20"/>
              </w:rPr>
            </w:pPr>
            <w:r>
              <w:rPr>
                <w:rFonts w:ascii="Arial" w:hAnsi="Arial" w:cs="Arial"/>
                <w:sz w:val="20"/>
                <w:szCs w:val="20"/>
              </w:rPr>
              <w:t>Using both variables together did not increase R</w:t>
            </w:r>
            <w:r w:rsidRPr="00F02A6A">
              <w:rPr>
                <w:rFonts w:ascii="Arial" w:hAnsi="Arial" w:cs="Arial"/>
                <w:sz w:val="20"/>
                <w:szCs w:val="20"/>
                <w:vertAlign w:val="superscript"/>
              </w:rPr>
              <w:t>2</w:t>
            </w:r>
            <w:r w:rsidR="0000211F">
              <w:rPr>
                <w:rFonts w:ascii="Arial" w:hAnsi="Arial" w:cs="Arial"/>
                <w:sz w:val="20"/>
                <w:szCs w:val="20"/>
              </w:rPr>
              <w:t>.</w:t>
            </w:r>
            <w:r>
              <w:rPr>
                <w:rFonts w:ascii="Arial" w:hAnsi="Arial" w:cs="Arial"/>
                <w:sz w:val="20"/>
                <w:szCs w:val="20"/>
              </w:rPr>
              <w:t xml:space="preserve"> </w:t>
            </w:r>
            <w:r w:rsidR="0000211F">
              <w:rPr>
                <w:rFonts w:ascii="Arial" w:hAnsi="Arial" w:cs="Arial"/>
                <w:sz w:val="20"/>
                <w:szCs w:val="20"/>
              </w:rPr>
              <w:t>T</w:t>
            </w:r>
            <w:r>
              <w:rPr>
                <w:rFonts w:ascii="Arial" w:hAnsi="Arial" w:cs="Arial"/>
                <w:sz w:val="20"/>
                <w:szCs w:val="20"/>
              </w:rPr>
              <w:t>he two variables are collinear</w:t>
            </w:r>
          </w:p>
        </w:tc>
        <w:tc>
          <w:tcPr>
            <w:tcW w:w="708" w:type="dxa"/>
          </w:tcPr>
          <w:p w:rsidR="00505F33" w:rsidRPr="00396774" w:rsidRDefault="00505F33" w:rsidP="00505F33">
            <w:pPr>
              <w:rPr>
                <w:rFonts w:ascii="Arial" w:hAnsi="Arial" w:cs="Arial"/>
                <w:sz w:val="20"/>
                <w:szCs w:val="20"/>
              </w:rPr>
            </w:pPr>
          </w:p>
        </w:tc>
        <w:tc>
          <w:tcPr>
            <w:tcW w:w="1701" w:type="dxa"/>
          </w:tcPr>
          <w:p w:rsidR="00505F33" w:rsidRPr="00396774" w:rsidRDefault="00505F33" w:rsidP="00505F33">
            <w:pPr>
              <w:rPr>
                <w:rFonts w:ascii="Arial" w:hAnsi="Arial" w:cs="Arial"/>
                <w:sz w:val="20"/>
                <w:szCs w:val="20"/>
              </w:rPr>
            </w:pPr>
            <w:r>
              <w:rPr>
                <w:rFonts w:ascii="Arial" w:hAnsi="Arial" w:cs="Arial"/>
                <w:sz w:val="20"/>
                <w:szCs w:val="20"/>
              </w:rPr>
              <w:t>OPAC / OPACX not clearly relevant to inpatient activity and vice versa</w:t>
            </w:r>
          </w:p>
        </w:tc>
        <w:tc>
          <w:tcPr>
            <w:tcW w:w="709" w:type="dxa"/>
          </w:tcPr>
          <w:p w:rsidR="00505F33" w:rsidRPr="00396774" w:rsidRDefault="00505F33" w:rsidP="00F02A6A">
            <w:pPr>
              <w:rPr>
                <w:rFonts w:ascii="Arial" w:hAnsi="Arial" w:cs="Arial"/>
                <w:sz w:val="20"/>
                <w:szCs w:val="20"/>
              </w:rPr>
            </w:pPr>
          </w:p>
        </w:tc>
        <w:tc>
          <w:tcPr>
            <w:tcW w:w="709" w:type="dxa"/>
          </w:tcPr>
          <w:p w:rsidR="00505F33" w:rsidRPr="00396774" w:rsidRDefault="00505F33" w:rsidP="00F02A6A">
            <w:pPr>
              <w:rPr>
                <w:rFonts w:ascii="Arial" w:hAnsi="Arial" w:cs="Arial"/>
                <w:sz w:val="20"/>
                <w:szCs w:val="20"/>
              </w:rPr>
            </w:pPr>
          </w:p>
        </w:tc>
        <w:tc>
          <w:tcPr>
            <w:tcW w:w="2977" w:type="dxa"/>
          </w:tcPr>
          <w:p w:rsidR="00505F33" w:rsidRPr="00396774" w:rsidRDefault="00505F33" w:rsidP="00505F33">
            <w:pPr>
              <w:rPr>
                <w:rFonts w:ascii="Arial" w:hAnsi="Arial" w:cs="Arial"/>
                <w:sz w:val="20"/>
                <w:szCs w:val="20"/>
              </w:rPr>
            </w:pPr>
            <w:r>
              <w:rPr>
                <w:rFonts w:ascii="Arial" w:hAnsi="Arial" w:cs="Arial"/>
                <w:sz w:val="20"/>
                <w:szCs w:val="20"/>
              </w:rPr>
              <w:t>Favours using only IPAC / IPACX for inpatient groups and OPAC / OPACX for Outpatients</w:t>
            </w:r>
          </w:p>
        </w:tc>
      </w:tr>
      <w:tr w:rsidR="00505F33" w:rsidTr="0000211F">
        <w:tc>
          <w:tcPr>
            <w:tcW w:w="1809" w:type="dxa"/>
          </w:tcPr>
          <w:p w:rsidR="00505F33" w:rsidRPr="00F02A6A" w:rsidRDefault="00505F33" w:rsidP="00F02A6A">
            <w:pPr>
              <w:rPr>
                <w:rFonts w:ascii="Arial" w:hAnsi="Arial" w:cs="Arial"/>
                <w:b/>
                <w:sz w:val="20"/>
                <w:szCs w:val="20"/>
              </w:rPr>
            </w:pPr>
            <w:r w:rsidRPr="00F02A6A">
              <w:rPr>
                <w:rFonts w:ascii="Arial" w:hAnsi="Arial" w:cs="Arial"/>
                <w:b/>
                <w:sz w:val="20"/>
                <w:szCs w:val="20"/>
              </w:rPr>
              <w:t>Whether to use IPACX / OPACX or IPAC / OPAC</w:t>
            </w:r>
          </w:p>
        </w:tc>
        <w:tc>
          <w:tcPr>
            <w:tcW w:w="709" w:type="dxa"/>
          </w:tcPr>
          <w:p w:rsidR="00505F33" w:rsidRPr="00396774" w:rsidRDefault="00505F33" w:rsidP="00F02A6A">
            <w:pPr>
              <w:rPr>
                <w:rFonts w:ascii="Arial" w:hAnsi="Arial" w:cs="Arial"/>
                <w:sz w:val="20"/>
                <w:szCs w:val="20"/>
              </w:rPr>
            </w:pPr>
          </w:p>
        </w:tc>
        <w:tc>
          <w:tcPr>
            <w:tcW w:w="1701" w:type="dxa"/>
          </w:tcPr>
          <w:p w:rsidR="00505F33" w:rsidRPr="00396774" w:rsidRDefault="00505F33" w:rsidP="00F02A6A">
            <w:pPr>
              <w:rPr>
                <w:rFonts w:ascii="Arial" w:hAnsi="Arial" w:cs="Arial"/>
                <w:sz w:val="20"/>
                <w:szCs w:val="20"/>
              </w:rPr>
            </w:pPr>
            <w:r>
              <w:rPr>
                <w:rFonts w:ascii="Arial" w:hAnsi="Arial" w:cs="Arial"/>
                <w:sz w:val="20"/>
                <w:szCs w:val="20"/>
              </w:rPr>
              <w:t>IPACX / OPACX are easier to calculate and</w:t>
            </w:r>
            <w:r w:rsidRPr="00505F33">
              <w:rPr>
                <w:rFonts w:ascii="Arial" w:hAnsi="Arial" w:cs="Arial"/>
                <w:sz w:val="20"/>
                <w:szCs w:val="20"/>
              </w:rPr>
              <w:t xml:space="preserve"> are currently in use within the NRAC formula</w:t>
            </w:r>
          </w:p>
        </w:tc>
        <w:tc>
          <w:tcPr>
            <w:tcW w:w="1276" w:type="dxa"/>
          </w:tcPr>
          <w:p w:rsidR="00505F33" w:rsidRPr="00396774" w:rsidRDefault="00505F33" w:rsidP="00F02A6A">
            <w:pPr>
              <w:rPr>
                <w:rFonts w:ascii="Arial" w:hAnsi="Arial" w:cs="Arial"/>
                <w:sz w:val="20"/>
                <w:szCs w:val="20"/>
              </w:rPr>
            </w:pPr>
            <w:r>
              <w:rPr>
                <w:rFonts w:ascii="Arial" w:hAnsi="Arial" w:cs="Arial"/>
                <w:sz w:val="20"/>
                <w:szCs w:val="20"/>
              </w:rPr>
              <w:t xml:space="preserve">IPACX / OPACX have </w:t>
            </w:r>
            <w:r w:rsidRPr="00505F33">
              <w:rPr>
                <w:rFonts w:ascii="Arial" w:hAnsi="Arial" w:cs="Arial"/>
                <w:sz w:val="20"/>
                <w:szCs w:val="20"/>
              </w:rPr>
              <w:t>a simpler, more easily explainable formulation</w:t>
            </w:r>
          </w:p>
        </w:tc>
        <w:tc>
          <w:tcPr>
            <w:tcW w:w="1843" w:type="dxa"/>
          </w:tcPr>
          <w:p w:rsidR="00505F33" w:rsidRPr="00396774" w:rsidRDefault="00505F33" w:rsidP="00F02A6A">
            <w:pPr>
              <w:rPr>
                <w:rFonts w:ascii="Arial" w:hAnsi="Arial" w:cs="Arial"/>
                <w:sz w:val="20"/>
                <w:szCs w:val="20"/>
              </w:rPr>
            </w:pPr>
            <w:r w:rsidRPr="00505F33">
              <w:rPr>
                <w:rFonts w:ascii="Arial" w:hAnsi="Arial" w:cs="Arial"/>
                <w:sz w:val="20"/>
                <w:szCs w:val="20"/>
              </w:rPr>
              <w:t>IPACX and OPACX have higher correlations with the cost ratios</w:t>
            </w:r>
            <w:r>
              <w:rPr>
                <w:rFonts w:ascii="Arial" w:hAnsi="Arial" w:cs="Arial"/>
                <w:sz w:val="20"/>
                <w:szCs w:val="20"/>
              </w:rPr>
              <w:t xml:space="preserve">; </w:t>
            </w:r>
            <w:r w:rsidRPr="00505F33">
              <w:rPr>
                <w:rFonts w:ascii="Arial" w:hAnsi="Arial" w:cs="Arial"/>
                <w:sz w:val="20"/>
                <w:szCs w:val="20"/>
              </w:rPr>
              <w:t>slightly higher R-squared in a few diagnostic groups</w:t>
            </w:r>
          </w:p>
        </w:tc>
        <w:tc>
          <w:tcPr>
            <w:tcW w:w="708" w:type="dxa"/>
          </w:tcPr>
          <w:p w:rsidR="00505F33" w:rsidRPr="00396774" w:rsidRDefault="00505F33" w:rsidP="00F02A6A">
            <w:pPr>
              <w:rPr>
                <w:rFonts w:ascii="Arial" w:hAnsi="Arial" w:cs="Arial"/>
                <w:sz w:val="20"/>
                <w:szCs w:val="20"/>
              </w:rPr>
            </w:pPr>
          </w:p>
        </w:tc>
        <w:tc>
          <w:tcPr>
            <w:tcW w:w="1701" w:type="dxa"/>
          </w:tcPr>
          <w:p w:rsidR="00505F33" w:rsidRPr="00396774" w:rsidRDefault="00505F33" w:rsidP="00F02A6A">
            <w:pPr>
              <w:rPr>
                <w:rFonts w:ascii="Arial" w:hAnsi="Arial" w:cs="Arial"/>
                <w:sz w:val="20"/>
                <w:szCs w:val="20"/>
              </w:rPr>
            </w:pPr>
          </w:p>
        </w:tc>
        <w:tc>
          <w:tcPr>
            <w:tcW w:w="709" w:type="dxa"/>
          </w:tcPr>
          <w:p w:rsidR="00505F33" w:rsidRPr="00396774" w:rsidRDefault="00505F33" w:rsidP="00F02A6A">
            <w:pPr>
              <w:rPr>
                <w:rFonts w:ascii="Arial" w:hAnsi="Arial" w:cs="Arial"/>
                <w:sz w:val="20"/>
                <w:szCs w:val="20"/>
              </w:rPr>
            </w:pPr>
          </w:p>
        </w:tc>
        <w:tc>
          <w:tcPr>
            <w:tcW w:w="709" w:type="dxa"/>
          </w:tcPr>
          <w:p w:rsidR="00505F33" w:rsidRPr="00396774" w:rsidRDefault="00505F33" w:rsidP="00F02A6A">
            <w:pPr>
              <w:rPr>
                <w:rFonts w:ascii="Arial" w:hAnsi="Arial" w:cs="Arial"/>
                <w:sz w:val="20"/>
                <w:szCs w:val="20"/>
              </w:rPr>
            </w:pPr>
          </w:p>
        </w:tc>
        <w:tc>
          <w:tcPr>
            <w:tcW w:w="2977" w:type="dxa"/>
          </w:tcPr>
          <w:p w:rsidR="00505F33" w:rsidRDefault="00505F33" w:rsidP="00505F33">
            <w:pPr>
              <w:rPr>
                <w:rFonts w:ascii="Arial" w:hAnsi="Arial" w:cs="Arial"/>
                <w:sz w:val="20"/>
                <w:szCs w:val="20"/>
              </w:rPr>
            </w:pPr>
            <w:r>
              <w:rPr>
                <w:rFonts w:ascii="Arial" w:hAnsi="Arial" w:cs="Arial"/>
                <w:sz w:val="20"/>
                <w:szCs w:val="20"/>
              </w:rPr>
              <w:t>Similar values of supply across diverse urban-rural settings is hard to justify -&gt; favours IPACX / OPACX</w:t>
            </w:r>
          </w:p>
          <w:p w:rsidR="00505F33" w:rsidRDefault="00505F33" w:rsidP="00505F33">
            <w:pPr>
              <w:rPr>
                <w:rFonts w:ascii="Arial" w:hAnsi="Arial" w:cs="Arial"/>
                <w:sz w:val="20"/>
                <w:szCs w:val="20"/>
              </w:rPr>
            </w:pPr>
          </w:p>
          <w:p w:rsidR="00505F33" w:rsidRPr="00396774" w:rsidRDefault="00505F33" w:rsidP="0000211F">
            <w:pPr>
              <w:rPr>
                <w:rFonts w:ascii="Arial" w:hAnsi="Arial" w:cs="Arial"/>
                <w:sz w:val="20"/>
                <w:szCs w:val="20"/>
              </w:rPr>
            </w:pPr>
            <w:r>
              <w:rPr>
                <w:rFonts w:ascii="Arial" w:hAnsi="Arial" w:cs="Arial"/>
                <w:sz w:val="20"/>
                <w:szCs w:val="20"/>
              </w:rPr>
              <w:t xml:space="preserve">On the other hand, correcting for population size (i.e. demand) could be </w:t>
            </w:r>
            <w:r w:rsidR="0000211F">
              <w:rPr>
                <w:rFonts w:ascii="Arial" w:hAnsi="Arial" w:cs="Arial"/>
                <w:sz w:val="20"/>
                <w:szCs w:val="20"/>
              </w:rPr>
              <w:t xml:space="preserve">seen as </w:t>
            </w:r>
            <w:r>
              <w:rPr>
                <w:rFonts w:ascii="Arial" w:hAnsi="Arial" w:cs="Arial"/>
                <w:sz w:val="20"/>
                <w:szCs w:val="20"/>
              </w:rPr>
              <w:t>important</w:t>
            </w:r>
          </w:p>
        </w:tc>
      </w:tr>
    </w:tbl>
    <w:p w:rsidR="0000211F" w:rsidRDefault="0000211F" w:rsidP="0000211F">
      <w:pPr>
        <w:jc w:val="both"/>
        <w:rPr>
          <w:rFonts w:ascii="Arial" w:hAnsi="Arial" w:cs="Arial"/>
        </w:rPr>
      </w:pPr>
    </w:p>
    <w:sectPr w:rsidR="0000211F" w:rsidSect="00F02A6A">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B9B" w:rsidRDefault="00641B9B" w:rsidP="009B3CD4">
      <w:pPr>
        <w:spacing w:after="0" w:line="240" w:lineRule="auto"/>
      </w:pPr>
      <w:r>
        <w:separator/>
      </w:r>
    </w:p>
  </w:endnote>
  <w:endnote w:type="continuationSeparator" w:id="0">
    <w:p w:rsidR="00641B9B" w:rsidRDefault="00641B9B" w:rsidP="009B3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1612"/>
      <w:docPartObj>
        <w:docPartGallery w:val="Page Numbers (Bottom of Page)"/>
        <w:docPartUnique/>
      </w:docPartObj>
    </w:sdtPr>
    <w:sdtContent>
      <w:p w:rsidR="00641B9B" w:rsidRDefault="006C2E05">
        <w:pPr>
          <w:pStyle w:val="Footer"/>
          <w:jc w:val="center"/>
        </w:pPr>
        <w:fldSimple w:instr=" PAGE   \* MERGEFORMAT ">
          <w:r w:rsidR="00D751B0">
            <w:rPr>
              <w:noProof/>
            </w:rPr>
            <w:t>9</w:t>
          </w:r>
        </w:fldSimple>
      </w:p>
    </w:sdtContent>
  </w:sdt>
  <w:p w:rsidR="00641B9B" w:rsidRDefault="00641B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B9B" w:rsidRDefault="00641B9B" w:rsidP="009B3CD4">
      <w:pPr>
        <w:spacing w:after="0" w:line="240" w:lineRule="auto"/>
      </w:pPr>
      <w:r>
        <w:separator/>
      </w:r>
    </w:p>
  </w:footnote>
  <w:footnote w:type="continuationSeparator" w:id="0">
    <w:p w:rsidR="00641B9B" w:rsidRDefault="00641B9B" w:rsidP="009B3CD4">
      <w:pPr>
        <w:spacing w:after="0" w:line="240" w:lineRule="auto"/>
      </w:pPr>
      <w:r>
        <w:continuationSeparator/>
      </w:r>
    </w:p>
  </w:footnote>
  <w:footnote w:id="1">
    <w:p w:rsidR="00641B9B" w:rsidRPr="00315930" w:rsidRDefault="00641B9B" w:rsidP="000A7A87">
      <w:pPr>
        <w:pStyle w:val="FootnoteText"/>
        <w:rPr>
          <w:rFonts w:ascii="Arial" w:hAnsi="Arial" w:cs="Arial"/>
        </w:rPr>
      </w:pPr>
      <w:r w:rsidRPr="00315930">
        <w:rPr>
          <w:rStyle w:val="FootnoteReference"/>
          <w:rFonts w:ascii="Arial" w:hAnsi="Arial" w:cs="Arial"/>
        </w:rPr>
        <w:footnoteRef/>
      </w:r>
      <w:r w:rsidRPr="00315930">
        <w:rPr>
          <w:rFonts w:ascii="Arial" w:hAnsi="Arial" w:cs="Arial"/>
        </w:rPr>
        <w:t xml:space="preserve"> After extensive enquiry, it seems that whole time equivalent GP numbers are no longer available by GP practice. We have therefore used GP headcount instead</w:t>
      </w:r>
      <w:r>
        <w:rPr>
          <w:rFonts w:ascii="Arial" w:hAnsi="Arial" w:cs="Arial"/>
        </w:rPr>
        <w:t xml:space="preserve">, although this may be an inferior indicator of GP supply. </w:t>
      </w:r>
      <w:r w:rsidR="00A65DAD">
        <w:rPr>
          <w:rFonts w:ascii="Arial" w:hAnsi="Arial" w:cs="Arial"/>
        </w:rPr>
        <w:t xml:space="preserve"> </w:t>
      </w:r>
    </w:p>
  </w:footnote>
  <w:footnote w:id="2">
    <w:p w:rsidR="00641B9B" w:rsidRDefault="00641B9B" w:rsidP="00315930">
      <w:pPr>
        <w:pStyle w:val="FootnoteText"/>
      </w:pPr>
      <w:r>
        <w:rPr>
          <w:rStyle w:val="FootnoteReference"/>
        </w:rPr>
        <w:footnoteRef/>
      </w:r>
      <w:r>
        <w:t xml:space="preserve"> A</w:t>
      </w:r>
      <w:r>
        <w:rPr>
          <w:rFonts w:ascii="Arial" w:hAnsi="Arial" w:cs="Arial"/>
        </w:rPr>
        <w:t xml:space="preserve">vailable online at </w:t>
      </w:r>
      <w:hyperlink r:id="rId1" w:history="1">
        <w:r w:rsidRPr="00D04E26">
          <w:rPr>
            <w:rStyle w:val="Hyperlink"/>
            <w:rFonts w:ascii="Arial" w:hAnsi="Arial" w:cs="Arial"/>
          </w:rPr>
          <w:t>http://www.casa.ucl.ac.uk/urbanmodelling/UrbanModelling.pdf</w:t>
        </w:r>
      </w:hyperlink>
      <w:r>
        <w:rPr>
          <w:rFonts w:ascii="Arial" w:hAnsi="Arial" w:cs="Arial"/>
        </w:rPr>
        <w:t xml:space="preserve"> - the relevant section is ‘The Allocation of Urban Activities’, p.35 onwards.</w:t>
      </w:r>
    </w:p>
  </w:footnote>
  <w:footnote w:id="3">
    <w:p w:rsidR="00641B9B" w:rsidRPr="00396774" w:rsidRDefault="00641B9B">
      <w:pPr>
        <w:pStyle w:val="FootnoteText"/>
        <w:rPr>
          <w:rFonts w:ascii="Arial" w:hAnsi="Arial" w:cs="Arial"/>
        </w:rPr>
      </w:pPr>
      <w:r w:rsidRPr="00396774">
        <w:rPr>
          <w:rStyle w:val="FootnoteReference"/>
          <w:rFonts w:ascii="Arial" w:hAnsi="Arial" w:cs="Arial"/>
        </w:rPr>
        <w:footnoteRef/>
      </w:r>
      <w:r w:rsidRPr="00396774">
        <w:rPr>
          <w:rFonts w:ascii="Arial" w:hAnsi="Arial" w:cs="Arial"/>
        </w:rPr>
        <w:t xml:space="preserve"> Other possibilities were briefly explored to see if the contribution of the supply variables could be improved. Firstly, the “buffer distance” of 10km for IPAC / OPAC and IPACX / OPACX (see equations in Table 1) was varied, as it had been for the </w:t>
      </w:r>
      <w:proofErr w:type="spellStart"/>
      <w:r w:rsidRPr="00396774">
        <w:rPr>
          <w:rFonts w:ascii="Arial" w:hAnsi="Arial" w:cs="Arial"/>
        </w:rPr>
        <w:t>GPSup</w:t>
      </w:r>
      <w:proofErr w:type="spellEnd"/>
      <w:r w:rsidRPr="00396774">
        <w:rPr>
          <w:rFonts w:ascii="Arial" w:hAnsi="Arial" w:cs="Arial"/>
        </w:rPr>
        <w:t xml:space="preserve"> variables, and an option to make the buffer distance dependent on the geographical area of the data zone was also tested. Secondly, while the inverse </w:t>
      </w:r>
      <w:r w:rsidRPr="00396774">
        <w:rPr>
          <w:rFonts w:ascii="Arial" w:hAnsi="Arial" w:cs="Arial"/>
          <w:i/>
        </w:rPr>
        <w:t>square</w:t>
      </w:r>
      <w:r w:rsidRPr="00396774">
        <w:rPr>
          <w:rFonts w:ascii="Arial" w:hAnsi="Arial" w:cs="Arial"/>
        </w:rPr>
        <w:t xml:space="preserve"> of the distance is used in the equations in Table 1, this is somewhat arbitrary and so an inverse cubic function was also tried. None of these variants showed any real difference in the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9B" w:rsidRPr="0097225D" w:rsidRDefault="00641B9B" w:rsidP="009B3CD4">
    <w:pPr>
      <w:pStyle w:val="Header"/>
      <w:jc w:val="right"/>
      <w:rPr>
        <w:rFonts w:ascii="Arial" w:hAnsi="Arial" w:cs="Arial"/>
        <w:i/>
      </w:rPr>
    </w:pPr>
    <w:r w:rsidRPr="0097225D">
      <w:rPr>
        <w:rFonts w:ascii="Arial" w:hAnsi="Arial" w:cs="Arial"/>
        <w:i/>
      </w:rPr>
      <w:t>TAMLC</w:t>
    </w:r>
    <w:r>
      <w:rPr>
        <w:rFonts w:ascii="Arial" w:hAnsi="Arial" w:cs="Arial"/>
        <w:i/>
      </w:rPr>
      <w:t>39</w:t>
    </w:r>
  </w:p>
  <w:p w:rsidR="00641B9B" w:rsidRDefault="00641B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D24"/>
    <w:multiLevelType w:val="multilevel"/>
    <w:tmpl w:val="C7EC3CE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7CE1DFC"/>
    <w:multiLevelType w:val="multilevel"/>
    <w:tmpl w:val="3EA242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D6B06A3"/>
    <w:multiLevelType w:val="hybridMultilevel"/>
    <w:tmpl w:val="9F1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F13BB"/>
    <w:multiLevelType w:val="hybridMultilevel"/>
    <w:tmpl w:val="0A26B2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EBE11A9"/>
    <w:multiLevelType w:val="hybridMultilevel"/>
    <w:tmpl w:val="8D0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58375C"/>
    <w:multiLevelType w:val="hybridMultilevel"/>
    <w:tmpl w:val="274628C8"/>
    <w:lvl w:ilvl="0" w:tplc="AE90383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DD03DC"/>
    <w:multiLevelType w:val="hybridMultilevel"/>
    <w:tmpl w:val="699CD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527192"/>
    <w:multiLevelType w:val="hybridMultilevel"/>
    <w:tmpl w:val="69BA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432A6E"/>
    <w:multiLevelType w:val="hybridMultilevel"/>
    <w:tmpl w:val="A9FEEA14"/>
    <w:lvl w:ilvl="0" w:tplc="ABAC7F8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4F6FDC"/>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F4462EF"/>
    <w:multiLevelType w:val="hybridMultilevel"/>
    <w:tmpl w:val="8662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CE410F"/>
    <w:multiLevelType w:val="hybridMultilevel"/>
    <w:tmpl w:val="91642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F06611"/>
    <w:multiLevelType w:val="hybridMultilevel"/>
    <w:tmpl w:val="D55E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4A3E88"/>
    <w:multiLevelType w:val="hybridMultilevel"/>
    <w:tmpl w:val="4B0A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2E1BC0"/>
    <w:multiLevelType w:val="hybridMultilevel"/>
    <w:tmpl w:val="C5D86326"/>
    <w:lvl w:ilvl="0" w:tplc="A8D6B3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560A84"/>
    <w:multiLevelType w:val="multilevel"/>
    <w:tmpl w:val="829C311E"/>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1A56C37"/>
    <w:multiLevelType w:val="hybridMultilevel"/>
    <w:tmpl w:val="AFAA82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D762CE"/>
    <w:multiLevelType w:val="hybridMultilevel"/>
    <w:tmpl w:val="873E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87576C"/>
    <w:multiLevelType w:val="hybridMultilevel"/>
    <w:tmpl w:val="35E4FE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599217F"/>
    <w:multiLevelType w:val="hybridMultilevel"/>
    <w:tmpl w:val="47D28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4D6289B"/>
    <w:multiLevelType w:val="hybridMultilevel"/>
    <w:tmpl w:val="DFF694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64EE50C7"/>
    <w:multiLevelType w:val="hybridMultilevel"/>
    <w:tmpl w:val="3D10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820637B"/>
    <w:multiLevelType w:val="hybridMultilevel"/>
    <w:tmpl w:val="9A983B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7031664B"/>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3595DB1"/>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5B61382"/>
    <w:multiLevelType w:val="hybridMultilevel"/>
    <w:tmpl w:val="2F7E8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C1E62A3"/>
    <w:multiLevelType w:val="hybridMultilevel"/>
    <w:tmpl w:val="8110ADB4"/>
    <w:lvl w:ilvl="0" w:tplc="3DDC8D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A92842"/>
    <w:multiLevelType w:val="hybridMultilevel"/>
    <w:tmpl w:val="6C0C8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401443"/>
    <w:multiLevelType w:val="hybridMultilevel"/>
    <w:tmpl w:val="12CEE8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7"/>
  </w:num>
  <w:num w:numId="2">
    <w:abstractNumId w:val="28"/>
  </w:num>
  <w:num w:numId="3">
    <w:abstractNumId w:val="0"/>
  </w:num>
  <w:num w:numId="4">
    <w:abstractNumId w:val="23"/>
  </w:num>
  <w:num w:numId="5">
    <w:abstractNumId w:val="7"/>
  </w:num>
  <w:num w:numId="6">
    <w:abstractNumId w:val="3"/>
  </w:num>
  <w:num w:numId="7">
    <w:abstractNumId w:val="21"/>
  </w:num>
  <w:num w:numId="8">
    <w:abstractNumId w:val="10"/>
  </w:num>
  <w:num w:numId="9">
    <w:abstractNumId w:val="14"/>
  </w:num>
  <w:num w:numId="10">
    <w:abstractNumId w:val="13"/>
  </w:num>
  <w:num w:numId="11">
    <w:abstractNumId w:val="5"/>
  </w:num>
  <w:num w:numId="12">
    <w:abstractNumId w:val="1"/>
  </w:num>
  <w:num w:numId="13">
    <w:abstractNumId w:val="6"/>
  </w:num>
  <w:num w:numId="14">
    <w:abstractNumId w:val="22"/>
  </w:num>
  <w:num w:numId="15">
    <w:abstractNumId w:val="11"/>
  </w:num>
  <w:num w:numId="16">
    <w:abstractNumId w:val="4"/>
  </w:num>
  <w:num w:numId="17">
    <w:abstractNumId w:val="2"/>
  </w:num>
  <w:num w:numId="18">
    <w:abstractNumId w:val="15"/>
  </w:num>
  <w:num w:numId="19">
    <w:abstractNumId w:val="16"/>
  </w:num>
  <w:num w:numId="20">
    <w:abstractNumId w:val="12"/>
  </w:num>
  <w:num w:numId="21">
    <w:abstractNumId w:val="17"/>
  </w:num>
  <w:num w:numId="22">
    <w:abstractNumId w:val="19"/>
  </w:num>
  <w:num w:numId="23">
    <w:abstractNumId w:val="26"/>
  </w:num>
  <w:num w:numId="24">
    <w:abstractNumId w:val="20"/>
  </w:num>
  <w:num w:numId="25">
    <w:abstractNumId w:val="9"/>
  </w:num>
  <w:num w:numId="26">
    <w:abstractNumId w:val="25"/>
  </w:num>
  <w:num w:numId="27">
    <w:abstractNumId w:val="24"/>
  </w:num>
  <w:num w:numId="28">
    <w:abstractNumId w:val="29"/>
  </w:num>
  <w:num w:numId="29">
    <w:abstractNumId w:val="18"/>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3CD4"/>
    <w:rsid w:val="0000075D"/>
    <w:rsid w:val="0000211F"/>
    <w:rsid w:val="00094A6C"/>
    <w:rsid w:val="000A7A87"/>
    <w:rsid w:val="000E0C1F"/>
    <w:rsid w:val="000E13D9"/>
    <w:rsid w:val="000E5A52"/>
    <w:rsid w:val="001408A9"/>
    <w:rsid w:val="00155179"/>
    <w:rsid w:val="001A52F8"/>
    <w:rsid w:val="00201951"/>
    <w:rsid w:val="00215ED7"/>
    <w:rsid w:val="00235B89"/>
    <w:rsid w:val="00275A59"/>
    <w:rsid w:val="002A00CC"/>
    <w:rsid w:val="002A4D17"/>
    <w:rsid w:val="002B4E2D"/>
    <w:rsid w:val="00315930"/>
    <w:rsid w:val="00396774"/>
    <w:rsid w:val="004146A8"/>
    <w:rsid w:val="00435FE9"/>
    <w:rsid w:val="00446D6F"/>
    <w:rsid w:val="00476244"/>
    <w:rsid w:val="004C0B7B"/>
    <w:rsid w:val="004C3312"/>
    <w:rsid w:val="004D4088"/>
    <w:rsid w:val="004E2261"/>
    <w:rsid w:val="00505F33"/>
    <w:rsid w:val="005235F2"/>
    <w:rsid w:val="00546E20"/>
    <w:rsid w:val="0057123C"/>
    <w:rsid w:val="00572FF5"/>
    <w:rsid w:val="005B3548"/>
    <w:rsid w:val="005B5198"/>
    <w:rsid w:val="005C2564"/>
    <w:rsid w:val="00641B9B"/>
    <w:rsid w:val="00683321"/>
    <w:rsid w:val="006C2E05"/>
    <w:rsid w:val="006C2FEC"/>
    <w:rsid w:val="00710204"/>
    <w:rsid w:val="00775740"/>
    <w:rsid w:val="007A24C2"/>
    <w:rsid w:val="007A4F7C"/>
    <w:rsid w:val="00801A08"/>
    <w:rsid w:val="0081748F"/>
    <w:rsid w:val="008752C8"/>
    <w:rsid w:val="00891F32"/>
    <w:rsid w:val="008B120A"/>
    <w:rsid w:val="008D17BD"/>
    <w:rsid w:val="008E3BAE"/>
    <w:rsid w:val="009558A9"/>
    <w:rsid w:val="009B3CD4"/>
    <w:rsid w:val="009E6FAE"/>
    <w:rsid w:val="00A338EF"/>
    <w:rsid w:val="00A33A11"/>
    <w:rsid w:val="00A65DAD"/>
    <w:rsid w:val="00AE4F4D"/>
    <w:rsid w:val="00B42D09"/>
    <w:rsid w:val="00B4697E"/>
    <w:rsid w:val="00B82F08"/>
    <w:rsid w:val="00C160EE"/>
    <w:rsid w:val="00C418DB"/>
    <w:rsid w:val="00C6002F"/>
    <w:rsid w:val="00C97CB9"/>
    <w:rsid w:val="00CA3B69"/>
    <w:rsid w:val="00CE4B67"/>
    <w:rsid w:val="00D42C70"/>
    <w:rsid w:val="00D751B0"/>
    <w:rsid w:val="00D76845"/>
    <w:rsid w:val="00DA1459"/>
    <w:rsid w:val="00E61E38"/>
    <w:rsid w:val="00EA26CD"/>
    <w:rsid w:val="00F02A6A"/>
    <w:rsid w:val="00F240CE"/>
    <w:rsid w:val="00F42E7F"/>
    <w:rsid w:val="00F7411B"/>
    <w:rsid w:val="00FE1741"/>
    <w:rsid w:val="00FE7A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3C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3CD4"/>
  </w:style>
  <w:style w:type="paragraph" w:styleId="Footer">
    <w:name w:val="footer"/>
    <w:basedOn w:val="Normal"/>
    <w:link w:val="FooterChar"/>
    <w:uiPriority w:val="99"/>
    <w:unhideWhenUsed/>
    <w:rsid w:val="009B3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CD4"/>
  </w:style>
  <w:style w:type="paragraph" w:styleId="ListParagraph">
    <w:name w:val="List Paragraph"/>
    <w:basedOn w:val="Normal"/>
    <w:uiPriority w:val="34"/>
    <w:qFormat/>
    <w:rsid w:val="009B3CD4"/>
    <w:pPr>
      <w:ind w:left="720"/>
      <w:contextualSpacing/>
    </w:pPr>
  </w:style>
  <w:style w:type="paragraph" w:styleId="BalloonText">
    <w:name w:val="Balloon Text"/>
    <w:basedOn w:val="Normal"/>
    <w:link w:val="BalloonTextChar"/>
    <w:uiPriority w:val="99"/>
    <w:semiHidden/>
    <w:unhideWhenUsed/>
    <w:rsid w:val="009B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D4"/>
    <w:rPr>
      <w:rFonts w:ascii="Tahoma" w:hAnsi="Tahoma" w:cs="Tahoma"/>
      <w:sz w:val="16"/>
      <w:szCs w:val="16"/>
    </w:rPr>
  </w:style>
  <w:style w:type="paragraph" w:styleId="CommentText">
    <w:name w:val="annotation text"/>
    <w:basedOn w:val="Normal"/>
    <w:link w:val="CommentTextChar"/>
    <w:uiPriority w:val="99"/>
    <w:unhideWhenUsed/>
    <w:rsid w:val="004D4088"/>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rsid w:val="004D4088"/>
    <w:rPr>
      <w:rFonts w:eastAsiaTheme="minorEastAsia"/>
      <w:sz w:val="20"/>
      <w:szCs w:val="20"/>
      <w:lang w:eastAsia="en-GB"/>
    </w:rPr>
  </w:style>
  <w:style w:type="character" w:customStyle="1" w:styleId="CommentSubjectChar">
    <w:name w:val="Comment Subject Char"/>
    <w:basedOn w:val="CommentTextChar"/>
    <w:link w:val="CommentSubject"/>
    <w:uiPriority w:val="99"/>
    <w:semiHidden/>
    <w:rsid w:val="004D4088"/>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4D4088"/>
    <w:rPr>
      <w:b/>
      <w:bCs/>
    </w:rPr>
  </w:style>
  <w:style w:type="paragraph" w:customStyle="1" w:styleId="Default">
    <w:name w:val="Default"/>
    <w:rsid w:val="004D4088"/>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FootnoteText">
    <w:name w:val="footnote text"/>
    <w:basedOn w:val="Normal"/>
    <w:link w:val="FootnoteTextChar"/>
    <w:uiPriority w:val="99"/>
    <w:semiHidden/>
    <w:unhideWhenUsed/>
    <w:rsid w:val="004D4088"/>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4D4088"/>
    <w:rPr>
      <w:rFonts w:eastAsiaTheme="minorEastAsia"/>
      <w:sz w:val="20"/>
      <w:szCs w:val="20"/>
      <w:lang w:eastAsia="en-GB"/>
    </w:rPr>
  </w:style>
  <w:style w:type="character" w:styleId="Hyperlink">
    <w:name w:val="Hyperlink"/>
    <w:basedOn w:val="DefaultParagraphFont"/>
    <w:uiPriority w:val="99"/>
    <w:unhideWhenUsed/>
    <w:rsid w:val="004D4088"/>
    <w:rPr>
      <w:color w:val="0000FF" w:themeColor="hyperlink"/>
      <w:u w:val="single"/>
    </w:rPr>
  </w:style>
  <w:style w:type="character" w:customStyle="1" w:styleId="bibref">
    <w:name w:val="bibref"/>
    <w:basedOn w:val="DefaultParagraphFont"/>
    <w:rsid w:val="004D4088"/>
  </w:style>
  <w:style w:type="character" w:customStyle="1" w:styleId="apple-converted-space">
    <w:name w:val="apple-converted-space"/>
    <w:basedOn w:val="DefaultParagraphFont"/>
    <w:rsid w:val="004D4088"/>
  </w:style>
  <w:style w:type="character" w:styleId="CommentReference">
    <w:name w:val="annotation reference"/>
    <w:basedOn w:val="DefaultParagraphFont"/>
    <w:uiPriority w:val="99"/>
    <w:semiHidden/>
    <w:unhideWhenUsed/>
    <w:rsid w:val="004C0B7B"/>
    <w:rPr>
      <w:sz w:val="16"/>
      <w:szCs w:val="16"/>
    </w:rPr>
  </w:style>
  <w:style w:type="table" w:styleId="TableGrid">
    <w:name w:val="Table Grid"/>
    <w:basedOn w:val="TableNormal"/>
    <w:uiPriority w:val="59"/>
    <w:rsid w:val="000A7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0A7A87"/>
    <w:rPr>
      <w:vertAlign w:val="superscript"/>
    </w:rPr>
  </w:style>
  <w:style w:type="character" w:styleId="FollowedHyperlink">
    <w:name w:val="FollowedHyperlink"/>
    <w:basedOn w:val="DefaultParagraphFont"/>
    <w:uiPriority w:val="99"/>
    <w:semiHidden/>
    <w:unhideWhenUsed/>
    <w:rsid w:val="00435FE9"/>
    <w:rPr>
      <w:color w:val="800080" w:themeColor="followedHyperlink"/>
      <w:u w:val="single"/>
    </w:rPr>
  </w:style>
  <w:style w:type="paragraph" w:styleId="EndnoteText">
    <w:name w:val="endnote text"/>
    <w:basedOn w:val="Normal"/>
    <w:link w:val="EndnoteTextChar"/>
    <w:uiPriority w:val="99"/>
    <w:semiHidden/>
    <w:unhideWhenUsed/>
    <w:rsid w:val="003967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774"/>
    <w:rPr>
      <w:sz w:val="20"/>
      <w:szCs w:val="20"/>
    </w:rPr>
  </w:style>
  <w:style w:type="character" w:styleId="EndnoteReference">
    <w:name w:val="endnote reference"/>
    <w:basedOn w:val="DefaultParagraphFont"/>
    <w:uiPriority w:val="99"/>
    <w:semiHidden/>
    <w:unhideWhenUsed/>
    <w:rsid w:val="003967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sa.ucl.ac.uk/urbanmodelling/UrbanModel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5606B-69DE-40D6-B20B-D2F3E2AE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Touati</dc:creator>
  <cp:lastModifiedBy>Sarah Touati</cp:lastModifiedBy>
  <cp:revision>5</cp:revision>
  <cp:lastPrinted>2015-12-14T11:44:00Z</cp:lastPrinted>
  <dcterms:created xsi:type="dcterms:W3CDTF">2016-01-11T17:40:00Z</dcterms:created>
  <dcterms:modified xsi:type="dcterms:W3CDTF">2016-01-13T10:12:00Z</dcterms:modified>
</cp:coreProperties>
</file>