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6C" w:rsidRDefault="0097225D">
      <w:pPr>
        <w:rPr>
          <w:rFonts w:ascii="Arial" w:hAnsi="Arial" w:cs="Arial"/>
          <w:b/>
        </w:rPr>
      </w:pPr>
      <w:r w:rsidRPr="00180CFC">
        <w:rPr>
          <w:rFonts w:ascii="Arial" w:hAnsi="Arial" w:cs="Arial"/>
          <w:b/>
        </w:rPr>
        <w:t>TAGRA ACUTE MLC SUBGROUP</w:t>
      </w:r>
      <w:r>
        <w:rPr>
          <w:rFonts w:ascii="Arial" w:hAnsi="Arial" w:cs="Arial"/>
          <w:b/>
        </w:rPr>
        <w:t xml:space="preserve">        </w:t>
      </w:r>
      <w:r w:rsidR="00430B84">
        <w:rPr>
          <w:rFonts w:ascii="Arial" w:hAnsi="Arial" w:cs="Arial"/>
          <w:b/>
        </w:rPr>
        <w:t xml:space="preserve">                               </w:t>
      </w:r>
      <w:r>
        <w:rPr>
          <w:rFonts w:ascii="Arial" w:hAnsi="Arial" w:cs="Arial"/>
          <w:b/>
        </w:rPr>
        <w:t>Wednesday</w:t>
      </w:r>
      <w:r w:rsidRPr="00A144DF">
        <w:rPr>
          <w:rFonts w:ascii="Arial" w:hAnsi="Arial" w:cs="Arial"/>
          <w:b/>
        </w:rPr>
        <w:t xml:space="preserve"> </w:t>
      </w:r>
      <w:r>
        <w:rPr>
          <w:rFonts w:ascii="Arial" w:hAnsi="Arial" w:cs="Arial"/>
          <w:b/>
        </w:rPr>
        <w:t>2</w:t>
      </w:r>
      <w:r w:rsidR="00430B84">
        <w:rPr>
          <w:rFonts w:ascii="Arial" w:hAnsi="Arial" w:cs="Arial"/>
          <w:b/>
        </w:rPr>
        <w:t>0</w:t>
      </w:r>
      <w:r w:rsidR="00430B84" w:rsidRPr="00430B84">
        <w:rPr>
          <w:rFonts w:ascii="Arial" w:hAnsi="Arial" w:cs="Arial"/>
          <w:b/>
          <w:vertAlign w:val="superscript"/>
        </w:rPr>
        <w:t>th</w:t>
      </w:r>
      <w:r w:rsidR="00430B84">
        <w:rPr>
          <w:rFonts w:ascii="Arial" w:hAnsi="Arial" w:cs="Arial"/>
          <w:b/>
        </w:rPr>
        <w:t xml:space="preserve"> </w:t>
      </w:r>
      <w:r>
        <w:rPr>
          <w:rFonts w:ascii="Arial" w:hAnsi="Arial" w:cs="Arial"/>
          <w:b/>
        </w:rPr>
        <w:t>January 2016</w:t>
      </w:r>
    </w:p>
    <w:p w:rsidR="0097225D" w:rsidRDefault="009F79CA">
      <w:pPr>
        <w:rPr>
          <w:rFonts w:ascii="Arial" w:hAnsi="Arial" w:cs="Arial"/>
          <w:b/>
        </w:rPr>
      </w:pPr>
      <w:r>
        <w:rPr>
          <w:rFonts w:ascii="Arial" w:hAnsi="Arial" w:cs="Arial"/>
          <w:b/>
        </w:rPr>
        <w:t>INDICATOR SELECTION RESULTS – PART 1</w:t>
      </w:r>
    </w:p>
    <w:p w:rsidR="0097225D" w:rsidRPr="0097225D" w:rsidRDefault="0097225D">
      <w:pPr>
        <w:rPr>
          <w:rFonts w:ascii="Arial" w:hAnsi="Arial" w:cs="Arial"/>
          <w:b/>
        </w:rPr>
      </w:pPr>
    </w:p>
    <w:p w:rsidR="0097225D" w:rsidRPr="0097225D" w:rsidRDefault="0097225D">
      <w:pPr>
        <w:rPr>
          <w:rFonts w:ascii="Arial" w:hAnsi="Arial" w:cs="Arial"/>
          <w:b/>
        </w:rPr>
      </w:pPr>
      <w:r w:rsidRPr="0097225D">
        <w:rPr>
          <w:rFonts w:ascii="Arial" w:hAnsi="Arial" w:cs="Arial"/>
          <w:b/>
        </w:rPr>
        <w:t>Background</w:t>
      </w:r>
    </w:p>
    <w:p w:rsidR="00CD7D5B" w:rsidRDefault="0097225D" w:rsidP="0097225D">
      <w:pPr>
        <w:jc w:val="both"/>
        <w:rPr>
          <w:rFonts w:ascii="Arial" w:hAnsi="Arial" w:cs="Arial"/>
        </w:rPr>
      </w:pPr>
      <w:r w:rsidRPr="0097225D">
        <w:rPr>
          <w:rFonts w:ascii="Arial" w:hAnsi="Arial" w:cs="Arial"/>
        </w:rPr>
        <w:t xml:space="preserve">The final list of potential candidate variables was presented in paper TAMLC36, which was circulated by email in November 2015. </w:t>
      </w:r>
      <w:r w:rsidR="00413092">
        <w:rPr>
          <w:rFonts w:ascii="Arial" w:hAnsi="Arial" w:cs="Arial"/>
        </w:rPr>
        <w:t xml:space="preserve">Most of the data had been obtained and the variables calculated at the 2011 data zones. </w:t>
      </w:r>
      <w:r w:rsidR="00413092" w:rsidRPr="0097225D">
        <w:rPr>
          <w:rFonts w:ascii="Arial" w:hAnsi="Arial" w:cs="Arial"/>
        </w:rPr>
        <w:t>A methodology for the needs indicator selection process was also outlined</w:t>
      </w:r>
      <w:r w:rsidR="00413092">
        <w:rPr>
          <w:rFonts w:ascii="Arial" w:hAnsi="Arial" w:cs="Arial"/>
        </w:rPr>
        <w:t xml:space="preserve"> in the paper</w:t>
      </w:r>
      <w:r w:rsidR="00413092" w:rsidRPr="0097225D">
        <w:rPr>
          <w:rFonts w:ascii="Arial" w:hAnsi="Arial" w:cs="Arial"/>
        </w:rPr>
        <w:t>, based on the methodology used in the 2007 NRAC review.</w:t>
      </w:r>
    </w:p>
    <w:p w:rsidR="0097225D" w:rsidRPr="0097225D" w:rsidRDefault="00CD7D5B" w:rsidP="0097225D">
      <w:pPr>
        <w:jc w:val="both"/>
        <w:rPr>
          <w:rFonts w:ascii="Arial" w:hAnsi="Arial" w:cs="Arial"/>
        </w:rPr>
      </w:pPr>
      <w:r>
        <w:rPr>
          <w:rFonts w:ascii="Arial" w:hAnsi="Arial" w:cs="Arial"/>
        </w:rPr>
        <w:t>The</w:t>
      </w:r>
      <w:r w:rsidR="0097225D" w:rsidRPr="0097225D">
        <w:rPr>
          <w:rFonts w:ascii="Arial" w:hAnsi="Arial" w:cs="Arial"/>
        </w:rPr>
        <w:t xml:space="preserve"> </w:t>
      </w:r>
      <w:r>
        <w:rPr>
          <w:rFonts w:ascii="Arial" w:hAnsi="Arial" w:cs="Arial"/>
        </w:rPr>
        <w:t xml:space="preserve">paper </w:t>
      </w:r>
      <w:r w:rsidR="0097225D" w:rsidRPr="0097225D">
        <w:rPr>
          <w:rFonts w:ascii="Arial" w:hAnsi="Arial" w:cs="Arial"/>
        </w:rPr>
        <w:t>included a new suggestion for the ethnicity variable</w:t>
      </w:r>
      <w:r>
        <w:rPr>
          <w:rFonts w:ascii="Arial" w:hAnsi="Arial" w:cs="Arial"/>
        </w:rPr>
        <w:t>.</w:t>
      </w:r>
      <w:r w:rsidR="0097225D" w:rsidRPr="0097225D">
        <w:rPr>
          <w:rFonts w:ascii="Arial" w:hAnsi="Arial" w:cs="Arial"/>
        </w:rPr>
        <w:t xml:space="preserve"> </w:t>
      </w:r>
      <w:r>
        <w:rPr>
          <w:rFonts w:ascii="Arial" w:hAnsi="Arial" w:cs="Arial"/>
        </w:rPr>
        <w:t>E</w:t>
      </w:r>
      <w:r w:rsidR="0097225D" w:rsidRPr="0097225D">
        <w:rPr>
          <w:rFonts w:ascii="Arial" w:hAnsi="Arial" w:cs="Arial"/>
        </w:rPr>
        <w:t xml:space="preserve">quality leads </w:t>
      </w:r>
      <w:r>
        <w:rPr>
          <w:rFonts w:ascii="Arial" w:hAnsi="Arial" w:cs="Arial"/>
        </w:rPr>
        <w:t>present at the 10</w:t>
      </w:r>
      <w:r w:rsidRPr="00CD7D5B">
        <w:rPr>
          <w:rFonts w:ascii="Arial" w:hAnsi="Arial" w:cs="Arial"/>
          <w:vertAlign w:val="superscript"/>
        </w:rPr>
        <w:t>th</w:t>
      </w:r>
      <w:r>
        <w:rPr>
          <w:rFonts w:ascii="Arial" w:hAnsi="Arial" w:cs="Arial"/>
        </w:rPr>
        <w:t xml:space="preserve"> meeting had advised </w:t>
      </w:r>
      <w:r w:rsidR="0097225D" w:rsidRPr="0097225D">
        <w:rPr>
          <w:rFonts w:ascii="Arial" w:hAnsi="Arial" w:cs="Arial"/>
        </w:rPr>
        <w:t xml:space="preserve">that </w:t>
      </w:r>
      <w:r>
        <w:rPr>
          <w:rFonts w:ascii="Arial" w:hAnsi="Arial" w:cs="Arial"/>
        </w:rPr>
        <w:t xml:space="preserve">a count of non-white people as a potential explanatory variable for healthcare use </w:t>
      </w:r>
      <w:r w:rsidR="0097225D" w:rsidRPr="0097225D">
        <w:rPr>
          <w:rFonts w:ascii="Arial" w:hAnsi="Arial" w:cs="Arial"/>
        </w:rPr>
        <w:t>was problematic</w:t>
      </w:r>
      <w:r>
        <w:rPr>
          <w:rFonts w:ascii="Arial" w:hAnsi="Arial" w:cs="Arial"/>
        </w:rPr>
        <w:t>: it implie</w:t>
      </w:r>
      <w:r w:rsidR="00413092">
        <w:rPr>
          <w:rFonts w:ascii="Arial" w:hAnsi="Arial" w:cs="Arial"/>
        </w:rPr>
        <w:t>d</w:t>
      </w:r>
      <w:r>
        <w:rPr>
          <w:rFonts w:ascii="Arial" w:hAnsi="Arial" w:cs="Arial"/>
        </w:rPr>
        <w:t xml:space="preserve"> that all non-white groups </w:t>
      </w:r>
      <w:r w:rsidR="00413092">
        <w:rPr>
          <w:rFonts w:ascii="Arial" w:hAnsi="Arial" w:cs="Arial"/>
        </w:rPr>
        <w:t>we</w:t>
      </w:r>
      <w:r>
        <w:rPr>
          <w:rFonts w:ascii="Arial" w:hAnsi="Arial" w:cs="Arial"/>
        </w:rPr>
        <w:t xml:space="preserve">re </w:t>
      </w:r>
      <w:r w:rsidR="00413092">
        <w:rPr>
          <w:rFonts w:ascii="Arial" w:hAnsi="Arial" w:cs="Arial"/>
        </w:rPr>
        <w:t>anticipated</w:t>
      </w:r>
      <w:r>
        <w:rPr>
          <w:rFonts w:ascii="Arial" w:hAnsi="Arial" w:cs="Arial"/>
        </w:rPr>
        <w:t xml:space="preserve"> to share a common pattern of healthcare needs that differ</w:t>
      </w:r>
      <w:r w:rsidR="00413092">
        <w:rPr>
          <w:rFonts w:ascii="Arial" w:hAnsi="Arial" w:cs="Arial"/>
        </w:rPr>
        <w:t>ed</w:t>
      </w:r>
      <w:r>
        <w:rPr>
          <w:rFonts w:ascii="Arial" w:hAnsi="Arial" w:cs="Arial"/>
        </w:rPr>
        <w:t xml:space="preserve"> from those of white populations, </w:t>
      </w:r>
      <w:r w:rsidR="00413092">
        <w:rPr>
          <w:rFonts w:ascii="Arial" w:hAnsi="Arial" w:cs="Arial"/>
        </w:rPr>
        <w:t>which may be</w:t>
      </w:r>
      <w:r>
        <w:rPr>
          <w:rFonts w:ascii="Arial" w:hAnsi="Arial" w:cs="Arial"/>
        </w:rPr>
        <w:t xml:space="preserve"> highly questionable when such a </w:t>
      </w:r>
      <w:r w:rsidR="004C620C">
        <w:rPr>
          <w:rFonts w:ascii="Arial" w:hAnsi="Arial" w:cs="Arial"/>
        </w:rPr>
        <w:t>large number</w:t>
      </w:r>
      <w:r>
        <w:rPr>
          <w:rFonts w:ascii="Arial" w:hAnsi="Arial" w:cs="Arial"/>
        </w:rPr>
        <w:t xml:space="preserve"> of different ethnicities are included. The </w:t>
      </w:r>
      <w:r w:rsidRPr="0097225D">
        <w:rPr>
          <w:rFonts w:ascii="Arial" w:hAnsi="Arial" w:cs="Arial"/>
        </w:rPr>
        <w:t xml:space="preserve">Scottish Government </w:t>
      </w:r>
      <w:proofErr w:type="spellStart"/>
      <w:r w:rsidRPr="0097225D">
        <w:rPr>
          <w:rFonts w:ascii="Arial" w:hAnsi="Arial" w:cs="Arial"/>
        </w:rPr>
        <w:t>ScotStat</w:t>
      </w:r>
      <w:proofErr w:type="spellEnd"/>
      <w:r w:rsidRPr="0097225D">
        <w:rPr>
          <w:rFonts w:ascii="Arial" w:hAnsi="Arial" w:cs="Arial"/>
        </w:rPr>
        <w:t xml:space="preserve"> report “Which ethnic groups have the poorest health? An Analysis of Health Inequality and Ethnicity in Scotland”</w:t>
      </w:r>
      <w:r w:rsidRPr="0097225D">
        <w:rPr>
          <w:rFonts w:ascii="Arial" w:hAnsi="Arial" w:cs="Arial"/>
          <w:vertAlign w:val="superscript"/>
        </w:rPr>
        <w:footnoteReference w:id="1"/>
      </w:r>
      <w:r w:rsidRPr="0097225D">
        <w:rPr>
          <w:rFonts w:ascii="Arial" w:hAnsi="Arial" w:cs="Arial"/>
        </w:rPr>
        <w:t xml:space="preserve"> </w:t>
      </w:r>
      <w:r>
        <w:rPr>
          <w:rFonts w:ascii="Arial" w:hAnsi="Arial" w:cs="Arial"/>
        </w:rPr>
        <w:t>indeed shows that there are wide differences in health outcomes between different ethnic groups in Scotland. A</w:t>
      </w:r>
      <w:r w:rsidR="0097225D" w:rsidRPr="0097225D">
        <w:rPr>
          <w:rFonts w:ascii="Arial" w:hAnsi="Arial" w:cs="Arial"/>
        </w:rPr>
        <w:t xml:space="preserve"> suggestion was </w:t>
      </w:r>
      <w:r w:rsidR="00413092">
        <w:rPr>
          <w:rFonts w:ascii="Arial" w:hAnsi="Arial" w:cs="Arial"/>
        </w:rPr>
        <w:t xml:space="preserve">therefore </w:t>
      </w:r>
      <w:r w:rsidR="0097225D" w:rsidRPr="0097225D">
        <w:rPr>
          <w:rFonts w:ascii="Arial" w:hAnsi="Arial" w:cs="Arial"/>
        </w:rPr>
        <w:t xml:space="preserve">made </w:t>
      </w:r>
      <w:r w:rsidR="00413092">
        <w:rPr>
          <w:rFonts w:ascii="Arial" w:hAnsi="Arial" w:cs="Arial"/>
        </w:rPr>
        <w:t xml:space="preserve">in paper TAMLC36 </w:t>
      </w:r>
      <w:r w:rsidR="0097225D" w:rsidRPr="0097225D">
        <w:rPr>
          <w:rFonts w:ascii="Arial" w:hAnsi="Arial" w:cs="Arial"/>
        </w:rPr>
        <w:t>to use counts of specific ethnic groups, using the</w:t>
      </w:r>
      <w:r w:rsidR="00413092">
        <w:rPr>
          <w:rFonts w:ascii="Arial" w:hAnsi="Arial" w:cs="Arial"/>
        </w:rPr>
        <w:t xml:space="preserve"> above report</w:t>
      </w:r>
      <w:r w:rsidR="0097225D" w:rsidRPr="0097225D">
        <w:rPr>
          <w:rFonts w:ascii="Arial" w:hAnsi="Arial" w:cs="Arial"/>
        </w:rPr>
        <w:t xml:space="preserve"> as a guide to which ethnic groups should be considered. In response to this, concerns were raised about the likelihood of high numbers of zero counts</w:t>
      </w:r>
      <w:r w:rsidR="0097225D">
        <w:rPr>
          <w:rFonts w:ascii="Arial" w:hAnsi="Arial" w:cs="Arial"/>
        </w:rPr>
        <w:t xml:space="preserve">, and the implications of excluding </w:t>
      </w:r>
      <w:r w:rsidR="001763BD">
        <w:rPr>
          <w:rFonts w:ascii="Arial" w:hAnsi="Arial" w:cs="Arial"/>
        </w:rPr>
        <w:t>several</w:t>
      </w:r>
      <w:r w:rsidR="0097225D">
        <w:rPr>
          <w:rFonts w:ascii="Arial" w:hAnsi="Arial" w:cs="Arial"/>
        </w:rPr>
        <w:t xml:space="preserve"> ethnic groups from analysis</w:t>
      </w:r>
      <w:r w:rsidR="0097225D" w:rsidRPr="0097225D">
        <w:rPr>
          <w:rFonts w:ascii="Arial" w:hAnsi="Arial" w:cs="Arial"/>
        </w:rPr>
        <w:t>.</w:t>
      </w:r>
    </w:p>
    <w:p w:rsidR="0097225D" w:rsidRDefault="00413092" w:rsidP="0097225D">
      <w:pPr>
        <w:jc w:val="both"/>
        <w:rPr>
          <w:rFonts w:ascii="Arial" w:hAnsi="Arial" w:cs="Arial"/>
        </w:rPr>
      </w:pPr>
      <w:r>
        <w:rPr>
          <w:rFonts w:ascii="Arial" w:hAnsi="Arial" w:cs="Arial"/>
        </w:rPr>
        <w:t xml:space="preserve">The potential </w:t>
      </w:r>
      <w:r w:rsidR="0029595F">
        <w:rPr>
          <w:rFonts w:ascii="Arial" w:hAnsi="Arial" w:cs="Arial"/>
        </w:rPr>
        <w:t>indicator</w:t>
      </w:r>
      <w:r>
        <w:rPr>
          <w:rFonts w:ascii="Arial" w:hAnsi="Arial" w:cs="Arial"/>
        </w:rPr>
        <w:t xml:space="preserve"> variables</w:t>
      </w:r>
      <w:r w:rsidRPr="0097225D">
        <w:rPr>
          <w:rFonts w:ascii="Arial" w:hAnsi="Arial" w:cs="Arial"/>
        </w:rPr>
        <w:t xml:space="preserve"> </w:t>
      </w:r>
      <w:r>
        <w:rPr>
          <w:rFonts w:ascii="Arial" w:hAnsi="Arial" w:cs="Arial"/>
        </w:rPr>
        <w:t>have now all been computed, and t</w:t>
      </w:r>
      <w:r w:rsidR="0097225D" w:rsidRPr="0097225D">
        <w:rPr>
          <w:rFonts w:ascii="Arial" w:hAnsi="Arial" w:cs="Arial"/>
        </w:rPr>
        <w:t xml:space="preserve">his paper </w:t>
      </w:r>
      <w:r>
        <w:rPr>
          <w:rFonts w:ascii="Arial" w:hAnsi="Arial" w:cs="Arial"/>
        </w:rPr>
        <w:t xml:space="preserve">reports </w:t>
      </w:r>
      <w:r w:rsidR="0097225D" w:rsidRPr="0097225D">
        <w:rPr>
          <w:rFonts w:ascii="Arial" w:hAnsi="Arial" w:cs="Arial"/>
        </w:rPr>
        <w:t xml:space="preserve">on the </w:t>
      </w:r>
      <w:r>
        <w:rPr>
          <w:rFonts w:ascii="Arial" w:hAnsi="Arial" w:cs="Arial"/>
        </w:rPr>
        <w:t>initial analysis of these variables</w:t>
      </w:r>
      <w:r w:rsidR="009F79CA">
        <w:rPr>
          <w:rFonts w:ascii="Arial" w:hAnsi="Arial" w:cs="Arial"/>
        </w:rPr>
        <w:t>, including analysis of zero</w:t>
      </w:r>
      <w:r w:rsidR="005C7AAC">
        <w:rPr>
          <w:rFonts w:ascii="Arial" w:hAnsi="Arial" w:cs="Arial"/>
        </w:rPr>
        <w:t xml:space="preserve"> count</w:t>
      </w:r>
      <w:r w:rsidR="009F79CA">
        <w:rPr>
          <w:rFonts w:ascii="Arial" w:hAnsi="Arial" w:cs="Arial"/>
        </w:rPr>
        <w:t>s, and results from the first stage of the indicator selection process</w:t>
      </w:r>
      <w:r w:rsidR="009F79CA" w:rsidRPr="0097225D">
        <w:rPr>
          <w:rFonts w:ascii="Arial" w:hAnsi="Arial" w:cs="Arial"/>
        </w:rPr>
        <w:t>.</w:t>
      </w:r>
    </w:p>
    <w:p w:rsidR="0097225D" w:rsidRDefault="0097225D" w:rsidP="0097225D">
      <w:pPr>
        <w:rPr>
          <w:rFonts w:ascii="Arial" w:hAnsi="Arial" w:cs="Arial"/>
        </w:rPr>
      </w:pPr>
    </w:p>
    <w:p w:rsidR="0097225D" w:rsidRPr="0097225D" w:rsidRDefault="0097225D" w:rsidP="0097225D">
      <w:pPr>
        <w:rPr>
          <w:rFonts w:ascii="Arial" w:hAnsi="Arial" w:cs="Arial"/>
          <w:b/>
        </w:rPr>
      </w:pPr>
      <w:r w:rsidRPr="0097225D">
        <w:rPr>
          <w:rFonts w:ascii="Arial" w:hAnsi="Arial" w:cs="Arial"/>
          <w:b/>
        </w:rPr>
        <w:t>1. Summary</w:t>
      </w:r>
    </w:p>
    <w:p w:rsidR="00D152CF" w:rsidRDefault="0097225D" w:rsidP="00D152CF">
      <w:pPr>
        <w:jc w:val="both"/>
        <w:rPr>
          <w:rFonts w:ascii="Arial" w:hAnsi="Arial" w:cs="Arial"/>
        </w:rPr>
      </w:pPr>
      <w:r w:rsidRPr="0097225D">
        <w:rPr>
          <w:rFonts w:ascii="Arial" w:hAnsi="Arial" w:cs="Arial"/>
        </w:rPr>
        <w:t xml:space="preserve">This paper presents </w:t>
      </w:r>
      <w:r w:rsidR="00D152CF">
        <w:rPr>
          <w:rFonts w:ascii="Arial" w:hAnsi="Arial" w:cs="Arial"/>
        </w:rPr>
        <w:t>some</w:t>
      </w:r>
      <w:r w:rsidRPr="0097225D">
        <w:rPr>
          <w:rFonts w:ascii="Arial" w:hAnsi="Arial" w:cs="Arial"/>
        </w:rPr>
        <w:t xml:space="preserve"> preliminary analysis </w:t>
      </w:r>
      <w:r w:rsidR="0029595F">
        <w:rPr>
          <w:rFonts w:ascii="Arial" w:hAnsi="Arial" w:cs="Arial"/>
        </w:rPr>
        <w:t>of</w:t>
      </w:r>
      <w:r w:rsidR="00D152CF">
        <w:rPr>
          <w:rFonts w:ascii="Arial" w:hAnsi="Arial" w:cs="Arial"/>
        </w:rPr>
        <w:t xml:space="preserve"> the potential </w:t>
      </w:r>
      <w:r w:rsidR="0029595F">
        <w:rPr>
          <w:rFonts w:ascii="Arial" w:hAnsi="Arial" w:cs="Arial"/>
        </w:rPr>
        <w:t>indicator</w:t>
      </w:r>
      <w:r w:rsidR="00D152CF">
        <w:rPr>
          <w:rFonts w:ascii="Arial" w:hAnsi="Arial" w:cs="Arial"/>
        </w:rPr>
        <w:t xml:space="preserve"> variables for the Acute MLC regression model, and the results of the first stage of the </w:t>
      </w:r>
      <w:r w:rsidRPr="0097225D">
        <w:rPr>
          <w:rFonts w:ascii="Arial" w:hAnsi="Arial" w:cs="Arial"/>
        </w:rPr>
        <w:t>index construction</w:t>
      </w:r>
      <w:r w:rsidR="00D152CF">
        <w:rPr>
          <w:rFonts w:ascii="Arial" w:hAnsi="Arial" w:cs="Arial"/>
        </w:rPr>
        <w:t xml:space="preserve"> process</w:t>
      </w:r>
      <w:r w:rsidRPr="0097225D">
        <w:rPr>
          <w:rFonts w:ascii="Arial" w:hAnsi="Arial" w:cs="Arial"/>
        </w:rPr>
        <w:t>.</w:t>
      </w:r>
    </w:p>
    <w:p w:rsidR="00D152CF" w:rsidRDefault="0029595F" w:rsidP="00D152CF">
      <w:pPr>
        <w:jc w:val="both"/>
        <w:rPr>
          <w:rFonts w:ascii="Arial" w:hAnsi="Arial" w:cs="Arial"/>
        </w:rPr>
      </w:pPr>
      <w:r>
        <w:rPr>
          <w:rFonts w:ascii="Arial" w:hAnsi="Arial" w:cs="Arial"/>
        </w:rPr>
        <w:t>I</w:t>
      </w:r>
      <w:r w:rsidR="00D152CF">
        <w:rPr>
          <w:rFonts w:ascii="Arial" w:hAnsi="Arial" w:cs="Arial"/>
        </w:rPr>
        <w:t>n section 2,</w:t>
      </w:r>
      <w:r w:rsidR="00D152CF" w:rsidRPr="0097225D">
        <w:rPr>
          <w:rFonts w:ascii="Arial" w:hAnsi="Arial" w:cs="Arial"/>
        </w:rPr>
        <w:t xml:space="preserve"> the issue of high numbers of zero counts in potential </w:t>
      </w:r>
      <w:r>
        <w:rPr>
          <w:rFonts w:ascii="Arial" w:hAnsi="Arial" w:cs="Arial"/>
        </w:rPr>
        <w:t>indicators</w:t>
      </w:r>
      <w:r w:rsidR="00D152CF" w:rsidRPr="0097225D">
        <w:rPr>
          <w:rFonts w:ascii="Arial" w:hAnsi="Arial" w:cs="Arial"/>
        </w:rPr>
        <w:t xml:space="preserve"> is addressed by looking at the numbers of zeros for each variable, and eliminating those with more zeros than a suggested threshold. </w:t>
      </w:r>
    </w:p>
    <w:p w:rsidR="0029595F" w:rsidRDefault="0029595F" w:rsidP="00D152CF">
      <w:pPr>
        <w:jc w:val="both"/>
        <w:rPr>
          <w:rFonts w:ascii="Arial" w:hAnsi="Arial" w:cs="Arial"/>
        </w:rPr>
      </w:pPr>
      <w:r>
        <w:rPr>
          <w:rFonts w:ascii="Arial" w:hAnsi="Arial" w:cs="Arial"/>
        </w:rPr>
        <w:t>In order to proceed with the process of selecting the best indicators, a decision must be made on whether to keep the current diagnostic grouping or change to a different</w:t>
      </w:r>
      <w:r w:rsidR="00D152CF" w:rsidRPr="0097225D">
        <w:rPr>
          <w:rFonts w:ascii="Arial" w:hAnsi="Arial" w:cs="Arial"/>
        </w:rPr>
        <w:t xml:space="preserve"> </w:t>
      </w:r>
      <w:r w:rsidR="00D152CF">
        <w:rPr>
          <w:rFonts w:ascii="Arial" w:hAnsi="Arial" w:cs="Arial"/>
        </w:rPr>
        <w:t>structure</w:t>
      </w:r>
      <w:r>
        <w:rPr>
          <w:rFonts w:ascii="Arial" w:hAnsi="Arial" w:cs="Arial"/>
        </w:rPr>
        <w:t>.</w:t>
      </w:r>
      <w:r w:rsidR="00D152CF">
        <w:rPr>
          <w:rFonts w:ascii="Arial" w:hAnsi="Arial" w:cs="Arial"/>
        </w:rPr>
        <w:t xml:space="preserve"> </w:t>
      </w:r>
      <w:r>
        <w:rPr>
          <w:rFonts w:ascii="Arial" w:hAnsi="Arial" w:cs="Arial"/>
        </w:rPr>
        <w:t>I</w:t>
      </w:r>
      <w:r w:rsidR="00D152CF">
        <w:rPr>
          <w:rFonts w:ascii="Arial" w:hAnsi="Arial" w:cs="Arial"/>
        </w:rPr>
        <w:t>n section 3</w:t>
      </w:r>
      <w:r>
        <w:rPr>
          <w:rFonts w:ascii="Arial" w:hAnsi="Arial" w:cs="Arial"/>
        </w:rPr>
        <w:t>,</w:t>
      </w:r>
      <w:r w:rsidR="00D152CF" w:rsidRPr="0097225D">
        <w:rPr>
          <w:rFonts w:ascii="Arial" w:hAnsi="Arial" w:cs="Arial"/>
        </w:rPr>
        <w:t xml:space="preserve"> </w:t>
      </w:r>
      <w:r>
        <w:rPr>
          <w:rFonts w:ascii="Arial" w:hAnsi="Arial" w:cs="Arial"/>
        </w:rPr>
        <w:t>a</w:t>
      </w:r>
      <w:r w:rsidR="00D152CF" w:rsidRPr="0097225D">
        <w:rPr>
          <w:rFonts w:ascii="Arial" w:hAnsi="Arial" w:cs="Arial"/>
        </w:rPr>
        <w:t xml:space="preserve"> suggestion is made to keep the current </w:t>
      </w:r>
      <w:proofErr w:type="gramStart"/>
      <w:r w:rsidR="00D152CF" w:rsidRPr="0097225D">
        <w:rPr>
          <w:rFonts w:ascii="Arial" w:hAnsi="Arial" w:cs="Arial"/>
        </w:rPr>
        <w:t>Acute</w:t>
      </w:r>
      <w:proofErr w:type="gramEnd"/>
      <w:r w:rsidR="00D152CF" w:rsidRPr="0097225D">
        <w:rPr>
          <w:rFonts w:ascii="Arial" w:hAnsi="Arial" w:cs="Arial"/>
        </w:rPr>
        <w:t xml:space="preserve"> diagnostic grouping</w:t>
      </w:r>
      <w:r w:rsidR="009F79CA">
        <w:rPr>
          <w:rFonts w:ascii="Arial" w:hAnsi="Arial" w:cs="Arial"/>
        </w:rPr>
        <w:t xml:space="preserve"> as well as</w:t>
      </w:r>
      <w:r w:rsidR="005C7AAC">
        <w:rPr>
          <w:rFonts w:ascii="Arial" w:hAnsi="Arial" w:cs="Arial"/>
        </w:rPr>
        <w:t xml:space="preserve"> retaining</w:t>
      </w:r>
      <w:r w:rsidR="009F79CA">
        <w:rPr>
          <w:rFonts w:ascii="Arial" w:hAnsi="Arial" w:cs="Arial"/>
        </w:rPr>
        <w:t xml:space="preserve"> a ‘Whole Acute’ option</w:t>
      </w:r>
      <w:r w:rsidR="00D152CF" w:rsidRPr="0097225D">
        <w:rPr>
          <w:rFonts w:ascii="Arial" w:hAnsi="Arial" w:cs="Arial"/>
        </w:rPr>
        <w:t xml:space="preserve">, following investigations of alternative options and feedback from an ISD consultant in public health. </w:t>
      </w:r>
    </w:p>
    <w:p w:rsidR="00D152CF" w:rsidRDefault="00D152CF" w:rsidP="00D152CF">
      <w:pPr>
        <w:jc w:val="both"/>
        <w:rPr>
          <w:rFonts w:ascii="Arial" w:hAnsi="Arial" w:cs="Arial"/>
        </w:rPr>
      </w:pPr>
      <w:r w:rsidRPr="0097225D">
        <w:rPr>
          <w:rFonts w:ascii="Arial" w:hAnsi="Arial" w:cs="Arial"/>
        </w:rPr>
        <w:t xml:space="preserve">Finally, </w:t>
      </w:r>
      <w:r w:rsidR="0029595F">
        <w:rPr>
          <w:rFonts w:ascii="Arial" w:hAnsi="Arial" w:cs="Arial"/>
        </w:rPr>
        <w:t xml:space="preserve">provisional </w:t>
      </w:r>
      <w:r w:rsidRPr="0097225D">
        <w:rPr>
          <w:rFonts w:ascii="Arial" w:hAnsi="Arial" w:cs="Arial"/>
        </w:rPr>
        <w:t xml:space="preserve">results on the first stage of the </w:t>
      </w:r>
      <w:r w:rsidR="0029595F">
        <w:rPr>
          <w:rFonts w:ascii="Arial" w:hAnsi="Arial" w:cs="Arial"/>
        </w:rPr>
        <w:t xml:space="preserve">variable </w:t>
      </w:r>
      <w:r w:rsidRPr="0097225D">
        <w:rPr>
          <w:rFonts w:ascii="Arial" w:hAnsi="Arial" w:cs="Arial"/>
        </w:rPr>
        <w:t>selection process – elimination of near-duplicates through correlations analysis – are presented</w:t>
      </w:r>
      <w:r w:rsidR="009F79CA">
        <w:rPr>
          <w:rFonts w:ascii="Arial" w:hAnsi="Arial" w:cs="Arial"/>
        </w:rPr>
        <w:t xml:space="preserve"> in section 4</w:t>
      </w:r>
      <w:r w:rsidRPr="0097225D">
        <w:rPr>
          <w:rFonts w:ascii="Arial" w:hAnsi="Arial" w:cs="Arial"/>
        </w:rPr>
        <w:t>.</w:t>
      </w:r>
    </w:p>
    <w:p w:rsidR="0097225D" w:rsidRDefault="0097225D" w:rsidP="0097225D">
      <w:pPr>
        <w:jc w:val="both"/>
        <w:rPr>
          <w:rFonts w:ascii="Arial" w:hAnsi="Arial" w:cs="Arial"/>
        </w:rPr>
      </w:pPr>
    </w:p>
    <w:p w:rsidR="0097225D" w:rsidRPr="0097225D" w:rsidRDefault="0097225D" w:rsidP="0097225D">
      <w:pPr>
        <w:jc w:val="both"/>
        <w:rPr>
          <w:rFonts w:ascii="Arial" w:hAnsi="Arial" w:cs="Arial"/>
          <w:b/>
        </w:rPr>
      </w:pPr>
      <w:r w:rsidRPr="0097225D">
        <w:rPr>
          <w:rFonts w:ascii="Arial" w:hAnsi="Arial" w:cs="Arial"/>
          <w:b/>
        </w:rPr>
        <w:t>2. Zeros analysis</w:t>
      </w:r>
    </w:p>
    <w:p w:rsidR="0097225D" w:rsidRDefault="005229AF" w:rsidP="0097225D">
      <w:pPr>
        <w:jc w:val="both"/>
        <w:rPr>
          <w:rFonts w:ascii="Arial" w:hAnsi="Arial" w:cs="Arial"/>
        </w:rPr>
      </w:pPr>
      <w:r>
        <w:rPr>
          <w:rFonts w:ascii="Arial" w:hAnsi="Arial" w:cs="Arial"/>
        </w:rPr>
        <w:t xml:space="preserve">High numbers of data zones with zero counts for a potential explanatory variable are problematic for predictive modelling – the linear model does not fit well and its parameters are not well constrained. The ethnicity variable options </w:t>
      </w:r>
      <w:r w:rsidR="005C7AAC">
        <w:rPr>
          <w:rFonts w:ascii="Arial" w:hAnsi="Arial" w:cs="Arial"/>
        </w:rPr>
        <w:t xml:space="preserve">in particular </w:t>
      </w:r>
      <w:r>
        <w:rPr>
          <w:rFonts w:ascii="Arial" w:hAnsi="Arial" w:cs="Arial"/>
        </w:rPr>
        <w:t xml:space="preserve">have been highlighted as being susceptible to this problem due to </w:t>
      </w:r>
      <w:r w:rsidR="002D1234">
        <w:rPr>
          <w:rFonts w:ascii="Arial" w:hAnsi="Arial" w:cs="Arial"/>
        </w:rPr>
        <w:t>the small size of</w:t>
      </w:r>
      <w:r>
        <w:rPr>
          <w:rFonts w:ascii="Arial" w:hAnsi="Arial" w:cs="Arial"/>
        </w:rPr>
        <w:t xml:space="preserve"> ethnic minority populations in much of Scotland.</w:t>
      </w:r>
    </w:p>
    <w:p w:rsidR="005229AF" w:rsidRDefault="005229AF" w:rsidP="0097225D">
      <w:pPr>
        <w:jc w:val="both"/>
        <w:rPr>
          <w:rFonts w:ascii="Arial" w:hAnsi="Arial" w:cs="Arial"/>
        </w:rPr>
      </w:pPr>
      <w:r>
        <w:rPr>
          <w:rFonts w:ascii="Arial" w:hAnsi="Arial" w:cs="Arial"/>
        </w:rPr>
        <w:t xml:space="preserve">In this section we check the numbers of data zones with zero counts for </w:t>
      </w:r>
      <w:r w:rsidRPr="001763BD">
        <w:rPr>
          <w:rFonts w:ascii="Arial" w:hAnsi="Arial" w:cs="Arial"/>
        </w:rPr>
        <w:t>all</w:t>
      </w:r>
      <w:r>
        <w:rPr>
          <w:rFonts w:ascii="Arial" w:hAnsi="Arial" w:cs="Arial"/>
        </w:rPr>
        <w:t xml:space="preserve"> potential candidate variables, and </w:t>
      </w:r>
      <w:r w:rsidR="00B21422">
        <w:rPr>
          <w:rFonts w:ascii="Arial" w:hAnsi="Arial" w:cs="Arial"/>
        </w:rPr>
        <w:t>eliminate</w:t>
      </w:r>
      <w:r>
        <w:rPr>
          <w:rFonts w:ascii="Arial" w:hAnsi="Arial" w:cs="Arial"/>
        </w:rPr>
        <w:t xml:space="preserve"> variables with more than </w:t>
      </w:r>
      <w:r w:rsidR="001A7FE6">
        <w:rPr>
          <w:rFonts w:ascii="Arial" w:hAnsi="Arial" w:cs="Arial"/>
        </w:rPr>
        <w:t>30</w:t>
      </w:r>
      <w:r w:rsidR="00466FA0">
        <w:rPr>
          <w:rFonts w:ascii="Arial" w:hAnsi="Arial" w:cs="Arial"/>
        </w:rPr>
        <w:t>% of data zones hav</w:t>
      </w:r>
      <w:r w:rsidR="004C620C">
        <w:rPr>
          <w:rFonts w:ascii="Arial" w:hAnsi="Arial" w:cs="Arial"/>
        </w:rPr>
        <w:t>ing</w:t>
      </w:r>
      <w:r w:rsidR="00466FA0">
        <w:rPr>
          <w:rFonts w:ascii="Arial" w:hAnsi="Arial" w:cs="Arial"/>
        </w:rPr>
        <w:t xml:space="preserve"> zero counts (</w:t>
      </w:r>
      <w:r w:rsidR="001A7FE6">
        <w:rPr>
          <w:rFonts w:ascii="Arial" w:hAnsi="Arial" w:cs="Arial"/>
        </w:rPr>
        <w:t>2,093 or more</w:t>
      </w:r>
      <w:r w:rsidR="00466FA0">
        <w:rPr>
          <w:rFonts w:ascii="Arial" w:hAnsi="Arial" w:cs="Arial"/>
        </w:rPr>
        <w:t xml:space="preserve"> out of 6,976 data zones).</w:t>
      </w:r>
    </w:p>
    <w:p w:rsidR="00466FA0" w:rsidRDefault="00466FA0" w:rsidP="0097225D">
      <w:pPr>
        <w:jc w:val="both"/>
        <w:rPr>
          <w:rFonts w:ascii="Arial" w:hAnsi="Arial" w:cs="Arial"/>
        </w:rPr>
      </w:pPr>
      <w:r>
        <w:rPr>
          <w:rFonts w:ascii="Arial" w:hAnsi="Arial" w:cs="Arial"/>
        </w:rPr>
        <w:t>Table 1 shows the number of zeros for each candidate variable.</w:t>
      </w:r>
      <w:r w:rsidR="001A7FE6">
        <w:rPr>
          <w:rFonts w:ascii="Arial" w:hAnsi="Arial" w:cs="Arial"/>
        </w:rPr>
        <w:t xml:space="preserve"> Variables with zeros </w:t>
      </w:r>
      <w:r w:rsidR="004C620C">
        <w:rPr>
          <w:rFonts w:ascii="Arial" w:hAnsi="Arial" w:cs="Arial"/>
        </w:rPr>
        <w:t>above</w:t>
      </w:r>
      <w:r w:rsidR="001A7FE6">
        <w:rPr>
          <w:rFonts w:ascii="Arial" w:hAnsi="Arial" w:cs="Arial"/>
        </w:rPr>
        <w:t xml:space="preserve"> the threshold amount are shaded.</w:t>
      </w:r>
      <w:r>
        <w:rPr>
          <w:rFonts w:ascii="Arial" w:hAnsi="Arial" w:cs="Arial"/>
        </w:rPr>
        <w:t xml:space="preserve"> </w:t>
      </w:r>
      <w:r w:rsidR="001A7FE6">
        <w:rPr>
          <w:rFonts w:ascii="Arial" w:hAnsi="Arial" w:cs="Arial"/>
        </w:rPr>
        <w:t>(</w:t>
      </w:r>
      <w:r>
        <w:rPr>
          <w:rFonts w:ascii="Arial" w:hAnsi="Arial" w:cs="Arial"/>
        </w:rPr>
        <w:t>For reference, the final potential candidate variable table with full details o</w:t>
      </w:r>
      <w:r w:rsidR="005C7AAC">
        <w:rPr>
          <w:rFonts w:ascii="Arial" w:hAnsi="Arial" w:cs="Arial"/>
        </w:rPr>
        <w:t>n the construction of</w:t>
      </w:r>
      <w:r>
        <w:rPr>
          <w:rFonts w:ascii="Arial" w:hAnsi="Arial" w:cs="Arial"/>
        </w:rPr>
        <w:t xml:space="preserve"> each variable is given in Annex A.</w:t>
      </w:r>
      <w:r w:rsidR="001A7FE6">
        <w:rPr>
          <w:rFonts w:ascii="Arial" w:hAnsi="Arial" w:cs="Arial"/>
        </w:rPr>
        <w:t>)</w:t>
      </w:r>
    </w:p>
    <w:p w:rsidR="00A36E26" w:rsidRPr="00A36E26" w:rsidRDefault="00A36E26" w:rsidP="00253A0E">
      <w:pPr>
        <w:spacing w:after="0"/>
        <w:jc w:val="both"/>
        <w:rPr>
          <w:rFonts w:ascii="Arial" w:hAnsi="Arial" w:cs="Arial"/>
          <w:i/>
        </w:rPr>
      </w:pPr>
      <w:r w:rsidRPr="00A36E26">
        <w:rPr>
          <w:rFonts w:ascii="Arial" w:hAnsi="Arial" w:cs="Arial"/>
          <w:i/>
        </w:rPr>
        <w:t>Table 1: Numbers of data zones with zero counts</w:t>
      </w:r>
      <w:r w:rsidR="001A7FE6">
        <w:rPr>
          <w:rFonts w:ascii="Arial" w:hAnsi="Arial" w:cs="Arial"/>
          <w:i/>
        </w:rPr>
        <w:t xml:space="preserve"> for each variable</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2"/>
        <w:gridCol w:w="2387"/>
      </w:tblGrid>
      <w:tr w:rsidR="000A32F1" w:rsidRPr="001A7FE6" w:rsidTr="001A7FE6">
        <w:trPr>
          <w:cantSplit/>
          <w:trHeight w:val="317"/>
          <w:jc w:val="center"/>
        </w:trPr>
        <w:tc>
          <w:tcPr>
            <w:tcW w:w="3665" w:type="pct"/>
            <w:tcBorders>
              <w:bottom w:val="single" w:sz="4" w:space="0" w:color="auto"/>
            </w:tcBorders>
            <w:vAlign w:val="center"/>
            <w:hideMark/>
          </w:tcPr>
          <w:p w:rsidR="000A32F1" w:rsidRPr="001A7FE6" w:rsidRDefault="000A32F1" w:rsidP="001A7FE6">
            <w:pPr>
              <w:spacing w:after="0"/>
              <w:jc w:val="center"/>
              <w:rPr>
                <w:rFonts w:ascii="Arial" w:hAnsi="Arial" w:cs="Arial"/>
                <w:b/>
                <w:sz w:val="20"/>
                <w:szCs w:val="20"/>
              </w:rPr>
            </w:pPr>
            <w:r w:rsidRPr="001A7FE6">
              <w:rPr>
                <w:rFonts w:ascii="Arial" w:hAnsi="Arial" w:cs="Arial"/>
                <w:b/>
                <w:sz w:val="20"/>
                <w:szCs w:val="20"/>
              </w:rPr>
              <w:t>Variable</w:t>
            </w:r>
          </w:p>
        </w:tc>
        <w:tc>
          <w:tcPr>
            <w:tcW w:w="1335" w:type="pct"/>
            <w:tcBorders>
              <w:bottom w:val="single" w:sz="4" w:space="0" w:color="auto"/>
            </w:tcBorders>
            <w:vAlign w:val="center"/>
            <w:hideMark/>
          </w:tcPr>
          <w:p w:rsidR="000A32F1" w:rsidRPr="001A7FE6" w:rsidRDefault="000A32F1" w:rsidP="001A7FE6">
            <w:pPr>
              <w:spacing w:after="0" w:line="240" w:lineRule="auto"/>
              <w:jc w:val="center"/>
              <w:rPr>
                <w:rFonts w:ascii="Arial" w:hAnsi="Arial" w:cs="Arial"/>
                <w:b/>
                <w:sz w:val="20"/>
                <w:szCs w:val="20"/>
              </w:rPr>
            </w:pPr>
            <w:r w:rsidRPr="001A7FE6">
              <w:rPr>
                <w:rFonts w:ascii="Arial" w:hAnsi="Arial" w:cs="Arial"/>
                <w:b/>
                <w:sz w:val="20"/>
                <w:szCs w:val="20"/>
              </w:rPr>
              <w:t>Zeros</w:t>
            </w:r>
          </w:p>
        </w:tc>
      </w:tr>
      <w:tr w:rsidR="00D03E50" w:rsidRPr="00E819B6" w:rsidTr="00D03E50">
        <w:trPr>
          <w:trHeight w:val="284"/>
          <w:jc w:val="center"/>
        </w:trPr>
        <w:tc>
          <w:tcPr>
            <w:tcW w:w="3665" w:type="pct"/>
            <w:shd w:val="clear" w:color="auto" w:fill="auto"/>
            <w:hideMark/>
          </w:tcPr>
          <w:p w:rsidR="00D03E50" w:rsidRPr="001A7FE6" w:rsidRDefault="00D03E50" w:rsidP="00EA6303">
            <w:pPr>
              <w:spacing w:after="0"/>
              <w:rPr>
                <w:rFonts w:ascii="Arial" w:hAnsi="Arial" w:cs="Arial"/>
                <w:sz w:val="20"/>
                <w:szCs w:val="20"/>
              </w:rPr>
            </w:pPr>
            <w:r w:rsidRPr="001A7FE6">
              <w:rPr>
                <w:rFonts w:ascii="Arial" w:hAnsi="Arial" w:cs="Arial"/>
                <w:sz w:val="20"/>
                <w:szCs w:val="20"/>
              </w:rPr>
              <w:t>Low birth weight births</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1A7FE6">
              <w:rPr>
                <w:rFonts w:ascii="Arial" w:hAnsi="Arial" w:cs="Arial"/>
                <w:color w:val="000000"/>
                <w:sz w:val="20"/>
                <w:szCs w:val="20"/>
              </w:rPr>
              <w:t>2,042</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Death rate 0-74 all causes</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8</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Death rate 0-74 Cancer</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118</w:t>
            </w:r>
          </w:p>
        </w:tc>
      </w:tr>
      <w:tr w:rsidR="00D03E50" w:rsidRPr="00E819B6" w:rsidTr="001A7FE6">
        <w:trPr>
          <w:trHeight w:val="284"/>
          <w:jc w:val="center"/>
        </w:trPr>
        <w:tc>
          <w:tcPr>
            <w:tcW w:w="3665" w:type="pct"/>
            <w:tcBorders>
              <w:bottom w:val="single" w:sz="4" w:space="0" w:color="auto"/>
            </w:tcBorders>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Death rate 0-74 CHD</w:t>
            </w:r>
          </w:p>
        </w:tc>
        <w:tc>
          <w:tcPr>
            <w:tcW w:w="1335" w:type="pct"/>
            <w:tcBorders>
              <w:bottom w:val="single" w:sz="4" w:space="0" w:color="auto"/>
            </w:tcBorders>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w:t>
            </w:r>
            <w:r>
              <w:rPr>
                <w:rFonts w:ascii="Arial" w:hAnsi="Arial" w:cs="Arial"/>
                <w:color w:val="000000"/>
                <w:sz w:val="20"/>
                <w:szCs w:val="20"/>
              </w:rPr>
              <w:t>,</w:t>
            </w:r>
            <w:r w:rsidRPr="00D03E50">
              <w:rPr>
                <w:rFonts w:ascii="Arial" w:hAnsi="Arial" w:cs="Arial"/>
                <w:color w:val="000000"/>
                <w:sz w:val="20"/>
                <w:szCs w:val="20"/>
              </w:rPr>
              <w:t>443</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Death rate 0-74 Stroke</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4</w:t>
            </w:r>
            <w:r>
              <w:rPr>
                <w:rFonts w:ascii="Arial" w:hAnsi="Arial" w:cs="Arial"/>
                <w:color w:val="000000"/>
                <w:sz w:val="20"/>
                <w:szCs w:val="20"/>
              </w:rPr>
              <w:t>,</w:t>
            </w:r>
            <w:r w:rsidRPr="00D03E50">
              <w:rPr>
                <w:rFonts w:ascii="Arial" w:hAnsi="Arial" w:cs="Arial"/>
                <w:color w:val="000000"/>
                <w:sz w:val="20"/>
                <w:szCs w:val="20"/>
              </w:rPr>
              <w:t>874</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All cause SMR 0-64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74</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All cause SMR 0-69</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21</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All cause SMR 0-74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8</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Cancer SMR 0-64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711</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Cancer SMR 0-69</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277</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Cancer SMR 0-74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118</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Heart Disease SMR 0-64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w:t>
            </w:r>
            <w:r>
              <w:rPr>
                <w:rFonts w:ascii="Arial" w:hAnsi="Arial" w:cs="Arial"/>
                <w:color w:val="000000"/>
                <w:sz w:val="20"/>
                <w:szCs w:val="20"/>
              </w:rPr>
              <w:t>,</w:t>
            </w:r>
            <w:r w:rsidRPr="00D03E50">
              <w:rPr>
                <w:rFonts w:ascii="Arial" w:hAnsi="Arial" w:cs="Arial"/>
                <w:color w:val="000000"/>
                <w:sz w:val="20"/>
                <w:szCs w:val="20"/>
              </w:rPr>
              <w:t>940</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Heart Disease SMR 0-69</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w:t>
            </w:r>
            <w:r>
              <w:rPr>
                <w:rFonts w:ascii="Arial" w:hAnsi="Arial" w:cs="Arial"/>
                <w:color w:val="000000"/>
                <w:sz w:val="20"/>
                <w:szCs w:val="20"/>
              </w:rPr>
              <w:t>,</w:t>
            </w:r>
            <w:r w:rsidRPr="00D03E50">
              <w:rPr>
                <w:rFonts w:ascii="Arial" w:hAnsi="Arial" w:cs="Arial"/>
                <w:color w:val="000000"/>
                <w:sz w:val="20"/>
                <w:szCs w:val="20"/>
              </w:rPr>
              <w:t>139</w:t>
            </w:r>
          </w:p>
        </w:tc>
      </w:tr>
      <w:tr w:rsidR="00D03E50" w:rsidRPr="00E819B6" w:rsidTr="001A7FE6">
        <w:trPr>
          <w:trHeight w:val="284"/>
          <w:jc w:val="center"/>
        </w:trPr>
        <w:tc>
          <w:tcPr>
            <w:tcW w:w="3665" w:type="pct"/>
            <w:tcBorders>
              <w:bottom w:val="single" w:sz="4" w:space="0" w:color="auto"/>
            </w:tcBorders>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Heart Disease SMR 0-74</w:t>
            </w:r>
          </w:p>
        </w:tc>
        <w:tc>
          <w:tcPr>
            <w:tcW w:w="1335" w:type="pct"/>
            <w:tcBorders>
              <w:bottom w:val="single" w:sz="4" w:space="0" w:color="auto"/>
            </w:tcBorders>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624</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Respiratory SMR 0-64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4</w:t>
            </w:r>
            <w:r>
              <w:rPr>
                <w:rFonts w:ascii="Arial" w:hAnsi="Arial" w:cs="Arial"/>
                <w:color w:val="000000"/>
                <w:sz w:val="20"/>
                <w:szCs w:val="20"/>
              </w:rPr>
              <w:t>,</w:t>
            </w:r>
            <w:r w:rsidRPr="00D03E50">
              <w:rPr>
                <w:rFonts w:ascii="Arial" w:hAnsi="Arial" w:cs="Arial"/>
                <w:color w:val="000000"/>
                <w:sz w:val="20"/>
                <w:szCs w:val="20"/>
              </w:rPr>
              <w:t>576</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Respiratory SMR 0-69</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3</w:t>
            </w:r>
            <w:r>
              <w:rPr>
                <w:rFonts w:ascii="Arial" w:hAnsi="Arial" w:cs="Arial"/>
                <w:color w:val="000000"/>
                <w:sz w:val="20"/>
                <w:szCs w:val="20"/>
              </w:rPr>
              <w:t>,</w:t>
            </w:r>
            <w:r w:rsidRPr="00D03E50">
              <w:rPr>
                <w:rFonts w:ascii="Arial" w:hAnsi="Arial" w:cs="Arial"/>
                <w:color w:val="000000"/>
                <w:sz w:val="20"/>
                <w:szCs w:val="20"/>
              </w:rPr>
              <w:t>508</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Respiratory SMR 0-74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416</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Digestive System SMR  0-64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3</w:t>
            </w:r>
            <w:r>
              <w:rPr>
                <w:rFonts w:ascii="Arial" w:hAnsi="Arial" w:cs="Arial"/>
                <w:color w:val="000000"/>
                <w:sz w:val="20"/>
                <w:szCs w:val="20"/>
              </w:rPr>
              <w:t>,</w:t>
            </w:r>
            <w:r w:rsidRPr="00D03E50">
              <w:rPr>
                <w:rFonts w:ascii="Arial" w:hAnsi="Arial" w:cs="Arial"/>
                <w:color w:val="000000"/>
                <w:sz w:val="20"/>
                <w:szCs w:val="20"/>
              </w:rPr>
              <w:t>966</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Digestive System SMR 0-69</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3</w:t>
            </w:r>
            <w:r>
              <w:rPr>
                <w:rFonts w:ascii="Arial" w:hAnsi="Arial" w:cs="Arial"/>
                <w:color w:val="000000"/>
                <w:sz w:val="20"/>
                <w:szCs w:val="20"/>
              </w:rPr>
              <w:t>,</w:t>
            </w:r>
            <w:r w:rsidRPr="00D03E50">
              <w:rPr>
                <w:rFonts w:ascii="Arial" w:hAnsi="Arial" w:cs="Arial"/>
                <w:color w:val="000000"/>
                <w:sz w:val="20"/>
                <w:szCs w:val="20"/>
              </w:rPr>
              <w:t>385</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Digestive System SMR 0-74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924</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 xml:space="preserve">External Causes SMR 0-64 </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946</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External Causes SMR 0-69</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774</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External Causes SMR 0-74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614</w:t>
            </w:r>
          </w:p>
        </w:tc>
      </w:tr>
      <w:tr w:rsidR="00D03E50" w:rsidRPr="00E819B6" w:rsidTr="001A7FE6">
        <w:trPr>
          <w:trHeight w:val="284"/>
          <w:jc w:val="center"/>
        </w:trPr>
        <w:tc>
          <w:tcPr>
            <w:tcW w:w="3665" w:type="pct"/>
            <w:shd w:val="diagStripe" w:color="D9D9D9" w:themeColor="background1" w:themeShade="D9"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Other SMR 0-64</w:t>
            </w:r>
          </w:p>
        </w:tc>
        <w:tc>
          <w:tcPr>
            <w:tcW w:w="1335" w:type="pct"/>
            <w:shd w:val="diagStripe" w:color="D9D9D9" w:themeColor="background1" w:themeShade="D9"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597</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Other SMR 0-69</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2</w:t>
            </w:r>
            <w:r>
              <w:rPr>
                <w:rFonts w:ascii="Arial" w:hAnsi="Arial" w:cs="Arial"/>
                <w:color w:val="000000"/>
                <w:sz w:val="20"/>
                <w:szCs w:val="20"/>
              </w:rPr>
              <w:t>,</w:t>
            </w:r>
            <w:r w:rsidRPr="00D03E50">
              <w:rPr>
                <w:rFonts w:ascii="Arial" w:hAnsi="Arial" w:cs="Arial"/>
                <w:color w:val="000000"/>
                <w:sz w:val="20"/>
                <w:szCs w:val="20"/>
              </w:rPr>
              <w:t>076</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Other SMR 0-74</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1</w:t>
            </w:r>
            <w:r>
              <w:rPr>
                <w:rFonts w:ascii="Arial" w:hAnsi="Arial" w:cs="Arial"/>
                <w:color w:val="000000"/>
                <w:sz w:val="20"/>
                <w:szCs w:val="20"/>
              </w:rPr>
              <w:t>,</w:t>
            </w:r>
            <w:r w:rsidRPr="00D03E50">
              <w:rPr>
                <w:rFonts w:ascii="Arial" w:hAnsi="Arial" w:cs="Arial"/>
                <w:color w:val="000000"/>
                <w:sz w:val="20"/>
                <w:szCs w:val="20"/>
              </w:rPr>
              <w:t>510</w:t>
            </w:r>
          </w:p>
        </w:tc>
      </w:tr>
      <w:tr w:rsidR="00D03E50" w:rsidRPr="00E819B6" w:rsidTr="001A7FE6">
        <w:trPr>
          <w:trHeight w:val="284"/>
          <w:jc w:val="center"/>
        </w:trPr>
        <w:tc>
          <w:tcPr>
            <w:tcW w:w="3665" w:type="pct"/>
            <w:tcBorders>
              <w:bottom w:val="single" w:sz="4" w:space="0" w:color="auto"/>
            </w:tcBorders>
            <w:shd w:val="clear" w:color="auto" w:fill="auto"/>
            <w:hideMark/>
          </w:tcPr>
          <w:p w:rsidR="00D03E50" w:rsidRPr="00E819B6" w:rsidRDefault="00D03E50" w:rsidP="00EA6303">
            <w:pPr>
              <w:spacing w:after="0"/>
              <w:rPr>
                <w:rFonts w:ascii="Arial" w:hAnsi="Arial" w:cs="Arial"/>
                <w:sz w:val="20"/>
                <w:szCs w:val="20"/>
              </w:rPr>
            </w:pPr>
            <w:r w:rsidRPr="00E819B6">
              <w:rPr>
                <w:rFonts w:ascii="Arial" w:hAnsi="Arial" w:cs="Arial"/>
                <w:sz w:val="20"/>
                <w:szCs w:val="20"/>
              </w:rPr>
              <w:t>High Resource Individual counts</w:t>
            </w:r>
          </w:p>
        </w:tc>
        <w:tc>
          <w:tcPr>
            <w:tcW w:w="1335" w:type="pct"/>
            <w:tcBorders>
              <w:bottom w:val="single" w:sz="4" w:space="0" w:color="auto"/>
            </w:tcBorders>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0</w:t>
            </w:r>
          </w:p>
        </w:tc>
      </w:tr>
      <w:tr w:rsidR="000A32F1" w:rsidRPr="00E819B6" w:rsidTr="001A7FE6">
        <w:trPr>
          <w:trHeight w:val="284"/>
          <w:jc w:val="center"/>
        </w:trPr>
        <w:tc>
          <w:tcPr>
            <w:tcW w:w="3665" w:type="pct"/>
            <w:shd w:val="diagStripe" w:color="D9D9D9" w:themeColor="background1" w:themeShade="D9" w:fill="auto"/>
          </w:tcPr>
          <w:p w:rsidR="000A32F1" w:rsidRPr="00E819B6" w:rsidRDefault="000A32F1"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Diabetes prescriptions</w:t>
            </w:r>
          </w:p>
        </w:tc>
        <w:tc>
          <w:tcPr>
            <w:tcW w:w="1335" w:type="pct"/>
            <w:shd w:val="diagStripe" w:color="D9D9D9" w:themeColor="background1" w:themeShade="D9" w:fill="auto"/>
            <w:vAlign w:val="center"/>
          </w:tcPr>
          <w:p w:rsidR="000A32F1" w:rsidRPr="00D03E50" w:rsidRDefault="00D03E50" w:rsidP="00D03E50">
            <w:pPr>
              <w:spacing w:after="0" w:line="240" w:lineRule="auto"/>
              <w:jc w:val="center"/>
              <w:rPr>
                <w:rFonts w:ascii="Arial" w:hAnsi="Arial" w:cs="Arial"/>
                <w:sz w:val="20"/>
                <w:szCs w:val="20"/>
              </w:rPr>
            </w:pPr>
            <w:r w:rsidRPr="00D03E50">
              <w:rPr>
                <w:rFonts w:ascii="Arial" w:hAnsi="Arial" w:cs="Arial"/>
                <w:sz w:val="20"/>
                <w:szCs w:val="20"/>
              </w:rPr>
              <w:t>5,426</w:t>
            </w:r>
          </w:p>
        </w:tc>
      </w:tr>
      <w:tr w:rsidR="000A32F1" w:rsidRPr="00E819B6" w:rsidTr="001A7FE6">
        <w:trPr>
          <w:trHeight w:val="284"/>
          <w:jc w:val="center"/>
        </w:trPr>
        <w:tc>
          <w:tcPr>
            <w:tcW w:w="3665" w:type="pct"/>
            <w:tcBorders>
              <w:bottom w:val="single" w:sz="4" w:space="0" w:color="auto"/>
            </w:tcBorders>
            <w:shd w:val="clear" w:color="auto" w:fill="auto"/>
          </w:tcPr>
          <w:p w:rsidR="000A32F1" w:rsidRPr="00E819B6" w:rsidRDefault="000A32F1"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Dementia prescriptions</w:t>
            </w:r>
          </w:p>
        </w:tc>
        <w:tc>
          <w:tcPr>
            <w:tcW w:w="1335" w:type="pct"/>
            <w:tcBorders>
              <w:bottom w:val="single" w:sz="4" w:space="0" w:color="auto"/>
            </w:tcBorders>
            <w:shd w:val="clear" w:color="auto" w:fill="auto"/>
            <w:vAlign w:val="center"/>
          </w:tcPr>
          <w:p w:rsidR="000A32F1" w:rsidRPr="00D03E50" w:rsidRDefault="00D03E50" w:rsidP="00D03E50">
            <w:pPr>
              <w:spacing w:after="0" w:line="240" w:lineRule="auto"/>
              <w:jc w:val="center"/>
              <w:rPr>
                <w:rFonts w:ascii="Arial" w:hAnsi="Arial" w:cs="Arial"/>
                <w:sz w:val="20"/>
                <w:szCs w:val="20"/>
              </w:rPr>
            </w:pPr>
            <w:r w:rsidRPr="00D03E50">
              <w:rPr>
                <w:rFonts w:ascii="Arial" w:hAnsi="Arial" w:cs="Arial"/>
                <w:sz w:val="20"/>
                <w:szCs w:val="20"/>
              </w:rPr>
              <w:t>727</w:t>
            </w:r>
          </w:p>
        </w:tc>
      </w:tr>
      <w:tr w:rsidR="000A32F1" w:rsidRPr="00E819B6" w:rsidTr="001A7FE6">
        <w:trPr>
          <w:trHeight w:val="284"/>
          <w:jc w:val="center"/>
        </w:trPr>
        <w:tc>
          <w:tcPr>
            <w:tcW w:w="3665" w:type="pct"/>
            <w:shd w:val="diagStripe" w:color="D9D9D9" w:themeColor="background1" w:themeShade="D9" w:fill="auto"/>
          </w:tcPr>
          <w:p w:rsidR="000A32F1" w:rsidRPr="00E819B6" w:rsidRDefault="000A32F1" w:rsidP="00EA6303">
            <w:pPr>
              <w:spacing w:after="0"/>
              <w:rPr>
                <w:rFonts w:ascii="Arial" w:hAnsi="Arial" w:cs="Arial"/>
                <w:sz w:val="20"/>
                <w:szCs w:val="20"/>
              </w:rPr>
            </w:pPr>
            <w:r>
              <w:rPr>
                <w:rFonts w:ascii="Arial" w:hAnsi="Arial" w:cs="Arial"/>
                <w:sz w:val="20"/>
                <w:szCs w:val="20"/>
              </w:rPr>
              <w:lastRenderedPageBreak/>
              <w:t>P</w:t>
            </w:r>
            <w:r w:rsidRPr="00E819B6">
              <w:rPr>
                <w:rFonts w:ascii="Arial" w:hAnsi="Arial" w:cs="Arial"/>
                <w:sz w:val="20"/>
                <w:szCs w:val="20"/>
              </w:rPr>
              <w:t>atients receiving Respiratory prescriptions</w:t>
            </w:r>
          </w:p>
        </w:tc>
        <w:tc>
          <w:tcPr>
            <w:tcW w:w="1335" w:type="pct"/>
            <w:shd w:val="diagStripe" w:color="D9D9D9" w:themeColor="background1" w:themeShade="D9" w:fill="auto"/>
            <w:vAlign w:val="center"/>
          </w:tcPr>
          <w:p w:rsidR="000A32F1" w:rsidRPr="00D03E50" w:rsidRDefault="00D03E50" w:rsidP="00D03E50">
            <w:pPr>
              <w:spacing w:after="0" w:line="240" w:lineRule="auto"/>
              <w:jc w:val="center"/>
              <w:rPr>
                <w:rFonts w:ascii="Arial" w:hAnsi="Arial" w:cs="Arial"/>
                <w:sz w:val="20"/>
                <w:szCs w:val="20"/>
              </w:rPr>
            </w:pPr>
            <w:r w:rsidRPr="00D03E50">
              <w:rPr>
                <w:rFonts w:ascii="Arial" w:hAnsi="Arial" w:cs="Arial"/>
                <w:sz w:val="20"/>
                <w:szCs w:val="20"/>
              </w:rPr>
              <w:t>5,386</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 xml:space="preserve">Long-term illness </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0</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 xml:space="preserve">Mental health condition </w:t>
            </w:r>
          </w:p>
        </w:tc>
        <w:tc>
          <w:tcPr>
            <w:tcW w:w="1335" w:type="pct"/>
            <w:shd w:val="clear" w:color="auto" w:fill="auto"/>
            <w:vAlign w:val="center"/>
            <w:hideMark/>
          </w:tcPr>
          <w:p w:rsidR="00D03E50" w:rsidRPr="00D03E50" w:rsidRDefault="00D03E50" w:rsidP="00D03E50">
            <w:pPr>
              <w:spacing w:after="0" w:line="240" w:lineRule="auto"/>
              <w:jc w:val="center"/>
              <w:rPr>
                <w:rFonts w:ascii="Arial" w:hAnsi="Arial" w:cs="Arial"/>
                <w:color w:val="000000"/>
                <w:sz w:val="20"/>
                <w:szCs w:val="20"/>
              </w:rPr>
            </w:pPr>
            <w:r w:rsidRPr="00D03E50">
              <w:rPr>
                <w:rFonts w:ascii="Arial" w:hAnsi="Arial" w:cs="Arial"/>
                <w:color w:val="000000"/>
                <w:sz w:val="20"/>
                <w:szCs w:val="20"/>
              </w:rPr>
              <w:t>0</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 xml:space="preserve">Limiting long-term illness </w:t>
            </w:r>
            <w:r>
              <w:rPr>
                <w:rFonts w:ascii="Arial" w:hAnsi="Arial" w:cs="Arial"/>
                <w:sz w:val="20"/>
                <w:szCs w:val="20"/>
              </w:rPr>
              <w:t>– limited a lot</w:t>
            </w:r>
          </w:p>
        </w:tc>
        <w:tc>
          <w:tcPr>
            <w:tcW w:w="1335" w:type="pct"/>
            <w:shd w:val="clear" w:color="auto" w:fill="auto"/>
            <w:vAlign w:val="center"/>
            <w:hideMark/>
          </w:tcPr>
          <w:p w:rsidR="00D03E50" w:rsidRPr="00D03E50" w:rsidRDefault="00546F0A" w:rsidP="00D03E50">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Pr>
                <w:rFonts w:ascii="Arial" w:hAnsi="Arial" w:cs="Arial"/>
                <w:sz w:val="20"/>
                <w:szCs w:val="20"/>
              </w:rPr>
              <w:t>Limiting long-term illness – limited a little or a lot</w:t>
            </w:r>
          </w:p>
        </w:tc>
        <w:tc>
          <w:tcPr>
            <w:tcW w:w="1335" w:type="pct"/>
            <w:shd w:val="clear" w:color="auto" w:fill="auto"/>
            <w:vAlign w:val="center"/>
            <w:hideMark/>
          </w:tcPr>
          <w:p w:rsidR="00D03E50" w:rsidRPr="00D03E50" w:rsidRDefault="00546F0A" w:rsidP="00D03E50">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D03E50" w:rsidRPr="00E819B6" w:rsidTr="00D03E50">
        <w:trPr>
          <w:trHeight w:val="284"/>
          <w:jc w:val="center"/>
        </w:trPr>
        <w:tc>
          <w:tcPr>
            <w:tcW w:w="3665" w:type="pct"/>
            <w:shd w:val="clear" w:color="auto" w:fill="auto"/>
            <w:hideMark/>
          </w:tcPr>
          <w:p w:rsidR="00D03E50" w:rsidRPr="00E819B6" w:rsidRDefault="00D03E50" w:rsidP="00DD24B4">
            <w:pPr>
              <w:spacing w:after="0"/>
              <w:rPr>
                <w:rFonts w:ascii="Arial" w:hAnsi="Arial" w:cs="Arial"/>
                <w:sz w:val="20"/>
                <w:szCs w:val="20"/>
              </w:rPr>
            </w:pPr>
            <w:r w:rsidRPr="00E819B6">
              <w:rPr>
                <w:rFonts w:ascii="Arial" w:hAnsi="Arial" w:cs="Arial"/>
                <w:sz w:val="20"/>
                <w:szCs w:val="20"/>
              </w:rPr>
              <w:t xml:space="preserve">Long-term sick and not seeking work </w:t>
            </w:r>
          </w:p>
        </w:tc>
        <w:tc>
          <w:tcPr>
            <w:tcW w:w="1335" w:type="pct"/>
            <w:shd w:val="clear" w:color="auto" w:fill="auto"/>
            <w:vAlign w:val="center"/>
            <w:hideMark/>
          </w:tcPr>
          <w:p w:rsidR="00D03E50" w:rsidRPr="00D03E50" w:rsidRDefault="006D166A" w:rsidP="00D03E50">
            <w:pPr>
              <w:spacing w:after="0" w:line="240" w:lineRule="auto"/>
              <w:jc w:val="center"/>
              <w:rPr>
                <w:rFonts w:ascii="Arial" w:hAnsi="Arial" w:cs="Arial"/>
                <w:color w:val="000000"/>
                <w:sz w:val="20"/>
                <w:szCs w:val="20"/>
              </w:rPr>
            </w:pPr>
            <w:r>
              <w:rPr>
                <w:rFonts w:ascii="Arial" w:hAnsi="Arial" w:cs="Arial"/>
                <w:color w:val="000000"/>
                <w:sz w:val="20"/>
                <w:szCs w:val="20"/>
              </w:rPr>
              <w:t>7</w:t>
            </w:r>
          </w:p>
        </w:tc>
      </w:tr>
      <w:tr w:rsidR="006916EE" w:rsidRPr="00E819B6" w:rsidTr="006916EE">
        <w:trPr>
          <w:trHeight w:val="284"/>
          <w:jc w:val="center"/>
        </w:trPr>
        <w:tc>
          <w:tcPr>
            <w:tcW w:w="3665" w:type="pct"/>
            <w:shd w:val="clear" w:color="auto" w:fill="auto"/>
            <w:hideMark/>
          </w:tcPr>
          <w:p w:rsidR="006916EE" w:rsidRPr="00E819B6" w:rsidRDefault="006916EE" w:rsidP="00DD24B4">
            <w:pPr>
              <w:spacing w:after="0"/>
              <w:rPr>
                <w:rFonts w:ascii="Arial" w:hAnsi="Arial" w:cs="Arial"/>
                <w:sz w:val="20"/>
                <w:szCs w:val="20"/>
              </w:rPr>
            </w:pPr>
            <w:r>
              <w:rPr>
                <w:rFonts w:ascii="Arial" w:hAnsi="Arial" w:cs="Arial"/>
                <w:sz w:val="20"/>
                <w:szCs w:val="20"/>
              </w:rPr>
              <w:t>G</w:t>
            </w:r>
            <w:r w:rsidRPr="00E819B6">
              <w:rPr>
                <w:rFonts w:ascii="Arial" w:hAnsi="Arial" w:cs="Arial"/>
                <w:sz w:val="20"/>
                <w:szCs w:val="20"/>
              </w:rPr>
              <w:t xml:space="preserve">eneral health </w:t>
            </w:r>
            <w:r>
              <w:rPr>
                <w:rFonts w:ascii="Arial" w:hAnsi="Arial" w:cs="Arial"/>
                <w:sz w:val="20"/>
                <w:szCs w:val="20"/>
              </w:rPr>
              <w:t>– very bad</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88</w:t>
            </w:r>
          </w:p>
        </w:tc>
      </w:tr>
      <w:tr w:rsidR="006916EE" w:rsidRPr="00E819B6" w:rsidTr="006916EE">
        <w:trPr>
          <w:trHeight w:val="284"/>
          <w:jc w:val="center"/>
        </w:trPr>
        <w:tc>
          <w:tcPr>
            <w:tcW w:w="3665" w:type="pct"/>
            <w:shd w:val="clear" w:color="auto" w:fill="auto"/>
            <w:hideMark/>
          </w:tcPr>
          <w:p w:rsidR="006916EE" w:rsidRDefault="006916EE" w:rsidP="00DD24B4">
            <w:pPr>
              <w:spacing w:after="0"/>
              <w:rPr>
                <w:rFonts w:ascii="Arial" w:hAnsi="Arial" w:cs="Arial"/>
                <w:sz w:val="20"/>
                <w:szCs w:val="20"/>
              </w:rPr>
            </w:pPr>
            <w:r>
              <w:rPr>
                <w:rFonts w:ascii="Arial" w:hAnsi="Arial" w:cs="Arial"/>
                <w:sz w:val="20"/>
                <w:szCs w:val="20"/>
              </w:rPr>
              <w:t>General health – bad or very bad</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2</w:t>
            </w:r>
          </w:p>
        </w:tc>
      </w:tr>
      <w:tr w:rsidR="00F23F6E" w:rsidRPr="00E819B6" w:rsidTr="00F23F6E">
        <w:trPr>
          <w:trHeight w:val="284"/>
          <w:jc w:val="center"/>
        </w:trPr>
        <w:tc>
          <w:tcPr>
            <w:tcW w:w="3665" w:type="pct"/>
            <w:shd w:val="clear" w:color="auto" w:fill="auto"/>
            <w:hideMark/>
          </w:tcPr>
          <w:p w:rsidR="00F23F6E" w:rsidRPr="00E819B6"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65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14</w:t>
            </w:r>
          </w:p>
        </w:tc>
      </w:tr>
      <w:tr w:rsidR="00F23F6E" w:rsidRPr="00E819B6" w:rsidTr="00F23F6E">
        <w:trPr>
          <w:trHeight w:val="284"/>
          <w:jc w:val="center"/>
        </w:trPr>
        <w:tc>
          <w:tcPr>
            <w:tcW w:w="3665" w:type="pct"/>
            <w:shd w:val="clear" w:color="auto" w:fill="auto"/>
            <w:hideMark/>
          </w:tcPr>
          <w:p w:rsidR="00F23F6E"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70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32</w:t>
            </w:r>
          </w:p>
        </w:tc>
      </w:tr>
      <w:tr w:rsidR="00F23F6E" w:rsidRPr="00E819B6" w:rsidTr="00F23F6E">
        <w:trPr>
          <w:trHeight w:val="284"/>
          <w:jc w:val="center"/>
        </w:trPr>
        <w:tc>
          <w:tcPr>
            <w:tcW w:w="3665" w:type="pct"/>
            <w:shd w:val="clear" w:color="auto" w:fill="auto"/>
            <w:hideMark/>
          </w:tcPr>
          <w:p w:rsidR="00F23F6E"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75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87</w:t>
            </w:r>
          </w:p>
        </w:tc>
      </w:tr>
      <w:tr w:rsidR="00F23F6E" w:rsidRPr="00E819B6" w:rsidTr="00F23F6E">
        <w:trPr>
          <w:trHeight w:val="284"/>
          <w:jc w:val="center"/>
        </w:trPr>
        <w:tc>
          <w:tcPr>
            <w:tcW w:w="3665" w:type="pct"/>
            <w:shd w:val="clear" w:color="auto" w:fill="auto"/>
            <w:hideMark/>
          </w:tcPr>
          <w:p w:rsidR="00F23F6E"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80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185</w:t>
            </w:r>
          </w:p>
        </w:tc>
      </w:tr>
      <w:tr w:rsidR="00F23F6E" w:rsidRPr="00E819B6" w:rsidTr="00F23F6E">
        <w:trPr>
          <w:trHeight w:val="284"/>
          <w:jc w:val="center"/>
        </w:trPr>
        <w:tc>
          <w:tcPr>
            <w:tcW w:w="3665" w:type="pct"/>
            <w:shd w:val="clear" w:color="auto" w:fill="auto"/>
            <w:hideMark/>
          </w:tcPr>
          <w:p w:rsidR="00F23F6E"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85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491</w:t>
            </w:r>
          </w:p>
        </w:tc>
      </w:tr>
      <w:tr w:rsidR="00F23F6E" w:rsidRPr="00E819B6" w:rsidTr="00F23F6E">
        <w:trPr>
          <w:trHeight w:val="284"/>
          <w:jc w:val="center"/>
        </w:trPr>
        <w:tc>
          <w:tcPr>
            <w:tcW w:w="3665" w:type="pct"/>
            <w:shd w:val="clear" w:color="auto" w:fill="auto"/>
            <w:hideMark/>
          </w:tcPr>
          <w:p w:rsidR="00F23F6E" w:rsidRDefault="00F23F6E" w:rsidP="00D03E50">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90 and over</w:t>
            </w:r>
          </w:p>
        </w:tc>
        <w:tc>
          <w:tcPr>
            <w:tcW w:w="1335" w:type="pct"/>
            <w:shd w:val="clear" w:color="auto" w:fill="auto"/>
            <w:vAlign w:val="center"/>
            <w:hideMark/>
          </w:tcPr>
          <w:p w:rsidR="00F23F6E" w:rsidRPr="00F23F6E" w:rsidRDefault="00F23F6E" w:rsidP="00F23F6E">
            <w:pPr>
              <w:spacing w:after="0"/>
              <w:jc w:val="center"/>
              <w:rPr>
                <w:rFonts w:ascii="Arial" w:hAnsi="Arial" w:cs="Arial"/>
                <w:color w:val="000000"/>
                <w:sz w:val="20"/>
                <w:szCs w:val="20"/>
              </w:rPr>
            </w:pPr>
            <w:r w:rsidRPr="00F23F6E">
              <w:rPr>
                <w:rFonts w:ascii="Arial" w:hAnsi="Arial" w:cs="Arial"/>
                <w:color w:val="000000"/>
                <w:sz w:val="20"/>
                <w:szCs w:val="20"/>
              </w:rPr>
              <w:t>1</w:t>
            </w:r>
            <w:r>
              <w:rPr>
                <w:rFonts w:ascii="Arial" w:hAnsi="Arial" w:cs="Arial"/>
                <w:color w:val="000000"/>
                <w:sz w:val="20"/>
                <w:szCs w:val="20"/>
              </w:rPr>
              <w:t>,</w:t>
            </w:r>
            <w:r w:rsidRPr="00F23F6E">
              <w:rPr>
                <w:rFonts w:ascii="Arial" w:hAnsi="Arial" w:cs="Arial"/>
                <w:color w:val="000000"/>
                <w:sz w:val="20"/>
                <w:szCs w:val="20"/>
              </w:rPr>
              <w:t>854</w:t>
            </w:r>
          </w:p>
        </w:tc>
      </w:tr>
      <w:tr w:rsidR="006916EE" w:rsidRPr="00E819B6" w:rsidTr="006916EE">
        <w:trPr>
          <w:trHeight w:val="284"/>
          <w:jc w:val="center"/>
        </w:trPr>
        <w:tc>
          <w:tcPr>
            <w:tcW w:w="3665" w:type="pct"/>
            <w:shd w:val="clear" w:color="auto" w:fill="auto"/>
            <w:hideMark/>
          </w:tcPr>
          <w:p w:rsidR="006916EE" w:rsidRPr="00E819B6" w:rsidRDefault="006916EE" w:rsidP="00DD24B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1 hour or more</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0</w:t>
            </w:r>
          </w:p>
        </w:tc>
      </w:tr>
      <w:tr w:rsidR="006916EE" w:rsidRPr="00E819B6" w:rsidTr="006916EE">
        <w:trPr>
          <w:trHeight w:val="284"/>
          <w:jc w:val="center"/>
        </w:trPr>
        <w:tc>
          <w:tcPr>
            <w:tcW w:w="3665" w:type="pct"/>
            <w:shd w:val="clear" w:color="auto" w:fill="auto"/>
            <w:hideMark/>
          </w:tcPr>
          <w:p w:rsidR="006916EE" w:rsidRPr="00E819B6" w:rsidRDefault="006916EE" w:rsidP="00DD24B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20 hours or more</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0</w:t>
            </w:r>
          </w:p>
        </w:tc>
      </w:tr>
      <w:tr w:rsidR="006916EE" w:rsidRPr="00E819B6" w:rsidTr="006916EE">
        <w:trPr>
          <w:trHeight w:val="284"/>
          <w:jc w:val="center"/>
        </w:trPr>
        <w:tc>
          <w:tcPr>
            <w:tcW w:w="3665" w:type="pct"/>
            <w:shd w:val="clear" w:color="auto" w:fill="auto"/>
            <w:hideMark/>
          </w:tcPr>
          <w:p w:rsidR="006916EE" w:rsidRPr="00E819B6" w:rsidRDefault="006916EE" w:rsidP="00DD24B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35 hours or more</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2</w:t>
            </w:r>
          </w:p>
        </w:tc>
      </w:tr>
      <w:tr w:rsidR="006916EE" w:rsidRPr="00E819B6" w:rsidTr="006916EE">
        <w:trPr>
          <w:trHeight w:val="284"/>
          <w:jc w:val="center"/>
        </w:trPr>
        <w:tc>
          <w:tcPr>
            <w:tcW w:w="3665" w:type="pct"/>
            <w:shd w:val="clear" w:color="auto" w:fill="auto"/>
            <w:hideMark/>
          </w:tcPr>
          <w:p w:rsidR="006916EE" w:rsidRPr="00E819B6" w:rsidRDefault="006916EE" w:rsidP="00DD24B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50 hours or more</w:t>
            </w:r>
          </w:p>
        </w:tc>
        <w:tc>
          <w:tcPr>
            <w:tcW w:w="1335" w:type="pct"/>
            <w:shd w:val="clear" w:color="auto" w:fill="auto"/>
            <w:vAlign w:val="center"/>
            <w:hideMark/>
          </w:tcPr>
          <w:p w:rsidR="006916EE" w:rsidRPr="006916EE" w:rsidRDefault="006916EE" w:rsidP="006916EE">
            <w:pPr>
              <w:spacing w:after="0" w:line="240" w:lineRule="auto"/>
              <w:jc w:val="center"/>
              <w:rPr>
                <w:rFonts w:ascii="Arial" w:hAnsi="Arial" w:cs="Arial"/>
                <w:color w:val="000000"/>
                <w:sz w:val="20"/>
                <w:szCs w:val="20"/>
              </w:rPr>
            </w:pPr>
            <w:r w:rsidRPr="006916EE">
              <w:rPr>
                <w:rFonts w:ascii="Arial" w:hAnsi="Arial" w:cs="Arial"/>
                <w:color w:val="000000"/>
                <w:sz w:val="20"/>
                <w:szCs w:val="20"/>
              </w:rPr>
              <w:t>8</w:t>
            </w:r>
          </w:p>
        </w:tc>
      </w:tr>
      <w:tr w:rsidR="0019465A" w:rsidRPr="00E819B6" w:rsidTr="0019465A">
        <w:trPr>
          <w:trHeight w:val="284"/>
          <w:jc w:val="center"/>
        </w:trPr>
        <w:tc>
          <w:tcPr>
            <w:tcW w:w="3665" w:type="pct"/>
            <w:shd w:val="clear" w:color="auto" w:fill="auto"/>
            <w:hideMark/>
          </w:tcPr>
          <w:p w:rsidR="0019465A" w:rsidRPr="00E819B6" w:rsidRDefault="00931388" w:rsidP="00DD24B4">
            <w:pPr>
              <w:spacing w:after="0"/>
              <w:rPr>
                <w:rFonts w:ascii="Arial" w:hAnsi="Arial" w:cs="Arial"/>
                <w:sz w:val="20"/>
                <w:szCs w:val="20"/>
              </w:rPr>
            </w:pPr>
            <w:r>
              <w:rPr>
                <w:rFonts w:ascii="Arial" w:hAnsi="Arial" w:cs="Arial"/>
                <w:sz w:val="20"/>
                <w:szCs w:val="20"/>
              </w:rPr>
              <w:t>E</w:t>
            </w:r>
            <w:r w:rsidR="0019465A" w:rsidRPr="00E819B6">
              <w:rPr>
                <w:rFonts w:ascii="Arial" w:hAnsi="Arial" w:cs="Arial"/>
                <w:sz w:val="20"/>
                <w:szCs w:val="20"/>
              </w:rPr>
              <w:t xml:space="preserve">ducation level </w:t>
            </w:r>
            <w:r w:rsidR="0019465A">
              <w:rPr>
                <w:rFonts w:ascii="Arial" w:hAnsi="Arial" w:cs="Arial"/>
                <w:sz w:val="20"/>
                <w:szCs w:val="20"/>
              </w:rPr>
              <w:t>– no qualifications</w:t>
            </w:r>
          </w:p>
        </w:tc>
        <w:tc>
          <w:tcPr>
            <w:tcW w:w="1335" w:type="pct"/>
            <w:shd w:val="clear" w:color="auto" w:fill="auto"/>
            <w:vAlign w:val="center"/>
            <w:hideMark/>
          </w:tcPr>
          <w:p w:rsidR="0019465A"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19465A" w:rsidRPr="00E819B6" w:rsidTr="0019465A">
        <w:trPr>
          <w:trHeight w:val="284"/>
          <w:jc w:val="center"/>
        </w:trPr>
        <w:tc>
          <w:tcPr>
            <w:tcW w:w="3665" w:type="pct"/>
            <w:shd w:val="clear" w:color="auto" w:fill="auto"/>
            <w:hideMark/>
          </w:tcPr>
          <w:p w:rsidR="0019465A" w:rsidRPr="00E819B6" w:rsidRDefault="00931388" w:rsidP="0019465A">
            <w:pPr>
              <w:spacing w:after="0"/>
              <w:rPr>
                <w:rFonts w:ascii="Arial" w:hAnsi="Arial" w:cs="Arial"/>
                <w:sz w:val="20"/>
                <w:szCs w:val="20"/>
              </w:rPr>
            </w:pPr>
            <w:r>
              <w:rPr>
                <w:rFonts w:ascii="Arial" w:hAnsi="Arial" w:cs="Arial"/>
                <w:sz w:val="20"/>
                <w:szCs w:val="20"/>
              </w:rPr>
              <w:t>E</w:t>
            </w:r>
            <w:r w:rsidR="0019465A" w:rsidRPr="00E819B6">
              <w:rPr>
                <w:rFonts w:ascii="Arial" w:hAnsi="Arial" w:cs="Arial"/>
                <w:sz w:val="20"/>
                <w:szCs w:val="20"/>
              </w:rPr>
              <w:t xml:space="preserve">ducation level </w:t>
            </w:r>
            <w:r w:rsidR="0019465A">
              <w:rPr>
                <w:rFonts w:ascii="Arial" w:hAnsi="Arial" w:cs="Arial"/>
                <w:sz w:val="20"/>
                <w:szCs w:val="20"/>
              </w:rPr>
              <w:t>– level 1 and below</w:t>
            </w:r>
          </w:p>
        </w:tc>
        <w:tc>
          <w:tcPr>
            <w:tcW w:w="1335" w:type="pct"/>
            <w:shd w:val="clear" w:color="auto" w:fill="auto"/>
            <w:vAlign w:val="center"/>
            <w:hideMark/>
          </w:tcPr>
          <w:p w:rsidR="0019465A"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0A32F1" w:rsidRPr="00E819B6" w:rsidTr="0019465A">
        <w:trPr>
          <w:trHeight w:val="284"/>
          <w:jc w:val="center"/>
        </w:trPr>
        <w:tc>
          <w:tcPr>
            <w:tcW w:w="3665" w:type="pct"/>
            <w:shd w:val="clear" w:color="auto" w:fill="auto"/>
            <w:hideMark/>
          </w:tcPr>
          <w:p w:rsidR="000A32F1" w:rsidRPr="00E819B6" w:rsidRDefault="00931388" w:rsidP="0019465A">
            <w:pPr>
              <w:spacing w:after="0"/>
              <w:rPr>
                <w:rFonts w:ascii="Arial" w:hAnsi="Arial" w:cs="Arial"/>
                <w:sz w:val="20"/>
                <w:szCs w:val="20"/>
              </w:rPr>
            </w:pPr>
            <w:r>
              <w:rPr>
                <w:rFonts w:ascii="Arial" w:hAnsi="Arial" w:cs="Arial"/>
                <w:sz w:val="20"/>
                <w:szCs w:val="20"/>
              </w:rPr>
              <w:t>E</w:t>
            </w:r>
            <w:r w:rsidR="000A32F1" w:rsidRPr="00E819B6">
              <w:rPr>
                <w:rFonts w:ascii="Arial" w:hAnsi="Arial" w:cs="Arial"/>
                <w:sz w:val="20"/>
                <w:szCs w:val="20"/>
              </w:rPr>
              <w:t xml:space="preserve">ducation level </w:t>
            </w:r>
            <w:r w:rsidR="0019465A">
              <w:rPr>
                <w:rFonts w:ascii="Arial" w:hAnsi="Arial" w:cs="Arial"/>
                <w:sz w:val="20"/>
                <w:szCs w:val="20"/>
              </w:rPr>
              <w:t>– level 2 and below</w:t>
            </w:r>
          </w:p>
        </w:tc>
        <w:tc>
          <w:tcPr>
            <w:tcW w:w="1335" w:type="pct"/>
            <w:shd w:val="clear" w:color="auto" w:fill="auto"/>
            <w:vAlign w:val="center"/>
            <w:hideMark/>
          </w:tcPr>
          <w:p w:rsidR="000A32F1"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0A32F1" w:rsidRPr="00E819B6" w:rsidTr="0019465A">
        <w:trPr>
          <w:trHeight w:val="284"/>
          <w:jc w:val="center"/>
        </w:trPr>
        <w:tc>
          <w:tcPr>
            <w:tcW w:w="3665" w:type="pct"/>
            <w:shd w:val="clear" w:color="auto" w:fill="auto"/>
            <w:hideMark/>
          </w:tcPr>
          <w:p w:rsidR="000A32F1" w:rsidRPr="00E819B6" w:rsidRDefault="000A32F1" w:rsidP="00DD24B4">
            <w:pPr>
              <w:spacing w:after="0"/>
              <w:rPr>
                <w:rFonts w:ascii="Arial" w:hAnsi="Arial" w:cs="Arial"/>
                <w:sz w:val="20"/>
                <w:szCs w:val="20"/>
              </w:rPr>
            </w:pPr>
            <w:r w:rsidRPr="00E819B6">
              <w:rPr>
                <w:rFonts w:ascii="Arial" w:hAnsi="Arial" w:cs="Arial"/>
                <w:sz w:val="20"/>
                <w:szCs w:val="20"/>
              </w:rPr>
              <w:t xml:space="preserve">Job seekers </w:t>
            </w:r>
          </w:p>
        </w:tc>
        <w:tc>
          <w:tcPr>
            <w:tcW w:w="1335" w:type="pct"/>
            <w:shd w:val="clear" w:color="auto" w:fill="auto"/>
            <w:vAlign w:val="center"/>
            <w:hideMark/>
          </w:tcPr>
          <w:p w:rsidR="000A32F1"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0A32F1" w:rsidRPr="00E819B6" w:rsidTr="0019465A">
        <w:trPr>
          <w:trHeight w:val="284"/>
          <w:jc w:val="center"/>
        </w:trPr>
        <w:tc>
          <w:tcPr>
            <w:tcW w:w="3665" w:type="pct"/>
            <w:shd w:val="clear" w:color="auto" w:fill="auto"/>
            <w:hideMark/>
          </w:tcPr>
          <w:p w:rsidR="000A32F1" w:rsidRPr="00E819B6" w:rsidRDefault="000A32F1" w:rsidP="00DD24B4">
            <w:pPr>
              <w:spacing w:after="0"/>
              <w:rPr>
                <w:rFonts w:ascii="Arial" w:hAnsi="Arial" w:cs="Arial"/>
                <w:sz w:val="20"/>
                <w:szCs w:val="20"/>
              </w:rPr>
            </w:pPr>
            <w:r w:rsidRPr="00E819B6">
              <w:rPr>
                <w:rFonts w:ascii="Arial" w:hAnsi="Arial" w:cs="Arial"/>
                <w:sz w:val="20"/>
                <w:szCs w:val="20"/>
              </w:rPr>
              <w:t xml:space="preserve">Did Not Attend counts – as </w:t>
            </w:r>
            <w:r>
              <w:rPr>
                <w:rFonts w:ascii="Arial" w:hAnsi="Arial" w:cs="Arial"/>
                <w:sz w:val="20"/>
                <w:szCs w:val="20"/>
              </w:rPr>
              <w:t xml:space="preserve">a </w:t>
            </w:r>
            <w:r w:rsidRPr="00E819B6">
              <w:rPr>
                <w:rFonts w:ascii="Arial" w:hAnsi="Arial" w:cs="Arial"/>
                <w:sz w:val="20"/>
                <w:szCs w:val="20"/>
              </w:rPr>
              <w:t>fraction of all OP appointments</w:t>
            </w:r>
          </w:p>
        </w:tc>
        <w:tc>
          <w:tcPr>
            <w:tcW w:w="1335" w:type="pct"/>
            <w:shd w:val="clear" w:color="auto" w:fill="auto"/>
            <w:vAlign w:val="center"/>
            <w:hideMark/>
          </w:tcPr>
          <w:p w:rsidR="000A32F1"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0A32F1" w:rsidRPr="00E819B6" w:rsidTr="001A7FE6">
        <w:trPr>
          <w:trHeight w:val="284"/>
          <w:jc w:val="center"/>
        </w:trPr>
        <w:tc>
          <w:tcPr>
            <w:tcW w:w="3665" w:type="pct"/>
            <w:tcBorders>
              <w:bottom w:val="single" w:sz="4" w:space="0" w:color="auto"/>
            </w:tcBorders>
            <w:shd w:val="clear" w:color="auto" w:fill="auto"/>
            <w:hideMark/>
          </w:tcPr>
          <w:p w:rsidR="000A32F1" w:rsidRPr="00E819B6" w:rsidRDefault="000A32F1" w:rsidP="00DD24B4">
            <w:pPr>
              <w:spacing w:after="0"/>
              <w:rPr>
                <w:rFonts w:ascii="Arial" w:hAnsi="Arial" w:cs="Arial"/>
                <w:sz w:val="20"/>
                <w:szCs w:val="20"/>
              </w:rPr>
            </w:pPr>
            <w:r w:rsidRPr="00E819B6">
              <w:rPr>
                <w:rFonts w:ascii="Arial" w:hAnsi="Arial" w:cs="Arial"/>
                <w:sz w:val="20"/>
                <w:szCs w:val="20"/>
              </w:rPr>
              <w:t xml:space="preserve">Did Not Attend counts </w:t>
            </w:r>
            <w:r w:rsidR="0019465A">
              <w:rPr>
                <w:rFonts w:ascii="Arial" w:hAnsi="Arial" w:cs="Arial"/>
                <w:sz w:val="20"/>
                <w:szCs w:val="20"/>
              </w:rPr>
              <w:t xml:space="preserve">– ratio </w:t>
            </w:r>
            <w:r w:rsidRPr="00E819B6">
              <w:rPr>
                <w:rFonts w:ascii="Arial" w:hAnsi="Arial" w:cs="Arial"/>
                <w:sz w:val="20"/>
                <w:szCs w:val="20"/>
              </w:rPr>
              <w:t>to data zone population</w:t>
            </w:r>
          </w:p>
        </w:tc>
        <w:tc>
          <w:tcPr>
            <w:tcW w:w="1335" w:type="pct"/>
            <w:tcBorders>
              <w:bottom w:val="single" w:sz="4" w:space="0" w:color="auto"/>
            </w:tcBorders>
            <w:shd w:val="clear" w:color="auto" w:fill="auto"/>
            <w:vAlign w:val="center"/>
            <w:hideMark/>
          </w:tcPr>
          <w:p w:rsidR="000A32F1" w:rsidRPr="0019465A" w:rsidRDefault="0019465A" w:rsidP="0019465A">
            <w:pPr>
              <w:spacing w:after="0" w:line="240" w:lineRule="auto"/>
              <w:jc w:val="center"/>
              <w:rPr>
                <w:rFonts w:ascii="Arial" w:hAnsi="Arial" w:cs="Arial"/>
                <w:sz w:val="20"/>
                <w:szCs w:val="20"/>
              </w:rPr>
            </w:pPr>
            <w:r w:rsidRPr="0019465A">
              <w:rPr>
                <w:rFonts w:ascii="Arial" w:hAnsi="Arial" w:cs="Arial"/>
                <w:sz w:val="20"/>
                <w:szCs w:val="20"/>
              </w:rPr>
              <w:t>0</w:t>
            </w:r>
          </w:p>
        </w:tc>
      </w:tr>
      <w:tr w:rsidR="000A32F1" w:rsidRPr="00E819B6" w:rsidTr="001A7FE6">
        <w:trPr>
          <w:trHeight w:val="284"/>
          <w:jc w:val="center"/>
        </w:trPr>
        <w:tc>
          <w:tcPr>
            <w:tcW w:w="3665" w:type="pct"/>
            <w:shd w:val="diagStripe" w:color="D9D9D9" w:themeColor="background1" w:themeShade="D9" w:fill="auto"/>
            <w:hideMark/>
          </w:tcPr>
          <w:p w:rsidR="000A32F1" w:rsidRPr="00E819B6" w:rsidRDefault="000A32F1" w:rsidP="00DD24B4">
            <w:pPr>
              <w:spacing w:after="0"/>
              <w:rPr>
                <w:rFonts w:ascii="Arial" w:hAnsi="Arial" w:cs="Arial"/>
                <w:sz w:val="20"/>
                <w:szCs w:val="20"/>
              </w:rPr>
            </w:pPr>
            <w:r w:rsidRPr="00E819B6">
              <w:rPr>
                <w:rFonts w:ascii="Arial" w:hAnsi="Arial" w:cs="Arial"/>
                <w:sz w:val="20"/>
                <w:szCs w:val="20"/>
              </w:rPr>
              <w:t>Ethnic group populations (Gypsy/Traveller)</w:t>
            </w:r>
          </w:p>
        </w:tc>
        <w:tc>
          <w:tcPr>
            <w:tcW w:w="1335" w:type="pct"/>
            <w:shd w:val="diagStripe" w:color="D9D9D9" w:themeColor="background1" w:themeShade="D9" w:fill="auto"/>
            <w:vAlign w:val="center"/>
          </w:tcPr>
          <w:p w:rsidR="000A32F1" w:rsidRPr="0019465A" w:rsidRDefault="0019465A" w:rsidP="0019465A">
            <w:pPr>
              <w:spacing w:after="0" w:line="240" w:lineRule="auto"/>
              <w:jc w:val="center"/>
              <w:rPr>
                <w:rFonts w:ascii="Arial" w:hAnsi="Arial" w:cs="Arial"/>
                <w:sz w:val="20"/>
                <w:szCs w:val="20"/>
              </w:rPr>
            </w:pPr>
            <w:r>
              <w:rPr>
                <w:rFonts w:ascii="Arial" w:hAnsi="Arial" w:cs="Arial"/>
                <w:sz w:val="20"/>
                <w:szCs w:val="20"/>
              </w:rPr>
              <w:t>5,097</w:t>
            </w:r>
          </w:p>
        </w:tc>
      </w:tr>
      <w:tr w:rsidR="000A32F1" w:rsidRPr="00E819B6" w:rsidTr="001A7FE6">
        <w:trPr>
          <w:trHeight w:val="284"/>
          <w:jc w:val="center"/>
        </w:trPr>
        <w:tc>
          <w:tcPr>
            <w:tcW w:w="3665" w:type="pct"/>
            <w:shd w:val="diagStripe" w:color="D9D9D9" w:themeColor="background1" w:themeShade="D9" w:fill="auto"/>
            <w:hideMark/>
          </w:tcPr>
          <w:p w:rsidR="000A32F1" w:rsidRPr="00E819B6" w:rsidRDefault="000A32F1" w:rsidP="000A32F1">
            <w:pPr>
              <w:spacing w:after="0"/>
              <w:rPr>
                <w:rFonts w:ascii="Arial" w:hAnsi="Arial" w:cs="Arial"/>
                <w:sz w:val="20"/>
                <w:szCs w:val="20"/>
              </w:rPr>
            </w:pPr>
            <w:r w:rsidRPr="00E819B6">
              <w:rPr>
                <w:rFonts w:ascii="Arial" w:hAnsi="Arial" w:cs="Arial"/>
                <w:sz w:val="20"/>
                <w:szCs w:val="20"/>
              </w:rPr>
              <w:t>Ethnic group populations (Pakistani</w:t>
            </w:r>
            <w:r>
              <w:rPr>
                <w:rFonts w:ascii="Arial" w:hAnsi="Arial" w:cs="Arial"/>
                <w:sz w:val="20"/>
                <w:szCs w:val="20"/>
              </w:rPr>
              <w:t>)</w:t>
            </w:r>
          </w:p>
        </w:tc>
        <w:tc>
          <w:tcPr>
            <w:tcW w:w="1335" w:type="pct"/>
            <w:shd w:val="diagStripe" w:color="D9D9D9" w:themeColor="background1" w:themeShade="D9" w:fill="auto"/>
            <w:vAlign w:val="center"/>
          </w:tcPr>
          <w:p w:rsidR="000A32F1" w:rsidRPr="0019465A" w:rsidRDefault="0019465A" w:rsidP="0019465A">
            <w:pPr>
              <w:spacing w:after="0" w:line="240" w:lineRule="auto"/>
              <w:jc w:val="center"/>
              <w:rPr>
                <w:rFonts w:ascii="Arial" w:hAnsi="Arial" w:cs="Arial"/>
                <w:sz w:val="20"/>
                <w:szCs w:val="20"/>
              </w:rPr>
            </w:pPr>
            <w:r>
              <w:rPr>
                <w:rFonts w:ascii="Arial" w:hAnsi="Arial" w:cs="Arial"/>
                <w:sz w:val="20"/>
                <w:szCs w:val="20"/>
              </w:rPr>
              <w:t>2,845</w:t>
            </w:r>
          </w:p>
        </w:tc>
      </w:tr>
    </w:tbl>
    <w:p w:rsidR="005229AF" w:rsidRDefault="005229AF" w:rsidP="0097225D">
      <w:pPr>
        <w:jc w:val="both"/>
        <w:rPr>
          <w:rFonts w:ascii="Arial" w:hAnsi="Arial" w:cs="Arial"/>
        </w:rPr>
      </w:pPr>
    </w:p>
    <w:p w:rsidR="001A7FE6" w:rsidRDefault="001A7FE6" w:rsidP="0097225D">
      <w:pPr>
        <w:jc w:val="both"/>
        <w:rPr>
          <w:rFonts w:ascii="Arial" w:hAnsi="Arial" w:cs="Arial"/>
        </w:rPr>
      </w:pPr>
      <w:r>
        <w:rPr>
          <w:rFonts w:ascii="Arial" w:hAnsi="Arial" w:cs="Arial"/>
        </w:rPr>
        <w:t xml:space="preserve">From Table 1, we can see that </w:t>
      </w:r>
      <w:r w:rsidR="00682746">
        <w:rPr>
          <w:rFonts w:ascii="Arial" w:hAnsi="Arial" w:cs="Arial"/>
        </w:rPr>
        <w:t>neither</w:t>
      </w:r>
      <w:r>
        <w:rPr>
          <w:rFonts w:ascii="Arial" w:hAnsi="Arial" w:cs="Arial"/>
        </w:rPr>
        <w:t xml:space="preserve"> of the ethnicity variable options </w:t>
      </w:r>
      <w:r w:rsidR="00682746">
        <w:rPr>
          <w:rFonts w:ascii="Arial" w:hAnsi="Arial" w:cs="Arial"/>
        </w:rPr>
        <w:t xml:space="preserve">suggested in paper TAMLC36 </w:t>
      </w:r>
      <w:r>
        <w:rPr>
          <w:rFonts w:ascii="Arial" w:hAnsi="Arial" w:cs="Arial"/>
        </w:rPr>
        <w:t xml:space="preserve">is suitable based on the number of zeros. In addition, several of the death variables with specific causes of death, and two of the prescribing variables, are </w:t>
      </w:r>
      <w:r w:rsidR="004C620C">
        <w:rPr>
          <w:rFonts w:ascii="Arial" w:hAnsi="Arial" w:cs="Arial"/>
        </w:rPr>
        <w:t xml:space="preserve">also </w:t>
      </w:r>
      <w:r>
        <w:rPr>
          <w:rFonts w:ascii="Arial" w:hAnsi="Arial" w:cs="Arial"/>
        </w:rPr>
        <w:t>eliminated.</w:t>
      </w:r>
    </w:p>
    <w:p w:rsidR="00682746" w:rsidRDefault="00682746" w:rsidP="0097225D">
      <w:pPr>
        <w:jc w:val="both"/>
        <w:rPr>
          <w:rFonts w:ascii="Arial" w:hAnsi="Arial" w:cs="Arial"/>
        </w:rPr>
      </w:pPr>
      <w:r>
        <w:rPr>
          <w:rFonts w:ascii="Arial" w:hAnsi="Arial" w:cs="Arial"/>
        </w:rPr>
        <w:t xml:space="preserve">Although Gypsy/Traveller and Pakistani </w:t>
      </w:r>
      <w:r w:rsidR="001763BD">
        <w:rPr>
          <w:rFonts w:ascii="Arial" w:hAnsi="Arial" w:cs="Arial"/>
        </w:rPr>
        <w:t xml:space="preserve">population counts </w:t>
      </w:r>
      <w:r>
        <w:rPr>
          <w:rFonts w:ascii="Arial" w:hAnsi="Arial" w:cs="Arial"/>
        </w:rPr>
        <w:t xml:space="preserve">had been </w:t>
      </w:r>
      <w:r w:rsidR="001763BD">
        <w:rPr>
          <w:rFonts w:ascii="Arial" w:hAnsi="Arial" w:cs="Arial"/>
        </w:rPr>
        <w:t>suggested for use</w:t>
      </w:r>
      <w:r>
        <w:rPr>
          <w:rFonts w:ascii="Arial" w:hAnsi="Arial" w:cs="Arial"/>
        </w:rPr>
        <w:t xml:space="preserve">, </w:t>
      </w:r>
      <w:r w:rsidR="001763BD">
        <w:rPr>
          <w:rFonts w:ascii="Arial" w:hAnsi="Arial" w:cs="Arial"/>
        </w:rPr>
        <w:t xml:space="preserve">the numbers of </w:t>
      </w:r>
      <w:r w:rsidR="003779AE">
        <w:rPr>
          <w:rFonts w:ascii="Arial" w:hAnsi="Arial" w:cs="Arial"/>
        </w:rPr>
        <w:t>zeros were</w:t>
      </w:r>
      <w:r w:rsidR="00322A4F">
        <w:rPr>
          <w:rFonts w:ascii="Arial" w:hAnsi="Arial" w:cs="Arial"/>
        </w:rPr>
        <w:t xml:space="preserve"> also</w:t>
      </w:r>
      <w:r w:rsidR="003779AE">
        <w:rPr>
          <w:rFonts w:ascii="Arial" w:hAnsi="Arial" w:cs="Arial"/>
        </w:rPr>
        <w:t xml:space="preserve"> counted for </w:t>
      </w:r>
      <w:r w:rsidR="002D1234">
        <w:rPr>
          <w:rFonts w:ascii="Arial" w:hAnsi="Arial" w:cs="Arial"/>
        </w:rPr>
        <w:t xml:space="preserve">all </w:t>
      </w:r>
      <w:r w:rsidR="00322A4F">
        <w:rPr>
          <w:rFonts w:ascii="Arial" w:hAnsi="Arial" w:cs="Arial"/>
        </w:rPr>
        <w:t xml:space="preserve">other ethnic groups. It was found that the only groups with acceptably low numbers of zeros were White Scottish, Other White British, White Polish, White Irish, and Other White. White Scottish ethnicity will constitute a large majority in almost all data zones, so its power as a variable to pick up variations in need is just as limited as that of groups with very low numbers. White Irish health appears comparable to that of the White Scottish population in the </w:t>
      </w:r>
      <w:proofErr w:type="spellStart"/>
      <w:r w:rsidR="00322A4F">
        <w:rPr>
          <w:rFonts w:ascii="Arial" w:hAnsi="Arial" w:cs="Arial"/>
        </w:rPr>
        <w:t>ScotStat</w:t>
      </w:r>
      <w:proofErr w:type="spellEnd"/>
      <w:r w:rsidR="00322A4F">
        <w:rPr>
          <w:rFonts w:ascii="Arial" w:hAnsi="Arial" w:cs="Arial"/>
        </w:rPr>
        <w:t xml:space="preserve"> report analysis, while all the other groups above appear to have better health on average than the White Scottish population</w:t>
      </w:r>
      <w:r w:rsidR="002A395F">
        <w:rPr>
          <w:rFonts w:ascii="Arial" w:hAnsi="Arial" w:cs="Arial"/>
        </w:rPr>
        <w:t>.</w:t>
      </w:r>
    </w:p>
    <w:p w:rsidR="001A7FE6" w:rsidRDefault="002A395F" w:rsidP="0097225D">
      <w:pPr>
        <w:jc w:val="both"/>
        <w:rPr>
          <w:rFonts w:ascii="Arial" w:hAnsi="Arial" w:cs="Arial"/>
        </w:rPr>
      </w:pPr>
      <w:r>
        <w:rPr>
          <w:rFonts w:ascii="Arial" w:hAnsi="Arial" w:cs="Arial"/>
        </w:rPr>
        <w:t>Having explored several options, it now seems</w:t>
      </w:r>
      <w:r w:rsidR="00054D17">
        <w:rPr>
          <w:rFonts w:ascii="Arial" w:hAnsi="Arial" w:cs="Arial"/>
        </w:rPr>
        <w:t xml:space="preserve"> that the options available for ethnicity variable(s) fail either the core criterion of practicality (in the case of ethnic group populations with large numbers of zeros) or relevance (in the case of groups for which additional need for </w:t>
      </w:r>
      <w:proofErr w:type="gramStart"/>
      <w:r w:rsidR="00054D17">
        <w:rPr>
          <w:rFonts w:ascii="Arial" w:hAnsi="Arial" w:cs="Arial"/>
        </w:rPr>
        <w:t>Acute</w:t>
      </w:r>
      <w:proofErr w:type="gramEnd"/>
      <w:r w:rsidR="00054D17">
        <w:rPr>
          <w:rFonts w:ascii="Arial" w:hAnsi="Arial" w:cs="Arial"/>
        </w:rPr>
        <w:t xml:space="preserve"> services is not suggested by the available evidence).</w:t>
      </w:r>
    </w:p>
    <w:p w:rsidR="002A395F" w:rsidRDefault="002A395F" w:rsidP="0097225D">
      <w:pPr>
        <w:jc w:val="both"/>
        <w:rPr>
          <w:rFonts w:ascii="Arial" w:hAnsi="Arial" w:cs="Arial"/>
        </w:rPr>
      </w:pPr>
    </w:p>
    <w:p w:rsidR="0097225D" w:rsidRPr="0097225D" w:rsidRDefault="0097225D" w:rsidP="0097225D">
      <w:pPr>
        <w:jc w:val="both"/>
        <w:rPr>
          <w:rFonts w:ascii="Arial" w:hAnsi="Arial" w:cs="Arial"/>
          <w:b/>
        </w:rPr>
      </w:pPr>
      <w:r w:rsidRPr="0097225D">
        <w:rPr>
          <w:rFonts w:ascii="Arial" w:hAnsi="Arial" w:cs="Arial"/>
          <w:b/>
        </w:rPr>
        <w:lastRenderedPageBreak/>
        <w:t>3. Diagnostic groups</w:t>
      </w:r>
    </w:p>
    <w:p w:rsidR="003D01D4" w:rsidRDefault="003D01D4" w:rsidP="003D01D4">
      <w:pPr>
        <w:jc w:val="both"/>
        <w:rPr>
          <w:rFonts w:ascii="Arial" w:hAnsi="Arial" w:cs="Arial"/>
        </w:rPr>
      </w:pPr>
      <w:r>
        <w:rPr>
          <w:rFonts w:ascii="Arial" w:hAnsi="Arial" w:cs="Arial"/>
        </w:rPr>
        <w:t xml:space="preserve">The purpose of the indicator variables is to explain variation in healthcare cost across the data zones. Previously, this cost variation has been analysed within subsets of the </w:t>
      </w:r>
      <w:proofErr w:type="gramStart"/>
      <w:r>
        <w:rPr>
          <w:rFonts w:ascii="Arial" w:hAnsi="Arial" w:cs="Arial"/>
        </w:rPr>
        <w:t>Acute</w:t>
      </w:r>
      <w:proofErr w:type="gramEnd"/>
      <w:r>
        <w:rPr>
          <w:rFonts w:ascii="Arial" w:hAnsi="Arial" w:cs="Arial"/>
        </w:rPr>
        <w:t xml:space="preserve"> activity, referred to as diagnostic groups.</w:t>
      </w:r>
      <w:r w:rsidRPr="0097225D">
        <w:rPr>
          <w:rFonts w:ascii="Arial" w:hAnsi="Arial" w:cs="Arial"/>
        </w:rPr>
        <w:t xml:space="preserve"> </w:t>
      </w:r>
      <w:r>
        <w:rPr>
          <w:rFonts w:ascii="Arial" w:hAnsi="Arial" w:cs="Arial"/>
        </w:rPr>
        <w:t>In order to proceed with the process of selecting the best indicators, a decision must be made on whether to keep the current diagnostic grouping or change to a different</w:t>
      </w:r>
      <w:r w:rsidRPr="0097225D">
        <w:rPr>
          <w:rFonts w:ascii="Arial" w:hAnsi="Arial" w:cs="Arial"/>
        </w:rPr>
        <w:t xml:space="preserve"> </w:t>
      </w:r>
      <w:r>
        <w:rPr>
          <w:rFonts w:ascii="Arial" w:hAnsi="Arial" w:cs="Arial"/>
        </w:rPr>
        <w:t xml:space="preserve">structure. </w:t>
      </w:r>
    </w:p>
    <w:p w:rsidR="003D01D4" w:rsidRDefault="003D01D4" w:rsidP="003D01D4">
      <w:pPr>
        <w:jc w:val="both"/>
        <w:rPr>
          <w:rFonts w:ascii="Arial" w:hAnsi="Arial" w:cs="Arial"/>
        </w:rPr>
      </w:pPr>
      <w:r>
        <w:rPr>
          <w:rFonts w:ascii="Arial" w:hAnsi="Arial" w:cs="Arial"/>
        </w:rPr>
        <w:t>Five of the current diagnostic groups – Cancer, Heart, Respiratory, Digestive, and Injury – correspond to high-level ICD-10 code groups</w:t>
      </w:r>
      <w:r w:rsidR="00EC6516">
        <w:rPr>
          <w:rStyle w:val="FootnoteReference"/>
          <w:rFonts w:ascii="Arial" w:hAnsi="Arial" w:cs="Arial"/>
        </w:rPr>
        <w:footnoteReference w:id="2"/>
      </w:r>
      <w:r>
        <w:rPr>
          <w:rFonts w:ascii="Arial" w:hAnsi="Arial" w:cs="Arial"/>
        </w:rPr>
        <w:t xml:space="preserve">, and activity is selected into each diagnostic group based on its main ICD-10 code. A sixth group, </w:t>
      </w:r>
      <w:proofErr w:type="gramStart"/>
      <w:r>
        <w:rPr>
          <w:rFonts w:ascii="Arial" w:hAnsi="Arial" w:cs="Arial"/>
        </w:rPr>
        <w:t>Other</w:t>
      </w:r>
      <w:proofErr w:type="gramEnd"/>
      <w:r>
        <w:rPr>
          <w:rFonts w:ascii="Arial" w:hAnsi="Arial" w:cs="Arial"/>
        </w:rPr>
        <w:t xml:space="preserve">, contains all other inpatient and </w:t>
      </w:r>
      <w:proofErr w:type="spellStart"/>
      <w:r>
        <w:rPr>
          <w:rFonts w:ascii="Arial" w:hAnsi="Arial" w:cs="Arial"/>
        </w:rPr>
        <w:t>daycase</w:t>
      </w:r>
      <w:proofErr w:type="spellEnd"/>
      <w:r>
        <w:rPr>
          <w:rFonts w:ascii="Arial" w:hAnsi="Arial" w:cs="Arial"/>
        </w:rPr>
        <w:t xml:space="preserve"> activity. The seventh group, Outpatients, contains all </w:t>
      </w:r>
      <w:proofErr w:type="gramStart"/>
      <w:r>
        <w:rPr>
          <w:rFonts w:ascii="Arial" w:hAnsi="Arial" w:cs="Arial"/>
        </w:rPr>
        <w:t>Acute</w:t>
      </w:r>
      <w:proofErr w:type="gramEnd"/>
      <w:r>
        <w:rPr>
          <w:rFonts w:ascii="Arial" w:hAnsi="Arial" w:cs="Arial"/>
        </w:rPr>
        <w:t xml:space="preserve"> outpatient activity</w:t>
      </w:r>
      <w:r w:rsidR="002233C8">
        <w:rPr>
          <w:rFonts w:ascii="Arial" w:hAnsi="Arial" w:cs="Arial"/>
        </w:rPr>
        <w:t xml:space="preserve"> </w:t>
      </w:r>
      <w:r w:rsidR="00DA3759">
        <w:rPr>
          <w:rFonts w:ascii="Arial" w:hAnsi="Arial" w:cs="Arial"/>
        </w:rPr>
        <w:t>(</w:t>
      </w:r>
      <w:r w:rsidR="002233C8">
        <w:rPr>
          <w:rFonts w:ascii="Arial" w:hAnsi="Arial" w:cs="Arial"/>
        </w:rPr>
        <w:t>relating to any Acute condition</w:t>
      </w:r>
      <w:r w:rsidR="00DA3759">
        <w:rPr>
          <w:rFonts w:ascii="Arial" w:hAnsi="Arial" w:cs="Arial"/>
        </w:rPr>
        <w:t>)</w:t>
      </w:r>
      <w:r>
        <w:rPr>
          <w:rFonts w:ascii="Arial" w:hAnsi="Arial" w:cs="Arial"/>
        </w:rPr>
        <w:t>.</w:t>
      </w:r>
    </w:p>
    <w:p w:rsidR="003D01D4" w:rsidRDefault="003D01D4" w:rsidP="003D01D4">
      <w:pPr>
        <w:jc w:val="both"/>
        <w:rPr>
          <w:rFonts w:ascii="Arial" w:hAnsi="Arial" w:cs="Arial"/>
        </w:rPr>
      </w:pPr>
      <w:r>
        <w:rPr>
          <w:rFonts w:ascii="Arial" w:hAnsi="Arial" w:cs="Arial"/>
        </w:rPr>
        <w:t xml:space="preserve">Advice was sought </w:t>
      </w:r>
      <w:r w:rsidRPr="0097225D">
        <w:rPr>
          <w:rFonts w:ascii="Arial" w:hAnsi="Arial" w:cs="Arial"/>
        </w:rPr>
        <w:t>from an I</w:t>
      </w:r>
      <w:r>
        <w:rPr>
          <w:rFonts w:ascii="Arial" w:hAnsi="Arial" w:cs="Arial"/>
        </w:rPr>
        <w:t>SD consultant in public health on whether any other structure might be better. The feedback was that ICD-10 remains a suitable way of classifying activity into high-level diagnostic groups, but that Outpatients stood out as being a patient category rather than a diagnostic group.</w:t>
      </w:r>
      <w:r w:rsidR="002233C8">
        <w:rPr>
          <w:rFonts w:ascii="Arial" w:hAnsi="Arial" w:cs="Arial"/>
        </w:rPr>
        <w:t xml:space="preserve"> Ideally it would be best to calculate diagnostic group cost ratios that combined </w:t>
      </w:r>
      <w:r w:rsidR="00DA3759">
        <w:rPr>
          <w:rFonts w:ascii="Arial" w:hAnsi="Arial" w:cs="Arial"/>
        </w:rPr>
        <w:t xml:space="preserve">all </w:t>
      </w:r>
      <w:r w:rsidR="002233C8">
        <w:rPr>
          <w:rFonts w:ascii="Arial" w:hAnsi="Arial" w:cs="Arial"/>
        </w:rPr>
        <w:t xml:space="preserve">inpatient, </w:t>
      </w:r>
      <w:proofErr w:type="spellStart"/>
      <w:r w:rsidR="002233C8">
        <w:rPr>
          <w:rFonts w:ascii="Arial" w:hAnsi="Arial" w:cs="Arial"/>
        </w:rPr>
        <w:t>daycase</w:t>
      </w:r>
      <w:proofErr w:type="spellEnd"/>
      <w:r w:rsidR="002233C8">
        <w:rPr>
          <w:rFonts w:ascii="Arial" w:hAnsi="Arial" w:cs="Arial"/>
        </w:rPr>
        <w:t xml:space="preserve"> and outpatient costs for </w:t>
      </w:r>
      <w:r w:rsidR="00DA3759">
        <w:rPr>
          <w:rFonts w:ascii="Arial" w:hAnsi="Arial" w:cs="Arial"/>
        </w:rPr>
        <w:t xml:space="preserve">the </w:t>
      </w:r>
      <w:r w:rsidR="002233C8">
        <w:rPr>
          <w:rFonts w:ascii="Arial" w:hAnsi="Arial" w:cs="Arial"/>
        </w:rPr>
        <w:t>condition types; however, this is not possible due to the lack of ICD-10 coding on outpatient activity.</w:t>
      </w:r>
      <w:r w:rsidR="00054D17">
        <w:rPr>
          <w:rFonts w:ascii="Arial" w:hAnsi="Arial" w:cs="Arial"/>
        </w:rPr>
        <w:t xml:space="preserve"> For this reason, it seems </w:t>
      </w:r>
      <w:r w:rsidR="00442301">
        <w:rPr>
          <w:rFonts w:ascii="Arial" w:hAnsi="Arial" w:cs="Arial"/>
        </w:rPr>
        <w:t>most practical</w:t>
      </w:r>
      <w:r w:rsidR="00054D17">
        <w:rPr>
          <w:rFonts w:ascii="Arial" w:hAnsi="Arial" w:cs="Arial"/>
        </w:rPr>
        <w:t xml:space="preserve"> to keep the Outpatients group separate.</w:t>
      </w:r>
    </w:p>
    <w:p w:rsidR="00EC6516" w:rsidRDefault="00EC6516" w:rsidP="003D01D4">
      <w:pPr>
        <w:jc w:val="both"/>
        <w:rPr>
          <w:rFonts w:ascii="Arial" w:hAnsi="Arial" w:cs="Arial"/>
        </w:rPr>
      </w:pPr>
      <w:r>
        <w:rPr>
          <w:rFonts w:ascii="Arial" w:hAnsi="Arial" w:cs="Arial"/>
        </w:rPr>
        <w:t xml:space="preserve">‘Other’ is a large diagnostic group containing </w:t>
      </w:r>
      <w:r w:rsidR="00DA3759">
        <w:rPr>
          <w:rFonts w:ascii="Arial" w:hAnsi="Arial" w:cs="Arial"/>
        </w:rPr>
        <w:t xml:space="preserve">the </w:t>
      </w:r>
      <w:proofErr w:type="gramStart"/>
      <w:r>
        <w:rPr>
          <w:rFonts w:ascii="Arial" w:hAnsi="Arial" w:cs="Arial"/>
        </w:rPr>
        <w:t>Acute</w:t>
      </w:r>
      <w:proofErr w:type="gramEnd"/>
      <w:r>
        <w:rPr>
          <w:rFonts w:ascii="Arial" w:hAnsi="Arial" w:cs="Arial"/>
        </w:rPr>
        <w:t xml:space="preserve"> activity </w:t>
      </w:r>
      <w:r w:rsidR="00DA3759">
        <w:rPr>
          <w:rFonts w:ascii="Arial" w:hAnsi="Arial" w:cs="Arial"/>
        </w:rPr>
        <w:t>falling with</w:t>
      </w:r>
      <w:r>
        <w:rPr>
          <w:rFonts w:ascii="Arial" w:hAnsi="Arial" w:cs="Arial"/>
        </w:rPr>
        <w:t>in all the other ICD-10 code groups</w:t>
      </w:r>
      <w:r w:rsidR="005C7AAC">
        <w:rPr>
          <w:rFonts w:ascii="Arial" w:hAnsi="Arial" w:cs="Arial"/>
        </w:rPr>
        <w:t xml:space="preserve"> besides Cancer, Heart, Respiratory, Digestive, and Injury</w:t>
      </w:r>
      <w:r>
        <w:rPr>
          <w:rFonts w:ascii="Arial" w:hAnsi="Arial" w:cs="Arial"/>
        </w:rPr>
        <w:t xml:space="preserve">. The levels of activity were examined to see whether any of these other code groups could be treated as </w:t>
      </w:r>
      <w:proofErr w:type="gramStart"/>
      <w:r>
        <w:rPr>
          <w:rFonts w:ascii="Arial" w:hAnsi="Arial" w:cs="Arial"/>
        </w:rPr>
        <w:t>Acute</w:t>
      </w:r>
      <w:proofErr w:type="gramEnd"/>
      <w:r>
        <w:rPr>
          <w:rFonts w:ascii="Arial" w:hAnsi="Arial" w:cs="Arial"/>
        </w:rPr>
        <w:t xml:space="preserve"> diagnostic groups in their own right. The only code group</w:t>
      </w:r>
      <w:r w:rsidR="00262832">
        <w:rPr>
          <w:rFonts w:ascii="Arial" w:hAnsi="Arial" w:cs="Arial"/>
        </w:rPr>
        <w:t xml:space="preserve"> within </w:t>
      </w:r>
      <w:proofErr w:type="gramStart"/>
      <w:r w:rsidR="00262832">
        <w:rPr>
          <w:rFonts w:ascii="Arial" w:hAnsi="Arial" w:cs="Arial"/>
        </w:rPr>
        <w:t>Other</w:t>
      </w:r>
      <w:proofErr w:type="gramEnd"/>
      <w:r>
        <w:rPr>
          <w:rFonts w:ascii="Arial" w:hAnsi="Arial" w:cs="Arial"/>
        </w:rPr>
        <w:t xml:space="preserve"> that was comparable in size to the existing diagnostic groups was ‘</w:t>
      </w:r>
      <w:r w:rsidRPr="00EC6516">
        <w:rPr>
          <w:rFonts w:ascii="Arial" w:hAnsi="Arial" w:cs="Arial"/>
        </w:rPr>
        <w:t>Symptoms, signs and abnormal clinical and laboratory findings, not elsewhere classified</w:t>
      </w:r>
      <w:r>
        <w:rPr>
          <w:rFonts w:ascii="Arial" w:hAnsi="Arial" w:cs="Arial"/>
        </w:rPr>
        <w:t xml:space="preserve">’, which </w:t>
      </w:r>
      <w:r w:rsidR="00262832">
        <w:rPr>
          <w:rFonts w:ascii="Arial" w:hAnsi="Arial" w:cs="Arial"/>
        </w:rPr>
        <w:t>did not seem a good candidate for a separate diagnostic group.</w:t>
      </w:r>
    </w:p>
    <w:p w:rsidR="00262832" w:rsidRDefault="00262832" w:rsidP="003D01D4">
      <w:pPr>
        <w:jc w:val="both"/>
        <w:rPr>
          <w:rFonts w:ascii="Arial" w:hAnsi="Arial" w:cs="Arial"/>
        </w:rPr>
      </w:pPr>
      <w:r>
        <w:rPr>
          <w:rFonts w:ascii="Arial" w:hAnsi="Arial" w:cs="Arial"/>
        </w:rPr>
        <w:t>A further possibility is not</w:t>
      </w:r>
      <w:r w:rsidR="0016610F" w:rsidRPr="0016610F">
        <w:rPr>
          <w:rFonts w:ascii="Arial" w:hAnsi="Arial" w:cs="Arial"/>
        </w:rPr>
        <w:t xml:space="preserve"> </w:t>
      </w:r>
      <w:r w:rsidR="0016610F">
        <w:rPr>
          <w:rFonts w:ascii="Arial" w:hAnsi="Arial" w:cs="Arial"/>
        </w:rPr>
        <w:t>to</w:t>
      </w:r>
      <w:r>
        <w:rPr>
          <w:rFonts w:ascii="Arial" w:hAnsi="Arial" w:cs="Arial"/>
        </w:rPr>
        <w:t xml:space="preserve"> analyse cost variation in diagnostic groups at all</w:t>
      </w:r>
      <w:r w:rsidR="00DA3759">
        <w:rPr>
          <w:rFonts w:ascii="Arial" w:hAnsi="Arial" w:cs="Arial"/>
        </w:rPr>
        <w:t>,</w:t>
      </w:r>
      <w:r>
        <w:rPr>
          <w:rFonts w:ascii="Arial" w:hAnsi="Arial" w:cs="Arial"/>
        </w:rPr>
        <w:t xml:space="preserve"> but instead</w:t>
      </w:r>
      <w:r w:rsidR="00DA3759">
        <w:rPr>
          <w:rFonts w:ascii="Arial" w:hAnsi="Arial" w:cs="Arial"/>
        </w:rPr>
        <w:t>,</w:t>
      </w:r>
      <w:r>
        <w:rPr>
          <w:rFonts w:ascii="Arial" w:hAnsi="Arial" w:cs="Arial"/>
        </w:rPr>
        <w:t xml:space="preserve"> develop a single linear model for the </w:t>
      </w:r>
      <w:proofErr w:type="gramStart"/>
      <w:r>
        <w:rPr>
          <w:rFonts w:ascii="Arial" w:hAnsi="Arial" w:cs="Arial"/>
        </w:rPr>
        <w:t>Acute</w:t>
      </w:r>
      <w:proofErr w:type="gramEnd"/>
      <w:r>
        <w:rPr>
          <w:rFonts w:ascii="Arial" w:hAnsi="Arial" w:cs="Arial"/>
        </w:rPr>
        <w:t xml:space="preserve"> care programme as a whole – a ‘Whole Acute’ option. To </w:t>
      </w:r>
      <w:r w:rsidR="00DA3759">
        <w:rPr>
          <w:rFonts w:ascii="Arial" w:hAnsi="Arial" w:cs="Arial"/>
        </w:rPr>
        <w:t>compare</w:t>
      </w:r>
      <w:r w:rsidR="005C7AAC">
        <w:rPr>
          <w:rFonts w:ascii="Arial" w:hAnsi="Arial" w:cs="Arial"/>
        </w:rPr>
        <w:t xml:space="preserve"> the model performance of</w:t>
      </w:r>
      <w:r w:rsidR="00DA3759">
        <w:rPr>
          <w:rFonts w:ascii="Arial" w:hAnsi="Arial" w:cs="Arial"/>
        </w:rPr>
        <w:t xml:space="preserve"> </w:t>
      </w:r>
      <w:r w:rsidR="005C7AAC">
        <w:rPr>
          <w:rFonts w:ascii="Arial" w:hAnsi="Arial" w:cs="Arial"/>
        </w:rPr>
        <w:t>this option with that of the current diagnostic grouping</w:t>
      </w:r>
      <w:r>
        <w:rPr>
          <w:rFonts w:ascii="Arial" w:hAnsi="Arial" w:cs="Arial"/>
        </w:rPr>
        <w:t xml:space="preserve">, linear regression of cost ratios upon the current Acute needs index (plus supply model) was carried out, firstly for the existing diagnostic groups, and secondly for the ‘Whole Acute’ cost ratios. The predictions of cost from the separate diagnostic groups were </w:t>
      </w:r>
      <w:r w:rsidR="00DA3759">
        <w:rPr>
          <w:rFonts w:ascii="Arial" w:hAnsi="Arial" w:cs="Arial"/>
        </w:rPr>
        <w:t xml:space="preserve">then </w:t>
      </w:r>
      <w:r>
        <w:rPr>
          <w:rFonts w:ascii="Arial" w:hAnsi="Arial" w:cs="Arial"/>
        </w:rPr>
        <w:t>aggregated together, by the same method used routinely in the NRAC shares calculation, and compared with the predictions of cost from the ‘Whole Acute’ regression. The residual sum of squares (RSS) was then computed for both methods and compared. There was a very small (and likely insignificant) difference in RSS</w:t>
      </w:r>
      <w:r w:rsidR="00DA3759">
        <w:rPr>
          <w:rFonts w:ascii="Arial" w:hAnsi="Arial" w:cs="Arial"/>
        </w:rPr>
        <w:t>,</w:t>
      </w:r>
      <w:r>
        <w:rPr>
          <w:rFonts w:ascii="Arial" w:hAnsi="Arial" w:cs="Arial"/>
        </w:rPr>
        <w:t xml:space="preserve"> in favour of using separate diagnostic groups.</w:t>
      </w:r>
    </w:p>
    <w:p w:rsidR="0097225D" w:rsidRDefault="00054D17" w:rsidP="0097225D">
      <w:pPr>
        <w:jc w:val="both"/>
        <w:rPr>
          <w:rFonts w:ascii="Arial" w:hAnsi="Arial" w:cs="Arial"/>
        </w:rPr>
      </w:pPr>
      <w:r>
        <w:rPr>
          <w:rFonts w:ascii="Arial" w:hAnsi="Arial" w:cs="Arial"/>
        </w:rPr>
        <w:t>This suggests that a ‘Whole Acute’ model could</w:t>
      </w:r>
      <w:r w:rsidR="00442301">
        <w:rPr>
          <w:rFonts w:ascii="Arial" w:hAnsi="Arial" w:cs="Arial"/>
        </w:rPr>
        <w:t xml:space="preserve"> potentially</w:t>
      </w:r>
      <w:r>
        <w:rPr>
          <w:rFonts w:ascii="Arial" w:hAnsi="Arial" w:cs="Arial"/>
        </w:rPr>
        <w:t xml:space="preserve"> perform</w:t>
      </w:r>
      <w:r w:rsidR="00442301">
        <w:rPr>
          <w:rFonts w:ascii="Arial" w:hAnsi="Arial" w:cs="Arial"/>
        </w:rPr>
        <w:t xml:space="preserve"> well and should be considered. On the other hand, </w:t>
      </w:r>
      <w:r w:rsidR="00DA3759">
        <w:rPr>
          <w:rFonts w:ascii="Arial" w:hAnsi="Arial" w:cs="Arial"/>
        </w:rPr>
        <w:t xml:space="preserve">allowing </w:t>
      </w:r>
      <w:r w:rsidR="00DD7273">
        <w:rPr>
          <w:rFonts w:ascii="Arial" w:hAnsi="Arial" w:cs="Arial"/>
        </w:rPr>
        <w:t xml:space="preserve">different indicators of need </w:t>
      </w:r>
      <w:r w:rsidR="00DA3759">
        <w:rPr>
          <w:rFonts w:ascii="Arial" w:hAnsi="Arial" w:cs="Arial"/>
        </w:rPr>
        <w:t xml:space="preserve">to be </w:t>
      </w:r>
      <w:r w:rsidR="005C7AAC">
        <w:rPr>
          <w:rFonts w:ascii="Arial" w:hAnsi="Arial" w:cs="Arial"/>
        </w:rPr>
        <w:t>selected</w:t>
      </w:r>
      <w:r w:rsidR="00DA3759">
        <w:rPr>
          <w:rFonts w:ascii="Arial" w:hAnsi="Arial" w:cs="Arial"/>
        </w:rPr>
        <w:t xml:space="preserve"> </w:t>
      </w:r>
      <w:r w:rsidR="00DD7273">
        <w:rPr>
          <w:rFonts w:ascii="Arial" w:hAnsi="Arial" w:cs="Arial"/>
        </w:rPr>
        <w:t xml:space="preserve">for different </w:t>
      </w:r>
      <w:r w:rsidR="00DA3759">
        <w:rPr>
          <w:rFonts w:ascii="Arial" w:hAnsi="Arial" w:cs="Arial"/>
        </w:rPr>
        <w:t>diagnostic</w:t>
      </w:r>
      <w:r w:rsidR="00DD7273">
        <w:rPr>
          <w:rFonts w:ascii="Arial" w:hAnsi="Arial" w:cs="Arial"/>
        </w:rPr>
        <w:t xml:space="preserve"> groups</w:t>
      </w:r>
      <w:r w:rsidR="008C21DF">
        <w:rPr>
          <w:rFonts w:ascii="Arial" w:hAnsi="Arial" w:cs="Arial"/>
        </w:rPr>
        <w:t xml:space="preserve"> </w:t>
      </w:r>
      <w:r>
        <w:rPr>
          <w:rFonts w:ascii="Arial" w:hAnsi="Arial" w:cs="Arial"/>
        </w:rPr>
        <w:t>may well</w:t>
      </w:r>
      <w:r w:rsidR="00DA3759">
        <w:rPr>
          <w:rFonts w:ascii="Arial" w:hAnsi="Arial" w:cs="Arial"/>
        </w:rPr>
        <w:t xml:space="preserve"> improve </w:t>
      </w:r>
      <w:r w:rsidR="008C21DF">
        <w:rPr>
          <w:rFonts w:ascii="Arial" w:hAnsi="Arial" w:cs="Arial"/>
        </w:rPr>
        <w:t>the predictive power</w:t>
      </w:r>
      <w:r w:rsidR="00442301">
        <w:rPr>
          <w:rFonts w:ascii="Arial" w:hAnsi="Arial" w:cs="Arial"/>
        </w:rPr>
        <w:t xml:space="preserve"> of the ‘separate groups’ option</w:t>
      </w:r>
      <w:r w:rsidR="00DD7273">
        <w:rPr>
          <w:rFonts w:ascii="Arial" w:hAnsi="Arial" w:cs="Arial"/>
        </w:rPr>
        <w:t xml:space="preserve">. </w:t>
      </w:r>
      <w:r>
        <w:rPr>
          <w:rFonts w:ascii="Arial" w:hAnsi="Arial" w:cs="Arial"/>
        </w:rPr>
        <w:t>AST propose</w:t>
      </w:r>
      <w:r w:rsidR="00DD7273">
        <w:rPr>
          <w:rFonts w:ascii="Arial" w:hAnsi="Arial" w:cs="Arial"/>
        </w:rPr>
        <w:t xml:space="preserve">, for the purposes of the indicator selection process, to </w:t>
      </w:r>
      <w:r w:rsidR="00DA3759">
        <w:rPr>
          <w:rFonts w:ascii="Arial" w:hAnsi="Arial" w:cs="Arial"/>
        </w:rPr>
        <w:t>proceed with</w:t>
      </w:r>
      <w:r w:rsidR="00DD7273">
        <w:rPr>
          <w:rFonts w:ascii="Arial" w:hAnsi="Arial" w:cs="Arial"/>
        </w:rPr>
        <w:t xml:space="preserve"> both (1) the existing diagnostic groups and (2) the ‘Whole Acute’ option, and then to decide between these two options </w:t>
      </w:r>
      <w:r>
        <w:rPr>
          <w:rFonts w:ascii="Arial" w:hAnsi="Arial" w:cs="Arial"/>
        </w:rPr>
        <w:t>by examining the results and assessing against the core criteria</w:t>
      </w:r>
      <w:r w:rsidR="00DD7273">
        <w:rPr>
          <w:rFonts w:ascii="Arial" w:hAnsi="Arial" w:cs="Arial"/>
        </w:rPr>
        <w:t>.</w:t>
      </w:r>
    </w:p>
    <w:p w:rsidR="00DD7273" w:rsidRDefault="00054D17" w:rsidP="0097225D">
      <w:pPr>
        <w:jc w:val="both"/>
        <w:rPr>
          <w:rFonts w:ascii="Arial" w:hAnsi="Arial" w:cs="Arial"/>
          <w:b/>
        </w:rPr>
      </w:pPr>
      <w:r>
        <w:rPr>
          <w:rFonts w:ascii="Arial" w:hAnsi="Arial" w:cs="Arial"/>
          <w:b/>
        </w:rPr>
        <w:lastRenderedPageBreak/>
        <w:t>Q1</w:t>
      </w:r>
      <w:r w:rsidR="00330CE5">
        <w:rPr>
          <w:rFonts w:ascii="Arial" w:hAnsi="Arial" w:cs="Arial"/>
          <w:b/>
        </w:rPr>
        <w:t>: The Subgroup is asked to approve the decision to proceed with two options for diagnostic grouping: the current grouping and a ‘Whole Acute’ option.</w:t>
      </w:r>
    </w:p>
    <w:p w:rsidR="00330CE5" w:rsidRDefault="00330CE5" w:rsidP="0097225D">
      <w:pPr>
        <w:jc w:val="both"/>
        <w:rPr>
          <w:rFonts w:ascii="Arial" w:hAnsi="Arial" w:cs="Arial"/>
        </w:rPr>
      </w:pPr>
    </w:p>
    <w:p w:rsidR="0097225D" w:rsidRPr="0097225D" w:rsidRDefault="0097225D" w:rsidP="0097225D">
      <w:pPr>
        <w:jc w:val="both"/>
        <w:rPr>
          <w:rFonts w:ascii="Arial" w:hAnsi="Arial" w:cs="Arial"/>
          <w:b/>
        </w:rPr>
      </w:pPr>
      <w:r w:rsidRPr="0097225D">
        <w:rPr>
          <w:rFonts w:ascii="Arial" w:hAnsi="Arial" w:cs="Arial"/>
          <w:b/>
        </w:rPr>
        <w:t>4. Results of first stage of indicator selection process</w:t>
      </w:r>
    </w:p>
    <w:p w:rsidR="00DA3759" w:rsidRDefault="00F05E93" w:rsidP="00A92874">
      <w:pPr>
        <w:jc w:val="both"/>
        <w:rPr>
          <w:rFonts w:ascii="Arial" w:hAnsi="Arial" w:cs="Arial"/>
        </w:rPr>
      </w:pPr>
      <w:r w:rsidRPr="00F05E93">
        <w:rPr>
          <w:rFonts w:ascii="Arial" w:hAnsi="Arial" w:cs="Arial"/>
        </w:rPr>
        <w:t>The methodology proposed in paper TAMLC36 for selecting the needs indicators is included in Annex B of the current paper</w:t>
      </w:r>
      <w:r w:rsidR="00A92874">
        <w:rPr>
          <w:rFonts w:ascii="Arial" w:hAnsi="Arial" w:cs="Arial"/>
        </w:rPr>
        <w:t>, for reference</w:t>
      </w:r>
      <w:r w:rsidRPr="00F05E93">
        <w:rPr>
          <w:rFonts w:ascii="Arial" w:hAnsi="Arial" w:cs="Arial"/>
        </w:rPr>
        <w:t xml:space="preserve">. </w:t>
      </w:r>
      <w:r>
        <w:rPr>
          <w:rFonts w:ascii="Arial" w:hAnsi="Arial" w:cs="Arial"/>
        </w:rPr>
        <w:t xml:space="preserve">The first stage of this process is to eliminate ‘near-duplicates’ </w:t>
      </w:r>
      <w:r w:rsidR="00A92874">
        <w:rPr>
          <w:rFonts w:ascii="Arial" w:hAnsi="Arial" w:cs="Arial"/>
        </w:rPr>
        <w:t xml:space="preserve">(i.e. highly correlated variables) </w:t>
      </w:r>
      <w:r>
        <w:rPr>
          <w:rFonts w:ascii="Arial" w:hAnsi="Arial" w:cs="Arial"/>
        </w:rPr>
        <w:t xml:space="preserve">from the variable list, retaining the </w:t>
      </w:r>
      <w:r w:rsidR="008C0A6B">
        <w:rPr>
          <w:rFonts w:ascii="Arial" w:hAnsi="Arial" w:cs="Arial"/>
        </w:rPr>
        <w:t xml:space="preserve">variants that correlate best with the cost ratios. </w:t>
      </w:r>
    </w:p>
    <w:p w:rsidR="00F05E93" w:rsidRDefault="008C0A6B" w:rsidP="00A92874">
      <w:pPr>
        <w:jc w:val="both"/>
        <w:rPr>
          <w:rFonts w:ascii="Arial" w:hAnsi="Arial" w:cs="Arial"/>
        </w:rPr>
      </w:pPr>
      <w:r>
        <w:rPr>
          <w:rFonts w:ascii="Arial" w:hAnsi="Arial" w:cs="Arial"/>
        </w:rPr>
        <w:t>This</w:t>
      </w:r>
      <w:r w:rsidR="00F05E93">
        <w:rPr>
          <w:rFonts w:ascii="Arial" w:hAnsi="Arial" w:cs="Arial"/>
        </w:rPr>
        <w:t xml:space="preserve"> involves the following steps:</w:t>
      </w:r>
    </w:p>
    <w:p w:rsidR="00F05E93" w:rsidRPr="0060789B" w:rsidRDefault="00F05E93" w:rsidP="00A92874">
      <w:pPr>
        <w:jc w:val="both"/>
        <w:rPr>
          <w:rFonts w:ascii="Arial" w:hAnsi="Arial" w:cs="Arial"/>
        </w:rPr>
      </w:pPr>
      <w:r>
        <w:rPr>
          <w:rFonts w:ascii="Arial" w:hAnsi="Arial" w:cs="Arial"/>
        </w:rPr>
        <w:t xml:space="preserve">1) </w:t>
      </w:r>
      <w:r w:rsidRPr="0060789B">
        <w:rPr>
          <w:rFonts w:ascii="Arial" w:hAnsi="Arial" w:cs="Arial"/>
        </w:rPr>
        <w:t xml:space="preserve">Allocate </w:t>
      </w:r>
      <w:r w:rsidR="00A92874" w:rsidRPr="0060789B">
        <w:rPr>
          <w:rFonts w:ascii="Arial" w:hAnsi="Arial" w:cs="Arial"/>
        </w:rPr>
        <w:t xml:space="preserve">each candidate variable </w:t>
      </w:r>
      <w:r w:rsidRPr="0060789B">
        <w:rPr>
          <w:rFonts w:ascii="Arial" w:hAnsi="Arial" w:cs="Arial"/>
        </w:rPr>
        <w:t xml:space="preserve">to </w:t>
      </w:r>
      <w:r w:rsidR="008C0A6B" w:rsidRPr="0060789B">
        <w:rPr>
          <w:rFonts w:ascii="Arial" w:hAnsi="Arial" w:cs="Arial"/>
        </w:rPr>
        <w:t>an</w:t>
      </w:r>
      <w:r w:rsidR="00A92874" w:rsidRPr="0060789B">
        <w:rPr>
          <w:rFonts w:ascii="Arial" w:hAnsi="Arial" w:cs="Arial"/>
        </w:rPr>
        <w:t xml:space="preserve"> appropriate </w:t>
      </w:r>
      <w:r w:rsidR="00DA3759" w:rsidRPr="0060789B">
        <w:rPr>
          <w:rFonts w:ascii="Arial" w:hAnsi="Arial" w:cs="Arial"/>
        </w:rPr>
        <w:t>‘</w:t>
      </w:r>
      <w:r w:rsidR="00A92874" w:rsidRPr="0060789B">
        <w:rPr>
          <w:rFonts w:ascii="Arial" w:hAnsi="Arial" w:cs="Arial"/>
        </w:rPr>
        <w:t>topic</w:t>
      </w:r>
      <w:r w:rsidR="00DA3759" w:rsidRPr="0060789B">
        <w:rPr>
          <w:rFonts w:ascii="Arial" w:hAnsi="Arial" w:cs="Arial"/>
        </w:rPr>
        <w:t>’</w:t>
      </w:r>
      <w:r w:rsidR="00A92874" w:rsidRPr="0060789B">
        <w:rPr>
          <w:rFonts w:ascii="Arial" w:hAnsi="Arial" w:cs="Arial"/>
        </w:rPr>
        <w:t>, so that unrelated variables (with no likelihood of being highly correlated) are</w:t>
      </w:r>
      <w:r w:rsidR="00DA3759" w:rsidRPr="0060789B">
        <w:rPr>
          <w:rFonts w:ascii="Arial" w:hAnsi="Arial" w:cs="Arial"/>
        </w:rPr>
        <w:t xml:space="preserve"> held</w:t>
      </w:r>
      <w:r w:rsidR="00A92874" w:rsidRPr="0060789B">
        <w:rPr>
          <w:rFonts w:ascii="Arial" w:hAnsi="Arial" w:cs="Arial"/>
        </w:rPr>
        <w:t xml:space="preserve"> in separate topics</w:t>
      </w:r>
      <w:r w:rsidRPr="0060789B">
        <w:rPr>
          <w:rFonts w:ascii="Arial" w:hAnsi="Arial" w:cs="Arial"/>
        </w:rPr>
        <w:t xml:space="preserve">. </w:t>
      </w:r>
      <w:r w:rsidR="00A92874" w:rsidRPr="0060789B">
        <w:rPr>
          <w:rFonts w:ascii="Arial" w:hAnsi="Arial" w:cs="Arial"/>
        </w:rPr>
        <w:t>This reduces the number of inter-correlation calculations required.</w:t>
      </w:r>
    </w:p>
    <w:p w:rsidR="00F05E93" w:rsidRPr="0060789B" w:rsidRDefault="00F05E93" w:rsidP="00A92874">
      <w:pPr>
        <w:jc w:val="both"/>
        <w:rPr>
          <w:rFonts w:ascii="Arial" w:hAnsi="Arial" w:cs="Arial"/>
        </w:rPr>
      </w:pPr>
      <w:r w:rsidRPr="0060789B">
        <w:rPr>
          <w:rFonts w:ascii="Arial" w:hAnsi="Arial" w:cs="Arial"/>
        </w:rPr>
        <w:t>2) For each topic, compute the inter-correlation</w:t>
      </w:r>
      <w:r w:rsidR="00A92874" w:rsidRPr="0060789B">
        <w:rPr>
          <w:rFonts w:ascii="Arial" w:hAnsi="Arial" w:cs="Arial"/>
        </w:rPr>
        <w:t>s between the variables</w:t>
      </w:r>
      <w:r w:rsidRPr="0060789B">
        <w:rPr>
          <w:rFonts w:ascii="Arial" w:hAnsi="Arial" w:cs="Arial"/>
        </w:rPr>
        <w:t xml:space="preserve">. </w:t>
      </w:r>
      <w:r w:rsidR="008C0A6B" w:rsidRPr="0060789B">
        <w:rPr>
          <w:rFonts w:ascii="Arial" w:hAnsi="Arial" w:cs="Arial"/>
        </w:rPr>
        <w:t>Form subgroups comprising highly inter-correlated variables</w:t>
      </w:r>
      <w:r w:rsidR="005B7CCB" w:rsidRPr="0060789B">
        <w:rPr>
          <w:rFonts w:ascii="Arial" w:hAnsi="Arial" w:cs="Arial"/>
        </w:rPr>
        <w:t xml:space="preserve"> (i.e. near duplicates)</w:t>
      </w:r>
      <w:r w:rsidR="008C0A6B" w:rsidRPr="0060789B">
        <w:rPr>
          <w:rFonts w:ascii="Arial" w:hAnsi="Arial" w:cs="Arial"/>
        </w:rPr>
        <w:t>.</w:t>
      </w:r>
    </w:p>
    <w:p w:rsidR="00F05E93" w:rsidRPr="00F05E93" w:rsidRDefault="00F05E93" w:rsidP="00A92874">
      <w:pPr>
        <w:jc w:val="both"/>
        <w:rPr>
          <w:rFonts w:ascii="Arial" w:hAnsi="Arial" w:cs="Arial"/>
        </w:rPr>
      </w:pPr>
      <w:r w:rsidRPr="0060789B">
        <w:rPr>
          <w:rFonts w:ascii="Arial" w:hAnsi="Arial" w:cs="Arial"/>
        </w:rPr>
        <w:t xml:space="preserve">3) For each subgroup, compute the </w:t>
      </w:r>
      <w:r w:rsidR="00A92874" w:rsidRPr="0060789B">
        <w:rPr>
          <w:rFonts w:ascii="Arial" w:hAnsi="Arial" w:cs="Arial"/>
        </w:rPr>
        <w:t xml:space="preserve">variables’ </w:t>
      </w:r>
      <w:r w:rsidRPr="0060789B">
        <w:rPr>
          <w:rFonts w:ascii="Arial" w:hAnsi="Arial" w:cs="Arial"/>
        </w:rPr>
        <w:t>correlation</w:t>
      </w:r>
      <w:r w:rsidR="00A92874" w:rsidRPr="0060789B">
        <w:rPr>
          <w:rFonts w:ascii="Arial" w:hAnsi="Arial" w:cs="Arial"/>
        </w:rPr>
        <w:t>s</w:t>
      </w:r>
      <w:r w:rsidRPr="0060789B">
        <w:rPr>
          <w:rFonts w:ascii="Arial" w:hAnsi="Arial" w:cs="Arial"/>
        </w:rPr>
        <w:t xml:space="preserve"> with </w:t>
      </w:r>
      <w:r w:rsidR="00A92874" w:rsidRPr="0060789B">
        <w:rPr>
          <w:rFonts w:ascii="Arial" w:hAnsi="Arial" w:cs="Arial"/>
        </w:rPr>
        <w:t xml:space="preserve">the </w:t>
      </w:r>
      <w:r w:rsidRPr="0060789B">
        <w:rPr>
          <w:rFonts w:ascii="Arial" w:hAnsi="Arial" w:cs="Arial"/>
        </w:rPr>
        <w:t>cost ratios</w:t>
      </w:r>
      <w:r w:rsidR="00A92874">
        <w:rPr>
          <w:rFonts w:ascii="Arial" w:hAnsi="Arial" w:cs="Arial"/>
        </w:rPr>
        <w:t>; r</w:t>
      </w:r>
      <w:r w:rsidR="008C0A6B" w:rsidRPr="0097225D">
        <w:rPr>
          <w:rFonts w:ascii="Arial" w:hAnsi="Arial" w:cs="Arial"/>
        </w:rPr>
        <w:t xml:space="preserve">etain </w:t>
      </w:r>
      <w:r w:rsidR="00A92874">
        <w:rPr>
          <w:rFonts w:ascii="Arial" w:hAnsi="Arial" w:cs="Arial"/>
        </w:rPr>
        <w:t xml:space="preserve">the </w:t>
      </w:r>
      <w:r w:rsidR="008C0A6B" w:rsidRPr="0097225D">
        <w:rPr>
          <w:rFonts w:ascii="Arial" w:hAnsi="Arial" w:cs="Arial"/>
        </w:rPr>
        <w:t xml:space="preserve">variable that </w:t>
      </w:r>
      <w:r w:rsidR="00A92874">
        <w:rPr>
          <w:rFonts w:ascii="Arial" w:hAnsi="Arial" w:cs="Arial"/>
        </w:rPr>
        <w:t xml:space="preserve">has </w:t>
      </w:r>
      <w:r w:rsidR="008C0A6B" w:rsidRPr="0097225D">
        <w:rPr>
          <w:rFonts w:ascii="Arial" w:hAnsi="Arial" w:cs="Arial"/>
        </w:rPr>
        <w:t xml:space="preserve">the highest correlation with </w:t>
      </w:r>
      <w:r w:rsidR="00A92874">
        <w:rPr>
          <w:rFonts w:ascii="Arial" w:hAnsi="Arial" w:cs="Arial"/>
        </w:rPr>
        <w:t xml:space="preserve">the </w:t>
      </w:r>
      <w:r w:rsidR="008C0A6B" w:rsidRPr="0097225D">
        <w:rPr>
          <w:rFonts w:ascii="Arial" w:hAnsi="Arial" w:cs="Arial"/>
        </w:rPr>
        <w:t xml:space="preserve">cost ratios </w:t>
      </w:r>
      <w:r w:rsidR="00DA3759">
        <w:rPr>
          <w:rFonts w:ascii="Arial" w:hAnsi="Arial" w:cs="Arial"/>
        </w:rPr>
        <w:t>across</w:t>
      </w:r>
      <w:r w:rsidR="008C0A6B" w:rsidRPr="0097225D">
        <w:rPr>
          <w:rFonts w:ascii="Arial" w:hAnsi="Arial" w:cs="Arial"/>
        </w:rPr>
        <w:t xml:space="preserve"> most diagnostic groups</w:t>
      </w:r>
      <w:r w:rsidR="008C0A6B">
        <w:rPr>
          <w:rFonts w:ascii="Arial" w:hAnsi="Arial" w:cs="Arial"/>
        </w:rPr>
        <w:t>.</w:t>
      </w:r>
    </w:p>
    <w:p w:rsidR="0097225D" w:rsidRPr="0097225D" w:rsidRDefault="0097225D" w:rsidP="00A92874">
      <w:pPr>
        <w:jc w:val="both"/>
        <w:rPr>
          <w:rFonts w:ascii="Arial" w:hAnsi="Arial" w:cs="Arial"/>
          <w:b/>
        </w:rPr>
      </w:pPr>
      <w:r w:rsidRPr="0097225D">
        <w:rPr>
          <w:rFonts w:ascii="Arial" w:hAnsi="Arial" w:cs="Arial"/>
          <w:b/>
        </w:rPr>
        <w:t>4.1 Grouping into topics</w:t>
      </w:r>
    </w:p>
    <w:p w:rsidR="00466FA0" w:rsidRDefault="0097225D" w:rsidP="00466FA0">
      <w:pPr>
        <w:jc w:val="both"/>
        <w:rPr>
          <w:rFonts w:ascii="Arial" w:hAnsi="Arial" w:cs="Arial"/>
        </w:rPr>
      </w:pPr>
      <w:r w:rsidRPr="0097225D">
        <w:rPr>
          <w:rFonts w:ascii="Arial" w:hAnsi="Arial" w:cs="Arial"/>
        </w:rPr>
        <w:t xml:space="preserve">The potential candidate variables are grouped into four main topics, as shown in Table </w:t>
      </w:r>
      <w:r w:rsidR="00466FA0">
        <w:rPr>
          <w:rFonts w:ascii="Arial" w:hAnsi="Arial" w:cs="Arial"/>
        </w:rPr>
        <w:t>2</w:t>
      </w:r>
      <w:r w:rsidR="009A2C6A">
        <w:rPr>
          <w:rFonts w:ascii="Arial" w:hAnsi="Arial" w:cs="Arial"/>
        </w:rPr>
        <w:t>: Births and deaths, Health / Morbidity, Unpaid care and older people living alone, and Deprivation</w:t>
      </w:r>
      <w:r w:rsidRPr="0097225D">
        <w:rPr>
          <w:rFonts w:ascii="Arial" w:hAnsi="Arial" w:cs="Arial"/>
        </w:rPr>
        <w:t xml:space="preserve">. As far as possible, this grouping follows that of the NRAC 2007 review (e.g. low birth weight births are included with the SMR and death rate variables). Unpaid care and </w:t>
      </w:r>
      <w:r w:rsidR="00A92874">
        <w:rPr>
          <w:rFonts w:ascii="Arial" w:hAnsi="Arial" w:cs="Arial"/>
        </w:rPr>
        <w:t>older people</w:t>
      </w:r>
      <w:r w:rsidRPr="0097225D">
        <w:rPr>
          <w:rFonts w:ascii="Arial" w:hAnsi="Arial" w:cs="Arial"/>
        </w:rPr>
        <w:t xml:space="preserve"> living alone are grouped together because both caregiving and an absence of care where needed (as may be the case where </w:t>
      </w:r>
      <w:r w:rsidR="00A92874">
        <w:rPr>
          <w:rFonts w:ascii="Arial" w:hAnsi="Arial" w:cs="Arial"/>
        </w:rPr>
        <w:t>older</w:t>
      </w:r>
      <w:r w:rsidRPr="0097225D">
        <w:rPr>
          <w:rFonts w:ascii="Arial" w:hAnsi="Arial" w:cs="Arial"/>
        </w:rPr>
        <w:t xml:space="preserve"> people live alone) are anticipated to have a similar link to Acute healthcare need.</w:t>
      </w:r>
    </w:p>
    <w:p w:rsidR="00466FA0" w:rsidRDefault="00466FA0">
      <w:pPr>
        <w:rPr>
          <w:rFonts w:ascii="Arial" w:hAnsi="Arial" w:cs="Arial"/>
          <w:i/>
        </w:rPr>
      </w:pPr>
      <w:r>
        <w:rPr>
          <w:rFonts w:ascii="Arial" w:hAnsi="Arial" w:cs="Arial"/>
          <w:i/>
        </w:rPr>
        <w:br w:type="page"/>
      </w:r>
    </w:p>
    <w:p w:rsidR="00785B52" w:rsidRPr="008E2DD5" w:rsidRDefault="00785B52" w:rsidP="00253A0E">
      <w:pPr>
        <w:spacing w:after="0"/>
        <w:jc w:val="both"/>
        <w:rPr>
          <w:rFonts w:ascii="Arial" w:hAnsi="Arial" w:cs="Arial"/>
          <w:i/>
        </w:rPr>
      </w:pPr>
      <w:proofErr w:type="gramStart"/>
      <w:r w:rsidRPr="000F2402">
        <w:rPr>
          <w:rFonts w:ascii="Arial" w:hAnsi="Arial" w:cs="Arial"/>
          <w:i/>
        </w:rPr>
        <w:lastRenderedPageBreak/>
        <w:t xml:space="preserve">Table </w:t>
      </w:r>
      <w:r w:rsidR="00466FA0">
        <w:rPr>
          <w:rFonts w:ascii="Arial" w:hAnsi="Arial" w:cs="Arial"/>
          <w:i/>
        </w:rPr>
        <w:t>2</w:t>
      </w:r>
      <w:r w:rsidRPr="000F2402">
        <w:rPr>
          <w:rFonts w:ascii="Arial" w:hAnsi="Arial" w:cs="Arial"/>
          <w:i/>
        </w:rPr>
        <w:t>.</w:t>
      </w:r>
      <w:proofErr w:type="gramEnd"/>
      <w:r w:rsidRPr="000F2402">
        <w:rPr>
          <w:rFonts w:ascii="Arial" w:hAnsi="Arial" w:cs="Arial"/>
          <w:i/>
        </w:rPr>
        <w:t xml:space="preserve"> </w:t>
      </w:r>
      <w:r>
        <w:rPr>
          <w:rFonts w:ascii="Arial" w:hAnsi="Arial" w:cs="Arial"/>
          <w:i/>
        </w:rPr>
        <w:t xml:space="preserve">Potential candidate variables </w:t>
      </w:r>
      <w:r w:rsidR="009A2C6A">
        <w:rPr>
          <w:rFonts w:ascii="Arial" w:hAnsi="Arial" w:cs="Arial"/>
          <w:i/>
        </w:rPr>
        <w:t>grouped into topics</w:t>
      </w:r>
    </w:p>
    <w:tbl>
      <w:tblPr>
        <w:tblW w:w="4836" w:type="pct"/>
        <w:jc w:val="center"/>
        <w:tblInd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2"/>
        <w:gridCol w:w="2387"/>
      </w:tblGrid>
      <w:tr w:rsidR="00466FA0" w:rsidRPr="00DD012C" w:rsidTr="00466FA0">
        <w:trPr>
          <w:cantSplit/>
          <w:trHeight w:val="317"/>
          <w:jc w:val="center"/>
        </w:trPr>
        <w:tc>
          <w:tcPr>
            <w:tcW w:w="3665" w:type="pct"/>
            <w:tcBorders>
              <w:top w:val="single" w:sz="18" w:space="0" w:color="auto"/>
              <w:left w:val="single" w:sz="18" w:space="0" w:color="auto"/>
              <w:bottom w:val="single" w:sz="18" w:space="0" w:color="auto"/>
              <w:right w:val="single" w:sz="4" w:space="0" w:color="auto"/>
            </w:tcBorders>
            <w:hideMark/>
          </w:tcPr>
          <w:p w:rsidR="00466FA0" w:rsidRPr="00DD012C" w:rsidRDefault="00466FA0" w:rsidP="00DD012C">
            <w:pPr>
              <w:spacing w:after="0"/>
              <w:jc w:val="center"/>
              <w:rPr>
                <w:rFonts w:ascii="Arial" w:hAnsi="Arial" w:cs="Arial"/>
                <w:b/>
                <w:sz w:val="20"/>
                <w:szCs w:val="20"/>
              </w:rPr>
            </w:pPr>
            <w:r w:rsidRPr="00DD012C">
              <w:rPr>
                <w:rFonts w:ascii="Arial" w:hAnsi="Arial" w:cs="Arial"/>
                <w:b/>
                <w:sz w:val="20"/>
                <w:szCs w:val="20"/>
              </w:rPr>
              <w:t>Variable</w:t>
            </w:r>
          </w:p>
        </w:tc>
        <w:tc>
          <w:tcPr>
            <w:tcW w:w="1335" w:type="pct"/>
            <w:tcBorders>
              <w:top w:val="single" w:sz="18" w:space="0" w:color="auto"/>
              <w:left w:val="single" w:sz="4" w:space="0" w:color="auto"/>
              <w:bottom w:val="single" w:sz="18" w:space="0" w:color="auto"/>
              <w:right w:val="single" w:sz="18" w:space="0" w:color="auto"/>
            </w:tcBorders>
            <w:hideMark/>
          </w:tcPr>
          <w:p w:rsidR="00466FA0" w:rsidRPr="00DD012C" w:rsidRDefault="00466FA0" w:rsidP="00DD012C">
            <w:pPr>
              <w:spacing w:after="0"/>
              <w:jc w:val="center"/>
              <w:rPr>
                <w:rFonts w:ascii="Arial" w:hAnsi="Arial" w:cs="Arial"/>
                <w:b/>
                <w:sz w:val="20"/>
                <w:szCs w:val="20"/>
              </w:rPr>
            </w:pPr>
            <w:r w:rsidRPr="00DD012C">
              <w:rPr>
                <w:rFonts w:ascii="Arial" w:hAnsi="Arial" w:cs="Arial"/>
                <w:b/>
                <w:sz w:val="20"/>
                <w:szCs w:val="20"/>
              </w:rPr>
              <w:t>Topic</w:t>
            </w:r>
          </w:p>
        </w:tc>
      </w:tr>
      <w:tr w:rsidR="00466FA0" w:rsidRPr="00E819B6" w:rsidTr="00466FA0">
        <w:trPr>
          <w:trHeight w:val="284"/>
          <w:jc w:val="center"/>
        </w:trPr>
        <w:tc>
          <w:tcPr>
            <w:tcW w:w="3665" w:type="pct"/>
            <w:tcBorders>
              <w:top w:val="single" w:sz="18"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Low birth weight births</w:t>
            </w:r>
            <w:r>
              <w:rPr>
                <w:rFonts w:ascii="Arial" w:hAnsi="Arial" w:cs="Arial"/>
                <w:sz w:val="20"/>
                <w:szCs w:val="20"/>
              </w:rPr>
              <w:t xml:space="preserve"> – </w:t>
            </w:r>
            <w:r w:rsidRPr="00E819B6">
              <w:rPr>
                <w:rFonts w:ascii="Arial" w:hAnsi="Arial" w:cs="Arial"/>
                <w:sz w:val="20"/>
                <w:szCs w:val="20"/>
              </w:rPr>
              <w:t>as</w:t>
            </w:r>
            <w:r>
              <w:rPr>
                <w:rFonts w:ascii="Arial" w:hAnsi="Arial" w:cs="Arial"/>
                <w:sz w:val="20"/>
                <w:szCs w:val="20"/>
              </w:rPr>
              <w:t xml:space="preserve"> </w:t>
            </w:r>
            <w:r w:rsidRPr="00E819B6">
              <w:rPr>
                <w:rFonts w:ascii="Arial" w:hAnsi="Arial" w:cs="Arial"/>
                <w:sz w:val="20"/>
                <w:szCs w:val="20"/>
              </w:rPr>
              <w:t>a fraction of population</w:t>
            </w:r>
          </w:p>
        </w:tc>
        <w:tc>
          <w:tcPr>
            <w:tcW w:w="1335" w:type="pct"/>
            <w:vMerge w:val="restart"/>
            <w:tcBorders>
              <w:top w:val="single" w:sz="18" w:space="0" w:color="auto"/>
              <w:left w:val="single" w:sz="4" w:space="0" w:color="auto"/>
              <w:bottom w:val="single" w:sz="18" w:space="0" w:color="auto"/>
              <w:right w:val="single" w:sz="18" w:space="0" w:color="auto"/>
            </w:tcBorders>
            <w:vAlign w:val="center"/>
            <w:hideMark/>
          </w:tcPr>
          <w:p w:rsidR="00466FA0" w:rsidRPr="00E819B6" w:rsidRDefault="00466FA0" w:rsidP="00466FA0">
            <w:pPr>
              <w:spacing w:after="0"/>
              <w:jc w:val="center"/>
              <w:rPr>
                <w:rFonts w:ascii="Arial" w:hAnsi="Arial" w:cs="Arial"/>
                <w:sz w:val="20"/>
                <w:szCs w:val="20"/>
              </w:rPr>
            </w:pPr>
            <w:r>
              <w:rPr>
                <w:rFonts w:ascii="Arial" w:hAnsi="Arial" w:cs="Arial"/>
                <w:sz w:val="20"/>
                <w:szCs w:val="20"/>
              </w:rPr>
              <w:t>Births and deaths</w:t>
            </w: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Death rate 0-74 all causes</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Death rate 0-74 Cancer</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Death rate 0-74 CHD</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All cause SMR 0-64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All cause SMR 0-69</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All cause SMR 0-74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Cancer SMR 0-64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Cancer SMR 0-69</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Cancer SMR 0-74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Heart Disease SMR 0-64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Heart Disease SMR 0-69</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Heart Disease SMR 0-74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Other SMR 0-69</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18" w:space="0" w:color="auto"/>
              <w:right w:val="single" w:sz="4" w:space="0" w:color="auto"/>
            </w:tcBorders>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Other SMR 0-74</w:t>
            </w:r>
          </w:p>
        </w:tc>
        <w:tc>
          <w:tcPr>
            <w:tcW w:w="1335" w:type="pct"/>
            <w:vMerge/>
            <w:tcBorders>
              <w:left w:val="single" w:sz="4" w:space="0" w:color="auto"/>
              <w:bottom w:val="single" w:sz="18" w:space="0" w:color="auto"/>
              <w:right w:val="single" w:sz="18" w:space="0" w:color="auto"/>
            </w:tcBorders>
            <w:hideMark/>
          </w:tcPr>
          <w:p w:rsidR="00466FA0" w:rsidRPr="00E819B6" w:rsidRDefault="00466FA0"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EA6303">
            <w:pPr>
              <w:spacing w:after="0"/>
              <w:rPr>
                <w:rFonts w:ascii="Arial" w:hAnsi="Arial" w:cs="Arial"/>
                <w:sz w:val="20"/>
                <w:szCs w:val="20"/>
              </w:rPr>
            </w:pPr>
            <w:r w:rsidRPr="00E819B6">
              <w:rPr>
                <w:rFonts w:ascii="Arial" w:hAnsi="Arial" w:cs="Arial"/>
                <w:sz w:val="20"/>
                <w:szCs w:val="20"/>
              </w:rPr>
              <w:t>High Resource Individual counts</w:t>
            </w:r>
          </w:p>
        </w:tc>
        <w:tc>
          <w:tcPr>
            <w:tcW w:w="1335" w:type="pct"/>
            <w:vMerge w:val="restart"/>
            <w:tcBorders>
              <w:top w:val="single" w:sz="18" w:space="0" w:color="auto"/>
              <w:left w:val="single" w:sz="4" w:space="0" w:color="auto"/>
              <w:right w:val="single" w:sz="18" w:space="0" w:color="auto"/>
            </w:tcBorders>
            <w:shd w:val="clear" w:color="auto" w:fill="D9D9D9" w:themeFill="background1" w:themeFillShade="D9"/>
            <w:vAlign w:val="center"/>
            <w:hideMark/>
          </w:tcPr>
          <w:p w:rsidR="00EA6303" w:rsidRPr="00E819B6" w:rsidRDefault="00EA6303" w:rsidP="00466FA0">
            <w:pPr>
              <w:spacing w:after="0"/>
              <w:jc w:val="center"/>
              <w:rPr>
                <w:rFonts w:ascii="Arial" w:hAnsi="Arial" w:cs="Arial"/>
                <w:sz w:val="20"/>
                <w:szCs w:val="20"/>
              </w:rPr>
            </w:pPr>
            <w:r>
              <w:rPr>
                <w:rFonts w:ascii="Arial" w:hAnsi="Arial" w:cs="Arial"/>
                <w:sz w:val="20"/>
                <w:szCs w:val="20"/>
              </w:rPr>
              <w:t>Health</w:t>
            </w:r>
            <w:r w:rsidR="00A542E9">
              <w:rPr>
                <w:rFonts w:ascii="Arial" w:hAnsi="Arial" w:cs="Arial"/>
                <w:sz w:val="20"/>
                <w:szCs w:val="20"/>
              </w:rPr>
              <w:t xml:space="preserve"> </w:t>
            </w:r>
            <w:r>
              <w:rPr>
                <w:rFonts w:ascii="Arial" w:hAnsi="Arial" w:cs="Arial"/>
                <w:sz w:val="20"/>
                <w:szCs w:val="20"/>
              </w:rPr>
              <w:t>/</w:t>
            </w:r>
            <w:r w:rsidR="00A542E9">
              <w:rPr>
                <w:rFonts w:ascii="Arial" w:hAnsi="Arial" w:cs="Arial"/>
                <w:sz w:val="20"/>
                <w:szCs w:val="20"/>
              </w:rPr>
              <w:t xml:space="preserve"> </w:t>
            </w:r>
            <w:r>
              <w:rPr>
                <w:rFonts w:ascii="Arial" w:hAnsi="Arial" w:cs="Arial"/>
                <w:sz w:val="20"/>
                <w:szCs w:val="20"/>
              </w:rPr>
              <w:t>Morbidity</w:t>
            </w:r>
          </w:p>
        </w:tc>
      </w:tr>
      <w:tr w:rsidR="00EA6303" w:rsidRPr="00E819B6" w:rsidTr="003D01D4">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tcPr>
          <w:p w:rsidR="00EA6303" w:rsidRPr="00E819B6" w:rsidRDefault="00EA6303"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Dementia prescriptions</w:t>
            </w:r>
          </w:p>
        </w:tc>
        <w:tc>
          <w:tcPr>
            <w:tcW w:w="1335" w:type="pct"/>
            <w:vMerge/>
            <w:tcBorders>
              <w:left w:val="single" w:sz="4" w:space="0" w:color="auto"/>
              <w:right w:val="single" w:sz="18" w:space="0" w:color="auto"/>
            </w:tcBorders>
            <w:shd w:val="clear" w:color="auto" w:fill="D9D9D9" w:themeFill="background1" w:themeFillShade="D9"/>
          </w:tcPr>
          <w:p w:rsidR="00EA6303" w:rsidRPr="00E819B6" w:rsidRDefault="00EA6303"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DD24B4">
            <w:pPr>
              <w:spacing w:after="0"/>
              <w:rPr>
                <w:rFonts w:ascii="Arial" w:hAnsi="Arial" w:cs="Arial"/>
                <w:sz w:val="20"/>
                <w:szCs w:val="20"/>
              </w:rPr>
            </w:pPr>
            <w:r w:rsidRPr="00E819B6">
              <w:rPr>
                <w:rFonts w:ascii="Arial" w:hAnsi="Arial" w:cs="Arial"/>
                <w:sz w:val="20"/>
                <w:szCs w:val="20"/>
              </w:rPr>
              <w:t xml:space="preserve">Long-term illness </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DD24B4">
            <w:pPr>
              <w:spacing w:after="0"/>
              <w:rPr>
                <w:rFonts w:ascii="Arial" w:hAnsi="Arial" w:cs="Arial"/>
                <w:sz w:val="20"/>
                <w:szCs w:val="20"/>
              </w:rPr>
            </w:pPr>
            <w:r w:rsidRPr="00E819B6">
              <w:rPr>
                <w:rFonts w:ascii="Arial" w:hAnsi="Arial" w:cs="Arial"/>
                <w:sz w:val="20"/>
                <w:szCs w:val="20"/>
              </w:rPr>
              <w:t xml:space="preserve">Mental health condition </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3D01D4">
            <w:pPr>
              <w:spacing w:after="0"/>
              <w:rPr>
                <w:rFonts w:ascii="Arial" w:hAnsi="Arial" w:cs="Arial"/>
                <w:sz w:val="20"/>
                <w:szCs w:val="20"/>
              </w:rPr>
            </w:pPr>
            <w:r w:rsidRPr="00E819B6">
              <w:rPr>
                <w:rFonts w:ascii="Arial" w:hAnsi="Arial" w:cs="Arial"/>
                <w:sz w:val="20"/>
                <w:szCs w:val="20"/>
              </w:rPr>
              <w:t xml:space="preserve">Limiting long-term illness </w:t>
            </w:r>
            <w:r>
              <w:rPr>
                <w:rFonts w:ascii="Arial" w:hAnsi="Arial" w:cs="Arial"/>
                <w:sz w:val="20"/>
                <w:szCs w:val="20"/>
              </w:rPr>
              <w:t>– limited a lot</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3D01D4">
            <w:pPr>
              <w:spacing w:after="0"/>
              <w:rPr>
                <w:rFonts w:ascii="Arial" w:hAnsi="Arial" w:cs="Arial"/>
                <w:sz w:val="20"/>
                <w:szCs w:val="20"/>
              </w:rPr>
            </w:pPr>
            <w:r>
              <w:rPr>
                <w:rFonts w:ascii="Arial" w:hAnsi="Arial" w:cs="Arial"/>
                <w:sz w:val="20"/>
                <w:szCs w:val="20"/>
              </w:rPr>
              <w:t>Limiting long-term illness – limited a little or a lot</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DD24B4">
            <w:pPr>
              <w:spacing w:after="0"/>
              <w:rPr>
                <w:rFonts w:ascii="Arial" w:hAnsi="Arial" w:cs="Arial"/>
                <w:sz w:val="20"/>
                <w:szCs w:val="20"/>
              </w:rPr>
            </w:pPr>
            <w:r w:rsidRPr="00E819B6">
              <w:rPr>
                <w:rFonts w:ascii="Arial" w:hAnsi="Arial" w:cs="Arial"/>
                <w:sz w:val="20"/>
                <w:szCs w:val="20"/>
              </w:rPr>
              <w:t xml:space="preserve">Long-term sick and not seeking work </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EA6303" w:rsidP="003D01D4">
            <w:pPr>
              <w:spacing w:after="0"/>
              <w:rPr>
                <w:rFonts w:ascii="Arial" w:hAnsi="Arial" w:cs="Arial"/>
                <w:sz w:val="20"/>
                <w:szCs w:val="20"/>
              </w:rPr>
            </w:pPr>
            <w:r>
              <w:rPr>
                <w:rFonts w:ascii="Arial" w:hAnsi="Arial" w:cs="Arial"/>
                <w:sz w:val="20"/>
                <w:szCs w:val="20"/>
              </w:rPr>
              <w:t>G</w:t>
            </w:r>
            <w:r w:rsidRPr="00E819B6">
              <w:rPr>
                <w:rFonts w:ascii="Arial" w:hAnsi="Arial" w:cs="Arial"/>
                <w:sz w:val="20"/>
                <w:szCs w:val="20"/>
              </w:rPr>
              <w:t xml:space="preserve">eneral health </w:t>
            </w:r>
            <w:r>
              <w:rPr>
                <w:rFonts w:ascii="Arial" w:hAnsi="Arial" w:cs="Arial"/>
                <w:sz w:val="20"/>
                <w:szCs w:val="20"/>
              </w:rPr>
              <w:t>– very bad</w:t>
            </w:r>
          </w:p>
        </w:tc>
        <w:tc>
          <w:tcPr>
            <w:tcW w:w="1335" w:type="pct"/>
            <w:vMerge/>
            <w:tcBorders>
              <w:left w:val="single" w:sz="4"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18" w:space="0" w:color="auto"/>
              <w:right w:val="single" w:sz="4" w:space="0" w:color="auto"/>
            </w:tcBorders>
            <w:shd w:val="clear" w:color="auto" w:fill="D9D9D9" w:themeFill="background1" w:themeFillShade="D9"/>
            <w:hideMark/>
          </w:tcPr>
          <w:p w:rsidR="00EA6303" w:rsidRDefault="00EA6303" w:rsidP="003D01D4">
            <w:pPr>
              <w:spacing w:after="0"/>
              <w:rPr>
                <w:rFonts w:ascii="Arial" w:hAnsi="Arial" w:cs="Arial"/>
                <w:sz w:val="20"/>
                <w:szCs w:val="20"/>
              </w:rPr>
            </w:pPr>
            <w:r>
              <w:rPr>
                <w:rFonts w:ascii="Arial" w:hAnsi="Arial" w:cs="Arial"/>
                <w:sz w:val="20"/>
                <w:szCs w:val="20"/>
              </w:rPr>
              <w:t>General health – bad or very bad</w:t>
            </w:r>
          </w:p>
        </w:tc>
        <w:tc>
          <w:tcPr>
            <w:tcW w:w="1335" w:type="pct"/>
            <w:vMerge/>
            <w:tcBorders>
              <w:left w:val="single" w:sz="4" w:space="0" w:color="auto"/>
              <w:bottom w:val="single" w:sz="18" w:space="0" w:color="auto"/>
              <w:right w:val="single" w:sz="18" w:space="0" w:color="auto"/>
            </w:tcBorders>
            <w:shd w:val="clear" w:color="auto" w:fill="D9D9D9" w:themeFill="background1" w:themeFillShade="D9"/>
            <w:hideMark/>
          </w:tcPr>
          <w:p w:rsidR="00EA6303" w:rsidRPr="00E819B6" w:rsidRDefault="00EA6303" w:rsidP="00466FA0">
            <w:pPr>
              <w:spacing w:after="0"/>
              <w:rPr>
                <w:rFonts w:ascii="Arial" w:hAnsi="Arial" w:cs="Arial"/>
                <w:sz w:val="20"/>
                <w:szCs w:val="20"/>
              </w:rPr>
            </w:pPr>
          </w:p>
        </w:tc>
      </w:tr>
      <w:tr w:rsidR="00EA6303" w:rsidRPr="00E819B6" w:rsidTr="003D01D4">
        <w:trPr>
          <w:trHeight w:val="284"/>
          <w:jc w:val="center"/>
        </w:trPr>
        <w:tc>
          <w:tcPr>
            <w:tcW w:w="3665" w:type="pct"/>
            <w:tcBorders>
              <w:top w:val="single" w:sz="18" w:space="0" w:color="auto"/>
              <w:left w:val="single" w:sz="18" w:space="0" w:color="auto"/>
              <w:bottom w:val="single" w:sz="4" w:space="0" w:color="auto"/>
              <w:right w:val="single" w:sz="4" w:space="0" w:color="auto"/>
            </w:tcBorders>
            <w:hideMark/>
          </w:tcPr>
          <w:p w:rsidR="00EA6303" w:rsidRPr="00E819B6"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65 and over</w:t>
            </w:r>
          </w:p>
        </w:tc>
        <w:tc>
          <w:tcPr>
            <w:tcW w:w="1335" w:type="pct"/>
            <w:vMerge w:val="restart"/>
            <w:tcBorders>
              <w:top w:val="single" w:sz="18" w:space="0" w:color="auto"/>
              <w:left w:val="single" w:sz="4" w:space="0" w:color="auto"/>
              <w:right w:val="single" w:sz="18" w:space="0" w:color="auto"/>
            </w:tcBorders>
            <w:vAlign w:val="center"/>
            <w:hideMark/>
          </w:tcPr>
          <w:p w:rsidR="00EA6303" w:rsidRPr="00E819B6" w:rsidRDefault="00EA6303" w:rsidP="00466FA0">
            <w:pPr>
              <w:spacing w:after="0"/>
              <w:jc w:val="center"/>
              <w:rPr>
                <w:rFonts w:ascii="Arial" w:hAnsi="Arial" w:cs="Arial"/>
                <w:sz w:val="20"/>
                <w:szCs w:val="20"/>
              </w:rPr>
            </w:pPr>
            <w:r>
              <w:rPr>
                <w:rFonts w:ascii="Arial" w:hAnsi="Arial" w:cs="Arial"/>
                <w:sz w:val="20"/>
                <w:szCs w:val="20"/>
              </w:rPr>
              <w:t>Unpaid care and older people living alone</w:t>
            </w: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70 and over</w:t>
            </w:r>
          </w:p>
        </w:tc>
        <w:tc>
          <w:tcPr>
            <w:tcW w:w="1335" w:type="pct"/>
            <w:vMerge/>
            <w:tcBorders>
              <w:left w:val="single" w:sz="4" w:space="0" w:color="auto"/>
              <w:right w:val="single" w:sz="18" w:space="0" w:color="auto"/>
            </w:tcBorders>
            <w:vAlign w:val="center"/>
            <w:hideMark/>
          </w:tcPr>
          <w:p w:rsidR="00EA6303" w:rsidRDefault="00EA6303" w:rsidP="00466FA0">
            <w:pPr>
              <w:spacing w:after="0"/>
              <w:jc w:val="center"/>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75 and over</w:t>
            </w:r>
          </w:p>
        </w:tc>
        <w:tc>
          <w:tcPr>
            <w:tcW w:w="1335" w:type="pct"/>
            <w:vMerge/>
            <w:tcBorders>
              <w:left w:val="single" w:sz="4" w:space="0" w:color="auto"/>
              <w:right w:val="single" w:sz="18" w:space="0" w:color="auto"/>
            </w:tcBorders>
            <w:vAlign w:val="center"/>
            <w:hideMark/>
          </w:tcPr>
          <w:p w:rsidR="00EA6303" w:rsidRDefault="00EA6303" w:rsidP="00466FA0">
            <w:pPr>
              <w:spacing w:after="0"/>
              <w:jc w:val="center"/>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80 and over</w:t>
            </w:r>
          </w:p>
        </w:tc>
        <w:tc>
          <w:tcPr>
            <w:tcW w:w="1335" w:type="pct"/>
            <w:vMerge/>
            <w:tcBorders>
              <w:left w:val="single" w:sz="4" w:space="0" w:color="auto"/>
              <w:right w:val="single" w:sz="18" w:space="0" w:color="auto"/>
            </w:tcBorders>
            <w:vAlign w:val="center"/>
            <w:hideMark/>
          </w:tcPr>
          <w:p w:rsidR="00EA6303" w:rsidRDefault="00EA6303" w:rsidP="00466FA0">
            <w:pPr>
              <w:spacing w:after="0"/>
              <w:jc w:val="center"/>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85 and over</w:t>
            </w:r>
          </w:p>
        </w:tc>
        <w:tc>
          <w:tcPr>
            <w:tcW w:w="1335" w:type="pct"/>
            <w:vMerge/>
            <w:tcBorders>
              <w:left w:val="single" w:sz="4" w:space="0" w:color="auto"/>
              <w:right w:val="single" w:sz="18" w:space="0" w:color="auto"/>
            </w:tcBorders>
            <w:vAlign w:val="center"/>
            <w:hideMark/>
          </w:tcPr>
          <w:p w:rsidR="00EA6303" w:rsidRDefault="00EA6303" w:rsidP="00466FA0">
            <w:pPr>
              <w:spacing w:after="0"/>
              <w:jc w:val="center"/>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Default="00EA6303"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90 and over</w:t>
            </w:r>
          </w:p>
        </w:tc>
        <w:tc>
          <w:tcPr>
            <w:tcW w:w="1335" w:type="pct"/>
            <w:vMerge/>
            <w:tcBorders>
              <w:left w:val="single" w:sz="4" w:space="0" w:color="auto"/>
              <w:right w:val="single" w:sz="18" w:space="0" w:color="auto"/>
            </w:tcBorders>
            <w:vAlign w:val="center"/>
            <w:hideMark/>
          </w:tcPr>
          <w:p w:rsidR="00EA6303" w:rsidRDefault="00EA6303" w:rsidP="00466FA0">
            <w:pPr>
              <w:spacing w:after="0"/>
              <w:jc w:val="center"/>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Pr="00E819B6" w:rsidRDefault="00EA6303"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1 hour or more</w:t>
            </w:r>
          </w:p>
        </w:tc>
        <w:tc>
          <w:tcPr>
            <w:tcW w:w="1335" w:type="pct"/>
            <w:vMerge/>
            <w:tcBorders>
              <w:left w:val="single" w:sz="4" w:space="0" w:color="auto"/>
              <w:right w:val="single" w:sz="18" w:space="0" w:color="auto"/>
            </w:tcBorders>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Pr="00E819B6" w:rsidRDefault="00EA6303"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20 hours or more</w:t>
            </w:r>
          </w:p>
        </w:tc>
        <w:tc>
          <w:tcPr>
            <w:tcW w:w="1335" w:type="pct"/>
            <w:vMerge/>
            <w:tcBorders>
              <w:left w:val="single" w:sz="4" w:space="0" w:color="auto"/>
              <w:right w:val="single" w:sz="18" w:space="0" w:color="auto"/>
            </w:tcBorders>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hideMark/>
          </w:tcPr>
          <w:p w:rsidR="00EA6303" w:rsidRPr="00E819B6" w:rsidRDefault="00EA6303"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35 hours or more</w:t>
            </w:r>
          </w:p>
        </w:tc>
        <w:tc>
          <w:tcPr>
            <w:tcW w:w="1335" w:type="pct"/>
            <w:vMerge/>
            <w:tcBorders>
              <w:left w:val="single" w:sz="4" w:space="0" w:color="auto"/>
              <w:right w:val="single" w:sz="18" w:space="0" w:color="auto"/>
            </w:tcBorders>
            <w:hideMark/>
          </w:tcPr>
          <w:p w:rsidR="00EA6303" w:rsidRPr="00E819B6" w:rsidRDefault="00EA6303" w:rsidP="00466FA0">
            <w:pPr>
              <w:spacing w:after="0"/>
              <w:rPr>
                <w:rFonts w:ascii="Arial" w:hAnsi="Arial" w:cs="Arial"/>
                <w:sz w:val="20"/>
                <w:szCs w:val="20"/>
              </w:rPr>
            </w:pPr>
          </w:p>
        </w:tc>
      </w:tr>
      <w:tr w:rsidR="00EA6303" w:rsidRPr="00E819B6" w:rsidTr="00EA6303">
        <w:trPr>
          <w:trHeight w:val="284"/>
          <w:jc w:val="center"/>
        </w:trPr>
        <w:tc>
          <w:tcPr>
            <w:tcW w:w="3665" w:type="pct"/>
            <w:tcBorders>
              <w:top w:val="single" w:sz="4" w:space="0" w:color="auto"/>
              <w:left w:val="single" w:sz="18" w:space="0" w:color="auto"/>
              <w:bottom w:val="single" w:sz="18" w:space="0" w:color="auto"/>
              <w:right w:val="single" w:sz="4" w:space="0" w:color="auto"/>
            </w:tcBorders>
            <w:hideMark/>
          </w:tcPr>
          <w:p w:rsidR="00EA6303" w:rsidRPr="00E819B6" w:rsidRDefault="00EA6303"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50 hours or more</w:t>
            </w:r>
          </w:p>
        </w:tc>
        <w:tc>
          <w:tcPr>
            <w:tcW w:w="1335" w:type="pct"/>
            <w:vMerge/>
            <w:tcBorders>
              <w:left w:val="single" w:sz="4" w:space="0" w:color="auto"/>
              <w:bottom w:val="single" w:sz="18" w:space="0" w:color="auto"/>
              <w:right w:val="single" w:sz="18" w:space="0" w:color="auto"/>
            </w:tcBorders>
            <w:hideMark/>
          </w:tcPr>
          <w:p w:rsidR="00EA6303" w:rsidRPr="00E819B6" w:rsidRDefault="00EA6303" w:rsidP="00466FA0">
            <w:pPr>
              <w:spacing w:after="0"/>
              <w:rPr>
                <w:rFonts w:ascii="Arial" w:hAnsi="Arial" w:cs="Arial"/>
                <w:sz w:val="20"/>
                <w:szCs w:val="20"/>
              </w:rPr>
            </w:pPr>
          </w:p>
        </w:tc>
      </w:tr>
      <w:tr w:rsidR="00EA6303" w:rsidRPr="00E819B6" w:rsidTr="00466FA0">
        <w:trPr>
          <w:trHeight w:val="284"/>
          <w:jc w:val="center"/>
        </w:trPr>
        <w:tc>
          <w:tcPr>
            <w:tcW w:w="3665" w:type="pct"/>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4D0935" w:rsidP="003D01D4">
            <w:pPr>
              <w:spacing w:after="0"/>
              <w:rPr>
                <w:rFonts w:ascii="Arial" w:hAnsi="Arial" w:cs="Arial"/>
                <w:sz w:val="20"/>
                <w:szCs w:val="20"/>
              </w:rPr>
            </w:pPr>
            <w:r>
              <w:rPr>
                <w:rFonts w:ascii="Arial" w:hAnsi="Arial" w:cs="Arial"/>
                <w:sz w:val="20"/>
                <w:szCs w:val="20"/>
              </w:rPr>
              <w:t>E</w:t>
            </w:r>
            <w:r w:rsidR="00EA6303" w:rsidRPr="00E819B6">
              <w:rPr>
                <w:rFonts w:ascii="Arial" w:hAnsi="Arial" w:cs="Arial"/>
                <w:sz w:val="20"/>
                <w:szCs w:val="20"/>
              </w:rPr>
              <w:t xml:space="preserve">ducation level </w:t>
            </w:r>
            <w:r w:rsidR="00EA6303">
              <w:rPr>
                <w:rFonts w:ascii="Arial" w:hAnsi="Arial" w:cs="Arial"/>
                <w:sz w:val="20"/>
                <w:szCs w:val="20"/>
              </w:rPr>
              <w:t>– no qualifications</w:t>
            </w:r>
          </w:p>
        </w:tc>
        <w:tc>
          <w:tcPr>
            <w:tcW w:w="1335" w:type="pct"/>
            <w:vMerge w:val="restart"/>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EA6303" w:rsidRPr="00E819B6" w:rsidRDefault="00EA6303" w:rsidP="00466FA0">
            <w:pPr>
              <w:spacing w:after="0"/>
              <w:jc w:val="center"/>
              <w:rPr>
                <w:rFonts w:ascii="Arial" w:hAnsi="Arial" w:cs="Arial"/>
                <w:sz w:val="20"/>
                <w:szCs w:val="20"/>
              </w:rPr>
            </w:pPr>
            <w:r w:rsidRPr="00785B52">
              <w:rPr>
                <w:rFonts w:ascii="Arial" w:hAnsi="Arial" w:cs="Arial"/>
                <w:sz w:val="20"/>
                <w:szCs w:val="20"/>
                <w:shd w:val="clear" w:color="auto" w:fill="D9D9D9" w:themeFill="background1" w:themeFillShade="D9"/>
              </w:rPr>
              <w:t>Deprivatio</w:t>
            </w:r>
            <w:r>
              <w:rPr>
                <w:rFonts w:ascii="Arial" w:hAnsi="Arial" w:cs="Arial"/>
                <w:sz w:val="20"/>
                <w:szCs w:val="20"/>
              </w:rPr>
              <w:t>n</w:t>
            </w: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4D0935" w:rsidP="003D01D4">
            <w:pPr>
              <w:spacing w:after="0"/>
              <w:rPr>
                <w:rFonts w:ascii="Arial" w:hAnsi="Arial" w:cs="Arial"/>
                <w:sz w:val="20"/>
                <w:szCs w:val="20"/>
              </w:rPr>
            </w:pPr>
            <w:r>
              <w:rPr>
                <w:rFonts w:ascii="Arial" w:hAnsi="Arial" w:cs="Arial"/>
                <w:sz w:val="20"/>
                <w:szCs w:val="20"/>
              </w:rPr>
              <w:t>E</w:t>
            </w:r>
            <w:r w:rsidR="00EA6303" w:rsidRPr="00E819B6">
              <w:rPr>
                <w:rFonts w:ascii="Arial" w:hAnsi="Arial" w:cs="Arial"/>
                <w:sz w:val="20"/>
                <w:szCs w:val="20"/>
              </w:rPr>
              <w:t xml:space="preserve">ducation level </w:t>
            </w:r>
            <w:r w:rsidR="00EA6303">
              <w:rPr>
                <w:rFonts w:ascii="Arial" w:hAnsi="Arial" w:cs="Arial"/>
                <w:sz w:val="20"/>
                <w:szCs w:val="20"/>
              </w:rPr>
              <w:t>– level 1 and below</w:t>
            </w:r>
          </w:p>
        </w:tc>
        <w:tc>
          <w:tcPr>
            <w:tcW w:w="1335" w:type="pct"/>
            <w:vMerge/>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EA6303" w:rsidRPr="00785B52" w:rsidRDefault="00EA6303" w:rsidP="00466FA0">
            <w:pPr>
              <w:spacing w:after="0"/>
              <w:jc w:val="center"/>
              <w:rPr>
                <w:rFonts w:ascii="Arial" w:hAnsi="Arial" w:cs="Arial"/>
                <w:sz w:val="20"/>
                <w:szCs w:val="20"/>
                <w:shd w:val="clear" w:color="auto" w:fill="D9D9D9" w:themeFill="background1" w:themeFillShade="D9"/>
              </w:rPr>
            </w:pPr>
          </w:p>
        </w:tc>
      </w:tr>
      <w:tr w:rsidR="00EA6303" w:rsidRPr="00E819B6" w:rsidTr="00EA6303">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EA6303" w:rsidRPr="00E819B6" w:rsidRDefault="004D0935" w:rsidP="003D01D4">
            <w:pPr>
              <w:spacing w:after="0"/>
              <w:rPr>
                <w:rFonts w:ascii="Arial" w:hAnsi="Arial" w:cs="Arial"/>
                <w:sz w:val="20"/>
                <w:szCs w:val="20"/>
              </w:rPr>
            </w:pPr>
            <w:r>
              <w:rPr>
                <w:rFonts w:ascii="Arial" w:hAnsi="Arial" w:cs="Arial"/>
                <w:sz w:val="20"/>
                <w:szCs w:val="20"/>
              </w:rPr>
              <w:t>E</w:t>
            </w:r>
            <w:r w:rsidR="00EA6303" w:rsidRPr="00E819B6">
              <w:rPr>
                <w:rFonts w:ascii="Arial" w:hAnsi="Arial" w:cs="Arial"/>
                <w:sz w:val="20"/>
                <w:szCs w:val="20"/>
              </w:rPr>
              <w:t xml:space="preserve">ducation level </w:t>
            </w:r>
            <w:r w:rsidR="00EA6303">
              <w:rPr>
                <w:rFonts w:ascii="Arial" w:hAnsi="Arial" w:cs="Arial"/>
                <w:sz w:val="20"/>
                <w:szCs w:val="20"/>
              </w:rPr>
              <w:t>– level 2 and below</w:t>
            </w:r>
          </w:p>
        </w:tc>
        <w:tc>
          <w:tcPr>
            <w:tcW w:w="1335" w:type="pct"/>
            <w:vMerge/>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EA6303" w:rsidRPr="00785B52" w:rsidRDefault="00EA6303" w:rsidP="00466FA0">
            <w:pPr>
              <w:spacing w:after="0"/>
              <w:jc w:val="center"/>
              <w:rPr>
                <w:rFonts w:ascii="Arial" w:hAnsi="Arial" w:cs="Arial"/>
                <w:sz w:val="20"/>
                <w:szCs w:val="20"/>
                <w:shd w:val="clear" w:color="auto" w:fill="D9D9D9" w:themeFill="background1" w:themeFillShade="D9"/>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 xml:space="preserve">Job seekers </w:t>
            </w:r>
          </w:p>
        </w:tc>
        <w:tc>
          <w:tcPr>
            <w:tcW w:w="1335" w:type="pct"/>
            <w:vMerge/>
            <w:tcBorders>
              <w:left w:val="single" w:sz="4" w:space="0" w:color="auto"/>
              <w:bottom w:val="single" w:sz="18" w:space="0" w:color="auto"/>
              <w:right w:val="single" w:sz="18" w:space="0" w:color="auto"/>
            </w:tcBorders>
            <w:shd w:val="clear" w:color="auto" w:fill="D9D9D9" w:themeFill="background1" w:themeFillShade="D9"/>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4" w:space="0" w:color="auto"/>
              <w:right w:val="single" w:sz="4" w:space="0" w:color="auto"/>
            </w:tcBorders>
            <w:shd w:val="clear" w:color="auto" w:fill="D9D9D9" w:themeFill="background1" w:themeFillShade="D9"/>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 xml:space="preserve">Did Not Attend counts – as </w:t>
            </w:r>
            <w:r>
              <w:rPr>
                <w:rFonts w:ascii="Arial" w:hAnsi="Arial" w:cs="Arial"/>
                <w:sz w:val="20"/>
                <w:szCs w:val="20"/>
              </w:rPr>
              <w:t xml:space="preserve">a </w:t>
            </w:r>
            <w:r w:rsidRPr="00E819B6">
              <w:rPr>
                <w:rFonts w:ascii="Arial" w:hAnsi="Arial" w:cs="Arial"/>
                <w:sz w:val="20"/>
                <w:szCs w:val="20"/>
              </w:rPr>
              <w:t>fraction of all OP appointments</w:t>
            </w:r>
          </w:p>
        </w:tc>
        <w:tc>
          <w:tcPr>
            <w:tcW w:w="1335" w:type="pct"/>
            <w:vMerge/>
            <w:tcBorders>
              <w:left w:val="single" w:sz="4" w:space="0" w:color="auto"/>
              <w:bottom w:val="single" w:sz="18" w:space="0" w:color="auto"/>
              <w:right w:val="single" w:sz="18" w:space="0" w:color="auto"/>
            </w:tcBorders>
            <w:shd w:val="clear" w:color="auto" w:fill="D9D9D9" w:themeFill="background1" w:themeFillShade="D9"/>
            <w:hideMark/>
          </w:tcPr>
          <w:p w:rsidR="00466FA0" w:rsidRPr="00E819B6" w:rsidRDefault="00466FA0" w:rsidP="00466FA0">
            <w:pPr>
              <w:spacing w:after="0"/>
              <w:rPr>
                <w:rFonts w:ascii="Arial" w:hAnsi="Arial" w:cs="Arial"/>
                <w:sz w:val="20"/>
                <w:szCs w:val="20"/>
              </w:rPr>
            </w:pPr>
          </w:p>
        </w:tc>
      </w:tr>
      <w:tr w:rsidR="00466FA0" w:rsidRPr="00E819B6" w:rsidTr="00466FA0">
        <w:trPr>
          <w:trHeight w:val="284"/>
          <w:jc w:val="center"/>
        </w:trPr>
        <w:tc>
          <w:tcPr>
            <w:tcW w:w="3665" w:type="pct"/>
            <w:tcBorders>
              <w:top w:val="single" w:sz="4" w:space="0" w:color="auto"/>
              <w:left w:val="single" w:sz="18" w:space="0" w:color="auto"/>
              <w:bottom w:val="single" w:sz="18" w:space="0" w:color="auto"/>
              <w:right w:val="single" w:sz="4" w:space="0" w:color="auto"/>
            </w:tcBorders>
            <w:shd w:val="clear" w:color="auto" w:fill="D9D9D9" w:themeFill="background1" w:themeFillShade="D9"/>
            <w:hideMark/>
          </w:tcPr>
          <w:p w:rsidR="00466FA0" w:rsidRPr="00E819B6" w:rsidRDefault="00466FA0" w:rsidP="00DD24B4">
            <w:pPr>
              <w:spacing w:after="0"/>
              <w:rPr>
                <w:rFonts w:ascii="Arial" w:hAnsi="Arial" w:cs="Arial"/>
                <w:sz w:val="20"/>
                <w:szCs w:val="20"/>
              </w:rPr>
            </w:pPr>
            <w:r w:rsidRPr="00E819B6">
              <w:rPr>
                <w:rFonts w:ascii="Arial" w:hAnsi="Arial" w:cs="Arial"/>
                <w:sz w:val="20"/>
                <w:szCs w:val="20"/>
              </w:rPr>
              <w:t xml:space="preserve">Did Not Attend counts </w:t>
            </w:r>
            <w:r w:rsidR="00EA6303">
              <w:rPr>
                <w:rFonts w:ascii="Arial" w:hAnsi="Arial" w:cs="Arial"/>
                <w:sz w:val="20"/>
                <w:szCs w:val="20"/>
              </w:rPr>
              <w:t xml:space="preserve">– ratio </w:t>
            </w:r>
            <w:r w:rsidRPr="00E819B6">
              <w:rPr>
                <w:rFonts w:ascii="Arial" w:hAnsi="Arial" w:cs="Arial"/>
                <w:sz w:val="20"/>
                <w:szCs w:val="20"/>
              </w:rPr>
              <w:t>to data zone population</w:t>
            </w:r>
          </w:p>
        </w:tc>
        <w:tc>
          <w:tcPr>
            <w:tcW w:w="1335" w:type="pct"/>
            <w:vMerge/>
            <w:tcBorders>
              <w:left w:val="single" w:sz="4" w:space="0" w:color="auto"/>
              <w:bottom w:val="single" w:sz="18" w:space="0" w:color="auto"/>
              <w:right w:val="single" w:sz="18" w:space="0" w:color="auto"/>
            </w:tcBorders>
            <w:shd w:val="clear" w:color="auto" w:fill="D9D9D9" w:themeFill="background1" w:themeFillShade="D9"/>
            <w:hideMark/>
          </w:tcPr>
          <w:p w:rsidR="00466FA0" w:rsidRPr="00E819B6" w:rsidRDefault="00466FA0" w:rsidP="00466FA0">
            <w:pPr>
              <w:spacing w:after="0"/>
              <w:rPr>
                <w:rFonts w:ascii="Arial" w:hAnsi="Arial" w:cs="Arial"/>
                <w:sz w:val="20"/>
                <w:szCs w:val="20"/>
              </w:rPr>
            </w:pPr>
          </w:p>
        </w:tc>
      </w:tr>
    </w:tbl>
    <w:p w:rsidR="00466FA0" w:rsidRDefault="00466FA0" w:rsidP="0097225D">
      <w:pPr>
        <w:jc w:val="both"/>
        <w:rPr>
          <w:rFonts w:ascii="Arial" w:hAnsi="Arial" w:cs="Arial"/>
          <w:b/>
        </w:rPr>
      </w:pPr>
    </w:p>
    <w:p w:rsidR="0097225D" w:rsidRPr="0097225D" w:rsidRDefault="0097225D" w:rsidP="0097225D">
      <w:pPr>
        <w:jc w:val="both"/>
        <w:rPr>
          <w:rFonts w:ascii="Arial" w:hAnsi="Arial" w:cs="Arial"/>
          <w:b/>
        </w:rPr>
      </w:pPr>
      <w:r w:rsidRPr="0097225D">
        <w:rPr>
          <w:rFonts w:ascii="Arial" w:hAnsi="Arial" w:cs="Arial"/>
          <w:b/>
        </w:rPr>
        <w:lastRenderedPageBreak/>
        <w:t xml:space="preserve">4.2 </w:t>
      </w:r>
      <w:r w:rsidR="00442301">
        <w:rPr>
          <w:rFonts w:ascii="Arial" w:hAnsi="Arial" w:cs="Arial"/>
          <w:b/>
        </w:rPr>
        <w:t>Formation of subgroups</w:t>
      </w:r>
    </w:p>
    <w:p w:rsidR="00427B46" w:rsidRDefault="0097225D" w:rsidP="0097225D">
      <w:pPr>
        <w:jc w:val="both"/>
        <w:rPr>
          <w:rFonts w:ascii="Arial" w:hAnsi="Arial" w:cs="Arial"/>
        </w:rPr>
      </w:pPr>
      <w:r w:rsidRPr="0097225D">
        <w:rPr>
          <w:rFonts w:ascii="Arial" w:hAnsi="Arial" w:cs="Arial"/>
        </w:rPr>
        <w:t xml:space="preserve">Within each topic area shown in Table </w:t>
      </w:r>
      <w:r w:rsidR="00466FA0">
        <w:rPr>
          <w:rFonts w:ascii="Arial" w:hAnsi="Arial" w:cs="Arial"/>
        </w:rPr>
        <w:t>2</w:t>
      </w:r>
      <w:r w:rsidRPr="0097225D">
        <w:rPr>
          <w:rFonts w:ascii="Arial" w:hAnsi="Arial" w:cs="Arial"/>
        </w:rPr>
        <w:t xml:space="preserve">, the inter-correlations for those candidate variables are computed and </w:t>
      </w:r>
      <w:r w:rsidR="00A92874">
        <w:rPr>
          <w:rFonts w:ascii="Arial" w:hAnsi="Arial" w:cs="Arial"/>
        </w:rPr>
        <w:t>examined.</w:t>
      </w:r>
      <w:r w:rsidRPr="0097225D">
        <w:rPr>
          <w:rFonts w:ascii="Arial" w:hAnsi="Arial" w:cs="Arial"/>
        </w:rPr>
        <w:t xml:space="preserve"> A correlation coefficient </w:t>
      </w:r>
      <w:r w:rsidR="00A92874">
        <w:rPr>
          <w:rFonts w:ascii="Arial" w:hAnsi="Arial" w:cs="Arial"/>
        </w:rPr>
        <w:t>threshold</w:t>
      </w:r>
      <w:r w:rsidRPr="0097225D">
        <w:rPr>
          <w:rFonts w:ascii="Arial" w:hAnsi="Arial" w:cs="Arial"/>
        </w:rPr>
        <w:t xml:space="preserve"> of 0.7 is </w:t>
      </w:r>
      <w:r w:rsidR="0097273A">
        <w:rPr>
          <w:rFonts w:ascii="Arial" w:hAnsi="Arial" w:cs="Arial"/>
        </w:rPr>
        <w:t>used</w:t>
      </w:r>
      <w:r w:rsidR="008F017E">
        <w:rPr>
          <w:rFonts w:ascii="Arial" w:hAnsi="Arial" w:cs="Arial"/>
        </w:rPr>
        <w:t xml:space="preserve"> as the definition of “highly correlated”</w:t>
      </w:r>
      <w:r w:rsidR="00427B46">
        <w:rPr>
          <w:rFonts w:ascii="Arial" w:hAnsi="Arial" w:cs="Arial"/>
        </w:rPr>
        <w:t xml:space="preserve"> and thus near-duplicate</w:t>
      </w:r>
      <w:r w:rsidR="0097273A">
        <w:rPr>
          <w:rFonts w:ascii="Arial" w:hAnsi="Arial" w:cs="Arial"/>
        </w:rPr>
        <w:t xml:space="preserve"> (although the results are identical if 0.8 is used instead)</w:t>
      </w:r>
      <w:r w:rsidRPr="0097225D">
        <w:rPr>
          <w:rFonts w:ascii="Arial" w:hAnsi="Arial" w:cs="Arial"/>
        </w:rPr>
        <w:t>.</w:t>
      </w:r>
      <w:r w:rsidR="008F017E">
        <w:rPr>
          <w:rFonts w:ascii="Arial" w:hAnsi="Arial" w:cs="Arial"/>
        </w:rPr>
        <w:t xml:space="preserve"> In addition</w:t>
      </w:r>
      <w:r w:rsidRPr="0097225D">
        <w:rPr>
          <w:rFonts w:ascii="Arial" w:hAnsi="Arial" w:cs="Arial"/>
        </w:rPr>
        <w:t>, variables t</w:t>
      </w:r>
      <w:r w:rsidR="008F017E">
        <w:rPr>
          <w:rFonts w:ascii="Arial" w:hAnsi="Arial" w:cs="Arial"/>
        </w:rPr>
        <w:t>hat are conceptually equivalent</w:t>
      </w:r>
      <w:r w:rsidRPr="0097225D">
        <w:rPr>
          <w:rFonts w:ascii="Arial" w:hAnsi="Arial" w:cs="Arial"/>
        </w:rPr>
        <w:t xml:space="preserve">, i.e. </w:t>
      </w:r>
      <w:r w:rsidR="008F017E">
        <w:rPr>
          <w:rFonts w:ascii="Arial" w:hAnsi="Arial" w:cs="Arial"/>
        </w:rPr>
        <w:t>are calculated using much of the same data (</w:t>
      </w:r>
      <w:r w:rsidR="00735E9A">
        <w:rPr>
          <w:rFonts w:ascii="Arial" w:hAnsi="Arial" w:cs="Arial"/>
        </w:rPr>
        <w:t>for example,</w:t>
      </w:r>
      <w:r w:rsidRPr="0097225D">
        <w:rPr>
          <w:rFonts w:ascii="Arial" w:hAnsi="Arial" w:cs="Arial"/>
        </w:rPr>
        <w:t xml:space="preserve"> </w:t>
      </w:r>
      <w:r w:rsidR="00F462C9">
        <w:rPr>
          <w:rFonts w:ascii="Arial" w:hAnsi="Arial" w:cs="Arial"/>
        </w:rPr>
        <w:t>SMR &lt; 70</w:t>
      </w:r>
      <w:r w:rsidR="008F017E">
        <w:rPr>
          <w:rFonts w:ascii="Arial" w:hAnsi="Arial" w:cs="Arial"/>
        </w:rPr>
        <w:t xml:space="preserve"> </w:t>
      </w:r>
      <w:r w:rsidRPr="0097225D">
        <w:rPr>
          <w:rFonts w:ascii="Arial" w:hAnsi="Arial" w:cs="Arial"/>
        </w:rPr>
        <w:t xml:space="preserve">and </w:t>
      </w:r>
      <w:r w:rsidR="008F017E">
        <w:rPr>
          <w:rFonts w:ascii="Arial" w:hAnsi="Arial" w:cs="Arial"/>
        </w:rPr>
        <w:t xml:space="preserve">SMR &lt; </w:t>
      </w:r>
      <w:r w:rsidR="00F462C9">
        <w:rPr>
          <w:rFonts w:ascii="Arial" w:hAnsi="Arial" w:cs="Arial"/>
        </w:rPr>
        <w:t>75</w:t>
      </w:r>
      <w:r w:rsidR="008F017E">
        <w:rPr>
          <w:rFonts w:ascii="Arial" w:hAnsi="Arial" w:cs="Arial"/>
        </w:rPr>
        <w:t>)</w:t>
      </w:r>
      <w:r w:rsidRPr="0097225D">
        <w:rPr>
          <w:rFonts w:ascii="Arial" w:hAnsi="Arial" w:cs="Arial"/>
        </w:rPr>
        <w:t xml:space="preserve">, are </w:t>
      </w:r>
      <w:r w:rsidR="008F017E">
        <w:rPr>
          <w:rFonts w:ascii="Arial" w:hAnsi="Arial" w:cs="Arial"/>
        </w:rPr>
        <w:t>automatically</w:t>
      </w:r>
      <w:r w:rsidR="00427B46">
        <w:rPr>
          <w:rFonts w:ascii="Arial" w:hAnsi="Arial" w:cs="Arial"/>
        </w:rPr>
        <w:t xml:space="preserve"> regarded as near duplicates.</w:t>
      </w:r>
    </w:p>
    <w:p w:rsidR="0097225D" w:rsidRDefault="0097225D" w:rsidP="0097225D">
      <w:pPr>
        <w:jc w:val="both"/>
        <w:rPr>
          <w:rFonts w:ascii="Arial" w:hAnsi="Arial" w:cs="Arial"/>
        </w:rPr>
      </w:pPr>
      <w:r w:rsidRPr="0097225D">
        <w:rPr>
          <w:rFonts w:ascii="Arial" w:hAnsi="Arial" w:cs="Arial"/>
        </w:rPr>
        <w:t>The</w:t>
      </w:r>
      <w:r w:rsidR="00427B46">
        <w:rPr>
          <w:rFonts w:ascii="Arial" w:hAnsi="Arial" w:cs="Arial"/>
        </w:rPr>
        <w:t xml:space="preserve"> </w:t>
      </w:r>
      <w:r w:rsidRPr="0097225D">
        <w:rPr>
          <w:rFonts w:ascii="Arial" w:hAnsi="Arial" w:cs="Arial"/>
        </w:rPr>
        <w:t xml:space="preserve">variables </w:t>
      </w:r>
      <w:r w:rsidR="00DA3759">
        <w:rPr>
          <w:rFonts w:ascii="Arial" w:hAnsi="Arial" w:cs="Arial"/>
        </w:rPr>
        <w:t xml:space="preserve">are found to </w:t>
      </w:r>
      <w:r w:rsidRPr="0097225D">
        <w:rPr>
          <w:rFonts w:ascii="Arial" w:hAnsi="Arial" w:cs="Arial"/>
        </w:rPr>
        <w:t xml:space="preserve">form </w:t>
      </w:r>
      <w:r w:rsidR="00427B46">
        <w:rPr>
          <w:rFonts w:ascii="Arial" w:hAnsi="Arial" w:cs="Arial"/>
        </w:rPr>
        <w:t xml:space="preserve">nine </w:t>
      </w:r>
      <w:r w:rsidRPr="0097225D">
        <w:rPr>
          <w:rFonts w:ascii="Arial" w:hAnsi="Arial" w:cs="Arial"/>
        </w:rPr>
        <w:t>independent subgroups</w:t>
      </w:r>
      <w:r w:rsidR="00442301">
        <w:rPr>
          <w:rFonts w:ascii="Arial" w:hAnsi="Arial" w:cs="Arial"/>
        </w:rPr>
        <w:t xml:space="preserve"> of near-duplicate variables</w:t>
      </w:r>
      <w:r w:rsidR="00427B46">
        <w:rPr>
          <w:rFonts w:ascii="Arial" w:hAnsi="Arial" w:cs="Arial"/>
        </w:rPr>
        <w:t>, which will yield nine retained variables</w:t>
      </w:r>
      <w:r w:rsidRPr="0097225D">
        <w:rPr>
          <w:rFonts w:ascii="Arial" w:hAnsi="Arial" w:cs="Arial"/>
        </w:rPr>
        <w:t xml:space="preserve">. </w:t>
      </w:r>
      <w:r w:rsidR="00427B46">
        <w:rPr>
          <w:rFonts w:ascii="Arial" w:hAnsi="Arial" w:cs="Arial"/>
        </w:rPr>
        <w:t>In addition, four variables are not highly correlated with any other variable</w:t>
      </w:r>
      <w:r w:rsidR="00B43F4B">
        <w:rPr>
          <w:rFonts w:ascii="Arial" w:hAnsi="Arial" w:cs="Arial"/>
        </w:rPr>
        <w:t xml:space="preserve"> in their respective topics</w:t>
      </w:r>
      <w:r w:rsidR="00427B46">
        <w:rPr>
          <w:rFonts w:ascii="Arial" w:hAnsi="Arial" w:cs="Arial"/>
        </w:rPr>
        <w:t xml:space="preserve">: Low Birth Weight Births, High Resource Individuals, </w:t>
      </w:r>
      <w:proofErr w:type="gramStart"/>
      <w:r w:rsidR="00427B46">
        <w:rPr>
          <w:rFonts w:ascii="Arial" w:hAnsi="Arial" w:cs="Arial"/>
        </w:rPr>
        <w:t>Patients</w:t>
      </w:r>
      <w:proofErr w:type="gramEnd"/>
      <w:r w:rsidR="00427B46">
        <w:rPr>
          <w:rFonts w:ascii="Arial" w:hAnsi="Arial" w:cs="Arial"/>
        </w:rPr>
        <w:t xml:space="preserve"> receiving Dementia prescriptions, and Long-term sick and not seeking work. These are retained to the next stage without further analysis.</w:t>
      </w:r>
    </w:p>
    <w:p w:rsidR="00427B46" w:rsidRDefault="00427B46" w:rsidP="0097225D">
      <w:pPr>
        <w:jc w:val="both"/>
        <w:rPr>
          <w:rFonts w:ascii="Arial" w:hAnsi="Arial" w:cs="Arial"/>
        </w:rPr>
      </w:pPr>
      <w:r>
        <w:rPr>
          <w:rFonts w:ascii="Arial" w:hAnsi="Arial" w:cs="Arial"/>
        </w:rPr>
        <w:t xml:space="preserve">Tables 3 to 11 below show the </w:t>
      </w:r>
      <w:r w:rsidR="00A81491">
        <w:rPr>
          <w:rFonts w:ascii="Arial" w:hAnsi="Arial" w:cs="Arial"/>
        </w:rPr>
        <w:t xml:space="preserve">composition of the </w:t>
      </w:r>
      <w:r>
        <w:rPr>
          <w:rFonts w:ascii="Arial" w:hAnsi="Arial" w:cs="Arial"/>
        </w:rPr>
        <w:t>nine subgroups</w:t>
      </w:r>
      <w:r w:rsidR="00DA3759">
        <w:rPr>
          <w:rFonts w:ascii="Arial" w:hAnsi="Arial" w:cs="Arial"/>
        </w:rPr>
        <w:t xml:space="preserve"> and their inter-correlations</w:t>
      </w:r>
      <w:r>
        <w:rPr>
          <w:rFonts w:ascii="Arial" w:hAnsi="Arial" w:cs="Arial"/>
        </w:rPr>
        <w:t>.</w:t>
      </w:r>
      <w:r w:rsidR="007640CF">
        <w:rPr>
          <w:rFonts w:ascii="Arial" w:hAnsi="Arial" w:cs="Arial"/>
        </w:rPr>
        <w:t xml:space="preserve"> In subgroup 8, the correlation between ‘Job seekers’ and ‘Education – no qualifications’ does not reach the threshold value; however, both of these variables are highly correlated with the other two in the subgroup, so they are both taken to be part of this </w:t>
      </w:r>
      <w:r w:rsidR="005C7AAC">
        <w:rPr>
          <w:rFonts w:ascii="Arial" w:hAnsi="Arial" w:cs="Arial"/>
        </w:rPr>
        <w:t xml:space="preserve">same </w:t>
      </w:r>
      <w:r w:rsidR="007640CF">
        <w:rPr>
          <w:rFonts w:ascii="Arial" w:hAnsi="Arial" w:cs="Arial"/>
        </w:rPr>
        <w:t>subgroup.</w:t>
      </w:r>
    </w:p>
    <w:p w:rsidR="00427B46" w:rsidRPr="00427B46" w:rsidRDefault="00427B46" w:rsidP="00253A0E">
      <w:pPr>
        <w:spacing w:after="0"/>
        <w:jc w:val="both"/>
        <w:rPr>
          <w:rFonts w:ascii="Arial" w:hAnsi="Arial" w:cs="Arial"/>
          <w:i/>
        </w:rPr>
      </w:pPr>
      <w:r w:rsidRPr="00427B46">
        <w:rPr>
          <w:rFonts w:ascii="Arial" w:hAnsi="Arial" w:cs="Arial"/>
          <w:i/>
        </w:rPr>
        <w:t xml:space="preserve">Table </w:t>
      </w:r>
      <w:r>
        <w:rPr>
          <w:rFonts w:ascii="Arial" w:hAnsi="Arial" w:cs="Arial"/>
          <w:i/>
        </w:rPr>
        <w:t>3</w:t>
      </w:r>
      <w:r w:rsidRPr="00427B46">
        <w:rPr>
          <w:rFonts w:ascii="Arial" w:hAnsi="Arial" w:cs="Arial"/>
          <w:i/>
        </w:rPr>
        <w:t>: subgroup 1 inter-correlations</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985"/>
        <w:gridCol w:w="1701"/>
        <w:gridCol w:w="1701"/>
        <w:gridCol w:w="1701"/>
        <w:gridCol w:w="1701"/>
      </w:tblGrid>
      <w:tr w:rsidR="004D5699" w:rsidRPr="00F462C9" w:rsidTr="00735E9A">
        <w:tc>
          <w:tcPr>
            <w:tcW w:w="1985" w:type="dxa"/>
            <w:shd w:val="clear" w:color="auto" w:fill="auto"/>
            <w:vAlign w:val="center"/>
            <w:hideMark/>
          </w:tcPr>
          <w:p w:rsidR="004D5699" w:rsidRPr="00F462C9" w:rsidRDefault="004D5699" w:rsidP="00F462C9">
            <w:pPr>
              <w:spacing w:after="0" w:line="240" w:lineRule="auto"/>
              <w:rPr>
                <w:rFonts w:ascii="Arial" w:eastAsia="Times New Roman" w:hAnsi="Arial" w:cs="Arial"/>
                <w:b/>
                <w:color w:val="000000"/>
                <w:sz w:val="20"/>
                <w:szCs w:val="20"/>
              </w:rPr>
            </w:pPr>
          </w:p>
        </w:tc>
        <w:tc>
          <w:tcPr>
            <w:tcW w:w="1701" w:type="dxa"/>
            <w:shd w:val="clear" w:color="auto" w:fill="auto"/>
            <w:vAlign w:val="center"/>
            <w:hideMark/>
          </w:tcPr>
          <w:p w:rsidR="004D5699" w:rsidRPr="00F462C9" w:rsidRDefault="00F462C9" w:rsidP="008F017E">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75</w:t>
            </w:r>
          </w:p>
        </w:tc>
        <w:tc>
          <w:tcPr>
            <w:tcW w:w="1701" w:type="dxa"/>
            <w:shd w:val="clear" w:color="auto" w:fill="auto"/>
            <w:vAlign w:val="center"/>
            <w:hideMark/>
          </w:tcPr>
          <w:p w:rsidR="004D5699" w:rsidRPr="00F462C9" w:rsidRDefault="00F462C9" w:rsidP="008F017E">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70</w:t>
            </w:r>
          </w:p>
        </w:tc>
        <w:tc>
          <w:tcPr>
            <w:tcW w:w="1701" w:type="dxa"/>
            <w:shd w:val="clear" w:color="auto" w:fill="auto"/>
            <w:vAlign w:val="center"/>
            <w:hideMark/>
          </w:tcPr>
          <w:p w:rsidR="004D5699" w:rsidRPr="00F462C9" w:rsidRDefault="00F462C9" w:rsidP="008F017E">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65</w:t>
            </w:r>
          </w:p>
        </w:tc>
        <w:tc>
          <w:tcPr>
            <w:tcW w:w="1701" w:type="dxa"/>
            <w:shd w:val="clear" w:color="auto" w:fill="auto"/>
            <w:vAlign w:val="center"/>
            <w:hideMark/>
          </w:tcPr>
          <w:p w:rsidR="004D5699" w:rsidRPr="00F462C9" w:rsidRDefault="00F462C9" w:rsidP="008F017E">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w:t>
            </w:r>
            <w:r w:rsidR="004D5699" w:rsidRPr="00F462C9">
              <w:rPr>
                <w:rFonts w:ascii="Arial" w:eastAsia="Times New Roman" w:hAnsi="Arial" w:cs="Arial"/>
                <w:b/>
                <w:color w:val="000000"/>
                <w:sz w:val="20"/>
                <w:szCs w:val="20"/>
              </w:rPr>
              <w:t>75</w:t>
            </w:r>
            <w:r w:rsidRPr="00F462C9">
              <w:rPr>
                <w:rFonts w:ascii="Arial" w:eastAsia="Times New Roman" w:hAnsi="Arial" w:cs="Arial"/>
                <w:b/>
                <w:color w:val="000000"/>
                <w:sz w:val="20"/>
                <w:szCs w:val="20"/>
              </w:rPr>
              <w:t xml:space="preserve"> all causes</w:t>
            </w:r>
          </w:p>
        </w:tc>
      </w:tr>
      <w:tr w:rsidR="004D5699" w:rsidRPr="00F462C9" w:rsidTr="00735E9A">
        <w:tc>
          <w:tcPr>
            <w:tcW w:w="1985" w:type="dxa"/>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75</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0.949</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0.888</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0.872</w:t>
            </w:r>
          </w:p>
        </w:tc>
      </w:tr>
      <w:tr w:rsidR="004D5699" w:rsidRPr="00F462C9" w:rsidTr="00735E9A">
        <w:tc>
          <w:tcPr>
            <w:tcW w:w="1985" w:type="dxa"/>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70</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0.949</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0.942</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0.843</w:t>
            </w:r>
          </w:p>
        </w:tc>
      </w:tr>
      <w:tr w:rsidR="004D5699" w:rsidRPr="00F462C9" w:rsidTr="00735E9A">
        <w:tc>
          <w:tcPr>
            <w:tcW w:w="1985" w:type="dxa"/>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All cause SMR &lt;</w:t>
            </w:r>
            <w:r w:rsidR="004D5699" w:rsidRPr="00F462C9">
              <w:rPr>
                <w:rFonts w:ascii="Arial" w:eastAsia="Times New Roman" w:hAnsi="Arial" w:cs="Arial"/>
                <w:b/>
                <w:color w:val="000000"/>
                <w:sz w:val="20"/>
                <w:szCs w:val="20"/>
              </w:rPr>
              <w:t>65</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0.888</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0.942</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0.803</w:t>
            </w:r>
          </w:p>
        </w:tc>
      </w:tr>
      <w:tr w:rsidR="004D5699" w:rsidRPr="00F462C9" w:rsidTr="00735E9A">
        <w:tc>
          <w:tcPr>
            <w:tcW w:w="1985" w:type="dxa"/>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w:t>
            </w:r>
            <w:r w:rsidR="004D5699" w:rsidRPr="00F462C9">
              <w:rPr>
                <w:rFonts w:ascii="Arial" w:eastAsia="Times New Roman" w:hAnsi="Arial" w:cs="Arial"/>
                <w:b/>
                <w:color w:val="000000"/>
                <w:sz w:val="20"/>
                <w:szCs w:val="20"/>
              </w:rPr>
              <w:t>75</w:t>
            </w:r>
            <w:r w:rsidRPr="00F462C9">
              <w:rPr>
                <w:rFonts w:ascii="Arial" w:eastAsia="Times New Roman" w:hAnsi="Arial" w:cs="Arial"/>
                <w:b/>
                <w:color w:val="000000"/>
                <w:sz w:val="20"/>
                <w:szCs w:val="20"/>
              </w:rPr>
              <w:t xml:space="preserve"> all causes</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0.872</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0.843</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0.803</w:t>
            </w:r>
          </w:p>
        </w:tc>
        <w:tc>
          <w:tcPr>
            <w:tcW w:w="1701" w:type="dxa"/>
            <w:shd w:val="clear" w:color="auto" w:fill="auto"/>
            <w:noWrap/>
            <w:vAlign w:val="center"/>
            <w:hideMark/>
          </w:tcPr>
          <w:p w:rsidR="004D5699" w:rsidRPr="00F462C9" w:rsidRDefault="004D5699" w:rsidP="008F017E">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r>
    </w:tbl>
    <w:p w:rsidR="00427B46" w:rsidRDefault="00427B46" w:rsidP="00427B46">
      <w:pPr>
        <w:jc w:val="both"/>
        <w:rPr>
          <w:rFonts w:ascii="Arial" w:hAnsi="Arial" w:cs="Arial"/>
          <w:i/>
        </w:rPr>
      </w:pPr>
    </w:p>
    <w:p w:rsidR="00427B46" w:rsidRPr="00427B46" w:rsidRDefault="00427B46" w:rsidP="00253A0E">
      <w:pPr>
        <w:spacing w:after="0"/>
        <w:jc w:val="both"/>
        <w:rPr>
          <w:rFonts w:ascii="Arial" w:hAnsi="Arial" w:cs="Arial"/>
          <w:i/>
        </w:rPr>
      </w:pPr>
      <w:r w:rsidRPr="00427B46">
        <w:rPr>
          <w:rFonts w:ascii="Arial" w:hAnsi="Arial" w:cs="Arial"/>
          <w:i/>
        </w:rPr>
        <w:t xml:space="preserve">Table </w:t>
      </w:r>
      <w:r>
        <w:rPr>
          <w:rFonts w:ascii="Arial" w:hAnsi="Arial" w:cs="Arial"/>
          <w:i/>
        </w:rPr>
        <w:t>4</w:t>
      </w:r>
      <w:r w:rsidRPr="00427B46">
        <w:rPr>
          <w:rFonts w:ascii="Arial" w:hAnsi="Arial" w:cs="Arial"/>
          <w:i/>
        </w:rPr>
        <w:t xml:space="preserve">: subgroup </w:t>
      </w:r>
      <w:r>
        <w:rPr>
          <w:rFonts w:ascii="Arial" w:hAnsi="Arial" w:cs="Arial"/>
          <w:i/>
        </w:rPr>
        <w:t>2</w:t>
      </w:r>
      <w:r w:rsidRPr="00427B46">
        <w:rPr>
          <w:rFonts w:ascii="Arial" w:hAnsi="Arial" w:cs="Arial"/>
          <w:i/>
        </w:rPr>
        <w:t xml:space="preserve"> inter-correlations</w:t>
      </w:r>
    </w:p>
    <w:tbl>
      <w:tblPr>
        <w:tblW w:w="8789" w:type="dxa"/>
        <w:tblInd w:w="-34" w:type="dxa"/>
        <w:tblLayout w:type="fixed"/>
        <w:tblCellMar>
          <w:top w:w="57" w:type="dxa"/>
          <w:bottom w:w="57" w:type="dxa"/>
        </w:tblCellMar>
        <w:tblLook w:val="04A0"/>
      </w:tblPr>
      <w:tblGrid>
        <w:gridCol w:w="1985"/>
        <w:gridCol w:w="1701"/>
        <w:gridCol w:w="1701"/>
        <w:gridCol w:w="1701"/>
        <w:gridCol w:w="1701"/>
      </w:tblGrid>
      <w:tr w:rsidR="004D5699" w:rsidRPr="00F462C9" w:rsidTr="00735E9A">
        <w:tc>
          <w:tcPr>
            <w:tcW w:w="1985" w:type="dxa"/>
            <w:tcBorders>
              <w:top w:val="single" w:sz="4" w:space="0" w:color="000000"/>
              <w:left w:val="single" w:sz="4" w:space="0" w:color="000000"/>
              <w:bottom w:val="single" w:sz="4" w:space="0" w:color="000000"/>
              <w:right w:val="nil"/>
            </w:tcBorders>
            <w:shd w:val="clear" w:color="auto" w:fill="auto"/>
            <w:vAlign w:val="center"/>
            <w:hideMark/>
          </w:tcPr>
          <w:p w:rsidR="004D5699" w:rsidRPr="00F462C9" w:rsidRDefault="004D5699" w:rsidP="00F462C9">
            <w:pPr>
              <w:spacing w:after="0" w:line="240" w:lineRule="auto"/>
              <w:rPr>
                <w:rFonts w:ascii="Arial" w:eastAsia="Times New Roman" w:hAnsi="Arial" w:cs="Arial"/>
                <w:b/>
                <w:color w:val="000000"/>
                <w:sz w:val="20"/>
                <w:szCs w:val="20"/>
              </w:rPr>
            </w:pPr>
          </w:p>
          <w:p w:rsidR="004D5699" w:rsidRPr="00F462C9" w:rsidRDefault="004D5699" w:rsidP="00F462C9">
            <w:pPr>
              <w:spacing w:after="0" w:line="240" w:lineRule="auto"/>
              <w:rPr>
                <w:rFonts w:ascii="Arial" w:eastAsia="Times New Roman" w:hAnsi="Arial" w:cs="Arial"/>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569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D569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D569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75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D569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w:t>
            </w:r>
            <w:r w:rsidR="004D5699" w:rsidRPr="00F462C9">
              <w:rPr>
                <w:rFonts w:ascii="Arial" w:eastAsia="Times New Roman" w:hAnsi="Arial" w:cs="Arial"/>
                <w:b/>
                <w:color w:val="000000"/>
                <w:sz w:val="20"/>
                <w:szCs w:val="20"/>
              </w:rPr>
              <w:t>75</w:t>
            </w:r>
            <w:r w:rsidRPr="00F462C9">
              <w:rPr>
                <w:rFonts w:ascii="Arial" w:eastAsia="Times New Roman" w:hAnsi="Arial" w:cs="Arial"/>
                <w:b/>
                <w:color w:val="000000"/>
                <w:sz w:val="20"/>
                <w:szCs w:val="20"/>
              </w:rPr>
              <w:t xml:space="preserve"> Cancer</w:t>
            </w:r>
          </w:p>
        </w:tc>
      </w:tr>
      <w:tr w:rsidR="004D5699" w:rsidRPr="00F462C9" w:rsidTr="00735E9A">
        <w:tc>
          <w:tcPr>
            <w:tcW w:w="1985" w:type="dxa"/>
            <w:tcBorders>
              <w:top w:val="single" w:sz="4" w:space="0" w:color="000000"/>
              <w:left w:val="single" w:sz="4" w:space="0" w:color="000000"/>
              <w:bottom w:val="single" w:sz="4" w:space="0" w:color="000000"/>
              <w:right w:val="nil"/>
            </w:tcBorders>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0.842</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0.734</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0.627</w:t>
            </w:r>
          </w:p>
        </w:tc>
      </w:tr>
      <w:tr w:rsidR="004D5699" w:rsidRPr="00F462C9" w:rsidTr="00735E9A">
        <w:tc>
          <w:tcPr>
            <w:tcW w:w="1985" w:type="dxa"/>
            <w:tcBorders>
              <w:top w:val="single" w:sz="4" w:space="0" w:color="000000"/>
              <w:left w:val="single" w:sz="4" w:space="0" w:color="000000"/>
              <w:bottom w:val="single" w:sz="4" w:space="0" w:color="000000"/>
              <w:right w:val="nil"/>
            </w:tcBorders>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0.842</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0.878</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0.732</w:t>
            </w:r>
          </w:p>
        </w:tc>
      </w:tr>
      <w:tr w:rsidR="004D5699" w:rsidRPr="00F462C9" w:rsidTr="00735E9A">
        <w:tc>
          <w:tcPr>
            <w:tcW w:w="1985" w:type="dxa"/>
            <w:tcBorders>
              <w:top w:val="single" w:sz="4" w:space="0" w:color="000000"/>
              <w:left w:val="single" w:sz="4" w:space="0" w:color="000000"/>
              <w:bottom w:val="single" w:sz="4" w:space="0" w:color="000000"/>
              <w:right w:val="nil"/>
            </w:tcBorders>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Cancer SMR &lt;</w:t>
            </w:r>
            <w:r w:rsidR="004D5699" w:rsidRPr="00F462C9">
              <w:rPr>
                <w:rFonts w:ascii="Arial" w:eastAsia="Times New Roman" w:hAnsi="Arial" w:cs="Arial"/>
                <w:b/>
                <w:color w:val="000000"/>
                <w:sz w:val="20"/>
                <w:szCs w:val="20"/>
              </w:rPr>
              <w: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0.734</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0.878</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0.810</w:t>
            </w:r>
          </w:p>
        </w:tc>
      </w:tr>
      <w:tr w:rsidR="004D5699" w:rsidRPr="00F462C9" w:rsidTr="00735E9A">
        <w:tc>
          <w:tcPr>
            <w:tcW w:w="1985" w:type="dxa"/>
            <w:tcBorders>
              <w:top w:val="single" w:sz="4" w:space="0" w:color="000000"/>
              <w:left w:val="single" w:sz="4" w:space="0" w:color="000000"/>
              <w:bottom w:val="single" w:sz="4" w:space="0" w:color="000000"/>
              <w:right w:val="nil"/>
            </w:tcBorders>
            <w:shd w:val="clear" w:color="auto" w:fill="auto"/>
            <w:vAlign w:val="center"/>
            <w:hideMark/>
          </w:tcPr>
          <w:p w:rsidR="004D569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w:t>
            </w:r>
            <w:r w:rsidR="004D5699" w:rsidRPr="00F462C9">
              <w:rPr>
                <w:rFonts w:ascii="Arial" w:eastAsia="Times New Roman" w:hAnsi="Arial" w:cs="Arial"/>
                <w:b/>
                <w:color w:val="000000"/>
                <w:sz w:val="20"/>
                <w:szCs w:val="20"/>
              </w:rPr>
              <w:t>75</w:t>
            </w:r>
            <w:r w:rsidRPr="00F462C9">
              <w:rPr>
                <w:rFonts w:ascii="Arial" w:eastAsia="Times New Roman" w:hAnsi="Arial" w:cs="Arial"/>
                <w:b/>
                <w:color w:val="000000"/>
                <w:sz w:val="20"/>
                <w:szCs w:val="20"/>
              </w:rPr>
              <w:t xml:space="preserve"> Cancer</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0.627</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0.732</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0.810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D5699" w:rsidRPr="00F462C9" w:rsidRDefault="004D569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r>
    </w:tbl>
    <w:p w:rsidR="00735E9A" w:rsidRDefault="00735E9A">
      <w:pPr>
        <w:rPr>
          <w:rFonts w:ascii="Arial" w:hAnsi="Arial" w:cs="Arial"/>
          <w:i/>
        </w:rPr>
      </w:pPr>
    </w:p>
    <w:p w:rsidR="004E11C5" w:rsidRDefault="004E11C5">
      <w:pPr>
        <w:rPr>
          <w:rFonts w:ascii="Arial" w:hAnsi="Arial" w:cs="Arial"/>
          <w:i/>
        </w:rPr>
      </w:pPr>
      <w:r>
        <w:rPr>
          <w:rFonts w:ascii="Arial" w:hAnsi="Arial" w:cs="Arial"/>
          <w:i/>
        </w:rPr>
        <w:br w:type="page"/>
      </w:r>
    </w:p>
    <w:p w:rsidR="00427B46" w:rsidRPr="00427B46" w:rsidRDefault="00427B46" w:rsidP="00253A0E">
      <w:pPr>
        <w:spacing w:after="0"/>
        <w:jc w:val="both"/>
        <w:rPr>
          <w:rFonts w:ascii="Arial" w:hAnsi="Arial" w:cs="Arial"/>
          <w:i/>
        </w:rPr>
      </w:pPr>
      <w:r w:rsidRPr="00427B46">
        <w:rPr>
          <w:rFonts w:ascii="Arial" w:hAnsi="Arial" w:cs="Arial"/>
          <w:i/>
        </w:rPr>
        <w:lastRenderedPageBreak/>
        <w:t xml:space="preserve">Table </w:t>
      </w:r>
      <w:r>
        <w:rPr>
          <w:rFonts w:ascii="Arial" w:hAnsi="Arial" w:cs="Arial"/>
          <w:i/>
        </w:rPr>
        <w:t>5</w:t>
      </w:r>
      <w:r w:rsidRPr="00427B46">
        <w:rPr>
          <w:rFonts w:ascii="Arial" w:hAnsi="Arial" w:cs="Arial"/>
          <w:i/>
        </w:rPr>
        <w:t xml:space="preserve">: subgroup </w:t>
      </w:r>
      <w:r>
        <w:rPr>
          <w:rFonts w:ascii="Arial" w:hAnsi="Arial" w:cs="Arial"/>
          <w:i/>
        </w:rPr>
        <w:t>3</w:t>
      </w:r>
      <w:r w:rsidRPr="00427B46">
        <w:rPr>
          <w:rFonts w:ascii="Arial" w:hAnsi="Arial" w:cs="Arial"/>
          <w:i/>
        </w:rPr>
        <w:t xml:space="preserve"> inter-correlations</w:t>
      </w:r>
    </w:p>
    <w:tbl>
      <w:tblPr>
        <w:tblW w:w="8789" w:type="dxa"/>
        <w:tblInd w:w="-34" w:type="dxa"/>
        <w:tblLayout w:type="fixed"/>
        <w:tblCellMar>
          <w:top w:w="57" w:type="dxa"/>
          <w:bottom w:w="57" w:type="dxa"/>
        </w:tblCellMar>
        <w:tblLook w:val="04A0"/>
      </w:tblPr>
      <w:tblGrid>
        <w:gridCol w:w="1985"/>
        <w:gridCol w:w="1701"/>
        <w:gridCol w:w="1701"/>
        <w:gridCol w:w="1701"/>
        <w:gridCol w:w="1701"/>
      </w:tblGrid>
      <w:tr w:rsidR="00F462C9" w:rsidRPr="00F462C9" w:rsidTr="00735E9A">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rPr>
                <w:rFonts w:ascii="Arial" w:eastAsia="Times New Roman" w:hAnsi="Arial" w:cs="Arial"/>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jc w:val="center"/>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&lt;75 CHD</w:t>
            </w:r>
          </w:p>
        </w:tc>
      </w:tr>
      <w:tr w:rsidR="00F462C9" w:rsidRPr="00E77478" w:rsidTr="00735E9A">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0.779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0.598</w:t>
            </w:r>
          </w:p>
        </w:tc>
      </w:tr>
      <w:tr w:rsidR="00F462C9" w:rsidRPr="00E77478" w:rsidTr="00735E9A">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0.870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0.891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0.674</w:t>
            </w:r>
          </w:p>
        </w:tc>
      </w:tr>
      <w:tr w:rsidR="00F462C9" w:rsidRPr="00E77478" w:rsidTr="00735E9A">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Heart SMR &lt;75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0.779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0.891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0.737</w:t>
            </w:r>
          </w:p>
        </w:tc>
      </w:tr>
      <w:tr w:rsidR="00F462C9" w:rsidRPr="00E77478" w:rsidTr="00735E9A">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2C9" w:rsidRPr="00F462C9" w:rsidRDefault="00F462C9" w:rsidP="00F462C9">
            <w:pPr>
              <w:spacing w:after="0" w:line="240" w:lineRule="auto"/>
              <w:rPr>
                <w:rFonts w:ascii="Arial" w:eastAsia="Times New Roman" w:hAnsi="Arial" w:cs="Arial"/>
                <w:b/>
                <w:color w:val="000000"/>
                <w:sz w:val="20"/>
                <w:szCs w:val="20"/>
              </w:rPr>
            </w:pPr>
            <w:r w:rsidRPr="00F462C9">
              <w:rPr>
                <w:rFonts w:ascii="Arial" w:eastAsia="Times New Roman" w:hAnsi="Arial" w:cs="Arial"/>
                <w:b/>
                <w:color w:val="000000"/>
                <w:sz w:val="20"/>
                <w:szCs w:val="20"/>
              </w:rPr>
              <w:t>Death rate &lt;75 CHD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0.674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0.737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462C9" w:rsidRPr="00F462C9" w:rsidRDefault="00F462C9" w:rsidP="00F462C9">
            <w:pPr>
              <w:spacing w:after="0" w:line="240" w:lineRule="auto"/>
              <w:jc w:val="center"/>
              <w:rPr>
                <w:rFonts w:ascii="Arial" w:eastAsia="Times New Roman" w:hAnsi="Arial" w:cs="Arial"/>
                <w:color w:val="000000"/>
                <w:sz w:val="20"/>
                <w:szCs w:val="20"/>
              </w:rPr>
            </w:pPr>
            <w:r w:rsidRPr="00F462C9">
              <w:rPr>
                <w:rFonts w:ascii="Arial" w:eastAsia="Times New Roman" w:hAnsi="Arial" w:cs="Arial"/>
                <w:color w:val="000000"/>
                <w:sz w:val="20"/>
                <w:szCs w:val="20"/>
              </w:rPr>
              <w:t>1.000</w:t>
            </w:r>
          </w:p>
        </w:tc>
      </w:tr>
    </w:tbl>
    <w:p w:rsidR="004D5699" w:rsidRDefault="004D5699" w:rsidP="0097225D">
      <w:pPr>
        <w:jc w:val="both"/>
        <w:rPr>
          <w:rFonts w:ascii="Arial" w:hAnsi="Arial" w:cs="Arial"/>
        </w:rPr>
      </w:pPr>
    </w:p>
    <w:p w:rsidR="00427B46" w:rsidRPr="00427B46" w:rsidRDefault="00427B46" w:rsidP="00253A0E">
      <w:pPr>
        <w:spacing w:after="0"/>
        <w:jc w:val="both"/>
        <w:rPr>
          <w:rFonts w:ascii="Arial" w:hAnsi="Arial" w:cs="Arial"/>
          <w:i/>
        </w:rPr>
      </w:pPr>
      <w:r w:rsidRPr="00427B46">
        <w:rPr>
          <w:rFonts w:ascii="Arial" w:hAnsi="Arial" w:cs="Arial"/>
          <w:i/>
        </w:rPr>
        <w:t xml:space="preserve">Table </w:t>
      </w:r>
      <w:r>
        <w:rPr>
          <w:rFonts w:ascii="Arial" w:hAnsi="Arial" w:cs="Arial"/>
          <w:i/>
        </w:rPr>
        <w:t>6</w:t>
      </w:r>
      <w:r w:rsidRPr="00427B46">
        <w:rPr>
          <w:rFonts w:ascii="Arial" w:hAnsi="Arial" w:cs="Arial"/>
          <w:i/>
        </w:rPr>
        <w:t xml:space="preserve">: subgroup </w:t>
      </w:r>
      <w:r>
        <w:rPr>
          <w:rFonts w:ascii="Arial" w:hAnsi="Arial" w:cs="Arial"/>
          <w:i/>
        </w:rPr>
        <w:t>4</w:t>
      </w:r>
      <w:r w:rsidRPr="00427B46">
        <w:rPr>
          <w:rFonts w:ascii="Arial" w:hAnsi="Arial" w:cs="Arial"/>
          <w:i/>
        </w:rPr>
        <w:t xml:space="preserve"> inter-correlations</w:t>
      </w:r>
    </w:p>
    <w:tbl>
      <w:tblPr>
        <w:tblW w:w="6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985"/>
        <w:gridCol w:w="2197"/>
        <w:gridCol w:w="2197"/>
      </w:tblGrid>
      <w:tr w:rsidR="00A542E9" w:rsidRPr="008618B1" w:rsidTr="00735E9A">
        <w:tc>
          <w:tcPr>
            <w:tcW w:w="1985" w:type="dxa"/>
            <w:shd w:val="clear" w:color="auto" w:fill="auto"/>
            <w:vAlign w:val="center"/>
            <w:hideMark/>
          </w:tcPr>
          <w:p w:rsidR="00A542E9" w:rsidRPr="001E45EA" w:rsidRDefault="00A542E9" w:rsidP="001E45EA">
            <w:pPr>
              <w:spacing w:after="0" w:line="240" w:lineRule="auto"/>
              <w:rPr>
                <w:rFonts w:ascii="Arial" w:eastAsia="Times New Roman" w:hAnsi="Arial" w:cs="Arial"/>
                <w:b/>
                <w:color w:val="000000"/>
                <w:sz w:val="20"/>
                <w:szCs w:val="20"/>
              </w:rPr>
            </w:pPr>
          </w:p>
        </w:tc>
        <w:tc>
          <w:tcPr>
            <w:tcW w:w="2197" w:type="dxa"/>
            <w:shd w:val="clear" w:color="auto" w:fill="auto"/>
            <w:vAlign w:val="center"/>
            <w:hideMark/>
          </w:tcPr>
          <w:p w:rsidR="00A542E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Other SMR &lt;</w:t>
            </w:r>
            <w:r w:rsidR="00A542E9" w:rsidRPr="001E45EA">
              <w:rPr>
                <w:rFonts w:ascii="Arial" w:eastAsia="Times New Roman" w:hAnsi="Arial" w:cs="Arial"/>
                <w:b/>
                <w:color w:val="000000"/>
                <w:sz w:val="20"/>
                <w:szCs w:val="20"/>
              </w:rPr>
              <w:t>70</w:t>
            </w:r>
          </w:p>
        </w:tc>
        <w:tc>
          <w:tcPr>
            <w:tcW w:w="2197" w:type="dxa"/>
            <w:shd w:val="clear" w:color="auto" w:fill="auto"/>
            <w:vAlign w:val="center"/>
            <w:hideMark/>
          </w:tcPr>
          <w:p w:rsidR="00A542E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Other SMR &lt;</w:t>
            </w:r>
            <w:r w:rsidR="00A542E9" w:rsidRPr="001E45EA">
              <w:rPr>
                <w:rFonts w:ascii="Arial" w:eastAsia="Times New Roman" w:hAnsi="Arial" w:cs="Arial"/>
                <w:b/>
                <w:color w:val="000000"/>
                <w:sz w:val="20"/>
                <w:szCs w:val="20"/>
              </w:rPr>
              <w:t>75</w:t>
            </w:r>
          </w:p>
        </w:tc>
      </w:tr>
      <w:tr w:rsidR="00A542E9" w:rsidRPr="008618B1" w:rsidTr="00735E9A">
        <w:tc>
          <w:tcPr>
            <w:tcW w:w="1985" w:type="dxa"/>
            <w:shd w:val="clear" w:color="auto" w:fill="auto"/>
            <w:vAlign w:val="center"/>
            <w:hideMark/>
          </w:tcPr>
          <w:p w:rsidR="00A542E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Other SMR &lt;</w:t>
            </w:r>
            <w:r w:rsidR="00A542E9" w:rsidRPr="001E45EA">
              <w:rPr>
                <w:rFonts w:ascii="Arial" w:eastAsia="Times New Roman" w:hAnsi="Arial" w:cs="Arial"/>
                <w:b/>
                <w:color w:val="000000"/>
                <w:sz w:val="20"/>
                <w:szCs w:val="20"/>
              </w:rPr>
              <w:t>70</w:t>
            </w:r>
          </w:p>
        </w:tc>
        <w:tc>
          <w:tcPr>
            <w:tcW w:w="2197" w:type="dxa"/>
            <w:shd w:val="clear" w:color="auto" w:fill="auto"/>
            <w:noWrap/>
            <w:vAlign w:val="center"/>
            <w:hideMark/>
          </w:tcPr>
          <w:p w:rsidR="00A542E9" w:rsidRPr="001E45EA" w:rsidRDefault="00A542E9"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2197" w:type="dxa"/>
            <w:shd w:val="clear" w:color="auto" w:fill="auto"/>
            <w:noWrap/>
            <w:vAlign w:val="center"/>
            <w:hideMark/>
          </w:tcPr>
          <w:p w:rsidR="00A542E9" w:rsidRPr="001E45EA" w:rsidRDefault="00A542E9"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0.914</w:t>
            </w:r>
          </w:p>
        </w:tc>
      </w:tr>
      <w:tr w:rsidR="00A542E9" w:rsidRPr="008618B1" w:rsidTr="00735E9A">
        <w:tc>
          <w:tcPr>
            <w:tcW w:w="1985" w:type="dxa"/>
            <w:shd w:val="clear" w:color="auto" w:fill="auto"/>
            <w:vAlign w:val="center"/>
            <w:hideMark/>
          </w:tcPr>
          <w:p w:rsidR="00A542E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Other SMR &lt;</w:t>
            </w:r>
            <w:r w:rsidR="00A542E9" w:rsidRPr="001E45EA">
              <w:rPr>
                <w:rFonts w:ascii="Arial" w:eastAsia="Times New Roman" w:hAnsi="Arial" w:cs="Arial"/>
                <w:b/>
                <w:color w:val="000000"/>
                <w:sz w:val="20"/>
                <w:szCs w:val="20"/>
              </w:rPr>
              <w:t>75</w:t>
            </w:r>
          </w:p>
        </w:tc>
        <w:tc>
          <w:tcPr>
            <w:tcW w:w="2197" w:type="dxa"/>
            <w:shd w:val="clear" w:color="auto" w:fill="auto"/>
            <w:noWrap/>
            <w:vAlign w:val="center"/>
            <w:hideMark/>
          </w:tcPr>
          <w:p w:rsidR="00A542E9" w:rsidRPr="001E45EA" w:rsidRDefault="00A542E9"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0.914</w:t>
            </w:r>
          </w:p>
        </w:tc>
        <w:tc>
          <w:tcPr>
            <w:tcW w:w="2197" w:type="dxa"/>
            <w:shd w:val="clear" w:color="auto" w:fill="auto"/>
            <w:noWrap/>
            <w:vAlign w:val="center"/>
            <w:hideMark/>
          </w:tcPr>
          <w:p w:rsidR="00A542E9" w:rsidRPr="001E45EA" w:rsidRDefault="00A542E9"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r>
    </w:tbl>
    <w:p w:rsidR="004D5699" w:rsidRDefault="004D5699" w:rsidP="0097225D">
      <w:pPr>
        <w:jc w:val="both"/>
        <w:rPr>
          <w:rFonts w:ascii="Arial" w:hAnsi="Arial" w:cs="Arial"/>
        </w:rPr>
      </w:pPr>
    </w:p>
    <w:p w:rsidR="00427B46" w:rsidRPr="00427B46" w:rsidRDefault="00427B46" w:rsidP="00253A0E">
      <w:pPr>
        <w:spacing w:after="0"/>
        <w:jc w:val="both"/>
        <w:rPr>
          <w:rFonts w:ascii="Arial" w:hAnsi="Arial" w:cs="Arial"/>
          <w:i/>
        </w:rPr>
      </w:pPr>
      <w:r w:rsidRPr="00427B46">
        <w:rPr>
          <w:rFonts w:ascii="Arial" w:hAnsi="Arial" w:cs="Arial"/>
          <w:i/>
        </w:rPr>
        <w:t xml:space="preserve">Table </w:t>
      </w:r>
      <w:r>
        <w:rPr>
          <w:rFonts w:ascii="Arial" w:hAnsi="Arial" w:cs="Arial"/>
          <w:i/>
        </w:rPr>
        <w:t>7</w:t>
      </w:r>
      <w:r w:rsidRPr="00427B46">
        <w:rPr>
          <w:rFonts w:ascii="Arial" w:hAnsi="Arial" w:cs="Arial"/>
          <w:i/>
        </w:rPr>
        <w:t xml:space="preserve">: subgroup </w:t>
      </w:r>
      <w:r>
        <w:rPr>
          <w:rFonts w:ascii="Arial" w:hAnsi="Arial" w:cs="Arial"/>
          <w:i/>
        </w:rPr>
        <w:t>5</w:t>
      </w:r>
      <w:r w:rsidRPr="00427B46">
        <w:rPr>
          <w:rFonts w:ascii="Arial" w:hAnsi="Arial" w:cs="Arial"/>
          <w:i/>
        </w:rPr>
        <w:t xml:space="preserve"> inter-correlations</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736"/>
        <w:gridCol w:w="1175"/>
        <w:gridCol w:w="1176"/>
        <w:gridCol w:w="1175"/>
        <w:gridCol w:w="1176"/>
        <w:gridCol w:w="1175"/>
        <w:gridCol w:w="1176"/>
      </w:tblGrid>
      <w:tr w:rsidR="004D5699" w:rsidRPr="00BA1097" w:rsidTr="00735E9A">
        <w:tc>
          <w:tcPr>
            <w:tcW w:w="1736" w:type="dxa"/>
            <w:shd w:val="clear" w:color="auto" w:fill="auto"/>
            <w:vAlign w:val="center"/>
            <w:hideMark/>
          </w:tcPr>
          <w:p w:rsidR="004D5699" w:rsidRPr="001E45EA" w:rsidRDefault="004D5699" w:rsidP="001E45EA">
            <w:pPr>
              <w:spacing w:after="0" w:line="240" w:lineRule="auto"/>
              <w:rPr>
                <w:rFonts w:ascii="Arial" w:eastAsia="Times New Roman" w:hAnsi="Arial" w:cs="Arial"/>
                <w:b/>
                <w:color w:val="000000"/>
                <w:sz w:val="20"/>
                <w:szCs w:val="20"/>
              </w:rPr>
            </w:pPr>
          </w:p>
        </w:tc>
        <w:tc>
          <w:tcPr>
            <w:tcW w:w="1175"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LLTI – Yes (both)</w:t>
            </w:r>
          </w:p>
        </w:tc>
        <w:tc>
          <w:tcPr>
            <w:tcW w:w="1176"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LLTI – Yes (a lot)</w:t>
            </w:r>
          </w:p>
        </w:tc>
        <w:tc>
          <w:tcPr>
            <w:tcW w:w="1175"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General health – very bad</w:t>
            </w:r>
          </w:p>
        </w:tc>
        <w:tc>
          <w:tcPr>
            <w:tcW w:w="1176"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General health – bad or very bad</w:t>
            </w:r>
          </w:p>
        </w:tc>
        <w:tc>
          <w:tcPr>
            <w:tcW w:w="1175"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Mental health condition</w:t>
            </w:r>
          </w:p>
        </w:tc>
        <w:tc>
          <w:tcPr>
            <w:tcW w:w="1176"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Long term illness</w:t>
            </w:r>
          </w:p>
        </w:tc>
      </w:tr>
      <w:tr w:rsidR="004D5699" w:rsidRPr="00BA1097" w:rsidTr="00735E9A">
        <w:tc>
          <w:tcPr>
            <w:tcW w:w="1736" w:type="dxa"/>
            <w:shd w:val="clear" w:color="auto" w:fill="auto"/>
            <w:vAlign w:val="center"/>
            <w:hideMark/>
          </w:tcPr>
          <w:p w:rsidR="004D5699" w:rsidRPr="001E45EA" w:rsidRDefault="004D5699"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LLTI</w:t>
            </w:r>
            <w:r w:rsidR="001E45EA" w:rsidRPr="001E45EA">
              <w:rPr>
                <w:rFonts w:ascii="Arial" w:eastAsia="Times New Roman" w:hAnsi="Arial" w:cs="Arial"/>
                <w:b/>
                <w:color w:val="000000"/>
                <w:sz w:val="20"/>
                <w:szCs w:val="20"/>
              </w:rPr>
              <w:t xml:space="preserve"> – </w:t>
            </w:r>
            <w:r w:rsidRPr="001E45EA">
              <w:rPr>
                <w:rFonts w:ascii="Arial" w:eastAsia="Times New Roman" w:hAnsi="Arial" w:cs="Arial"/>
                <w:b/>
                <w:color w:val="000000"/>
                <w:sz w:val="20"/>
                <w:szCs w:val="20"/>
              </w:rPr>
              <w:t>Yes</w:t>
            </w:r>
            <w:r w:rsidR="001E45EA" w:rsidRPr="001E45EA">
              <w:rPr>
                <w:rFonts w:ascii="Arial" w:eastAsia="Times New Roman" w:hAnsi="Arial" w:cs="Arial"/>
                <w:b/>
                <w:color w:val="000000"/>
                <w:sz w:val="20"/>
                <w:szCs w:val="20"/>
              </w:rPr>
              <w:t xml:space="preserve"> (</w:t>
            </w:r>
            <w:r w:rsidRPr="001E45EA">
              <w:rPr>
                <w:rFonts w:ascii="Arial" w:eastAsia="Times New Roman" w:hAnsi="Arial" w:cs="Arial"/>
                <w:b/>
                <w:color w:val="000000"/>
                <w:sz w:val="20"/>
                <w:szCs w:val="20"/>
              </w:rPr>
              <w:t>both</w:t>
            </w:r>
            <w:r w:rsidR="001E45EA" w:rsidRPr="001E45EA">
              <w:rPr>
                <w:rFonts w:ascii="Arial" w:eastAsia="Times New Roman" w:hAnsi="Arial" w:cs="Arial"/>
                <w:b/>
                <w:color w:val="000000"/>
                <w:sz w:val="20"/>
                <w:szCs w:val="20"/>
              </w:rPr>
              <w:t>)</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0.962</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0.825</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0.921</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0.932</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0.847</w:t>
            </w:r>
          </w:p>
        </w:tc>
      </w:tr>
      <w:tr w:rsidR="004D5699" w:rsidRPr="00BA1097" w:rsidTr="00735E9A">
        <w:tc>
          <w:tcPr>
            <w:tcW w:w="1736" w:type="dxa"/>
            <w:shd w:val="clear" w:color="auto" w:fill="auto"/>
            <w:vAlign w:val="center"/>
            <w:hideMark/>
          </w:tcPr>
          <w:p w:rsidR="004D5699" w:rsidRPr="001E45EA" w:rsidRDefault="004D5699"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LLTI</w:t>
            </w:r>
            <w:r w:rsidR="001E45EA" w:rsidRPr="001E45EA">
              <w:rPr>
                <w:rFonts w:ascii="Arial" w:eastAsia="Times New Roman" w:hAnsi="Arial" w:cs="Arial"/>
                <w:b/>
                <w:color w:val="000000"/>
                <w:sz w:val="20"/>
                <w:szCs w:val="20"/>
              </w:rPr>
              <w:t xml:space="preserve"> – </w:t>
            </w:r>
            <w:r w:rsidRPr="001E45EA">
              <w:rPr>
                <w:rFonts w:ascii="Arial" w:eastAsia="Times New Roman" w:hAnsi="Arial" w:cs="Arial"/>
                <w:b/>
                <w:color w:val="000000"/>
                <w:sz w:val="20"/>
                <w:szCs w:val="20"/>
              </w:rPr>
              <w:t>Yes</w:t>
            </w:r>
            <w:r w:rsidR="001E45EA" w:rsidRPr="001E45EA">
              <w:rPr>
                <w:rFonts w:ascii="Arial" w:eastAsia="Times New Roman" w:hAnsi="Arial" w:cs="Arial"/>
                <w:b/>
                <w:color w:val="000000"/>
                <w:sz w:val="20"/>
                <w:szCs w:val="20"/>
              </w:rPr>
              <w:t xml:space="preserve"> (a </w:t>
            </w:r>
            <w:r w:rsidRPr="001E45EA">
              <w:rPr>
                <w:rFonts w:ascii="Arial" w:eastAsia="Times New Roman" w:hAnsi="Arial" w:cs="Arial"/>
                <w:b/>
                <w:color w:val="000000"/>
                <w:sz w:val="20"/>
                <w:szCs w:val="20"/>
              </w:rPr>
              <w:t>lot</w:t>
            </w:r>
            <w:r w:rsidR="001E45EA" w:rsidRPr="001E45EA">
              <w:rPr>
                <w:rFonts w:ascii="Arial" w:eastAsia="Times New Roman" w:hAnsi="Arial" w:cs="Arial"/>
                <w:b/>
                <w:color w:val="000000"/>
                <w:sz w:val="20"/>
                <w:szCs w:val="20"/>
              </w:rPr>
              <w:t>)</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0.962</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0.854</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0.935</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0.951</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0.838</w:t>
            </w:r>
          </w:p>
        </w:tc>
      </w:tr>
      <w:tr w:rsidR="004D5699" w:rsidRPr="00BA1097" w:rsidTr="00735E9A">
        <w:tc>
          <w:tcPr>
            <w:tcW w:w="1736"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 xml:space="preserve">General health – </w:t>
            </w:r>
            <w:r w:rsidR="004D5699" w:rsidRPr="001E45EA">
              <w:rPr>
                <w:rFonts w:ascii="Arial" w:eastAsia="Times New Roman" w:hAnsi="Arial" w:cs="Arial"/>
                <w:b/>
                <w:color w:val="000000"/>
                <w:sz w:val="20"/>
                <w:szCs w:val="20"/>
              </w:rPr>
              <w:t>very</w:t>
            </w:r>
            <w:r w:rsidRPr="001E45EA">
              <w:rPr>
                <w:rFonts w:ascii="Arial" w:eastAsia="Times New Roman" w:hAnsi="Arial" w:cs="Arial"/>
                <w:b/>
                <w:color w:val="000000"/>
                <w:sz w:val="20"/>
                <w:szCs w:val="20"/>
              </w:rPr>
              <w:t xml:space="preserve"> </w:t>
            </w:r>
            <w:r w:rsidR="004D5699" w:rsidRPr="001E45EA">
              <w:rPr>
                <w:rFonts w:ascii="Arial" w:eastAsia="Times New Roman" w:hAnsi="Arial" w:cs="Arial"/>
                <w:b/>
                <w:color w:val="000000"/>
                <w:sz w:val="20"/>
                <w:szCs w:val="20"/>
              </w:rPr>
              <w:t>bad</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0.825</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0.854</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0.803</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0.894</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0.729</w:t>
            </w:r>
          </w:p>
        </w:tc>
      </w:tr>
      <w:tr w:rsidR="004D5699" w:rsidRPr="00BA1097" w:rsidTr="00735E9A">
        <w:tc>
          <w:tcPr>
            <w:tcW w:w="1736"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General health – bad or very bad</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0.921</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0.935</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0.803</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0.985</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0.808</w:t>
            </w:r>
          </w:p>
        </w:tc>
      </w:tr>
      <w:tr w:rsidR="004D5699" w:rsidRPr="00BA1097" w:rsidTr="00735E9A">
        <w:tc>
          <w:tcPr>
            <w:tcW w:w="1736"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Mental health condition</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0.932</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0.951</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0.894</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0.985</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0.820</w:t>
            </w:r>
          </w:p>
        </w:tc>
      </w:tr>
      <w:tr w:rsidR="004D5699" w:rsidRPr="00BA1097" w:rsidTr="00735E9A">
        <w:tc>
          <w:tcPr>
            <w:tcW w:w="1736"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Long term illness</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0.847</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0.838</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0.729</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0.808</w:t>
            </w:r>
          </w:p>
        </w:tc>
        <w:tc>
          <w:tcPr>
            <w:tcW w:w="1175"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0.820</w:t>
            </w:r>
          </w:p>
        </w:tc>
        <w:tc>
          <w:tcPr>
            <w:tcW w:w="1176"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r>
    </w:tbl>
    <w:p w:rsidR="004D5699" w:rsidRDefault="004D5699" w:rsidP="0097225D">
      <w:pPr>
        <w:jc w:val="both"/>
        <w:rPr>
          <w:rFonts w:ascii="Arial" w:hAnsi="Arial" w:cs="Arial"/>
        </w:rPr>
      </w:pPr>
    </w:p>
    <w:p w:rsidR="00735E9A" w:rsidRDefault="00735E9A">
      <w:pPr>
        <w:rPr>
          <w:rFonts w:ascii="Arial" w:hAnsi="Arial" w:cs="Arial"/>
          <w:i/>
        </w:rPr>
      </w:pPr>
      <w:r>
        <w:rPr>
          <w:rFonts w:ascii="Arial" w:hAnsi="Arial" w:cs="Arial"/>
          <w:i/>
        </w:rPr>
        <w:br w:type="page"/>
      </w:r>
    </w:p>
    <w:p w:rsidR="00427B46" w:rsidRPr="00427B46" w:rsidRDefault="00427B46" w:rsidP="00253A0E">
      <w:pPr>
        <w:spacing w:after="0"/>
        <w:jc w:val="both"/>
        <w:rPr>
          <w:rFonts w:ascii="Arial" w:hAnsi="Arial" w:cs="Arial"/>
          <w:i/>
        </w:rPr>
      </w:pPr>
      <w:r w:rsidRPr="00427B46">
        <w:rPr>
          <w:rFonts w:ascii="Arial" w:hAnsi="Arial" w:cs="Arial"/>
          <w:i/>
        </w:rPr>
        <w:lastRenderedPageBreak/>
        <w:t xml:space="preserve">Table </w:t>
      </w:r>
      <w:r>
        <w:rPr>
          <w:rFonts w:ascii="Arial" w:hAnsi="Arial" w:cs="Arial"/>
          <w:i/>
        </w:rPr>
        <w:t>8</w:t>
      </w:r>
      <w:r w:rsidRPr="00427B46">
        <w:rPr>
          <w:rFonts w:ascii="Arial" w:hAnsi="Arial" w:cs="Arial"/>
          <w:i/>
        </w:rPr>
        <w:t xml:space="preserve">: subgroup </w:t>
      </w:r>
      <w:r>
        <w:rPr>
          <w:rFonts w:ascii="Arial" w:hAnsi="Arial" w:cs="Arial"/>
          <w:i/>
        </w:rPr>
        <w:t>6</w:t>
      </w:r>
      <w:r w:rsidRPr="00427B46">
        <w:rPr>
          <w:rFonts w:ascii="Arial" w:hAnsi="Arial" w:cs="Arial"/>
          <w:i/>
        </w:rPr>
        <w:t xml:space="preserve"> inter-correlations</w:t>
      </w:r>
    </w:p>
    <w:tbl>
      <w:tblPr>
        <w:tblW w:w="87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1361"/>
        <w:gridCol w:w="1236"/>
        <w:gridCol w:w="1236"/>
        <w:gridCol w:w="1236"/>
        <w:gridCol w:w="1236"/>
        <w:gridCol w:w="1236"/>
        <w:gridCol w:w="1236"/>
      </w:tblGrid>
      <w:tr w:rsidR="00142B20" w:rsidRPr="001E45EA" w:rsidTr="00735E9A">
        <w:tc>
          <w:tcPr>
            <w:tcW w:w="1361" w:type="dxa"/>
            <w:shd w:val="clear" w:color="auto" w:fill="auto"/>
            <w:vAlign w:val="center"/>
            <w:hideMark/>
          </w:tcPr>
          <w:p w:rsidR="00142B20" w:rsidRPr="001E45EA" w:rsidRDefault="00142B20" w:rsidP="001E45EA">
            <w:pPr>
              <w:spacing w:after="0" w:line="240" w:lineRule="auto"/>
              <w:rPr>
                <w:rFonts w:ascii="Arial" w:eastAsia="Times New Roman" w:hAnsi="Arial" w:cs="Arial"/>
                <w:b/>
                <w:color w:val="000000"/>
                <w:sz w:val="20"/>
                <w:szCs w:val="20"/>
              </w:rPr>
            </w:pP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65</w:t>
            </w: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70</w:t>
            </w: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75</w:t>
            </w: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80</w:t>
            </w: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85</w:t>
            </w:r>
          </w:p>
        </w:tc>
        <w:tc>
          <w:tcPr>
            <w:tcW w:w="1236" w:type="dxa"/>
            <w:shd w:val="clear" w:color="auto" w:fill="auto"/>
            <w:vAlign w:val="center"/>
            <w:hideMark/>
          </w:tcPr>
          <w:p w:rsidR="00142B20"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90</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65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0.848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0.658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0.472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0.232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-0.045</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70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0.848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0.785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0.578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0.285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-0.038</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75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0.658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0.785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0.732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0.382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0.011</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80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0.472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0.578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0.732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0.568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0.090</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85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0.232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0.285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0.382</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0.568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0.297</w:t>
            </w:r>
          </w:p>
        </w:tc>
      </w:tr>
      <w:tr w:rsidR="00142B20" w:rsidRPr="00BA1097" w:rsidTr="00735E9A">
        <w:tc>
          <w:tcPr>
            <w:tcW w:w="1361" w:type="dxa"/>
            <w:shd w:val="clear" w:color="auto" w:fill="auto"/>
            <w:vAlign w:val="center"/>
            <w:hideMark/>
          </w:tcPr>
          <w:p w:rsidR="00142B20"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Living alone ≥</w:t>
            </w:r>
            <w:r w:rsidR="00142B20" w:rsidRPr="001E45EA">
              <w:rPr>
                <w:rFonts w:ascii="Arial" w:eastAsia="Times New Roman" w:hAnsi="Arial" w:cs="Arial"/>
                <w:b/>
                <w:color w:val="000000"/>
                <w:sz w:val="20"/>
                <w:szCs w:val="20"/>
              </w:rPr>
              <w:t>90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-0.045</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-0.038</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0.011</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0.090</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0.297</w:t>
            </w:r>
          </w:p>
        </w:tc>
        <w:tc>
          <w:tcPr>
            <w:tcW w:w="1236" w:type="dxa"/>
            <w:shd w:val="clear" w:color="auto" w:fill="auto"/>
            <w:noWrap/>
            <w:vAlign w:val="center"/>
            <w:hideMark/>
          </w:tcPr>
          <w:p w:rsidR="00142B20" w:rsidRPr="001E45EA" w:rsidRDefault="00142B20" w:rsidP="001E45EA">
            <w:pPr>
              <w:spacing w:after="0" w:line="240" w:lineRule="auto"/>
              <w:jc w:val="center"/>
              <w:rPr>
                <w:rFonts w:ascii="Arial" w:eastAsia="Times New Roman" w:hAnsi="Arial" w:cs="Arial"/>
                <w:color w:val="000000"/>
                <w:sz w:val="20"/>
                <w:szCs w:val="20"/>
              </w:rPr>
            </w:pPr>
            <w:r w:rsidRPr="001E45EA">
              <w:rPr>
                <w:rFonts w:ascii="Arial" w:eastAsia="Times New Roman" w:hAnsi="Arial" w:cs="Arial"/>
                <w:color w:val="000000"/>
                <w:sz w:val="20"/>
                <w:szCs w:val="20"/>
              </w:rPr>
              <w:t>1.000</w:t>
            </w:r>
          </w:p>
        </w:tc>
      </w:tr>
    </w:tbl>
    <w:p w:rsidR="004D5699" w:rsidRDefault="004D5699" w:rsidP="0097225D">
      <w:pPr>
        <w:jc w:val="both"/>
        <w:rPr>
          <w:rFonts w:ascii="Arial" w:hAnsi="Arial" w:cs="Arial"/>
        </w:rPr>
      </w:pPr>
    </w:p>
    <w:p w:rsidR="00427B46" w:rsidRPr="00427B46" w:rsidRDefault="00427B46" w:rsidP="00253A0E">
      <w:pPr>
        <w:spacing w:after="0"/>
        <w:jc w:val="both"/>
        <w:rPr>
          <w:rFonts w:ascii="Arial" w:hAnsi="Arial" w:cs="Arial"/>
          <w:i/>
        </w:rPr>
      </w:pPr>
      <w:r w:rsidRPr="00427B46">
        <w:rPr>
          <w:rFonts w:ascii="Arial" w:hAnsi="Arial" w:cs="Arial"/>
          <w:i/>
        </w:rPr>
        <w:t xml:space="preserve">Table </w:t>
      </w:r>
      <w:r>
        <w:rPr>
          <w:rFonts w:ascii="Arial" w:hAnsi="Arial" w:cs="Arial"/>
          <w:i/>
        </w:rPr>
        <w:t>9</w:t>
      </w:r>
      <w:r w:rsidRPr="00427B46">
        <w:rPr>
          <w:rFonts w:ascii="Arial" w:hAnsi="Arial" w:cs="Arial"/>
          <w:i/>
        </w:rPr>
        <w:t xml:space="preserve">: subgroup </w:t>
      </w:r>
      <w:r>
        <w:rPr>
          <w:rFonts w:ascii="Arial" w:hAnsi="Arial" w:cs="Arial"/>
          <w:i/>
        </w:rPr>
        <w:t>7</w:t>
      </w:r>
      <w:r w:rsidRPr="00427B46">
        <w:rPr>
          <w:rFonts w:ascii="Arial" w:hAnsi="Arial" w:cs="Arial"/>
          <w:i/>
        </w:rPr>
        <w:t xml:space="preserve"> inter-correlations</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269"/>
        <w:gridCol w:w="1630"/>
        <w:gridCol w:w="1630"/>
        <w:gridCol w:w="1630"/>
        <w:gridCol w:w="1630"/>
      </w:tblGrid>
      <w:tr w:rsidR="004D5699" w:rsidRPr="001E45EA" w:rsidTr="00735E9A">
        <w:tc>
          <w:tcPr>
            <w:tcW w:w="2269" w:type="dxa"/>
            <w:shd w:val="clear" w:color="auto" w:fill="auto"/>
            <w:vAlign w:val="center"/>
            <w:hideMark/>
          </w:tcPr>
          <w:p w:rsidR="004D5699" w:rsidRPr="001E45EA" w:rsidRDefault="004D5699" w:rsidP="001E45EA">
            <w:pPr>
              <w:spacing w:after="0" w:line="240" w:lineRule="auto"/>
              <w:rPr>
                <w:rFonts w:ascii="Arial" w:eastAsia="Times New Roman" w:hAnsi="Arial" w:cs="Arial"/>
                <w:b/>
                <w:color w:val="000000"/>
                <w:sz w:val="20"/>
                <w:szCs w:val="20"/>
              </w:rPr>
            </w:pPr>
          </w:p>
        </w:tc>
        <w:tc>
          <w:tcPr>
            <w:tcW w:w="1630"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1 hour</w:t>
            </w:r>
          </w:p>
        </w:tc>
        <w:tc>
          <w:tcPr>
            <w:tcW w:w="1630"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20 hours</w:t>
            </w:r>
          </w:p>
        </w:tc>
        <w:tc>
          <w:tcPr>
            <w:tcW w:w="1630"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35 hours</w:t>
            </w:r>
          </w:p>
        </w:tc>
        <w:tc>
          <w:tcPr>
            <w:tcW w:w="1630" w:type="dxa"/>
            <w:shd w:val="clear" w:color="auto" w:fill="auto"/>
            <w:vAlign w:val="center"/>
            <w:hideMark/>
          </w:tcPr>
          <w:p w:rsidR="004D5699" w:rsidRPr="001E45EA" w:rsidRDefault="001E45EA" w:rsidP="001E45EA">
            <w:pPr>
              <w:spacing w:after="0" w:line="240" w:lineRule="auto"/>
              <w:jc w:val="center"/>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50 hours</w:t>
            </w:r>
          </w:p>
        </w:tc>
      </w:tr>
      <w:tr w:rsidR="004D5699" w:rsidRPr="00BA1097" w:rsidTr="00735E9A">
        <w:tc>
          <w:tcPr>
            <w:tcW w:w="2269"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1 hour</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0.699</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0.662</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0.638</w:t>
            </w:r>
          </w:p>
        </w:tc>
      </w:tr>
      <w:tr w:rsidR="004D5699" w:rsidRPr="00BA1097" w:rsidTr="00735E9A">
        <w:tc>
          <w:tcPr>
            <w:tcW w:w="2269"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20 hours</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0.699</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0.971</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0.929</w:t>
            </w:r>
          </w:p>
        </w:tc>
      </w:tr>
      <w:tr w:rsidR="004D5699" w:rsidRPr="00BA1097" w:rsidTr="00735E9A">
        <w:tc>
          <w:tcPr>
            <w:tcW w:w="2269"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35 hours</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0.662</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0.971</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0.959</w:t>
            </w:r>
          </w:p>
        </w:tc>
      </w:tr>
      <w:tr w:rsidR="004D5699" w:rsidRPr="00BA1097" w:rsidTr="00735E9A">
        <w:tc>
          <w:tcPr>
            <w:tcW w:w="2269" w:type="dxa"/>
            <w:shd w:val="clear" w:color="auto" w:fill="auto"/>
            <w:vAlign w:val="center"/>
            <w:hideMark/>
          </w:tcPr>
          <w:p w:rsidR="004D5699" w:rsidRPr="001E45EA" w:rsidRDefault="001E45EA" w:rsidP="001E45EA">
            <w:pPr>
              <w:spacing w:after="0" w:line="240" w:lineRule="auto"/>
              <w:rPr>
                <w:rFonts w:ascii="Arial" w:eastAsia="Times New Roman" w:hAnsi="Arial" w:cs="Arial"/>
                <w:b/>
                <w:color w:val="000000"/>
                <w:sz w:val="20"/>
                <w:szCs w:val="20"/>
              </w:rPr>
            </w:pPr>
            <w:r w:rsidRPr="001E45EA">
              <w:rPr>
                <w:rFonts w:ascii="Arial" w:eastAsia="Times New Roman" w:hAnsi="Arial" w:cs="Arial"/>
                <w:b/>
                <w:color w:val="000000"/>
                <w:sz w:val="20"/>
                <w:szCs w:val="20"/>
              </w:rPr>
              <w:t>Unpaid care ≥ 50 hours</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0.638</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0.929</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0.959</w:t>
            </w:r>
          </w:p>
        </w:tc>
        <w:tc>
          <w:tcPr>
            <w:tcW w:w="1630" w:type="dxa"/>
            <w:shd w:val="clear" w:color="auto" w:fill="auto"/>
            <w:noWrap/>
            <w:vAlign w:val="center"/>
            <w:hideMark/>
          </w:tcPr>
          <w:p w:rsidR="004D5699" w:rsidRPr="001E45EA" w:rsidRDefault="004D5699" w:rsidP="001E45EA">
            <w:pPr>
              <w:contextualSpacing/>
              <w:jc w:val="center"/>
              <w:rPr>
                <w:rFonts w:ascii="Arial" w:hAnsi="Arial" w:cs="Arial"/>
                <w:color w:val="000000"/>
                <w:sz w:val="20"/>
                <w:szCs w:val="20"/>
              </w:rPr>
            </w:pPr>
            <w:r w:rsidRPr="001E45EA">
              <w:rPr>
                <w:rFonts w:ascii="Arial" w:hAnsi="Arial" w:cs="Arial"/>
                <w:color w:val="000000"/>
                <w:sz w:val="20"/>
                <w:szCs w:val="20"/>
              </w:rPr>
              <w:t>1.000</w:t>
            </w:r>
          </w:p>
        </w:tc>
      </w:tr>
    </w:tbl>
    <w:p w:rsidR="004D5699" w:rsidRDefault="004D5699" w:rsidP="0097225D">
      <w:pPr>
        <w:jc w:val="both"/>
        <w:rPr>
          <w:rFonts w:ascii="Arial" w:hAnsi="Arial" w:cs="Arial"/>
        </w:rPr>
      </w:pPr>
    </w:p>
    <w:p w:rsidR="00427B46" w:rsidRPr="00427B46" w:rsidRDefault="00427B46" w:rsidP="00253A0E">
      <w:pPr>
        <w:spacing w:after="0"/>
        <w:jc w:val="both"/>
        <w:rPr>
          <w:rFonts w:ascii="Arial" w:hAnsi="Arial" w:cs="Arial"/>
          <w:i/>
        </w:rPr>
      </w:pPr>
      <w:r w:rsidRPr="00427B46">
        <w:rPr>
          <w:rFonts w:ascii="Arial" w:hAnsi="Arial" w:cs="Arial"/>
          <w:i/>
        </w:rPr>
        <w:t>Table 1</w:t>
      </w:r>
      <w:r>
        <w:rPr>
          <w:rFonts w:ascii="Arial" w:hAnsi="Arial" w:cs="Arial"/>
          <w:i/>
        </w:rPr>
        <w:t>0</w:t>
      </w:r>
      <w:r w:rsidRPr="00427B46">
        <w:rPr>
          <w:rFonts w:ascii="Arial" w:hAnsi="Arial" w:cs="Arial"/>
          <w:i/>
        </w:rPr>
        <w:t xml:space="preserve">: subgroup </w:t>
      </w:r>
      <w:r>
        <w:rPr>
          <w:rFonts w:ascii="Arial" w:hAnsi="Arial" w:cs="Arial"/>
          <w:i/>
        </w:rPr>
        <w:t>8</w:t>
      </w:r>
      <w:r w:rsidRPr="00427B46">
        <w:rPr>
          <w:rFonts w:ascii="Arial" w:hAnsi="Arial" w:cs="Arial"/>
          <w:i/>
        </w:rPr>
        <w:t xml:space="preserve"> inter-correlations</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2269"/>
        <w:gridCol w:w="1630"/>
        <w:gridCol w:w="1630"/>
        <w:gridCol w:w="1630"/>
        <w:gridCol w:w="1630"/>
      </w:tblGrid>
      <w:tr w:rsidR="004D5699" w:rsidRPr="008C20E8" w:rsidTr="00735E9A">
        <w:tc>
          <w:tcPr>
            <w:tcW w:w="2269" w:type="dxa"/>
            <w:shd w:val="clear" w:color="auto" w:fill="auto"/>
            <w:vAlign w:val="center"/>
            <w:hideMark/>
          </w:tcPr>
          <w:p w:rsidR="004D5699" w:rsidRPr="008C20E8" w:rsidRDefault="004D5699" w:rsidP="008C20E8">
            <w:pPr>
              <w:spacing w:after="0" w:line="240" w:lineRule="auto"/>
              <w:rPr>
                <w:rFonts w:ascii="Arial" w:eastAsia="Times New Roman" w:hAnsi="Arial" w:cs="Arial"/>
                <w:b/>
                <w:color w:val="000000"/>
                <w:sz w:val="20"/>
                <w:szCs w:val="20"/>
              </w:rPr>
            </w:pPr>
          </w:p>
        </w:tc>
        <w:tc>
          <w:tcPr>
            <w:tcW w:w="1630" w:type="dxa"/>
            <w:shd w:val="clear" w:color="auto" w:fill="auto"/>
            <w:vAlign w:val="center"/>
            <w:hideMark/>
          </w:tcPr>
          <w:p w:rsidR="004D5699" w:rsidRPr="008C20E8" w:rsidRDefault="001E45EA"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no qualifications</w:t>
            </w:r>
          </w:p>
        </w:tc>
        <w:tc>
          <w:tcPr>
            <w:tcW w:w="1630" w:type="dxa"/>
            <w:shd w:val="clear" w:color="auto" w:fill="auto"/>
            <w:vAlign w:val="center"/>
            <w:hideMark/>
          </w:tcPr>
          <w:p w:rsidR="004D5699" w:rsidRPr="008C20E8" w:rsidRDefault="001E45EA"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level 1 and below</w:t>
            </w:r>
          </w:p>
        </w:tc>
        <w:tc>
          <w:tcPr>
            <w:tcW w:w="1630" w:type="dxa"/>
            <w:shd w:val="clear" w:color="auto" w:fill="auto"/>
            <w:vAlign w:val="center"/>
            <w:hideMark/>
          </w:tcPr>
          <w:p w:rsidR="004D5699" w:rsidRPr="008C20E8" w:rsidRDefault="001E45EA"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level 2 and below</w:t>
            </w:r>
          </w:p>
        </w:tc>
        <w:tc>
          <w:tcPr>
            <w:tcW w:w="1630" w:type="dxa"/>
            <w:shd w:val="clear" w:color="auto" w:fill="auto"/>
            <w:vAlign w:val="center"/>
            <w:hideMark/>
          </w:tcPr>
          <w:p w:rsidR="004D5699" w:rsidRPr="008C20E8" w:rsidRDefault="001E45EA"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Job seekers</w:t>
            </w:r>
          </w:p>
        </w:tc>
      </w:tr>
      <w:tr w:rsidR="004D5699" w:rsidRPr="00872CF5" w:rsidTr="00735E9A">
        <w:tc>
          <w:tcPr>
            <w:tcW w:w="2269" w:type="dxa"/>
            <w:shd w:val="clear" w:color="auto" w:fill="auto"/>
            <w:vAlign w:val="center"/>
            <w:hideMark/>
          </w:tcPr>
          <w:p w:rsidR="004D5699" w:rsidRPr="008C20E8" w:rsidRDefault="001E45EA"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no qualifications</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0.859</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0.743</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0.570</w:t>
            </w:r>
          </w:p>
        </w:tc>
      </w:tr>
      <w:tr w:rsidR="004D5699" w:rsidRPr="00872CF5" w:rsidTr="00735E9A">
        <w:tc>
          <w:tcPr>
            <w:tcW w:w="2269" w:type="dxa"/>
            <w:shd w:val="clear" w:color="auto" w:fill="auto"/>
            <w:vAlign w:val="center"/>
            <w:hideMark/>
          </w:tcPr>
          <w:p w:rsidR="004D5699" w:rsidRPr="008C20E8" w:rsidRDefault="001E45EA"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level 1 and below</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0.859</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0.959</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0.790</w:t>
            </w:r>
          </w:p>
        </w:tc>
      </w:tr>
      <w:tr w:rsidR="004D5699" w:rsidRPr="00872CF5" w:rsidTr="00735E9A">
        <w:tc>
          <w:tcPr>
            <w:tcW w:w="2269" w:type="dxa"/>
            <w:shd w:val="clear" w:color="auto" w:fill="auto"/>
            <w:vAlign w:val="center"/>
            <w:hideMark/>
          </w:tcPr>
          <w:p w:rsidR="004D5699" w:rsidRPr="008C20E8" w:rsidRDefault="001E45EA"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Education – level 2 and below</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0.743</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0.959</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0.850</w:t>
            </w:r>
          </w:p>
        </w:tc>
      </w:tr>
      <w:tr w:rsidR="004D5699" w:rsidRPr="00872CF5" w:rsidTr="00735E9A">
        <w:tc>
          <w:tcPr>
            <w:tcW w:w="2269" w:type="dxa"/>
            <w:shd w:val="clear" w:color="auto" w:fill="auto"/>
            <w:vAlign w:val="center"/>
            <w:hideMark/>
          </w:tcPr>
          <w:p w:rsidR="004D5699" w:rsidRPr="008C20E8" w:rsidRDefault="001E45EA"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Job seekers</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0.570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0.790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0.850</w:t>
            </w:r>
          </w:p>
        </w:tc>
        <w:tc>
          <w:tcPr>
            <w:tcW w:w="1630"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r>
    </w:tbl>
    <w:p w:rsidR="00735E9A" w:rsidRDefault="00735E9A">
      <w:pPr>
        <w:rPr>
          <w:rFonts w:ascii="Arial" w:hAnsi="Arial" w:cs="Arial"/>
          <w:i/>
        </w:rPr>
      </w:pPr>
    </w:p>
    <w:p w:rsidR="00253A0E" w:rsidRDefault="00253A0E">
      <w:pPr>
        <w:rPr>
          <w:rFonts w:ascii="Arial" w:hAnsi="Arial" w:cs="Arial"/>
          <w:i/>
        </w:rPr>
      </w:pPr>
      <w:r>
        <w:rPr>
          <w:rFonts w:ascii="Arial" w:hAnsi="Arial" w:cs="Arial"/>
          <w:i/>
        </w:rPr>
        <w:br w:type="page"/>
      </w:r>
    </w:p>
    <w:p w:rsidR="00427B46" w:rsidRPr="00427B46" w:rsidRDefault="00427B46" w:rsidP="00253A0E">
      <w:pPr>
        <w:spacing w:after="0"/>
        <w:jc w:val="both"/>
        <w:rPr>
          <w:rFonts w:ascii="Arial" w:hAnsi="Arial" w:cs="Arial"/>
          <w:i/>
        </w:rPr>
      </w:pPr>
      <w:r w:rsidRPr="00427B46">
        <w:rPr>
          <w:rFonts w:ascii="Arial" w:hAnsi="Arial" w:cs="Arial"/>
          <w:i/>
        </w:rPr>
        <w:lastRenderedPageBreak/>
        <w:t xml:space="preserve">Table </w:t>
      </w:r>
      <w:r>
        <w:rPr>
          <w:rFonts w:ascii="Arial" w:hAnsi="Arial" w:cs="Arial"/>
          <w:i/>
        </w:rPr>
        <w:t>1</w:t>
      </w:r>
      <w:r w:rsidRPr="00427B46">
        <w:rPr>
          <w:rFonts w:ascii="Arial" w:hAnsi="Arial" w:cs="Arial"/>
          <w:i/>
        </w:rPr>
        <w:t xml:space="preserve">1: subgroup </w:t>
      </w:r>
      <w:r>
        <w:rPr>
          <w:rFonts w:ascii="Arial" w:hAnsi="Arial" w:cs="Arial"/>
          <w:i/>
        </w:rPr>
        <w:t>9</w:t>
      </w:r>
      <w:r w:rsidRPr="00427B46">
        <w:rPr>
          <w:rFonts w:ascii="Arial" w:hAnsi="Arial" w:cs="Arial"/>
          <w:i/>
        </w:rPr>
        <w:t xml:space="preserve"> inter-correlations</w:t>
      </w:r>
    </w:p>
    <w:tbl>
      <w:tblPr>
        <w:tblW w:w="77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3488"/>
        <w:gridCol w:w="2154"/>
        <w:gridCol w:w="2155"/>
      </w:tblGrid>
      <w:tr w:rsidR="004D5699" w:rsidRPr="008C20E8" w:rsidTr="00735E9A">
        <w:tc>
          <w:tcPr>
            <w:tcW w:w="3488" w:type="dxa"/>
            <w:shd w:val="clear" w:color="auto" w:fill="auto"/>
            <w:vAlign w:val="center"/>
            <w:hideMark/>
          </w:tcPr>
          <w:p w:rsidR="004D5699" w:rsidRPr="008C20E8" w:rsidRDefault="004D5699" w:rsidP="008C20E8">
            <w:pPr>
              <w:spacing w:after="0" w:line="240" w:lineRule="auto"/>
              <w:rPr>
                <w:rFonts w:ascii="Arial" w:eastAsia="Times New Roman" w:hAnsi="Arial" w:cs="Arial"/>
                <w:b/>
                <w:color w:val="000000"/>
                <w:sz w:val="20"/>
                <w:szCs w:val="20"/>
              </w:rPr>
            </w:pPr>
          </w:p>
        </w:tc>
        <w:tc>
          <w:tcPr>
            <w:tcW w:w="2154" w:type="dxa"/>
            <w:shd w:val="clear" w:color="auto" w:fill="auto"/>
            <w:vAlign w:val="center"/>
            <w:hideMark/>
          </w:tcPr>
          <w:p w:rsidR="004D5699" w:rsidRPr="008C20E8" w:rsidRDefault="004D5699"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DNA</w:t>
            </w:r>
            <w:r w:rsidR="008C20E8" w:rsidRPr="008C20E8">
              <w:rPr>
                <w:rFonts w:ascii="Arial" w:eastAsia="Times New Roman" w:hAnsi="Arial" w:cs="Arial"/>
                <w:b/>
                <w:color w:val="000000"/>
                <w:sz w:val="20"/>
                <w:szCs w:val="20"/>
              </w:rPr>
              <w:t xml:space="preserve"> counts – fraction of appointments</w:t>
            </w:r>
          </w:p>
        </w:tc>
        <w:tc>
          <w:tcPr>
            <w:tcW w:w="2155" w:type="dxa"/>
            <w:shd w:val="clear" w:color="auto" w:fill="auto"/>
            <w:vAlign w:val="center"/>
            <w:hideMark/>
          </w:tcPr>
          <w:p w:rsidR="004D5699" w:rsidRPr="008C20E8" w:rsidRDefault="008C20E8" w:rsidP="008C20E8">
            <w:pPr>
              <w:spacing w:after="0" w:line="240" w:lineRule="auto"/>
              <w:jc w:val="center"/>
              <w:rPr>
                <w:rFonts w:ascii="Arial" w:eastAsia="Times New Roman" w:hAnsi="Arial" w:cs="Arial"/>
                <w:b/>
                <w:color w:val="000000"/>
                <w:sz w:val="20"/>
                <w:szCs w:val="20"/>
              </w:rPr>
            </w:pPr>
            <w:r w:rsidRPr="008C20E8">
              <w:rPr>
                <w:rFonts w:ascii="Arial" w:eastAsia="Times New Roman" w:hAnsi="Arial" w:cs="Arial"/>
                <w:b/>
                <w:color w:val="000000"/>
                <w:sz w:val="20"/>
                <w:szCs w:val="20"/>
              </w:rPr>
              <w:t>DNA counts – ratio to population</w:t>
            </w:r>
          </w:p>
        </w:tc>
      </w:tr>
      <w:tr w:rsidR="004D5699" w:rsidRPr="00A66E17" w:rsidTr="00735E9A">
        <w:tc>
          <w:tcPr>
            <w:tcW w:w="3488" w:type="dxa"/>
            <w:shd w:val="clear" w:color="auto" w:fill="auto"/>
            <w:vAlign w:val="center"/>
            <w:hideMark/>
          </w:tcPr>
          <w:p w:rsidR="004D5699" w:rsidRPr="008C20E8" w:rsidRDefault="008C20E8"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DNA counts – fraction of appointments</w:t>
            </w:r>
          </w:p>
        </w:tc>
        <w:tc>
          <w:tcPr>
            <w:tcW w:w="2154"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c>
          <w:tcPr>
            <w:tcW w:w="2155"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0.870</w:t>
            </w:r>
          </w:p>
        </w:tc>
      </w:tr>
      <w:tr w:rsidR="004D5699" w:rsidRPr="00A66E17" w:rsidTr="00735E9A">
        <w:tc>
          <w:tcPr>
            <w:tcW w:w="3488" w:type="dxa"/>
            <w:shd w:val="clear" w:color="auto" w:fill="auto"/>
            <w:vAlign w:val="center"/>
            <w:hideMark/>
          </w:tcPr>
          <w:p w:rsidR="004D5699" w:rsidRPr="008C20E8" w:rsidRDefault="008C20E8" w:rsidP="008C20E8">
            <w:pPr>
              <w:spacing w:after="0" w:line="240" w:lineRule="auto"/>
              <w:rPr>
                <w:rFonts w:ascii="Arial" w:eastAsia="Times New Roman" w:hAnsi="Arial" w:cs="Arial"/>
                <w:b/>
                <w:color w:val="000000"/>
                <w:sz w:val="20"/>
                <w:szCs w:val="20"/>
              </w:rPr>
            </w:pPr>
            <w:r w:rsidRPr="008C20E8">
              <w:rPr>
                <w:rFonts w:ascii="Arial" w:eastAsia="Times New Roman" w:hAnsi="Arial" w:cs="Arial"/>
                <w:b/>
                <w:color w:val="000000"/>
                <w:sz w:val="20"/>
                <w:szCs w:val="20"/>
              </w:rPr>
              <w:t>DNA counts – ratio to population</w:t>
            </w:r>
          </w:p>
        </w:tc>
        <w:tc>
          <w:tcPr>
            <w:tcW w:w="2154"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0.870</w:t>
            </w:r>
          </w:p>
        </w:tc>
        <w:tc>
          <w:tcPr>
            <w:tcW w:w="2155" w:type="dxa"/>
            <w:shd w:val="clear" w:color="auto" w:fill="auto"/>
            <w:noWrap/>
            <w:vAlign w:val="center"/>
            <w:hideMark/>
          </w:tcPr>
          <w:p w:rsidR="004D5699" w:rsidRPr="008C20E8" w:rsidRDefault="004D5699" w:rsidP="008C20E8">
            <w:pPr>
              <w:spacing w:after="0" w:line="240" w:lineRule="auto"/>
              <w:jc w:val="center"/>
              <w:rPr>
                <w:rFonts w:ascii="Arial" w:eastAsia="Times New Roman" w:hAnsi="Arial" w:cs="Arial"/>
                <w:color w:val="000000"/>
                <w:sz w:val="20"/>
                <w:szCs w:val="20"/>
              </w:rPr>
            </w:pPr>
            <w:r w:rsidRPr="008C20E8">
              <w:rPr>
                <w:rFonts w:ascii="Arial" w:eastAsia="Times New Roman" w:hAnsi="Arial" w:cs="Arial"/>
                <w:color w:val="000000"/>
                <w:sz w:val="20"/>
                <w:szCs w:val="20"/>
              </w:rPr>
              <w:t>1.000</w:t>
            </w:r>
          </w:p>
        </w:tc>
      </w:tr>
    </w:tbl>
    <w:p w:rsidR="004D5699" w:rsidRPr="0097225D" w:rsidRDefault="004D5699" w:rsidP="0097225D">
      <w:pPr>
        <w:jc w:val="both"/>
        <w:rPr>
          <w:rFonts w:ascii="Arial" w:hAnsi="Arial" w:cs="Arial"/>
        </w:rPr>
      </w:pPr>
    </w:p>
    <w:p w:rsidR="0097225D" w:rsidRPr="0097225D" w:rsidRDefault="0097225D" w:rsidP="0097225D">
      <w:pPr>
        <w:jc w:val="both"/>
        <w:rPr>
          <w:rFonts w:ascii="Arial" w:hAnsi="Arial" w:cs="Arial"/>
          <w:b/>
        </w:rPr>
      </w:pPr>
      <w:r w:rsidRPr="0097225D">
        <w:rPr>
          <w:rFonts w:ascii="Arial" w:hAnsi="Arial" w:cs="Arial"/>
          <w:b/>
        </w:rPr>
        <w:t xml:space="preserve">4.3 </w:t>
      </w:r>
      <w:r w:rsidR="00442301">
        <w:rPr>
          <w:rFonts w:ascii="Arial" w:hAnsi="Arial" w:cs="Arial"/>
          <w:b/>
        </w:rPr>
        <w:t>Selection from the subgroups</w:t>
      </w:r>
    </w:p>
    <w:p w:rsidR="00B43F4B" w:rsidRDefault="0097225D" w:rsidP="0097225D">
      <w:pPr>
        <w:jc w:val="both"/>
        <w:rPr>
          <w:rFonts w:ascii="Arial" w:hAnsi="Arial" w:cs="Arial"/>
        </w:rPr>
      </w:pPr>
      <w:r w:rsidRPr="0097225D">
        <w:rPr>
          <w:rFonts w:ascii="Arial" w:hAnsi="Arial" w:cs="Arial"/>
        </w:rPr>
        <w:t xml:space="preserve">In order to select the ‘best’ variable </w:t>
      </w:r>
      <w:r w:rsidR="00B43F4B">
        <w:rPr>
          <w:rFonts w:ascii="Arial" w:hAnsi="Arial" w:cs="Arial"/>
        </w:rPr>
        <w:t>from</w:t>
      </w:r>
      <w:r w:rsidRPr="0097225D">
        <w:rPr>
          <w:rFonts w:ascii="Arial" w:hAnsi="Arial" w:cs="Arial"/>
        </w:rPr>
        <w:t xml:space="preserve"> each subgroup, correlations between the variables and the cost ratios are computed. </w:t>
      </w:r>
      <w:r w:rsidR="00B43F4B" w:rsidRPr="0097225D">
        <w:rPr>
          <w:rFonts w:ascii="Arial" w:hAnsi="Arial" w:cs="Arial"/>
        </w:rPr>
        <w:t xml:space="preserve">The variable </w:t>
      </w:r>
      <w:r w:rsidR="00A81491" w:rsidRPr="0097225D">
        <w:rPr>
          <w:rFonts w:ascii="Arial" w:hAnsi="Arial" w:cs="Arial"/>
        </w:rPr>
        <w:t xml:space="preserve">having the highest correlation coefficients </w:t>
      </w:r>
      <w:r w:rsidR="00A81491">
        <w:rPr>
          <w:rFonts w:ascii="Arial" w:hAnsi="Arial" w:cs="Arial"/>
        </w:rPr>
        <w:t>for</w:t>
      </w:r>
      <w:r w:rsidR="00B43F4B" w:rsidRPr="0097225D">
        <w:rPr>
          <w:rFonts w:ascii="Arial" w:hAnsi="Arial" w:cs="Arial"/>
        </w:rPr>
        <w:t xml:space="preserve"> the most diagnostic groups </w:t>
      </w:r>
      <w:r w:rsidR="004F00E5">
        <w:rPr>
          <w:rFonts w:ascii="Arial" w:hAnsi="Arial" w:cs="Arial"/>
        </w:rPr>
        <w:t>is</w:t>
      </w:r>
      <w:r w:rsidR="00B43F4B" w:rsidRPr="0097225D">
        <w:rPr>
          <w:rFonts w:ascii="Arial" w:hAnsi="Arial" w:cs="Arial"/>
        </w:rPr>
        <w:t xml:space="preserve"> retained for the nex</w:t>
      </w:r>
      <w:r w:rsidR="00B43F4B">
        <w:rPr>
          <w:rFonts w:ascii="Arial" w:hAnsi="Arial" w:cs="Arial"/>
        </w:rPr>
        <w:t>t stage of the index construction.</w:t>
      </w:r>
    </w:p>
    <w:p w:rsidR="001433B0" w:rsidRDefault="00B43F4B" w:rsidP="0097225D">
      <w:pPr>
        <w:jc w:val="both"/>
        <w:rPr>
          <w:rFonts w:ascii="Arial" w:hAnsi="Arial" w:cs="Arial"/>
        </w:rPr>
      </w:pPr>
      <w:r>
        <w:rPr>
          <w:rFonts w:ascii="Arial" w:hAnsi="Arial" w:cs="Arial"/>
        </w:rPr>
        <w:t xml:space="preserve">Tables 12 to </w:t>
      </w:r>
      <w:r w:rsidR="00BB5D1F">
        <w:rPr>
          <w:rFonts w:ascii="Arial" w:hAnsi="Arial" w:cs="Arial"/>
        </w:rPr>
        <w:t>20</w:t>
      </w:r>
      <w:r>
        <w:rPr>
          <w:rFonts w:ascii="Arial" w:hAnsi="Arial" w:cs="Arial"/>
        </w:rPr>
        <w:t xml:space="preserve"> below show the correlations with the cost ratios for each subgroup. T</w:t>
      </w:r>
      <w:r w:rsidR="0097225D" w:rsidRPr="0097225D">
        <w:rPr>
          <w:rFonts w:ascii="Arial" w:hAnsi="Arial" w:cs="Arial"/>
        </w:rPr>
        <w:t xml:space="preserve">he highest correlation coefficient within each diagnostic group </w:t>
      </w:r>
      <w:r>
        <w:rPr>
          <w:rFonts w:ascii="Arial" w:hAnsi="Arial" w:cs="Arial"/>
        </w:rPr>
        <w:t>is</w:t>
      </w:r>
      <w:r w:rsidR="0097225D" w:rsidRPr="0097225D">
        <w:rPr>
          <w:rFonts w:ascii="Arial" w:hAnsi="Arial" w:cs="Arial"/>
        </w:rPr>
        <w:t xml:space="preserve"> indicated in bold</w:t>
      </w:r>
      <w:r w:rsidR="00344985">
        <w:rPr>
          <w:rFonts w:ascii="Arial" w:hAnsi="Arial" w:cs="Arial"/>
        </w:rPr>
        <w:t xml:space="preserve"> and italics</w:t>
      </w:r>
      <w:r w:rsidR="0097225D" w:rsidRPr="0097225D">
        <w:rPr>
          <w:rFonts w:ascii="Arial" w:hAnsi="Arial" w:cs="Arial"/>
        </w:rPr>
        <w:t>.</w:t>
      </w:r>
      <w:r w:rsidR="00BB5D1F">
        <w:rPr>
          <w:rFonts w:ascii="Arial" w:hAnsi="Arial" w:cs="Arial"/>
        </w:rPr>
        <w:t xml:space="preserve"> </w:t>
      </w:r>
    </w:p>
    <w:p w:rsidR="00A542E9" w:rsidRPr="00A542E9" w:rsidRDefault="00A542E9" w:rsidP="00253A0E">
      <w:pPr>
        <w:spacing w:after="0"/>
        <w:jc w:val="both"/>
        <w:rPr>
          <w:rFonts w:ascii="Arial" w:hAnsi="Arial" w:cs="Arial"/>
          <w:bCs/>
          <w:i/>
        </w:rPr>
      </w:pPr>
      <w:r w:rsidRPr="00A542E9">
        <w:rPr>
          <w:rFonts w:ascii="Arial" w:hAnsi="Arial" w:cs="Arial"/>
          <w:bCs/>
          <w:i/>
        </w:rPr>
        <w:t xml:space="preserve">Table </w:t>
      </w:r>
      <w:r w:rsidR="00B43F4B">
        <w:rPr>
          <w:rFonts w:ascii="Arial" w:hAnsi="Arial" w:cs="Arial"/>
          <w:bCs/>
          <w:i/>
        </w:rPr>
        <w:t>12:</w:t>
      </w:r>
      <w:r w:rsidRPr="00A542E9">
        <w:rPr>
          <w:rFonts w:ascii="Arial" w:hAnsi="Arial" w:cs="Arial"/>
          <w:bCs/>
          <w:i/>
        </w:rPr>
        <w:t xml:space="preserve"> correlations </w:t>
      </w:r>
      <w:r w:rsidR="00B43F4B">
        <w:rPr>
          <w:rFonts w:ascii="Arial" w:hAnsi="Arial" w:cs="Arial"/>
          <w:bCs/>
          <w:i/>
        </w:rPr>
        <w:t xml:space="preserve">with </w:t>
      </w:r>
      <w:r w:rsidRPr="00A542E9">
        <w:rPr>
          <w:rFonts w:ascii="Arial" w:hAnsi="Arial" w:cs="Arial"/>
          <w:bCs/>
          <w:i/>
        </w:rPr>
        <w:t>cost ratios</w:t>
      </w:r>
      <w:r w:rsidR="00B43F4B">
        <w:rPr>
          <w:rFonts w:ascii="Arial" w:hAnsi="Arial" w:cs="Arial"/>
          <w:bCs/>
          <w:i/>
        </w:rPr>
        <w:t xml:space="preserve"> for subgroup 1</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BB5D1F" w:rsidTr="00107792">
        <w:trPr>
          <w:cantSplit/>
          <w:trHeight w:val="1398"/>
        </w:trPr>
        <w:tc>
          <w:tcPr>
            <w:tcW w:w="1668" w:type="dxa"/>
            <w:shd w:val="clear" w:color="auto" w:fill="auto"/>
            <w:vAlign w:val="center"/>
            <w:hideMark/>
          </w:tcPr>
          <w:p w:rsidR="00A542E9" w:rsidRPr="00BB5D1F" w:rsidRDefault="00A542E9" w:rsidP="00BB5D1F">
            <w:pPr>
              <w:spacing w:after="0"/>
              <w:rPr>
                <w:rFonts w:ascii="Arial" w:hAnsi="Arial" w:cs="Arial"/>
                <w:b/>
                <w:sz w:val="20"/>
                <w:szCs w:val="20"/>
              </w:rPr>
            </w:pPr>
          </w:p>
        </w:tc>
        <w:tc>
          <w:tcPr>
            <w:tcW w:w="921"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Whole Acute</w:t>
            </w:r>
          </w:p>
        </w:tc>
        <w:tc>
          <w:tcPr>
            <w:tcW w:w="921"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Cancer</w:t>
            </w:r>
          </w:p>
        </w:tc>
        <w:tc>
          <w:tcPr>
            <w:tcW w:w="922"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Heart</w:t>
            </w:r>
          </w:p>
        </w:tc>
        <w:tc>
          <w:tcPr>
            <w:tcW w:w="921"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Digestive</w:t>
            </w:r>
          </w:p>
        </w:tc>
        <w:tc>
          <w:tcPr>
            <w:tcW w:w="921"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Injury</w:t>
            </w:r>
          </w:p>
        </w:tc>
        <w:tc>
          <w:tcPr>
            <w:tcW w:w="922"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Other</w:t>
            </w:r>
          </w:p>
        </w:tc>
        <w:tc>
          <w:tcPr>
            <w:tcW w:w="921"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Respiratory</w:t>
            </w:r>
          </w:p>
        </w:tc>
        <w:tc>
          <w:tcPr>
            <w:tcW w:w="922" w:type="dxa"/>
            <w:shd w:val="clear" w:color="auto" w:fill="auto"/>
            <w:textDirection w:val="btLr"/>
            <w:vAlign w:val="center"/>
            <w:hideMark/>
          </w:tcPr>
          <w:p w:rsidR="00A542E9" w:rsidRPr="00BB5D1F" w:rsidRDefault="00735E9A" w:rsidP="002D5B9D">
            <w:pPr>
              <w:spacing w:after="0"/>
              <w:ind w:left="113" w:right="113"/>
              <w:jc w:val="center"/>
              <w:rPr>
                <w:rFonts w:ascii="Arial" w:hAnsi="Arial" w:cs="Arial"/>
                <w:b/>
                <w:sz w:val="20"/>
                <w:szCs w:val="20"/>
              </w:rPr>
            </w:pPr>
            <w:r w:rsidRPr="00BB5D1F">
              <w:rPr>
                <w:rFonts w:ascii="Arial" w:hAnsi="Arial" w:cs="Arial"/>
                <w:b/>
                <w:sz w:val="20"/>
                <w:szCs w:val="20"/>
              </w:rPr>
              <w:t>Outpatients</w:t>
            </w:r>
          </w:p>
        </w:tc>
      </w:tr>
      <w:tr w:rsidR="00A542E9" w:rsidRPr="00BB5D1F" w:rsidTr="00107792">
        <w:trPr>
          <w:trHeight w:val="545"/>
        </w:trPr>
        <w:tc>
          <w:tcPr>
            <w:tcW w:w="1668" w:type="dxa"/>
            <w:shd w:val="clear" w:color="auto" w:fill="auto"/>
            <w:vAlign w:val="center"/>
            <w:hideMark/>
          </w:tcPr>
          <w:p w:rsidR="00A542E9" w:rsidRPr="00BB5D1F" w:rsidRDefault="00F462C9" w:rsidP="00BB5D1F">
            <w:pPr>
              <w:spacing w:after="0"/>
              <w:rPr>
                <w:rFonts w:ascii="Arial" w:hAnsi="Arial" w:cs="Arial"/>
                <w:b/>
                <w:sz w:val="20"/>
                <w:szCs w:val="20"/>
              </w:rPr>
            </w:pPr>
            <w:r w:rsidRPr="00BB5D1F">
              <w:rPr>
                <w:rFonts w:ascii="Arial" w:hAnsi="Arial" w:cs="Arial"/>
                <w:b/>
                <w:sz w:val="20"/>
                <w:szCs w:val="20"/>
              </w:rPr>
              <w:t>All cause SMR &lt;</w:t>
            </w:r>
            <w:r w:rsidR="00A542E9" w:rsidRPr="00BB5D1F">
              <w:rPr>
                <w:rFonts w:ascii="Arial" w:hAnsi="Arial" w:cs="Arial"/>
                <w:b/>
                <w:sz w:val="20"/>
                <w:szCs w:val="20"/>
              </w:rPr>
              <w:t>75</w:t>
            </w:r>
          </w:p>
        </w:tc>
        <w:tc>
          <w:tcPr>
            <w:tcW w:w="921" w:type="dxa"/>
            <w:shd w:val="clear" w:color="auto" w:fill="auto"/>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0.629</w:t>
            </w:r>
          </w:p>
        </w:tc>
        <w:tc>
          <w:tcPr>
            <w:tcW w:w="921"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0.250</w:t>
            </w:r>
          </w:p>
        </w:tc>
        <w:tc>
          <w:tcPr>
            <w:tcW w:w="922"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0.384</w:t>
            </w:r>
          </w:p>
        </w:tc>
        <w:tc>
          <w:tcPr>
            <w:tcW w:w="921"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0.465</w:t>
            </w:r>
          </w:p>
        </w:tc>
        <w:tc>
          <w:tcPr>
            <w:tcW w:w="921"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0.413</w:t>
            </w:r>
          </w:p>
        </w:tc>
        <w:tc>
          <w:tcPr>
            <w:tcW w:w="922"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0.526</w:t>
            </w:r>
          </w:p>
        </w:tc>
        <w:tc>
          <w:tcPr>
            <w:tcW w:w="921"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0.523</w:t>
            </w:r>
          </w:p>
        </w:tc>
        <w:tc>
          <w:tcPr>
            <w:tcW w:w="922" w:type="dxa"/>
            <w:shd w:val="clear" w:color="auto" w:fill="auto"/>
            <w:noWrap/>
            <w:vAlign w:val="center"/>
            <w:hideMark/>
          </w:tcPr>
          <w:p w:rsidR="00A542E9" w:rsidRPr="00CD232E" w:rsidRDefault="00A542E9" w:rsidP="00BB5D1F">
            <w:pPr>
              <w:spacing w:after="0"/>
              <w:jc w:val="center"/>
              <w:rPr>
                <w:rFonts w:ascii="Arial" w:hAnsi="Arial" w:cs="Arial"/>
                <w:b/>
                <w:i/>
                <w:sz w:val="20"/>
                <w:szCs w:val="20"/>
              </w:rPr>
            </w:pPr>
            <w:r w:rsidRPr="00CD232E">
              <w:rPr>
                <w:rFonts w:ascii="Arial" w:hAnsi="Arial" w:cs="Arial"/>
                <w:b/>
                <w:i/>
                <w:sz w:val="20"/>
                <w:szCs w:val="20"/>
              </w:rPr>
              <w:t>0.321</w:t>
            </w:r>
          </w:p>
        </w:tc>
      </w:tr>
      <w:tr w:rsidR="00A542E9" w:rsidRPr="00BB5D1F" w:rsidTr="00107792">
        <w:trPr>
          <w:trHeight w:val="301"/>
        </w:trPr>
        <w:tc>
          <w:tcPr>
            <w:tcW w:w="1668" w:type="dxa"/>
            <w:shd w:val="clear" w:color="auto" w:fill="auto"/>
            <w:vAlign w:val="center"/>
            <w:hideMark/>
          </w:tcPr>
          <w:p w:rsidR="00A542E9" w:rsidRPr="00BB5D1F" w:rsidRDefault="00F462C9" w:rsidP="00BB5D1F">
            <w:pPr>
              <w:spacing w:after="0"/>
              <w:rPr>
                <w:rFonts w:ascii="Arial" w:hAnsi="Arial" w:cs="Arial"/>
                <w:b/>
                <w:sz w:val="20"/>
                <w:szCs w:val="20"/>
              </w:rPr>
            </w:pPr>
            <w:r w:rsidRPr="00BB5D1F">
              <w:rPr>
                <w:rFonts w:ascii="Arial" w:hAnsi="Arial" w:cs="Arial"/>
                <w:b/>
                <w:sz w:val="20"/>
                <w:szCs w:val="20"/>
              </w:rPr>
              <w:t>All cause SMR &lt;</w:t>
            </w:r>
            <w:r w:rsidR="00A542E9" w:rsidRPr="00BB5D1F">
              <w:rPr>
                <w:rFonts w:ascii="Arial" w:hAnsi="Arial" w:cs="Arial"/>
                <w:b/>
                <w:sz w:val="20"/>
                <w:szCs w:val="20"/>
              </w:rPr>
              <w:t>70</w:t>
            </w:r>
          </w:p>
        </w:tc>
        <w:tc>
          <w:tcPr>
            <w:tcW w:w="921" w:type="dxa"/>
            <w:shd w:val="clear" w:color="auto" w:fill="auto"/>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0.614</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0.241</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0.375</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0.455</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0.404</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0.518</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0.497</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0.314</w:t>
            </w:r>
          </w:p>
        </w:tc>
      </w:tr>
      <w:tr w:rsidR="00A542E9" w:rsidRPr="00BB5D1F" w:rsidTr="00107792">
        <w:trPr>
          <w:trHeight w:val="301"/>
        </w:trPr>
        <w:tc>
          <w:tcPr>
            <w:tcW w:w="1668" w:type="dxa"/>
            <w:shd w:val="clear" w:color="auto" w:fill="auto"/>
            <w:vAlign w:val="center"/>
            <w:hideMark/>
          </w:tcPr>
          <w:p w:rsidR="00A542E9" w:rsidRPr="00BB5D1F" w:rsidRDefault="00F462C9" w:rsidP="00BB5D1F">
            <w:pPr>
              <w:spacing w:after="0"/>
              <w:rPr>
                <w:rFonts w:ascii="Arial" w:hAnsi="Arial" w:cs="Arial"/>
                <w:b/>
                <w:sz w:val="20"/>
                <w:szCs w:val="20"/>
              </w:rPr>
            </w:pPr>
            <w:r w:rsidRPr="00BB5D1F">
              <w:rPr>
                <w:rFonts w:ascii="Arial" w:hAnsi="Arial" w:cs="Arial"/>
                <w:b/>
                <w:sz w:val="20"/>
                <w:szCs w:val="20"/>
              </w:rPr>
              <w:t>All cause SMR &lt;</w:t>
            </w:r>
            <w:r w:rsidR="00A542E9" w:rsidRPr="00BB5D1F">
              <w:rPr>
                <w:rFonts w:ascii="Arial" w:hAnsi="Arial" w:cs="Arial"/>
                <w:b/>
                <w:sz w:val="20"/>
                <w:szCs w:val="20"/>
              </w:rPr>
              <w:t>65</w:t>
            </w:r>
          </w:p>
        </w:tc>
        <w:tc>
          <w:tcPr>
            <w:tcW w:w="921" w:type="dxa"/>
            <w:shd w:val="clear" w:color="auto" w:fill="auto"/>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0.584</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0.227</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0.354</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0.430</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0.389</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0.494</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0.470</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0.303</w:t>
            </w:r>
          </w:p>
        </w:tc>
      </w:tr>
      <w:tr w:rsidR="00A542E9" w:rsidRPr="00BB5D1F" w:rsidTr="00107792">
        <w:trPr>
          <w:trHeight w:val="316"/>
        </w:trPr>
        <w:tc>
          <w:tcPr>
            <w:tcW w:w="1668" w:type="dxa"/>
            <w:shd w:val="clear" w:color="auto" w:fill="auto"/>
            <w:vAlign w:val="center"/>
            <w:hideMark/>
          </w:tcPr>
          <w:p w:rsidR="00A542E9" w:rsidRPr="00BB5D1F" w:rsidRDefault="00F462C9" w:rsidP="00BB5D1F">
            <w:pPr>
              <w:spacing w:after="0"/>
              <w:rPr>
                <w:rFonts w:ascii="Arial" w:hAnsi="Arial" w:cs="Arial"/>
                <w:b/>
                <w:sz w:val="20"/>
                <w:szCs w:val="20"/>
              </w:rPr>
            </w:pPr>
            <w:r w:rsidRPr="00BB5D1F">
              <w:rPr>
                <w:rFonts w:ascii="Arial" w:hAnsi="Arial" w:cs="Arial"/>
                <w:b/>
                <w:sz w:val="20"/>
                <w:szCs w:val="20"/>
              </w:rPr>
              <w:t>Death rate &lt;</w:t>
            </w:r>
            <w:r w:rsidR="00A542E9" w:rsidRPr="00BB5D1F">
              <w:rPr>
                <w:rFonts w:ascii="Arial" w:hAnsi="Arial" w:cs="Arial"/>
                <w:b/>
                <w:sz w:val="20"/>
                <w:szCs w:val="20"/>
              </w:rPr>
              <w:t>75</w:t>
            </w:r>
          </w:p>
        </w:tc>
        <w:tc>
          <w:tcPr>
            <w:tcW w:w="921" w:type="dxa"/>
            <w:shd w:val="clear" w:color="auto" w:fill="auto"/>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0.564</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0.224</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0.318</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0.428</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0.363</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0.495</w:t>
            </w:r>
          </w:p>
        </w:tc>
        <w:tc>
          <w:tcPr>
            <w:tcW w:w="921"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0.440</w:t>
            </w:r>
          </w:p>
        </w:tc>
        <w:tc>
          <w:tcPr>
            <w:tcW w:w="922" w:type="dxa"/>
            <w:shd w:val="clear" w:color="auto" w:fill="auto"/>
            <w:noWrap/>
            <w:vAlign w:val="center"/>
            <w:hideMark/>
          </w:tcPr>
          <w:p w:rsidR="00A542E9" w:rsidRPr="00BB5D1F" w:rsidRDefault="00A542E9" w:rsidP="00BB5D1F">
            <w:pPr>
              <w:spacing w:after="0"/>
              <w:jc w:val="center"/>
              <w:rPr>
                <w:rFonts w:ascii="Arial" w:hAnsi="Arial" w:cs="Arial"/>
                <w:sz w:val="20"/>
                <w:szCs w:val="20"/>
              </w:rPr>
            </w:pPr>
            <w:r w:rsidRPr="00BB5D1F">
              <w:rPr>
                <w:rFonts w:ascii="Arial" w:hAnsi="Arial" w:cs="Arial"/>
                <w:sz w:val="20"/>
                <w:szCs w:val="20"/>
              </w:rPr>
              <w:t>0.274</w:t>
            </w:r>
          </w:p>
        </w:tc>
      </w:tr>
    </w:tbl>
    <w:p w:rsidR="0060789B" w:rsidRDefault="0060789B">
      <w:pPr>
        <w:rPr>
          <w:rFonts w:ascii="Arial" w:hAnsi="Arial" w:cs="Arial"/>
          <w:bCs/>
          <w:i/>
        </w:rPr>
      </w:pPr>
    </w:p>
    <w:p w:rsidR="0097273A" w:rsidRDefault="0097273A">
      <w:pPr>
        <w:rPr>
          <w:rFonts w:ascii="Arial" w:hAnsi="Arial" w:cs="Arial"/>
          <w:bCs/>
          <w:i/>
        </w:rPr>
      </w:pPr>
      <w:r>
        <w:rPr>
          <w:rFonts w:ascii="Arial" w:hAnsi="Arial" w:cs="Arial"/>
          <w:bCs/>
          <w:i/>
        </w:rPr>
        <w:br w:type="page"/>
      </w:r>
    </w:p>
    <w:p w:rsidR="00B43F4B" w:rsidRPr="00A542E9" w:rsidRDefault="00B43F4B" w:rsidP="00253A0E">
      <w:pPr>
        <w:spacing w:after="0"/>
        <w:jc w:val="both"/>
        <w:rPr>
          <w:rFonts w:ascii="Arial" w:hAnsi="Arial" w:cs="Arial"/>
          <w:bCs/>
          <w:i/>
        </w:rPr>
      </w:pPr>
      <w:r w:rsidRPr="00A542E9">
        <w:rPr>
          <w:rFonts w:ascii="Arial" w:hAnsi="Arial" w:cs="Arial"/>
          <w:bCs/>
          <w:i/>
        </w:rPr>
        <w:lastRenderedPageBreak/>
        <w:t xml:space="preserve">Table </w:t>
      </w:r>
      <w:r>
        <w:rPr>
          <w:rFonts w:ascii="Arial" w:hAnsi="Arial" w:cs="Arial"/>
          <w:bCs/>
          <w:i/>
        </w:rPr>
        <w:t>1</w:t>
      </w:r>
      <w:r w:rsidR="00BB5D1F">
        <w:rPr>
          <w:rFonts w:ascii="Arial" w:hAnsi="Arial" w:cs="Arial"/>
          <w:bCs/>
          <w:i/>
        </w:rPr>
        <w:t>3</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2</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2D5B9D" w:rsidTr="00107792">
        <w:trPr>
          <w:cantSplit/>
          <w:trHeight w:val="1429"/>
        </w:trPr>
        <w:tc>
          <w:tcPr>
            <w:tcW w:w="1668" w:type="dxa"/>
            <w:shd w:val="clear" w:color="auto" w:fill="auto"/>
            <w:vAlign w:val="center"/>
            <w:hideMark/>
          </w:tcPr>
          <w:p w:rsidR="00A542E9" w:rsidRPr="002D5B9D" w:rsidRDefault="00A542E9" w:rsidP="001926FF">
            <w:pPr>
              <w:spacing w:after="0"/>
              <w:rPr>
                <w:rFonts w:ascii="Arial" w:hAnsi="Arial" w:cs="Arial"/>
                <w:b/>
                <w:sz w:val="20"/>
                <w:szCs w:val="20"/>
              </w:rPr>
            </w:pPr>
          </w:p>
        </w:tc>
        <w:tc>
          <w:tcPr>
            <w:tcW w:w="921"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Whole Acute</w:t>
            </w:r>
          </w:p>
        </w:tc>
        <w:tc>
          <w:tcPr>
            <w:tcW w:w="921"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Cancer</w:t>
            </w:r>
          </w:p>
        </w:tc>
        <w:tc>
          <w:tcPr>
            <w:tcW w:w="922"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Heart</w:t>
            </w:r>
          </w:p>
        </w:tc>
        <w:tc>
          <w:tcPr>
            <w:tcW w:w="921"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Digestive</w:t>
            </w:r>
          </w:p>
        </w:tc>
        <w:tc>
          <w:tcPr>
            <w:tcW w:w="921"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Injury</w:t>
            </w:r>
          </w:p>
        </w:tc>
        <w:tc>
          <w:tcPr>
            <w:tcW w:w="922"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Other</w:t>
            </w:r>
          </w:p>
        </w:tc>
        <w:tc>
          <w:tcPr>
            <w:tcW w:w="921"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Respiratory</w:t>
            </w:r>
          </w:p>
        </w:tc>
        <w:tc>
          <w:tcPr>
            <w:tcW w:w="922" w:type="dxa"/>
            <w:shd w:val="clear" w:color="auto" w:fill="auto"/>
            <w:textDirection w:val="btLr"/>
            <w:vAlign w:val="center"/>
            <w:hideMark/>
          </w:tcPr>
          <w:p w:rsidR="00A542E9" w:rsidRPr="002D5B9D" w:rsidRDefault="00735E9A" w:rsidP="002D5B9D">
            <w:pPr>
              <w:spacing w:after="0"/>
              <w:ind w:left="113" w:right="113"/>
              <w:jc w:val="center"/>
              <w:rPr>
                <w:rFonts w:ascii="Arial" w:hAnsi="Arial" w:cs="Arial"/>
                <w:b/>
                <w:sz w:val="20"/>
                <w:szCs w:val="20"/>
              </w:rPr>
            </w:pPr>
            <w:r w:rsidRPr="002D5B9D">
              <w:rPr>
                <w:rFonts w:ascii="Arial" w:hAnsi="Arial" w:cs="Arial"/>
                <w:b/>
                <w:sz w:val="20"/>
                <w:szCs w:val="20"/>
              </w:rPr>
              <w:t>Outpatients</w:t>
            </w:r>
          </w:p>
        </w:tc>
      </w:tr>
      <w:tr w:rsidR="00A542E9" w:rsidRPr="002D5B9D" w:rsidTr="00107792">
        <w:trPr>
          <w:trHeight w:val="289"/>
        </w:trPr>
        <w:tc>
          <w:tcPr>
            <w:tcW w:w="1668" w:type="dxa"/>
            <w:shd w:val="clear" w:color="auto" w:fill="auto"/>
            <w:vAlign w:val="center"/>
            <w:hideMark/>
          </w:tcPr>
          <w:p w:rsidR="00A542E9" w:rsidRPr="002D5B9D" w:rsidRDefault="00F462C9" w:rsidP="001926FF">
            <w:pPr>
              <w:spacing w:after="0"/>
              <w:rPr>
                <w:rFonts w:ascii="Arial" w:hAnsi="Arial" w:cs="Arial"/>
                <w:b/>
                <w:sz w:val="20"/>
                <w:szCs w:val="20"/>
              </w:rPr>
            </w:pPr>
            <w:r w:rsidRPr="002D5B9D">
              <w:rPr>
                <w:rFonts w:ascii="Arial" w:hAnsi="Arial" w:cs="Arial"/>
                <w:b/>
                <w:sz w:val="20"/>
                <w:szCs w:val="20"/>
              </w:rPr>
              <w:t>Cancer SMR &lt;</w:t>
            </w:r>
            <w:r w:rsidR="00A542E9" w:rsidRPr="002D5B9D">
              <w:rPr>
                <w:rFonts w:ascii="Arial" w:hAnsi="Arial" w:cs="Arial"/>
                <w:b/>
                <w:sz w:val="20"/>
                <w:szCs w:val="20"/>
              </w:rPr>
              <w:t>65</w:t>
            </w:r>
          </w:p>
        </w:tc>
        <w:tc>
          <w:tcPr>
            <w:tcW w:w="921" w:type="dxa"/>
            <w:shd w:val="clear" w:color="auto" w:fill="auto"/>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0.344</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0.258</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0.188</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0.228</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0.202</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0.268</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0.254</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0.196</w:t>
            </w:r>
          </w:p>
        </w:tc>
      </w:tr>
      <w:tr w:rsidR="00A542E9" w:rsidRPr="002D5B9D" w:rsidTr="00107792">
        <w:trPr>
          <w:trHeight w:val="275"/>
        </w:trPr>
        <w:tc>
          <w:tcPr>
            <w:tcW w:w="1668" w:type="dxa"/>
            <w:shd w:val="clear" w:color="auto" w:fill="auto"/>
            <w:vAlign w:val="center"/>
            <w:hideMark/>
          </w:tcPr>
          <w:p w:rsidR="00A542E9" w:rsidRPr="002D5B9D" w:rsidRDefault="00F462C9" w:rsidP="001926FF">
            <w:pPr>
              <w:spacing w:after="0"/>
              <w:rPr>
                <w:rFonts w:ascii="Arial" w:hAnsi="Arial" w:cs="Arial"/>
                <w:b/>
                <w:sz w:val="20"/>
                <w:szCs w:val="20"/>
              </w:rPr>
            </w:pPr>
            <w:r w:rsidRPr="002D5B9D">
              <w:rPr>
                <w:rFonts w:ascii="Arial" w:hAnsi="Arial" w:cs="Arial"/>
                <w:b/>
                <w:sz w:val="20"/>
                <w:szCs w:val="20"/>
              </w:rPr>
              <w:t>Cancer SMR &lt;</w:t>
            </w:r>
            <w:r w:rsidR="00A542E9" w:rsidRPr="002D5B9D">
              <w:rPr>
                <w:rFonts w:ascii="Arial" w:hAnsi="Arial" w:cs="Arial"/>
                <w:b/>
                <w:sz w:val="20"/>
                <w:szCs w:val="20"/>
              </w:rPr>
              <w:t>70</w:t>
            </w:r>
          </w:p>
        </w:tc>
        <w:tc>
          <w:tcPr>
            <w:tcW w:w="921" w:type="dxa"/>
            <w:shd w:val="clear" w:color="auto" w:fill="auto"/>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0.403</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0.292</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0.228</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0.274</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0.236</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0.315</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0.302</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0.225</w:t>
            </w:r>
          </w:p>
        </w:tc>
      </w:tr>
      <w:tr w:rsidR="00A542E9" w:rsidRPr="002D5B9D" w:rsidTr="00107792">
        <w:trPr>
          <w:trHeight w:val="275"/>
        </w:trPr>
        <w:tc>
          <w:tcPr>
            <w:tcW w:w="1668" w:type="dxa"/>
            <w:shd w:val="clear" w:color="auto" w:fill="auto"/>
            <w:vAlign w:val="center"/>
            <w:hideMark/>
          </w:tcPr>
          <w:p w:rsidR="00A542E9" w:rsidRPr="002D5B9D" w:rsidRDefault="00F462C9" w:rsidP="001926FF">
            <w:pPr>
              <w:spacing w:after="0"/>
              <w:rPr>
                <w:rFonts w:ascii="Arial" w:hAnsi="Arial" w:cs="Arial"/>
                <w:b/>
                <w:sz w:val="20"/>
                <w:szCs w:val="20"/>
              </w:rPr>
            </w:pPr>
            <w:r w:rsidRPr="002D5B9D">
              <w:rPr>
                <w:rFonts w:ascii="Arial" w:hAnsi="Arial" w:cs="Arial"/>
                <w:b/>
                <w:sz w:val="20"/>
                <w:szCs w:val="20"/>
              </w:rPr>
              <w:t>Cancer SMR &lt;</w:t>
            </w:r>
            <w:r w:rsidR="00A542E9" w:rsidRPr="002D5B9D">
              <w:rPr>
                <w:rFonts w:ascii="Arial" w:hAnsi="Arial" w:cs="Arial"/>
                <w:b/>
                <w:sz w:val="20"/>
                <w:szCs w:val="20"/>
              </w:rPr>
              <w:t>75</w:t>
            </w:r>
          </w:p>
        </w:tc>
        <w:tc>
          <w:tcPr>
            <w:tcW w:w="921" w:type="dxa"/>
            <w:shd w:val="clear" w:color="auto" w:fill="auto"/>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0.448</w:t>
            </w:r>
          </w:p>
        </w:tc>
        <w:tc>
          <w:tcPr>
            <w:tcW w:w="921"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0.321</w:t>
            </w:r>
          </w:p>
        </w:tc>
        <w:tc>
          <w:tcPr>
            <w:tcW w:w="922"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0.251</w:t>
            </w:r>
          </w:p>
        </w:tc>
        <w:tc>
          <w:tcPr>
            <w:tcW w:w="921"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0.302</w:t>
            </w:r>
          </w:p>
        </w:tc>
        <w:tc>
          <w:tcPr>
            <w:tcW w:w="921"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0.262</w:t>
            </w:r>
          </w:p>
        </w:tc>
        <w:tc>
          <w:tcPr>
            <w:tcW w:w="922"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0.346</w:t>
            </w:r>
          </w:p>
        </w:tc>
        <w:tc>
          <w:tcPr>
            <w:tcW w:w="921"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0.340</w:t>
            </w:r>
          </w:p>
        </w:tc>
        <w:tc>
          <w:tcPr>
            <w:tcW w:w="922" w:type="dxa"/>
            <w:shd w:val="clear" w:color="auto" w:fill="auto"/>
            <w:noWrap/>
            <w:vAlign w:val="center"/>
            <w:hideMark/>
          </w:tcPr>
          <w:p w:rsidR="00A542E9" w:rsidRPr="00CD232E" w:rsidRDefault="00A542E9" w:rsidP="002D5B9D">
            <w:pPr>
              <w:spacing w:after="0"/>
              <w:jc w:val="center"/>
              <w:rPr>
                <w:rFonts w:ascii="Arial" w:hAnsi="Arial" w:cs="Arial"/>
                <w:b/>
                <w:i/>
                <w:sz w:val="20"/>
                <w:szCs w:val="20"/>
              </w:rPr>
            </w:pPr>
            <w:r w:rsidRPr="00CD232E">
              <w:rPr>
                <w:rFonts w:ascii="Arial" w:hAnsi="Arial" w:cs="Arial"/>
                <w:b/>
                <w:i/>
                <w:sz w:val="20"/>
                <w:szCs w:val="20"/>
              </w:rPr>
              <w:t>0.257</w:t>
            </w:r>
          </w:p>
        </w:tc>
      </w:tr>
      <w:tr w:rsidR="00A542E9" w:rsidRPr="002D5B9D" w:rsidTr="00107792">
        <w:trPr>
          <w:trHeight w:val="289"/>
        </w:trPr>
        <w:tc>
          <w:tcPr>
            <w:tcW w:w="1668" w:type="dxa"/>
            <w:shd w:val="clear" w:color="auto" w:fill="auto"/>
            <w:vAlign w:val="center"/>
            <w:hideMark/>
          </w:tcPr>
          <w:p w:rsidR="00A542E9" w:rsidRPr="002D5B9D" w:rsidRDefault="00F462C9" w:rsidP="001926FF">
            <w:pPr>
              <w:spacing w:after="0"/>
              <w:rPr>
                <w:rFonts w:ascii="Arial" w:hAnsi="Arial" w:cs="Arial"/>
                <w:b/>
                <w:sz w:val="20"/>
                <w:szCs w:val="20"/>
              </w:rPr>
            </w:pPr>
            <w:r w:rsidRPr="002D5B9D">
              <w:rPr>
                <w:rFonts w:ascii="Arial" w:hAnsi="Arial" w:cs="Arial"/>
                <w:b/>
                <w:sz w:val="20"/>
                <w:szCs w:val="20"/>
              </w:rPr>
              <w:t>Death rate &lt;</w:t>
            </w:r>
            <w:r w:rsidR="00A542E9" w:rsidRPr="002D5B9D">
              <w:rPr>
                <w:rFonts w:ascii="Arial" w:hAnsi="Arial" w:cs="Arial"/>
                <w:b/>
                <w:sz w:val="20"/>
                <w:szCs w:val="20"/>
              </w:rPr>
              <w:t>75</w:t>
            </w:r>
            <w:r w:rsidR="00735E9A" w:rsidRPr="002D5B9D">
              <w:rPr>
                <w:rFonts w:ascii="Arial" w:hAnsi="Arial" w:cs="Arial"/>
                <w:b/>
                <w:sz w:val="20"/>
                <w:szCs w:val="20"/>
              </w:rPr>
              <w:t xml:space="preserve"> Cancer</w:t>
            </w:r>
          </w:p>
        </w:tc>
        <w:tc>
          <w:tcPr>
            <w:tcW w:w="921" w:type="dxa"/>
            <w:shd w:val="clear" w:color="auto" w:fill="auto"/>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0.347</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0.261</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0.165</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0.246</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0.197</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0.285</w:t>
            </w:r>
          </w:p>
        </w:tc>
        <w:tc>
          <w:tcPr>
            <w:tcW w:w="921"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0.224</w:t>
            </w:r>
          </w:p>
        </w:tc>
        <w:tc>
          <w:tcPr>
            <w:tcW w:w="922" w:type="dxa"/>
            <w:shd w:val="clear" w:color="auto" w:fill="auto"/>
            <w:noWrap/>
            <w:vAlign w:val="center"/>
            <w:hideMark/>
          </w:tcPr>
          <w:p w:rsidR="00A542E9" w:rsidRPr="002D5B9D" w:rsidRDefault="00A542E9" w:rsidP="002D5B9D">
            <w:pPr>
              <w:spacing w:after="0"/>
              <w:jc w:val="center"/>
              <w:rPr>
                <w:rFonts w:ascii="Arial" w:hAnsi="Arial" w:cs="Arial"/>
                <w:sz w:val="20"/>
                <w:szCs w:val="20"/>
              </w:rPr>
            </w:pPr>
            <w:r w:rsidRPr="002D5B9D">
              <w:rPr>
                <w:rFonts w:ascii="Arial" w:hAnsi="Arial" w:cs="Arial"/>
                <w:sz w:val="20"/>
                <w:szCs w:val="20"/>
              </w:rPr>
              <w:t>0.195</w:t>
            </w:r>
          </w:p>
        </w:tc>
      </w:tr>
    </w:tbl>
    <w:p w:rsidR="00A542E9" w:rsidRPr="00A542E9" w:rsidRDefault="00A542E9" w:rsidP="00A542E9">
      <w:pPr>
        <w:jc w:val="both"/>
        <w:rPr>
          <w:rFonts w:ascii="Arial" w:hAnsi="Arial" w:cs="Arial"/>
        </w:rPr>
      </w:pPr>
    </w:p>
    <w:p w:rsidR="00B43F4B" w:rsidRPr="00A542E9" w:rsidRDefault="00B43F4B" w:rsidP="00253A0E">
      <w:pPr>
        <w:spacing w:after="0"/>
        <w:jc w:val="both"/>
        <w:rPr>
          <w:rFonts w:ascii="Arial" w:hAnsi="Arial" w:cs="Arial"/>
          <w:bCs/>
          <w:i/>
        </w:rPr>
      </w:pPr>
      <w:r w:rsidRPr="00A542E9">
        <w:rPr>
          <w:rFonts w:ascii="Arial" w:hAnsi="Arial" w:cs="Arial"/>
          <w:bCs/>
          <w:i/>
        </w:rPr>
        <w:t xml:space="preserve">Table </w:t>
      </w:r>
      <w:r>
        <w:rPr>
          <w:rFonts w:ascii="Arial" w:hAnsi="Arial" w:cs="Arial"/>
          <w:bCs/>
          <w:i/>
        </w:rPr>
        <w:t>1</w:t>
      </w:r>
      <w:r w:rsidR="00BB5D1F">
        <w:rPr>
          <w:rFonts w:ascii="Arial" w:hAnsi="Arial" w:cs="Arial"/>
          <w:bCs/>
          <w:i/>
        </w:rPr>
        <w:t>4</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3</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1926FF" w:rsidTr="00107792">
        <w:trPr>
          <w:cantSplit/>
          <w:trHeight w:val="1360"/>
        </w:trPr>
        <w:tc>
          <w:tcPr>
            <w:tcW w:w="1668" w:type="dxa"/>
            <w:shd w:val="clear" w:color="auto" w:fill="auto"/>
            <w:vAlign w:val="center"/>
            <w:hideMark/>
          </w:tcPr>
          <w:p w:rsidR="00A542E9" w:rsidRPr="001926FF" w:rsidRDefault="00A542E9" w:rsidP="001926FF">
            <w:pPr>
              <w:spacing w:after="0"/>
              <w:rPr>
                <w:rFonts w:ascii="Arial" w:hAnsi="Arial" w:cs="Arial"/>
                <w:b/>
                <w:sz w:val="20"/>
                <w:szCs w:val="20"/>
              </w:rPr>
            </w:pP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Whole Acute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Cancer</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Heart</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Digestive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Injury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Other</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Respiratory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Outpatients</w:t>
            </w:r>
          </w:p>
        </w:tc>
      </w:tr>
      <w:tr w:rsidR="00A542E9" w:rsidRPr="00A542E9" w:rsidTr="00107792">
        <w:trPr>
          <w:trHeight w:val="294"/>
        </w:trPr>
        <w:tc>
          <w:tcPr>
            <w:tcW w:w="1668" w:type="dxa"/>
            <w:shd w:val="clear" w:color="auto" w:fill="auto"/>
            <w:vAlign w:val="center"/>
            <w:hideMark/>
          </w:tcPr>
          <w:p w:rsidR="00A542E9" w:rsidRPr="001926FF" w:rsidRDefault="00F462C9" w:rsidP="001926FF">
            <w:pPr>
              <w:spacing w:after="0"/>
              <w:rPr>
                <w:rFonts w:ascii="Arial" w:hAnsi="Arial" w:cs="Arial"/>
                <w:b/>
                <w:sz w:val="20"/>
                <w:szCs w:val="20"/>
              </w:rPr>
            </w:pPr>
            <w:r w:rsidRPr="001926FF">
              <w:rPr>
                <w:rFonts w:ascii="Arial" w:hAnsi="Arial" w:cs="Arial"/>
                <w:b/>
                <w:sz w:val="20"/>
                <w:szCs w:val="20"/>
              </w:rPr>
              <w:t>Heart SMR &lt;</w:t>
            </w:r>
            <w:r w:rsidR="00A542E9" w:rsidRPr="001926FF">
              <w:rPr>
                <w:rFonts w:ascii="Arial" w:hAnsi="Arial" w:cs="Arial"/>
                <w:b/>
                <w:sz w:val="20"/>
                <w:szCs w:val="20"/>
              </w:rPr>
              <w:t>65</w:t>
            </w:r>
          </w:p>
        </w:tc>
        <w:tc>
          <w:tcPr>
            <w:tcW w:w="921" w:type="dxa"/>
            <w:shd w:val="clear" w:color="auto" w:fill="auto"/>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0.394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0.127</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0.250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0.276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0.339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0.312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0.203</w:t>
            </w:r>
          </w:p>
        </w:tc>
      </w:tr>
      <w:tr w:rsidR="00A542E9" w:rsidRPr="00A542E9" w:rsidTr="00107792">
        <w:trPr>
          <w:trHeight w:val="294"/>
        </w:trPr>
        <w:tc>
          <w:tcPr>
            <w:tcW w:w="1668" w:type="dxa"/>
            <w:shd w:val="clear" w:color="auto" w:fill="auto"/>
            <w:vAlign w:val="center"/>
            <w:hideMark/>
          </w:tcPr>
          <w:p w:rsidR="00A542E9" w:rsidRPr="001926FF" w:rsidRDefault="00F462C9" w:rsidP="001926FF">
            <w:pPr>
              <w:spacing w:after="0"/>
              <w:rPr>
                <w:rFonts w:ascii="Arial" w:hAnsi="Arial" w:cs="Arial"/>
                <w:b/>
                <w:sz w:val="20"/>
                <w:szCs w:val="20"/>
              </w:rPr>
            </w:pPr>
            <w:r w:rsidRPr="001926FF">
              <w:rPr>
                <w:rFonts w:ascii="Arial" w:hAnsi="Arial" w:cs="Arial"/>
                <w:b/>
                <w:sz w:val="20"/>
                <w:szCs w:val="20"/>
              </w:rPr>
              <w:t>Heart SMR &lt;</w:t>
            </w:r>
            <w:r w:rsidR="00A542E9" w:rsidRPr="001926FF">
              <w:rPr>
                <w:rFonts w:ascii="Arial" w:hAnsi="Arial" w:cs="Arial"/>
                <w:b/>
                <w:sz w:val="20"/>
                <w:szCs w:val="20"/>
              </w:rPr>
              <w:t>70</w:t>
            </w:r>
          </w:p>
        </w:tc>
        <w:tc>
          <w:tcPr>
            <w:tcW w:w="921" w:type="dxa"/>
            <w:shd w:val="clear" w:color="auto" w:fill="auto"/>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0.430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0.134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0.311</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0.298</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0.372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0.342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0.214</w:t>
            </w:r>
          </w:p>
        </w:tc>
      </w:tr>
      <w:tr w:rsidR="00A542E9" w:rsidRPr="00A542E9" w:rsidTr="00107792">
        <w:trPr>
          <w:trHeight w:val="294"/>
        </w:trPr>
        <w:tc>
          <w:tcPr>
            <w:tcW w:w="1668" w:type="dxa"/>
            <w:shd w:val="clear" w:color="auto" w:fill="auto"/>
            <w:vAlign w:val="center"/>
            <w:hideMark/>
          </w:tcPr>
          <w:p w:rsidR="00A542E9" w:rsidRPr="001926FF" w:rsidRDefault="00F462C9" w:rsidP="001926FF">
            <w:pPr>
              <w:spacing w:after="0"/>
              <w:rPr>
                <w:rFonts w:ascii="Arial" w:hAnsi="Arial" w:cs="Arial"/>
                <w:b/>
                <w:sz w:val="20"/>
                <w:szCs w:val="20"/>
              </w:rPr>
            </w:pPr>
            <w:r w:rsidRPr="001926FF">
              <w:rPr>
                <w:rFonts w:ascii="Arial" w:hAnsi="Arial" w:cs="Arial"/>
                <w:b/>
                <w:sz w:val="20"/>
                <w:szCs w:val="20"/>
              </w:rPr>
              <w:t>Heart SMR &lt;</w:t>
            </w:r>
            <w:r w:rsidR="00A542E9" w:rsidRPr="001926FF">
              <w:rPr>
                <w:rFonts w:ascii="Arial" w:hAnsi="Arial" w:cs="Arial"/>
                <w:b/>
                <w:sz w:val="20"/>
                <w:szCs w:val="20"/>
              </w:rPr>
              <w:t>75</w:t>
            </w:r>
          </w:p>
        </w:tc>
        <w:tc>
          <w:tcPr>
            <w:tcW w:w="921" w:type="dxa"/>
            <w:shd w:val="clear" w:color="auto" w:fill="auto"/>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0.463</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0.140</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0.312</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0.332</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0.315</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0.397</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0.387</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0.227</w:t>
            </w:r>
          </w:p>
        </w:tc>
      </w:tr>
      <w:tr w:rsidR="00A542E9" w:rsidRPr="00A542E9" w:rsidTr="00107792">
        <w:trPr>
          <w:trHeight w:val="308"/>
        </w:trPr>
        <w:tc>
          <w:tcPr>
            <w:tcW w:w="1668" w:type="dxa"/>
            <w:shd w:val="clear" w:color="auto" w:fill="auto"/>
            <w:vAlign w:val="center"/>
            <w:hideMark/>
          </w:tcPr>
          <w:p w:rsidR="00A542E9" w:rsidRPr="001926FF" w:rsidRDefault="00F462C9" w:rsidP="001926FF">
            <w:pPr>
              <w:spacing w:after="0"/>
              <w:rPr>
                <w:rFonts w:ascii="Arial" w:hAnsi="Arial" w:cs="Arial"/>
                <w:b/>
                <w:sz w:val="20"/>
                <w:szCs w:val="20"/>
              </w:rPr>
            </w:pPr>
            <w:r w:rsidRPr="001926FF">
              <w:rPr>
                <w:rFonts w:ascii="Arial" w:hAnsi="Arial" w:cs="Arial"/>
                <w:b/>
                <w:sz w:val="20"/>
                <w:szCs w:val="20"/>
              </w:rPr>
              <w:t>Death rate &lt;</w:t>
            </w:r>
            <w:r w:rsidR="00A542E9" w:rsidRPr="001926FF">
              <w:rPr>
                <w:rFonts w:ascii="Arial" w:hAnsi="Arial" w:cs="Arial"/>
                <w:b/>
                <w:sz w:val="20"/>
                <w:szCs w:val="20"/>
              </w:rPr>
              <w:t>75</w:t>
            </w:r>
            <w:r w:rsidR="00735E9A" w:rsidRPr="001926FF">
              <w:rPr>
                <w:rFonts w:ascii="Arial" w:hAnsi="Arial" w:cs="Arial"/>
                <w:b/>
                <w:sz w:val="20"/>
                <w:szCs w:val="20"/>
              </w:rPr>
              <w:t xml:space="preserve"> CHD</w:t>
            </w:r>
          </w:p>
        </w:tc>
        <w:tc>
          <w:tcPr>
            <w:tcW w:w="921" w:type="dxa"/>
            <w:shd w:val="clear" w:color="auto" w:fill="auto"/>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0.368</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0.113</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0.229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0.278</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0.235</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0.328</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0.285</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0.184</w:t>
            </w:r>
          </w:p>
        </w:tc>
      </w:tr>
    </w:tbl>
    <w:p w:rsidR="00A542E9" w:rsidRPr="00A542E9" w:rsidRDefault="00A542E9" w:rsidP="00A542E9">
      <w:pPr>
        <w:jc w:val="both"/>
        <w:rPr>
          <w:rFonts w:ascii="Arial" w:hAnsi="Arial" w:cs="Arial"/>
          <w:bCs/>
          <w:i/>
        </w:rPr>
      </w:pPr>
    </w:p>
    <w:p w:rsidR="00B43F4B" w:rsidRPr="00A542E9" w:rsidRDefault="00B43F4B" w:rsidP="00253A0E">
      <w:pPr>
        <w:spacing w:after="0"/>
        <w:jc w:val="both"/>
        <w:rPr>
          <w:rFonts w:ascii="Arial" w:hAnsi="Arial" w:cs="Arial"/>
          <w:bCs/>
          <w:i/>
        </w:rPr>
      </w:pPr>
      <w:r w:rsidRPr="00A542E9">
        <w:rPr>
          <w:rFonts w:ascii="Arial" w:hAnsi="Arial" w:cs="Arial"/>
          <w:bCs/>
          <w:i/>
        </w:rPr>
        <w:t xml:space="preserve">Table </w:t>
      </w:r>
      <w:r>
        <w:rPr>
          <w:rFonts w:ascii="Arial" w:hAnsi="Arial" w:cs="Arial"/>
          <w:bCs/>
          <w:i/>
        </w:rPr>
        <w:t>1</w:t>
      </w:r>
      <w:r w:rsidR="00BB5D1F">
        <w:rPr>
          <w:rFonts w:ascii="Arial" w:hAnsi="Arial" w:cs="Arial"/>
          <w:bCs/>
          <w:i/>
        </w:rPr>
        <w:t>5</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4</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A542E9" w:rsidTr="00CD232E">
        <w:trPr>
          <w:cantSplit/>
          <w:trHeight w:val="1380"/>
        </w:trPr>
        <w:tc>
          <w:tcPr>
            <w:tcW w:w="1668" w:type="dxa"/>
            <w:shd w:val="clear" w:color="auto" w:fill="auto"/>
            <w:vAlign w:val="center"/>
            <w:hideMark/>
          </w:tcPr>
          <w:p w:rsidR="00A542E9" w:rsidRPr="001926FF" w:rsidRDefault="00A542E9" w:rsidP="001926FF">
            <w:pPr>
              <w:spacing w:after="0"/>
              <w:rPr>
                <w:rFonts w:ascii="Arial" w:hAnsi="Arial" w:cs="Arial"/>
                <w:b/>
                <w:sz w:val="20"/>
                <w:szCs w:val="20"/>
              </w:rPr>
            </w:pP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Whole Acute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Cancer</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Heart</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Digestive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Injury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Other</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Respiratory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Outpatients</w:t>
            </w:r>
          </w:p>
        </w:tc>
      </w:tr>
      <w:tr w:rsidR="00A542E9" w:rsidRPr="00A542E9" w:rsidTr="00107792">
        <w:trPr>
          <w:trHeight w:val="299"/>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Other SMR &lt;</w:t>
            </w:r>
            <w:r w:rsidR="00A542E9" w:rsidRPr="001926FF">
              <w:rPr>
                <w:rFonts w:ascii="Arial" w:hAnsi="Arial" w:cs="Arial"/>
                <w:b/>
                <w:sz w:val="20"/>
                <w:szCs w:val="20"/>
              </w:rPr>
              <w:t>70</w:t>
            </w:r>
          </w:p>
        </w:tc>
        <w:tc>
          <w:tcPr>
            <w:tcW w:w="921" w:type="dxa"/>
            <w:shd w:val="clear" w:color="auto" w:fill="auto"/>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0.341</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0.090</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0.223</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0.234</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0.221</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0.305</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0.296</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0.167</w:t>
            </w:r>
          </w:p>
        </w:tc>
      </w:tr>
      <w:tr w:rsidR="00A542E9" w:rsidRPr="00A542E9" w:rsidTr="00107792">
        <w:trPr>
          <w:trHeight w:val="314"/>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Other SMR &lt;</w:t>
            </w:r>
            <w:r w:rsidR="00A542E9" w:rsidRPr="001926FF">
              <w:rPr>
                <w:rFonts w:ascii="Arial" w:hAnsi="Arial" w:cs="Arial"/>
                <w:b/>
                <w:sz w:val="20"/>
                <w:szCs w:val="20"/>
              </w:rPr>
              <w:t>75</w:t>
            </w:r>
          </w:p>
        </w:tc>
        <w:tc>
          <w:tcPr>
            <w:tcW w:w="921" w:type="dxa"/>
            <w:shd w:val="clear" w:color="auto" w:fill="auto"/>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0.327</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0.084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0.206</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0.234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0.217</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0.292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0.294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0.150</w:t>
            </w:r>
          </w:p>
        </w:tc>
      </w:tr>
    </w:tbl>
    <w:p w:rsidR="00A542E9" w:rsidRPr="00A542E9" w:rsidRDefault="00A542E9" w:rsidP="00A542E9">
      <w:pPr>
        <w:jc w:val="both"/>
        <w:rPr>
          <w:rFonts w:ascii="Arial" w:hAnsi="Arial" w:cs="Arial"/>
          <w:b/>
        </w:rPr>
      </w:pPr>
    </w:p>
    <w:p w:rsidR="00CD232E" w:rsidRDefault="00CD232E">
      <w:pPr>
        <w:rPr>
          <w:rFonts w:ascii="Arial" w:hAnsi="Arial" w:cs="Arial"/>
          <w:bCs/>
          <w:i/>
        </w:rPr>
      </w:pPr>
      <w:r>
        <w:rPr>
          <w:rFonts w:ascii="Arial" w:hAnsi="Arial" w:cs="Arial"/>
          <w:bCs/>
          <w:i/>
        </w:rPr>
        <w:br w:type="page"/>
      </w:r>
    </w:p>
    <w:p w:rsidR="00B43F4B" w:rsidRPr="00A542E9" w:rsidRDefault="00B43F4B" w:rsidP="00253A0E">
      <w:pPr>
        <w:spacing w:after="0"/>
        <w:jc w:val="both"/>
        <w:rPr>
          <w:rFonts w:ascii="Arial" w:hAnsi="Arial" w:cs="Arial"/>
          <w:bCs/>
          <w:i/>
        </w:rPr>
      </w:pPr>
      <w:r w:rsidRPr="00A542E9">
        <w:rPr>
          <w:rFonts w:ascii="Arial" w:hAnsi="Arial" w:cs="Arial"/>
          <w:bCs/>
          <w:i/>
        </w:rPr>
        <w:lastRenderedPageBreak/>
        <w:t xml:space="preserve">Table </w:t>
      </w:r>
      <w:r>
        <w:rPr>
          <w:rFonts w:ascii="Arial" w:hAnsi="Arial" w:cs="Arial"/>
          <w:bCs/>
          <w:i/>
        </w:rPr>
        <w:t>1</w:t>
      </w:r>
      <w:r w:rsidR="00BB5D1F">
        <w:rPr>
          <w:rFonts w:ascii="Arial" w:hAnsi="Arial" w:cs="Arial"/>
          <w:bCs/>
          <w:i/>
        </w:rPr>
        <w:t>6</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5</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921"/>
        <w:gridCol w:w="921"/>
        <w:gridCol w:w="922"/>
        <w:gridCol w:w="921"/>
        <w:gridCol w:w="921"/>
        <w:gridCol w:w="922"/>
        <w:gridCol w:w="921"/>
        <w:gridCol w:w="922"/>
      </w:tblGrid>
      <w:tr w:rsidR="00A542E9" w:rsidRPr="00A542E9" w:rsidTr="00107792">
        <w:trPr>
          <w:cantSplit/>
          <w:trHeight w:val="1344"/>
        </w:trPr>
        <w:tc>
          <w:tcPr>
            <w:tcW w:w="1668" w:type="dxa"/>
            <w:shd w:val="clear" w:color="auto" w:fill="auto"/>
            <w:vAlign w:val="center"/>
            <w:hideMark/>
          </w:tcPr>
          <w:p w:rsidR="00A542E9" w:rsidRPr="001926FF" w:rsidRDefault="00A542E9" w:rsidP="001926FF">
            <w:pPr>
              <w:spacing w:after="0"/>
              <w:rPr>
                <w:rFonts w:ascii="Arial" w:hAnsi="Arial" w:cs="Arial"/>
                <w:b/>
                <w:sz w:val="20"/>
                <w:szCs w:val="20"/>
              </w:rPr>
            </w:pP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Whole Acute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Cancer</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Heart</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Digestive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Injury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Other</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Respiratory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Outpatients</w:t>
            </w:r>
          </w:p>
        </w:tc>
      </w:tr>
      <w:tr w:rsidR="00A542E9" w:rsidRPr="00A542E9" w:rsidTr="00107792">
        <w:trPr>
          <w:trHeight w:val="243"/>
        </w:trPr>
        <w:tc>
          <w:tcPr>
            <w:tcW w:w="1668" w:type="dxa"/>
            <w:shd w:val="clear" w:color="auto" w:fill="auto"/>
            <w:vAlign w:val="center"/>
            <w:hideMark/>
          </w:tcPr>
          <w:p w:rsidR="00A542E9" w:rsidRPr="001926FF" w:rsidRDefault="00BB5D1F" w:rsidP="001926FF">
            <w:pPr>
              <w:spacing w:after="0"/>
              <w:rPr>
                <w:rFonts w:ascii="Arial" w:hAnsi="Arial" w:cs="Arial"/>
                <w:b/>
                <w:sz w:val="20"/>
                <w:szCs w:val="20"/>
              </w:rPr>
            </w:pPr>
            <w:r w:rsidRPr="001926FF">
              <w:rPr>
                <w:rFonts w:ascii="Arial" w:hAnsi="Arial" w:cs="Arial"/>
                <w:b/>
                <w:sz w:val="20"/>
                <w:szCs w:val="20"/>
              </w:rPr>
              <w:t>General health – very bad</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0.657</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0.194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0.386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0.513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0.398</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0.555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0.554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0.400</w:t>
            </w:r>
          </w:p>
        </w:tc>
      </w:tr>
      <w:tr w:rsidR="00A542E9" w:rsidRPr="00A542E9" w:rsidTr="00107792">
        <w:trPr>
          <w:trHeight w:val="293"/>
        </w:trPr>
        <w:tc>
          <w:tcPr>
            <w:tcW w:w="1668" w:type="dxa"/>
            <w:shd w:val="clear" w:color="auto" w:fill="auto"/>
            <w:vAlign w:val="center"/>
            <w:hideMark/>
          </w:tcPr>
          <w:p w:rsidR="00A542E9" w:rsidRPr="001926FF" w:rsidRDefault="00BB5D1F" w:rsidP="001926FF">
            <w:pPr>
              <w:spacing w:after="0"/>
              <w:rPr>
                <w:rFonts w:ascii="Arial" w:hAnsi="Arial" w:cs="Arial"/>
                <w:b/>
                <w:sz w:val="20"/>
                <w:szCs w:val="20"/>
              </w:rPr>
            </w:pPr>
            <w:r w:rsidRPr="001926FF">
              <w:rPr>
                <w:rFonts w:ascii="Arial" w:hAnsi="Arial" w:cs="Arial"/>
                <w:b/>
                <w:sz w:val="20"/>
                <w:szCs w:val="20"/>
              </w:rPr>
              <w:t>General health – bad or very bad</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0.726</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0.218</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0.428</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0.562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0.450</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0.615</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0.608</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0.438</w:t>
            </w:r>
          </w:p>
        </w:tc>
      </w:tr>
      <w:tr w:rsidR="00A542E9" w:rsidRPr="00A542E9" w:rsidTr="00107792">
        <w:trPr>
          <w:trHeight w:val="284"/>
        </w:trPr>
        <w:tc>
          <w:tcPr>
            <w:tcW w:w="1668" w:type="dxa"/>
            <w:shd w:val="clear" w:color="auto" w:fill="auto"/>
            <w:vAlign w:val="center"/>
            <w:hideMark/>
          </w:tcPr>
          <w:p w:rsidR="00A542E9" w:rsidRPr="001926FF" w:rsidRDefault="00BB5D1F" w:rsidP="001926FF">
            <w:pPr>
              <w:spacing w:after="0"/>
              <w:rPr>
                <w:rFonts w:ascii="Arial" w:hAnsi="Arial" w:cs="Arial"/>
                <w:b/>
                <w:sz w:val="20"/>
                <w:szCs w:val="20"/>
              </w:rPr>
            </w:pPr>
            <w:r w:rsidRPr="001926FF">
              <w:rPr>
                <w:rFonts w:ascii="Arial" w:hAnsi="Arial" w:cs="Arial"/>
                <w:b/>
                <w:sz w:val="20"/>
                <w:szCs w:val="20"/>
              </w:rPr>
              <w:t>Mental health condition</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0.616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0.184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0.346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0.456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0.441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0.520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0.521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0.353</w:t>
            </w:r>
          </w:p>
        </w:tc>
      </w:tr>
      <w:tr w:rsidR="00A542E9" w:rsidRPr="00A542E9" w:rsidTr="00107792">
        <w:trPr>
          <w:trHeight w:val="290"/>
        </w:trPr>
        <w:tc>
          <w:tcPr>
            <w:tcW w:w="1668" w:type="dxa"/>
            <w:shd w:val="clear" w:color="auto" w:fill="auto"/>
            <w:vAlign w:val="center"/>
            <w:hideMark/>
          </w:tcPr>
          <w:p w:rsidR="00A542E9" w:rsidRPr="001926FF" w:rsidRDefault="00BB5D1F" w:rsidP="001926FF">
            <w:pPr>
              <w:spacing w:after="0"/>
              <w:rPr>
                <w:rFonts w:ascii="Arial" w:hAnsi="Arial" w:cs="Arial"/>
                <w:b/>
                <w:sz w:val="20"/>
                <w:szCs w:val="20"/>
              </w:rPr>
            </w:pPr>
            <w:r w:rsidRPr="001926FF">
              <w:rPr>
                <w:rFonts w:ascii="Arial" w:hAnsi="Arial" w:cs="Arial"/>
                <w:b/>
                <w:sz w:val="20"/>
                <w:szCs w:val="20"/>
              </w:rPr>
              <w:t>Long term illness</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0.608</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0.180</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0.358</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0.456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0.361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0.519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0.496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0.395</w:t>
            </w:r>
          </w:p>
        </w:tc>
      </w:tr>
      <w:tr w:rsidR="00A542E9" w:rsidRPr="00A542E9" w:rsidTr="00107792">
        <w:trPr>
          <w:trHeight w:val="290"/>
        </w:trPr>
        <w:tc>
          <w:tcPr>
            <w:tcW w:w="1668" w:type="dxa"/>
            <w:shd w:val="clear" w:color="auto" w:fill="auto"/>
            <w:vAlign w:val="center"/>
            <w:hideMark/>
          </w:tcPr>
          <w:p w:rsidR="00A542E9" w:rsidRPr="001926FF" w:rsidRDefault="00A542E9" w:rsidP="001926FF">
            <w:pPr>
              <w:spacing w:after="0"/>
              <w:rPr>
                <w:rFonts w:ascii="Arial" w:hAnsi="Arial" w:cs="Arial"/>
                <w:b/>
                <w:sz w:val="20"/>
                <w:szCs w:val="20"/>
              </w:rPr>
            </w:pPr>
            <w:r w:rsidRPr="001926FF">
              <w:rPr>
                <w:rFonts w:ascii="Arial" w:hAnsi="Arial" w:cs="Arial"/>
                <w:b/>
                <w:sz w:val="20"/>
                <w:szCs w:val="20"/>
              </w:rPr>
              <w:t>LLTI</w:t>
            </w:r>
            <w:r w:rsidR="00BB5D1F" w:rsidRPr="001926FF">
              <w:rPr>
                <w:rFonts w:ascii="Arial" w:hAnsi="Arial" w:cs="Arial"/>
                <w:b/>
                <w:sz w:val="20"/>
                <w:szCs w:val="20"/>
              </w:rPr>
              <w:t xml:space="preserve"> – </w:t>
            </w:r>
            <w:r w:rsidRPr="001926FF">
              <w:rPr>
                <w:rFonts w:ascii="Arial" w:hAnsi="Arial" w:cs="Arial"/>
                <w:b/>
                <w:sz w:val="20"/>
                <w:szCs w:val="20"/>
              </w:rPr>
              <w:t>Yes</w:t>
            </w:r>
            <w:r w:rsidR="00BB5D1F" w:rsidRPr="001926FF">
              <w:rPr>
                <w:rFonts w:ascii="Arial" w:hAnsi="Arial" w:cs="Arial"/>
                <w:b/>
                <w:sz w:val="20"/>
                <w:szCs w:val="20"/>
              </w:rPr>
              <w:t xml:space="preserve"> (</w:t>
            </w:r>
            <w:r w:rsidRPr="001926FF">
              <w:rPr>
                <w:rFonts w:ascii="Arial" w:hAnsi="Arial" w:cs="Arial"/>
                <w:b/>
                <w:sz w:val="20"/>
                <w:szCs w:val="20"/>
              </w:rPr>
              <w:t>both</w:t>
            </w:r>
            <w:r w:rsidR="00BB5D1F" w:rsidRPr="001926FF">
              <w:rPr>
                <w:rFonts w:ascii="Arial" w:hAnsi="Arial" w:cs="Arial"/>
                <w:b/>
                <w:sz w:val="20"/>
                <w:szCs w:val="20"/>
              </w:rPr>
              <w:t>)</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0.733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0.212</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0.440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0.552</w:t>
            </w:r>
          </w:p>
        </w:tc>
        <w:tc>
          <w:tcPr>
            <w:tcW w:w="921"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0.473</w:t>
            </w:r>
          </w:p>
        </w:tc>
        <w:tc>
          <w:tcPr>
            <w:tcW w:w="922" w:type="dxa"/>
            <w:shd w:val="clear" w:color="auto" w:fill="auto"/>
            <w:noWrap/>
            <w:vAlign w:val="center"/>
            <w:hideMark/>
          </w:tcPr>
          <w:p w:rsidR="00A542E9" w:rsidRPr="00CD232E" w:rsidRDefault="00A542E9" w:rsidP="001926FF">
            <w:pPr>
              <w:spacing w:after="0"/>
              <w:jc w:val="center"/>
              <w:rPr>
                <w:rFonts w:ascii="Arial" w:hAnsi="Arial" w:cs="Arial"/>
                <w:b/>
                <w:i/>
                <w:sz w:val="20"/>
                <w:szCs w:val="20"/>
              </w:rPr>
            </w:pPr>
            <w:r w:rsidRPr="00CD232E">
              <w:rPr>
                <w:rFonts w:ascii="Arial" w:hAnsi="Arial" w:cs="Arial"/>
                <w:b/>
                <w:i/>
                <w:sz w:val="20"/>
                <w:szCs w:val="20"/>
              </w:rPr>
              <w:t>0.632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0.593</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0.428</w:t>
            </w:r>
          </w:p>
        </w:tc>
      </w:tr>
      <w:tr w:rsidR="00A542E9" w:rsidRPr="00A542E9" w:rsidTr="00107792">
        <w:trPr>
          <w:trHeight w:val="304"/>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LLTI – Yes (a lot)</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0.723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0.209</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0.419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0.560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0.452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0.621</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0.606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0.423</w:t>
            </w:r>
          </w:p>
        </w:tc>
      </w:tr>
    </w:tbl>
    <w:p w:rsidR="0097225D" w:rsidRDefault="0097225D" w:rsidP="0097225D">
      <w:pPr>
        <w:jc w:val="both"/>
        <w:rPr>
          <w:rFonts w:ascii="Arial" w:hAnsi="Arial" w:cs="Arial"/>
        </w:rPr>
      </w:pPr>
    </w:p>
    <w:p w:rsidR="00B43F4B" w:rsidRPr="00A542E9" w:rsidRDefault="00B43F4B" w:rsidP="00253A0E">
      <w:pPr>
        <w:spacing w:after="0"/>
        <w:jc w:val="both"/>
        <w:rPr>
          <w:rFonts w:ascii="Arial" w:hAnsi="Arial" w:cs="Arial"/>
          <w:bCs/>
          <w:i/>
        </w:rPr>
      </w:pPr>
      <w:r w:rsidRPr="00A542E9">
        <w:rPr>
          <w:rFonts w:ascii="Arial" w:hAnsi="Arial" w:cs="Arial"/>
          <w:bCs/>
          <w:i/>
        </w:rPr>
        <w:t xml:space="preserve">Table </w:t>
      </w:r>
      <w:r>
        <w:rPr>
          <w:rFonts w:ascii="Arial" w:hAnsi="Arial" w:cs="Arial"/>
          <w:bCs/>
          <w:i/>
        </w:rPr>
        <w:t>1</w:t>
      </w:r>
      <w:r w:rsidR="00BB5D1F">
        <w:rPr>
          <w:rFonts w:ascii="Arial" w:hAnsi="Arial" w:cs="Arial"/>
          <w:bCs/>
          <w:i/>
        </w:rPr>
        <w:t>7</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6</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1926FF" w:rsidTr="00107792">
        <w:trPr>
          <w:cantSplit/>
          <w:trHeight w:val="1420"/>
        </w:trPr>
        <w:tc>
          <w:tcPr>
            <w:tcW w:w="1668" w:type="dxa"/>
            <w:shd w:val="clear" w:color="auto" w:fill="auto"/>
            <w:vAlign w:val="center"/>
            <w:hideMark/>
          </w:tcPr>
          <w:p w:rsidR="00A542E9" w:rsidRPr="001926FF" w:rsidRDefault="00A542E9" w:rsidP="001926FF">
            <w:pPr>
              <w:spacing w:after="0"/>
              <w:rPr>
                <w:rFonts w:ascii="Arial" w:hAnsi="Arial" w:cs="Arial"/>
                <w:b/>
                <w:sz w:val="20"/>
                <w:szCs w:val="20"/>
              </w:rPr>
            </w:pPr>
            <w:r w:rsidRPr="001926FF">
              <w:rPr>
                <w:rFonts w:ascii="Arial" w:hAnsi="Arial" w:cs="Arial"/>
                <w:b/>
                <w:sz w:val="20"/>
                <w:szCs w:val="20"/>
              </w:rPr>
              <w:t> </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Whole Acute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Cancer</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Heart</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Digestive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Injury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Other</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Respiratory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Outpatients</w:t>
            </w:r>
          </w:p>
        </w:tc>
      </w:tr>
      <w:tr w:rsidR="00A542E9" w:rsidRPr="00A542E9" w:rsidTr="00107792">
        <w:trPr>
          <w:trHeight w:val="306"/>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65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-0.073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-0.014</w:t>
            </w:r>
          </w:p>
        </w:tc>
        <w:tc>
          <w:tcPr>
            <w:tcW w:w="921" w:type="dxa"/>
            <w:shd w:val="clear" w:color="auto" w:fill="auto"/>
            <w:noWrap/>
            <w:vAlign w:val="center"/>
            <w:hideMark/>
          </w:tcPr>
          <w:p w:rsidR="00A542E9" w:rsidRPr="00442301" w:rsidRDefault="00A542E9" w:rsidP="001926FF">
            <w:pPr>
              <w:spacing w:after="0"/>
              <w:jc w:val="center"/>
              <w:rPr>
                <w:rFonts w:ascii="Arial" w:hAnsi="Arial" w:cs="Arial"/>
                <w:b/>
                <w:i/>
                <w:sz w:val="20"/>
                <w:szCs w:val="20"/>
              </w:rPr>
            </w:pPr>
            <w:r w:rsidRPr="00442301">
              <w:rPr>
                <w:rFonts w:ascii="Arial" w:hAnsi="Arial" w:cs="Arial"/>
                <w:b/>
                <w:i/>
                <w:sz w:val="20"/>
                <w:szCs w:val="20"/>
              </w:rPr>
              <w:t>-0.071</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-0.062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-0.092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-0.020</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-0.041</w:t>
            </w:r>
          </w:p>
        </w:tc>
      </w:tr>
      <w:tr w:rsidR="00A542E9" w:rsidRPr="00A542E9" w:rsidTr="00107792">
        <w:trPr>
          <w:trHeight w:val="306"/>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70</w:t>
            </w:r>
          </w:p>
        </w:tc>
        <w:tc>
          <w:tcPr>
            <w:tcW w:w="921" w:type="dxa"/>
            <w:shd w:val="clear" w:color="auto" w:fill="auto"/>
            <w:noWrap/>
            <w:vAlign w:val="center"/>
            <w:hideMark/>
          </w:tcPr>
          <w:p w:rsidR="00A542E9" w:rsidRPr="00442301" w:rsidRDefault="00A542E9" w:rsidP="001926FF">
            <w:pPr>
              <w:spacing w:after="0"/>
              <w:jc w:val="center"/>
              <w:rPr>
                <w:rFonts w:ascii="Arial" w:hAnsi="Arial" w:cs="Arial"/>
                <w:b/>
                <w:i/>
                <w:sz w:val="20"/>
                <w:szCs w:val="20"/>
              </w:rPr>
            </w:pPr>
            <w:r w:rsidRPr="00442301">
              <w:rPr>
                <w:rFonts w:ascii="Arial" w:hAnsi="Arial" w:cs="Arial"/>
                <w:b/>
                <w:i/>
                <w:sz w:val="20"/>
                <w:szCs w:val="20"/>
              </w:rPr>
              <w:t>-0.082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-0.007</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-0.021</w:t>
            </w:r>
          </w:p>
        </w:tc>
        <w:tc>
          <w:tcPr>
            <w:tcW w:w="921"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-0.067</w:t>
            </w:r>
          </w:p>
        </w:tc>
        <w:tc>
          <w:tcPr>
            <w:tcW w:w="921" w:type="dxa"/>
            <w:shd w:val="clear" w:color="auto" w:fill="auto"/>
            <w:noWrap/>
            <w:vAlign w:val="center"/>
            <w:hideMark/>
          </w:tcPr>
          <w:p w:rsidR="00A542E9" w:rsidRPr="00442301" w:rsidRDefault="00A542E9" w:rsidP="001926FF">
            <w:pPr>
              <w:spacing w:after="0"/>
              <w:jc w:val="center"/>
              <w:rPr>
                <w:rFonts w:ascii="Arial" w:hAnsi="Arial" w:cs="Arial"/>
                <w:b/>
                <w:i/>
                <w:sz w:val="20"/>
                <w:szCs w:val="20"/>
              </w:rPr>
            </w:pPr>
            <w:r w:rsidRPr="00442301">
              <w:rPr>
                <w:rFonts w:ascii="Arial" w:hAnsi="Arial" w:cs="Arial"/>
                <w:b/>
                <w:i/>
                <w:sz w:val="20"/>
                <w:szCs w:val="20"/>
              </w:rPr>
              <w:t>-0.073</w:t>
            </w:r>
          </w:p>
        </w:tc>
        <w:tc>
          <w:tcPr>
            <w:tcW w:w="922" w:type="dxa"/>
            <w:shd w:val="clear" w:color="auto" w:fill="auto"/>
            <w:noWrap/>
            <w:vAlign w:val="center"/>
            <w:hideMark/>
          </w:tcPr>
          <w:p w:rsidR="00A542E9" w:rsidRPr="00442301" w:rsidRDefault="00A542E9" w:rsidP="001926FF">
            <w:pPr>
              <w:spacing w:after="0"/>
              <w:jc w:val="center"/>
              <w:rPr>
                <w:rFonts w:ascii="Arial" w:hAnsi="Arial" w:cs="Arial"/>
                <w:b/>
                <w:i/>
                <w:sz w:val="20"/>
                <w:szCs w:val="20"/>
              </w:rPr>
            </w:pPr>
            <w:r w:rsidRPr="00442301">
              <w:rPr>
                <w:rFonts w:ascii="Arial" w:hAnsi="Arial" w:cs="Arial"/>
                <w:b/>
                <w:i/>
                <w:sz w:val="20"/>
                <w:szCs w:val="20"/>
              </w:rPr>
              <w:t>-0.093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-0.028</w:t>
            </w:r>
          </w:p>
        </w:tc>
        <w:tc>
          <w:tcPr>
            <w:tcW w:w="922" w:type="dxa"/>
            <w:shd w:val="clear" w:color="auto" w:fill="auto"/>
            <w:noWrap/>
            <w:vAlign w:val="center"/>
            <w:hideMark/>
          </w:tcPr>
          <w:p w:rsidR="00A542E9" w:rsidRPr="00442301" w:rsidRDefault="00A542E9" w:rsidP="001926FF">
            <w:pPr>
              <w:spacing w:after="0"/>
              <w:jc w:val="center"/>
              <w:rPr>
                <w:rFonts w:ascii="Arial" w:hAnsi="Arial" w:cs="Arial"/>
                <w:b/>
                <w:i/>
                <w:sz w:val="20"/>
                <w:szCs w:val="20"/>
              </w:rPr>
            </w:pPr>
            <w:r w:rsidRPr="00442301">
              <w:rPr>
                <w:rFonts w:ascii="Arial" w:hAnsi="Arial" w:cs="Arial"/>
                <w:b/>
                <w:i/>
                <w:sz w:val="20"/>
                <w:szCs w:val="20"/>
              </w:rPr>
              <w:t>-0.050</w:t>
            </w:r>
          </w:p>
        </w:tc>
      </w:tr>
      <w:tr w:rsidR="00A542E9" w:rsidRPr="00A542E9" w:rsidTr="00107792">
        <w:trPr>
          <w:trHeight w:val="306"/>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75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-0.061</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-0.050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-0.053</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-0.076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-0.012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-0.041</w:t>
            </w:r>
          </w:p>
        </w:tc>
      </w:tr>
      <w:tr w:rsidR="00A542E9" w:rsidRPr="00A542E9" w:rsidTr="00107792">
        <w:trPr>
          <w:trHeight w:val="306"/>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80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-0.011</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-0.028</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-0.043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-0.022</w:t>
            </w:r>
          </w:p>
        </w:tc>
      </w:tr>
      <w:tr w:rsidR="00A542E9" w:rsidRPr="00A542E9" w:rsidTr="00107792">
        <w:trPr>
          <w:trHeight w:val="306"/>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85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0.023</w:t>
            </w:r>
          </w:p>
        </w:tc>
        <w:tc>
          <w:tcPr>
            <w:tcW w:w="922"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0.057</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0.014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0.004</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0.041</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0.008</w:t>
            </w:r>
          </w:p>
        </w:tc>
      </w:tr>
      <w:tr w:rsidR="00A542E9" w:rsidRPr="00A542E9" w:rsidTr="00107792">
        <w:trPr>
          <w:trHeight w:val="321"/>
        </w:trPr>
        <w:tc>
          <w:tcPr>
            <w:tcW w:w="1668" w:type="dxa"/>
            <w:shd w:val="clear" w:color="auto" w:fill="auto"/>
            <w:vAlign w:val="center"/>
            <w:hideMark/>
          </w:tcPr>
          <w:p w:rsidR="00A542E9" w:rsidRPr="001926FF" w:rsidRDefault="001E45EA" w:rsidP="001926FF">
            <w:pPr>
              <w:spacing w:after="0"/>
              <w:rPr>
                <w:rFonts w:ascii="Arial" w:hAnsi="Arial" w:cs="Arial"/>
                <w:b/>
                <w:sz w:val="20"/>
                <w:szCs w:val="20"/>
              </w:rPr>
            </w:pPr>
            <w:r w:rsidRPr="001926FF">
              <w:rPr>
                <w:rFonts w:ascii="Arial" w:hAnsi="Arial" w:cs="Arial"/>
                <w:b/>
                <w:sz w:val="20"/>
                <w:szCs w:val="20"/>
              </w:rPr>
              <w:t>Living alone ≥</w:t>
            </w:r>
            <w:r w:rsidR="00A542E9" w:rsidRPr="001926FF">
              <w:rPr>
                <w:rFonts w:ascii="Arial" w:hAnsi="Arial" w:cs="Arial"/>
                <w:b/>
                <w:sz w:val="20"/>
                <w:szCs w:val="20"/>
              </w:rPr>
              <w:t>90</w:t>
            </w:r>
          </w:p>
        </w:tc>
        <w:tc>
          <w:tcPr>
            <w:tcW w:w="921"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0.040</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0.034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0.053</w:t>
            </w:r>
          </w:p>
        </w:tc>
        <w:tc>
          <w:tcPr>
            <w:tcW w:w="921"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0.029</w:t>
            </w:r>
          </w:p>
        </w:tc>
        <w:tc>
          <w:tcPr>
            <w:tcW w:w="921"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0.025</w:t>
            </w:r>
          </w:p>
        </w:tc>
        <w:tc>
          <w:tcPr>
            <w:tcW w:w="922"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0.020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0.018</w:t>
            </w:r>
          </w:p>
        </w:tc>
        <w:tc>
          <w:tcPr>
            <w:tcW w:w="922" w:type="dxa"/>
            <w:shd w:val="clear" w:color="auto" w:fill="auto"/>
            <w:noWrap/>
            <w:vAlign w:val="center"/>
            <w:hideMark/>
          </w:tcPr>
          <w:p w:rsidR="00A542E9" w:rsidRPr="00442301" w:rsidRDefault="00A542E9" w:rsidP="001926FF">
            <w:pPr>
              <w:spacing w:after="0"/>
              <w:jc w:val="center"/>
              <w:rPr>
                <w:rFonts w:ascii="Arial" w:hAnsi="Arial" w:cs="Arial"/>
                <w:sz w:val="20"/>
                <w:szCs w:val="20"/>
              </w:rPr>
            </w:pPr>
            <w:r w:rsidRPr="00442301">
              <w:rPr>
                <w:rFonts w:ascii="Arial" w:hAnsi="Arial" w:cs="Arial"/>
                <w:sz w:val="20"/>
                <w:szCs w:val="20"/>
              </w:rPr>
              <w:t>0.030</w:t>
            </w:r>
          </w:p>
        </w:tc>
      </w:tr>
    </w:tbl>
    <w:p w:rsidR="00A542E9" w:rsidRPr="00A542E9" w:rsidRDefault="00A542E9" w:rsidP="00A542E9">
      <w:pPr>
        <w:jc w:val="both"/>
        <w:rPr>
          <w:rFonts w:ascii="Arial" w:hAnsi="Arial" w:cs="Arial"/>
        </w:rPr>
      </w:pPr>
    </w:p>
    <w:p w:rsidR="001926FF" w:rsidRDefault="001926FF">
      <w:pPr>
        <w:rPr>
          <w:rFonts w:ascii="Arial" w:hAnsi="Arial" w:cs="Arial"/>
          <w:bCs/>
          <w:i/>
        </w:rPr>
      </w:pPr>
      <w:r>
        <w:rPr>
          <w:rFonts w:ascii="Arial" w:hAnsi="Arial" w:cs="Arial"/>
          <w:bCs/>
          <w:i/>
        </w:rPr>
        <w:br w:type="page"/>
      </w:r>
    </w:p>
    <w:p w:rsidR="00B43F4B" w:rsidRPr="00A542E9" w:rsidRDefault="00B43F4B" w:rsidP="00253A0E">
      <w:pPr>
        <w:spacing w:after="0"/>
        <w:jc w:val="both"/>
        <w:rPr>
          <w:rFonts w:ascii="Arial" w:hAnsi="Arial" w:cs="Arial"/>
          <w:bCs/>
          <w:i/>
        </w:rPr>
      </w:pPr>
      <w:r w:rsidRPr="00A542E9">
        <w:rPr>
          <w:rFonts w:ascii="Arial" w:hAnsi="Arial" w:cs="Arial"/>
          <w:bCs/>
          <w:i/>
        </w:rPr>
        <w:lastRenderedPageBreak/>
        <w:t xml:space="preserve">Table </w:t>
      </w:r>
      <w:r>
        <w:rPr>
          <w:rFonts w:ascii="Arial" w:hAnsi="Arial" w:cs="Arial"/>
          <w:bCs/>
          <w:i/>
        </w:rPr>
        <w:t>1</w:t>
      </w:r>
      <w:r w:rsidR="00BB5D1F">
        <w:rPr>
          <w:rFonts w:ascii="Arial" w:hAnsi="Arial" w:cs="Arial"/>
          <w:bCs/>
          <w:i/>
        </w:rPr>
        <w:t>8</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7</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1926FF" w:rsidTr="00107792">
        <w:trPr>
          <w:cantSplit/>
          <w:trHeight w:val="1351"/>
        </w:trPr>
        <w:tc>
          <w:tcPr>
            <w:tcW w:w="1668" w:type="dxa"/>
            <w:shd w:val="clear" w:color="auto" w:fill="auto"/>
            <w:vAlign w:val="center"/>
            <w:hideMark/>
          </w:tcPr>
          <w:p w:rsidR="00A542E9" w:rsidRPr="001926FF" w:rsidRDefault="00A542E9" w:rsidP="00107792">
            <w:pPr>
              <w:spacing w:after="0"/>
              <w:rPr>
                <w:rFonts w:ascii="Arial" w:hAnsi="Arial" w:cs="Arial"/>
                <w:b/>
                <w:sz w:val="20"/>
                <w:szCs w:val="20"/>
              </w:rPr>
            </w:pPr>
            <w:r w:rsidRPr="001926FF">
              <w:rPr>
                <w:rFonts w:ascii="Arial" w:hAnsi="Arial" w:cs="Arial"/>
                <w:b/>
                <w:sz w:val="20"/>
                <w:szCs w:val="20"/>
              </w:rPr>
              <w:t> </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Whole Acute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Cancer</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Heart</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Digestive</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Injury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Other</w:t>
            </w:r>
          </w:p>
        </w:tc>
        <w:tc>
          <w:tcPr>
            <w:tcW w:w="921"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Respiratory</w:t>
            </w:r>
          </w:p>
        </w:tc>
        <w:tc>
          <w:tcPr>
            <w:tcW w:w="922" w:type="dxa"/>
            <w:shd w:val="clear" w:color="auto" w:fill="auto"/>
            <w:textDirection w:val="btLr"/>
            <w:vAlign w:val="center"/>
            <w:hideMark/>
          </w:tcPr>
          <w:p w:rsidR="00A542E9" w:rsidRPr="001926FF" w:rsidRDefault="00735E9A" w:rsidP="001926FF">
            <w:pPr>
              <w:spacing w:after="0"/>
              <w:ind w:left="113" w:right="113"/>
              <w:jc w:val="center"/>
              <w:rPr>
                <w:rFonts w:ascii="Arial" w:hAnsi="Arial" w:cs="Arial"/>
                <w:b/>
                <w:sz w:val="20"/>
                <w:szCs w:val="20"/>
              </w:rPr>
            </w:pPr>
            <w:r w:rsidRPr="001926FF">
              <w:rPr>
                <w:rFonts w:ascii="Arial" w:hAnsi="Arial" w:cs="Arial"/>
                <w:b/>
                <w:sz w:val="20"/>
                <w:szCs w:val="20"/>
              </w:rPr>
              <w:t>Outpatients</w:t>
            </w:r>
          </w:p>
        </w:tc>
      </w:tr>
      <w:tr w:rsidR="00A542E9" w:rsidRPr="00A542E9" w:rsidTr="00107792">
        <w:trPr>
          <w:trHeight w:val="584"/>
        </w:trPr>
        <w:tc>
          <w:tcPr>
            <w:tcW w:w="1668" w:type="dxa"/>
            <w:shd w:val="clear" w:color="auto" w:fill="auto"/>
            <w:vAlign w:val="center"/>
            <w:hideMark/>
          </w:tcPr>
          <w:p w:rsidR="00A542E9" w:rsidRPr="001926FF" w:rsidRDefault="00A542E9" w:rsidP="0055621B">
            <w:pPr>
              <w:spacing w:after="0"/>
              <w:rPr>
                <w:rFonts w:ascii="Arial" w:hAnsi="Arial" w:cs="Arial"/>
                <w:b/>
                <w:sz w:val="20"/>
                <w:szCs w:val="20"/>
              </w:rPr>
            </w:pPr>
            <w:r w:rsidRPr="001926FF">
              <w:rPr>
                <w:rFonts w:ascii="Arial" w:hAnsi="Arial" w:cs="Arial"/>
                <w:b/>
                <w:sz w:val="20"/>
                <w:szCs w:val="20"/>
              </w:rPr>
              <w:t>Unpaid</w:t>
            </w:r>
            <w:r w:rsidR="00BB5D1F" w:rsidRPr="001926FF">
              <w:rPr>
                <w:rFonts w:ascii="Arial" w:hAnsi="Arial" w:cs="Arial"/>
                <w:b/>
                <w:sz w:val="20"/>
                <w:szCs w:val="20"/>
              </w:rPr>
              <w:t xml:space="preserve"> </w:t>
            </w:r>
            <w:r w:rsidRPr="001926FF">
              <w:rPr>
                <w:rFonts w:ascii="Arial" w:hAnsi="Arial" w:cs="Arial"/>
                <w:b/>
                <w:sz w:val="20"/>
                <w:szCs w:val="20"/>
              </w:rPr>
              <w:t xml:space="preserve">care </w:t>
            </w:r>
            <w:r w:rsidR="00BB5D1F" w:rsidRPr="001926FF">
              <w:rPr>
                <w:rFonts w:ascii="Arial" w:hAnsi="Arial" w:cs="Arial"/>
                <w:b/>
                <w:sz w:val="20"/>
                <w:szCs w:val="20"/>
              </w:rPr>
              <w:t xml:space="preserve">≥ </w:t>
            </w:r>
            <w:r w:rsidRPr="001926FF">
              <w:rPr>
                <w:rFonts w:ascii="Arial" w:hAnsi="Arial" w:cs="Arial"/>
                <w:b/>
                <w:sz w:val="20"/>
                <w:szCs w:val="20"/>
              </w:rPr>
              <w:t>1 hour</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0.247</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0.057</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0.080</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0.209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0.056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0.235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0.153</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0.284</w:t>
            </w:r>
          </w:p>
        </w:tc>
      </w:tr>
      <w:tr w:rsidR="00A542E9" w:rsidRPr="00A542E9" w:rsidTr="00107792">
        <w:trPr>
          <w:trHeight w:val="569"/>
        </w:trPr>
        <w:tc>
          <w:tcPr>
            <w:tcW w:w="1668" w:type="dxa"/>
            <w:shd w:val="clear" w:color="auto" w:fill="auto"/>
            <w:vAlign w:val="center"/>
            <w:hideMark/>
          </w:tcPr>
          <w:p w:rsidR="00A542E9" w:rsidRPr="001926FF" w:rsidRDefault="00BB5D1F" w:rsidP="0055621B">
            <w:pPr>
              <w:spacing w:after="0"/>
              <w:rPr>
                <w:rFonts w:ascii="Arial" w:hAnsi="Arial" w:cs="Arial"/>
                <w:b/>
                <w:sz w:val="20"/>
                <w:szCs w:val="20"/>
              </w:rPr>
            </w:pPr>
            <w:r w:rsidRPr="001926FF">
              <w:rPr>
                <w:rFonts w:ascii="Arial" w:hAnsi="Arial" w:cs="Arial"/>
                <w:b/>
                <w:sz w:val="20"/>
                <w:szCs w:val="20"/>
              </w:rPr>
              <w:t>Unpaid care ≥ 20 hours</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0.557</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0.154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0.299</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0.446</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0.284</w:t>
            </w:r>
          </w:p>
        </w:tc>
        <w:tc>
          <w:tcPr>
            <w:tcW w:w="922"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0.496</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0.437</w:t>
            </w:r>
          </w:p>
        </w:tc>
        <w:tc>
          <w:tcPr>
            <w:tcW w:w="922"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0.380</w:t>
            </w:r>
          </w:p>
        </w:tc>
      </w:tr>
      <w:tr w:rsidR="00A542E9" w:rsidRPr="00A542E9" w:rsidTr="00107792">
        <w:trPr>
          <w:trHeight w:val="569"/>
        </w:trPr>
        <w:tc>
          <w:tcPr>
            <w:tcW w:w="1668" w:type="dxa"/>
            <w:shd w:val="clear" w:color="auto" w:fill="auto"/>
            <w:vAlign w:val="center"/>
            <w:hideMark/>
          </w:tcPr>
          <w:p w:rsidR="00A542E9" w:rsidRPr="001926FF" w:rsidRDefault="00BB5D1F" w:rsidP="0055621B">
            <w:pPr>
              <w:spacing w:after="0"/>
              <w:rPr>
                <w:rFonts w:ascii="Arial" w:hAnsi="Arial" w:cs="Arial"/>
                <w:b/>
                <w:sz w:val="20"/>
                <w:szCs w:val="20"/>
              </w:rPr>
            </w:pPr>
            <w:r w:rsidRPr="001926FF">
              <w:rPr>
                <w:rFonts w:ascii="Arial" w:hAnsi="Arial" w:cs="Arial"/>
                <w:b/>
                <w:sz w:val="20"/>
                <w:szCs w:val="20"/>
              </w:rPr>
              <w:t>Unpaid care ≥ 35 hours</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0.553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0.153</w:t>
            </w:r>
          </w:p>
        </w:tc>
        <w:tc>
          <w:tcPr>
            <w:tcW w:w="922"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0.304</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0.441</w:t>
            </w:r>
          </w:p>
        </w:tc>
        <w:tc>
          <w:tcPr>
            <w:tcW w:w="921" w:type="dxa"/>
            <w:shd w:val="clear" w:color="auto" w:fill="auto"/>
            <w:noWrap/>
            <w:vAlign w:val="center"/>
            <w:hideMark/>
          </w:tcPr>
          <w:p w:rsidR="00A542E9" w:rsidRPr="004C45B5" w:rsidRDefault="00A542E9" w:rsidP="001926FF">
            <w:pPr>
              <w:spacing w:after="0"/>
              <w:jc w:val="center"/>
              <w:rPr>
                <w:rFonts w:ascii="Arial" w:hAnsi="Arial" w:cs="Arial"/>
                <w:b/>
                <w:i/>
                <w:sz w:val="20"/>
                <w:szCs w:val="20"/>
              </w:rPr>
            </w:pPr>
            <w:r w:rsidRPr="004C45B5">
              <w:rPr>
                <w:rFonts w:ascii="Arial" w:hAnsi="Arial" w:cs="Arial"/>
                <w:b/>
                <w:i/>
                <w:sz w:val="20"/>
                <w:szCs w:val="20"/>
              </w:rPr>
              <w:t>0.286</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0.492</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0.435</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0.369</w:t>
            </w:r>
          </w:p>
        </w:tc>
      </w:tr>
      <w:tr w:rsidR="00A542E9" w:rsidRPr="00A542E9" w:rsidTr="00107792">
        <w:trPr>
          <w:trHeight w:val="584"/>
        </w:trPr>
        <w:tc>
          <w:tcPr>
            <w:tcW w:w="1668" w:type="dxa"/>
            <w:shd w:val="clear" w:color="auto" w:fill="auto"/>
            <w:vAlign w:val="center"/>
            <w:hideMark/>
          </w:tcPr>
          <w:p w:rsidR="00A542E9" w:rsidRPr="001926FF" w:rsidRDefault="00BB5D1F" w:rsidP="0055621B">
            <w:pPr>
              <w:spacing w:after="0"/>
              <w:rPr>
                <w:rFonts w:ascii="Arial" w:hAnsi="Arial" w:cs="Arial"/>
                <w:b/>
                <w:sz w:val="20"/>
                <w:szCs w:val="20"/>
              </w:rPr>
            </w:pPr>
            <w:r w:rsidRPr="001926FF">
              <w:rPr>
                <w:rFonts w:ascii="Arial" w:hAnsi="Arial" w:cs="Arial"/>
                <w:b/>
                <w:sz w:val="20"/>
                <w:szCs w:val="20"/>
              </w:rPr>
              <w:t>Unpaid care ≥ 50 hours</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0.523</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0.145</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0.289</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0.415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0.272</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0.465</w:t>
            </w:r>
          </w:p>
        </w:tc>
        <w:tc>
          <w:tcPr>
            <w:tcW w:w="921"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0.414</w:t>
            </w:r>
          </w:p>
        </w:tc>
        <w:tc>
          <w:tcPr>
            <w:tcW w:w="922" w:type="dxa"/>
            <w:shd w:val="clear" w:color="auto" w:fill="auto"/>
            <w:noWrap/>
            <w:vAlign w:val="center"/>
            <w:hideMark/>
          </w:tcPr>
          <w:p w:rsidR="00A542E9" w:rsidRPr="001926FF" w:rsidRDefault="00A542E9" w:rsidP="001926FF">
            <w:pPr>
              <w:spacing w:after="0"/>
              <w:jc w:val="center"/>
              <w:rPr>
                <w:rFonts w:ascii="Arial" w:hAnsi="Arial" w:cs="Arial"/>
                <w:sz w:val="20"/>
                <w:szCs w:val="20"/>
              </w:rPr>
            </w:pPr>
            <w:r w:rsidRPr="001926FF">
              <w:rPr>
                <w:rFonts w:ascii="Arial" w:hAnsi="Arial" w:cs="Arial"/>
                <w:sz w:val="20"/>
                <w:szCs w:val="20"/>
              </w:rPr>
              <w:t>0.351</w:t>
            </w:r>
          </w:p>
        </w:tc>
      </w:tr>
    </w:tbl>
    <w:p w:rsidR="00A542E9" w:rsidRPr="00A542E9" w:rsidRDefault="00A542E9" w:rsidP="00A542E9">
      <w:pPr>
        <w:jc w:val="both"/>
        <w:rPr>
          <w:rFonts w:ascii="Arial" w:hAnsi="Arial" w:cs="Arial"/>
        </w:rPr>
      </w:pPr>
    </w:p>
    <w:p w:rsidR="00B43F4B" w:rsidRPr="00A542E9" w:rsidRDefault="00B43F4B" w:rsidP="00253A0E">
      <w:pPr>
        <w:spacing w:after="0"/>
        <w:jc w:val="both"/>
        <w:rPr>
          <w:rFonts w:ascii="Arial" w:hAnsi="Arial" w:cs="Arial"/>
          <w:bCs/>
          <w:i/>
        </w:rPr>
      </w:pPr>
      <w:r w:rsidRPr="00A542E9">
        <w:rPr>
          <w:rFonts w:ascii="Arial" w:hAnsi="Arial" w:cs="Arial"/>
          <w:bCs/>
          <w:i/>
        </w:rPr>
        <w:t xml:space="preserve">Table </w:t>
      </w:r>
      <w:r>
        <w:rPr>
          <w:rFonts w:ascii="Arial" w:hAnsi="Arial" w:cs="Arial"/>
          <w:bCs/>
          <w:i/>
        </w:rPr>
        <w:t>1</w:t>
      </w:r>
      <w:r w:rsidR="00BB5D1F">
        <w:rPr>
          <w:rFonts w:ascii="Arial" w:hAnsi="Arial" w:cs="Arial"/>
          <w:bCs/>
          <w:i/>
        </w:rPr>
        <w:t>9</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8</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668"/>
        <w:gridCol w:w="921"/>
        <w:gridCol w:w="921"/>
        <w:gridCol w:w="922"/>
        <w:gridCol w:w="921"/>
        <w:gridCol w:w="921"/>
        <w:gridCol w:w="922"/>
        <w:gridCol w:w="921"/>
        <w:gridCol w:w="922"/>
      </w:tblGrid>
      <w:tr w:rsidR="00A542E9" w:rsidRPr="008E0AEA" w:rsidTr="00107792">
        <w:trPr>
          <w:cantSplit/>
          <w:trHeight w:val="1404"/>
        </w:trPr>
        <w:tc>
          <w:tcPr>
            <w:tcW w:w="1668" w:type="dxa"/>
            <w:shd w:val="clear" w:color="auto" w:fill="auto"/>
            <w:vAlign w:val="center"/>
            <w:hideMark/>
          </w:tcPr>
          <w:p w:rsidR="00A542E9" w:rsidRPr="008E0AEA" w:rsidRDefault="00A542E9" w:rsidP="008E0AEA">
            <w:pPr>
              <w:spacing w:after="0"/>
              <w:rPr>
                <w:rFonts w:ascii="Arial" w:hAnsi="Arial" w:cs="Arial"/>
                <w:b/>
                <w:sz w:val="20"/>
                <w:szCs w:val="20"/>
              </w:rPr>
            </w:pPr>
            <w:r w:rsidRPr="008E0AEA">
              <w:rPr>
                <w:rFonts w:ascii="Arial" w:hAnsi="Arial" w:cs="Arial"/>
                <w:b/>
                <w:sz w:val="20"/>
                <w:szCs w:val="20"/>
              </w:rPr>
              <w:t> </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Whole Acute</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Cancer</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Heart</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Digestive</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Injury</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Other</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Respiratory</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Outpatients</w:t>
            </w:r>
          </w:p>
        </w:tc>
      </w:tr>
      <w:tr w:rsidR="00A542E9" w:rsidRPr="00A542E9" w:rsidTr="00107792">
        <w:trPr>
          <w:trHeight w:val="320"/>
        </w:trPr>
        <w:tc>
          <w:tcPr>
            <w:tcW w:w="1668" w:type="dxa"/>
            <w:shd w:val="clear" w:color="auto" w:fill="auto"/>
            <w:vAlign w:val="center"/>
            <w:hideMark/>
          </w:tcPr>
          <w:p w:rsidR="00A542E9" w:rsidRPr="008E0AEA" w:rsidRDefault="00BB5D1F" w:rsidP="00107792">
            <w:pPr>
              <w:spacing w:after="0"/>
              <w:rPr>
                <w:rFonts w:ascii="Arial" w:hAnsi="Arial" w:cs="Arial"/>
                <w:b/>
                <w:sz w:val="20"/>
                <w:szCs w:val="20"/>
              </w:rPr>
            </w:pPr>
            <w:r w:rsidRPr="008E0AEA">
              <w:rPr>
                <w:rFonts w:ascii="Arial" w:hAnsi="Arial" w:cs="Arial"/>
                <w:b/>
                <w:sz w:val="20"/>
                <w:szCs w:val="20"/>
              </w:rPr>
              <w:t>Education – no qualifications</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-0.004</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0.011</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0.002</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-0.030</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0.002</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-0.004</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0.000</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-0.013</w:t>
            </w:r>
          </w:p>
        </w:tc>
      </w:tr>
      <w:tr w:rsidR="00A542E9" w:rsidRPr="00A542E9" w:rsidTr="00107792">
        <w:trPr>
          <w:trHeight w:val="287"/>
        </w:trPr>
        <w:tc>
          <w:tcPr>
            <w:tcW w:w="1668" w:type="dxa"/>
            <w:shd w:val="clear" w:color="auto" w:fill="auto"/>
            <w:vAlign w:val="center"/>
            <w:hideMark/>
          </w:tcPr>
          <w:p w:rsidR="00A542E9" w:rsidRPr="008E0AEA" w:rsidRDefault="00BB5D1F" w:rsidP="008E0AEA">
            <w:pPr>
              <w:spacing w:after="0"/>
              <w:rPr>
                <w:rFonts w:ascii="Arial" w:hAnsi="Arial" w:cs="Arial"/>
                <w:b/>
                <w:sz w:val="20"/>
                <w:szCs w:val="20"/>
              </w:rPr>
            </w:pPr>
            <w:r w:rsidRPr="008E0AEA">
              <w:rPr>
                <w:rFonts w:ascii="Arial" w:hAnsi="Arial" w:cs="Arial"/>
                <w:b/>
                <w:sz w:val="20"/>
                <w:szCs w:val="20"/>
              </w:rPr>
              <w:t>Education – level 1 and below</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0.067</w:t>
            </w:r>
          </w:p>
        </w:tc>
        <w:tc>
          <w:tcPr>
            <w:tcW w:w="921" w:type="dxa"/>
            <w:shd w:val="clear" w:color="auto" w:fill="auto"/>
            <w:noWrap/>
            <w:vAlign w:val="center"/>
            <w:hideMark/>
          </w:tcPr>
          <w:p w:rsidR="00A542E9" w:rsidRPr="004C45B5" w:rsidRDefault="00A542E9" w:rsidP="008E0AEA">
            <w:pPr>
              <w:spacing w:after="0"/>
              <w:jc w:val="center"/>
              <w:rPr>
                <w:rFonts w:ascii="Arial" w:hAnsi="Arial" w:cs="Arial"/>
                <w:sz w:val="20"/>
                <w:szCs w:val="20"/>
              </w:rPr>
            </w:pPr>
            <w:r w:rsidRPr="004C45B5">
              <w:rPr>
                <w:rFonts w:ascii="Arial" w:hAnsi="Arial" w:cs="Arial"/>
                <w:sz w:val="20"/>
                <w:szCs w:val="20"/>
              </w:rPr>
              <w:t>0.010</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0.036</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0.031</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0.050</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0.074</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0.028</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0.039</w:t>
            </w:r>
          </w:p>
        </w:tc>
      </w:tr>
      <w:tr w:rsidR="00A542E9" w:rsidRPr="00A542E9" w:rsidTr="00107792">
        <w:trPr>
          <w:trHeight w:val="293"/>
        </w:trPr>
        <w:tc>
          <w:tcPr>
            <w:tcW w:w="1668" w:type="dxa"/>
            <w:shd w:val="clear" w:color="auto" w:fill="auto"/>
            <w:vAlign w:val="center"/>
            <w:hideMark/>
          </w:tcPr>
          <w:p w:rsidR="00A542E9" w:rsidRPr="008E0AEA" w:rsidRDefault="00BB5D1F" w:rsidP="008E0AEA">
            <w:pPr>
              <w:spacing w:after="0"/>
              <w:rPr>
                <w:rFonts w:ascii="Arial" w:hAnsi="Arial" w:cs="Arial"/>
                <w:b/>
                <w:sz w:val="20"/>
                <w:szCs w:val="20"/>
              </w:rPr>
            </w:pPr>
            <w:r w:rsidRPr="008E0AEA">
              <w:rPr>
                <w:rFonts w:ascii="Arial" w:hAnsi="Arial" w:cs="Arial"/>
                <w:b/>
                <w:sz w:val="20"/>
                <w:szCs w:val="20"/>
              </w:rPr>
              <w:t>Education – level 2 and below</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0.078</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0.003</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0.033</w:t>
            </w:r>
          </w:p>
        </w:tc>
        <w:tc>
          <w:tcPr>
            <w:tcW w:w="921" w:type="dxa"/>
            <w:shd w:val="clear" w:color="auto" w:fill="auto"/>
            <w:noWrap/>
            <w:vAlign w:val="center"/>
            <w:hideMark/>
          </w:tcPr>
          <w:p w:rsidR="00A542E9" w:rsidRPr="004C45B5" w:rsidRDefault="00A542E9" w:rsidP="008E0AEA">
            <w:pPr>
              <w:spacing w:after="0"/>
              <w:jc w:val="center"/>
              <w:rPr>
                <w:rFonts w:ascii="Arial" w:hAnsi="Arial" w:cs="Arial"/>
                <w:i/>
                <w:sz w:val="20"/>
                <w:szCs w:val="20"/>
              </w:rPr>
            </w:pPr>
            <w:r w:rsidRPr="004C45B5">
              <w:rPr>
                <w:rFonts w:ascii="Arial" w:hAnsi="Arial" w:cs="Arial"/>
                <w:i/>
                <w:sz w:val="20"/>
                <w:szCs w:val="20"/>
              </w:rPr>
              <w:t>0.050</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0.056</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0.092</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0.024</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0.041</w:t>
            </w:r>
          </w:p>
        </w:tc>
      </w:tr>
      <w:tr w:rsidR="00A542E9" w:rsidRPr="00A542E9" w:rsidTr="00107792">
        <w:trPr>
          <w:trHeight w:val="80"/>
        </w:trPr>
        <w:tc>
          <w:tcPr>
            <w:tcW w:w="1668" w:type="dxa"/>
            <w:shd w:val="clear" w:color="auto" w:fill="auto"/>
            <w:vAlign w:val="center"/>
            <w:hideMark/>
          </w:tcPr>
          <w:p w:rsidR="00A542E9" w:rsidRPr="008E0AEA" w:rsidRDefault="00BB5D1F" w:rsidP="008E0AEA">
            <w:pPr>
              <w:spacing w:after="0"/>
              <w:rPr>
                <w:rFonts w:ascii="Arial" w:hAnsi="Arial" w:cs="Arial"/>
                <w:b/>
                <w:sz w:val="20"/>
                <w:szCs w:val="20"/>
              </w:rPr>
            </w:pPr>
            <w:r w:rsidRPr="008E0AEA">
              <w:rPr>
                <w:rFonts w:ascii="Arial" w:hAnsi="Arial" w:cs="Arial"/>
                <w:b/>
                <w:sz w:val="20"/>
                <w:szCs w:val="20"/>
              </w:rPr>
              <w:t>Job seekers</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-0.044</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-0.041</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-0.046</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-0.029</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-0.028</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-0.008</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-0.073</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-0.027</w:t>
            </w:r>
          </w:p>
        </w:tc>
      </w:tr>
    </w:tbl>
    <w:p w:rsidR="00CD232E" w:rsidRDefault="00CD232E">
      <w:pPr>
        <w:rPr>
          <w:rFonts w:ascii="Arial" w:hAnsi="Arial" w:cs="Arial"/>
          <w:bCs/>
          <w:i/>
        </w:rPr>
      </w:pPr>
    </w:p>
    <w:p w:rsidR="00B43F4B" w:rsidRPr="00A542E9" w:rsidRDefault="00B43F4B" w:rsidP="00253A0E">
      <w:pPr>
        <w:spacing w:after="0"/>
        <w:jc w:val="both"/>
        <w:rPr>
          <w:rFonts w:ascii="Arial" w:hAnsi="Arial" w:cs="Arial"/>
          <w:bCs/>
          <w:i/>
        </w:rPr>
      </w:pPr>
      <w:r w:rsidRPr="00A542E9">
        <w:rPr>
          <w:rFonts w:ascii="Arial" w:hAnsi="Arial" w:cs="Arial"/>
          <w:bCs/>
          <w:i/>
        </w:rPr>
        <w:t xml:space="preserve">Table </w:t>
      </w:r>
      <w:r w:rsidR="00BB5D1F">
        <w:rPr>
          <w:rFonts w:ascii="Arial" w:hAnsi="Arial" w:cs="Arial"/>
          <w:bCs/>
          <w:i/>
        </w:rPr>
        <w:t>20</w:t>
      </w:r>
      <w:r>
        <w:rPr>
          <w:rFonts w:ascii="Arial" w:hAnsi="Arial" w:cs="Arial"/>
          <w:bCs/>
          <w:i/>
        </w:rPr>
        <w:t>:</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sidR="00BB5D1F">
        <w:rPr>
          <w:rFonts w:ascii="Arial" w:hAnsi="Arial" w:cs="Arial"/>
          <w:bCs/>
          <w:i/>
        </w:rPr>
        <w:t xml:space="preserve"> for subgroup 9</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921"/>
        <w:gridCol w:w="921"/>
        <w:gridCol w:w="922"/>
        <w:gridCol w:w="921"/>
        <w:gridCol w:w="921"/>
        <w:gridCol w:w="922"/>
        <w:gridCol w:w="921"/>
        <w:gridCol w:w="922"/>
      </w:tblGrid>
      <w:tr w:rsidR="00A542E9" w:rsidRPr="008E0AEA" w:rsidTr="00107792">
        <w:trPr>
          <w:cantSplit/>
          <w:trHeight w:val="1347"/>
        </w:trPr>
        <w:tc>
          <w:tcPr>
            <w:tcW w:w="1668" w:type="dxa"/>
            <w:shd w:val="clear" w:color="auto" w:fill="auto"/>
            <w:vAlign w:val="center"/>
            <w:hideMark/>
          </w:tcPr>
          <w:p w:rsidR="00A542E9" w:rsidRPr="008E0AEA" w:rsidRDefault="00A542E9" w:rsidP="008E0AEA">
            <w:pPr>
              <w:spacing w:after="0"/>
              <w:rPr>
                <w:rFonts w:ascii="Arial" w:hAnsi="Arial" w:cs="Arial"/>
                <w:b/>
                <w:sz w:val="20"/>
                <w:szCs w:val="20"/>
              </w:rPr>
            </w:pPr>
            <w:r w:rsidRPr="008E0AEA">
              <w:rPr>
                <w:rFonts w:ascii="Arial" w:hAnsi="Arial" w:cs="Arial"/>
                <w:b/>
                <w:sz w:val="20"/>
                <w:szCs w:val="20"/>
              </w:rPr>
              <w:t> </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Whole Acute</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Cancer</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Heart</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Digestive</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Injury</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Other</w:t>
            </w:r>
          </w:p>
        </w:tc>
        <w:tc>
          <w:tcPr>
            <w:tcW w:w="921"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Respiratory</w:t>
            </w:r>
          </w:p>
        </w:tc>
        <w:tc>
          <w:tcPr>
            <w:tcW w:w="922" w:type="dxa"/>
            <w:shd w:val="clear" w:color="auto" w:fill="auto"/>
            <w:textDirection w:val="btLr"/>
            <w:vAlign w:val="center"/>
            <w:hideMark/>
          </w:tcPr>
          <w:p w:rsidR="00A542E9" w:rsidRPr="008E0AEA" w:rsidRDefault="00735E9A" w:rsidP="008E0AEA">
            <w:pPr>
              <w:spacing w:after="0"/>
              <w:ind w:left="113" w:right="113"/>
              <w:jc w:val="center"/>
              <w:rPr>
                <w:rFonts w:ascii="Arial" w:hAnsi="Arial" w:cs="Arial"/>
                <w:b/>
                <w:sz w:val="20"/>
                <w:szCs w:val="20"/>
              </w:rPr>
            </w:pPr>
            <w:r w:rsidRPr="008E0AEA">
              <w:rPr>
                <w:rFonts w:ascii="Arial" w:hAnsi="Arial" w:cs="Arial"/>
                <w:b/>
                <w:sz w:val="20"/>
                <w:szCs w:val="20"/>
              </w:rPr>
              <w:t>Outpatients</w:t>
            </w:r>
          </w:p>
        </w:tc>
      </w:tr>
      <w:tr w:rsidR="00A542E9" w:rsidRPr="00A542E9" w:rsidTr="00107792">
        <w:trPr>
          <w:trHeight w:val="315"/>
        </w:trPr>
        <w:tc>
          <w:tcPr>
            <w:tcW w:w="1668" w:type="dxa"/>
            <w:shd w:val="clear" w:color="auto" w:fill="auto"/>
            <w:vAlign w:val="center"/>
            <w:hideMark/>
          </w:tcPr>
          <w:p w:rsidR="00A542E9" w:rsidRPr="008E0AEA" w:rsidRDefault="00A542E9" w:rsidP="008E0AEA">
            <w:pPr>
              <w:spacing w:after="0"/>
              <w:rPr>
                <w:rFonts w:ascii="Arial" w:hAnsi="Arial" w:cs="Arial"/>
                <w:b/>
                <w:sz w:val="20"/>
                <w:szCs w:val="20"/>
              </w:rPr>
            </w:pPr>
            <w:r w:rsidRPr="008E0AEA">
              <w:rPr>
                <w:rFonts w:ascii="Arial" w:hAnsi="Arial" w:cs="Arial"/>
                <w:b/>
                <w:sz w:val="20"/>
                <w:szCs w:val="20"/>
              </w:rPr>
              <w:t>DNA</w:t>
            </w:r>
            <w:r w:rsidR="00BB5D1F" w:rsidRPr="008E0AEA">
              <w:rPr>
                <w:rFonts w:ascii="Arial" w:hAnsi="Arial" w:cs="Arial"/>
                <w:b/>
                <w:sz w:val="20"/>
                <w:szCs w:val="20"/>
              </w:rPr>
              <w:t xml:space="preserve"> counts – fraction of appointments</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0.616</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0.194</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0.365</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0.432</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0.388</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0.490</w:t>
            </w:r>
          </w:p>
        </w:tc>
        <w:tc>
          <w:tcPr>
            <w:tcW w:w="921"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0.526</w:t>
            </w:r>
          </w:p>
        </w:tc>
        <w:tc>
          <w:tcPr>
            <w:tcW w:w="922" w:type="dxa"/>
            <w:shd w:val="clear" w:color="auto" w:fill="auto"/>
            <w:noWrap/>
            <w:vAlign w:val="center"/>
            <w:hideMark/>
          </w:tcPr>
          <w:p w:rsidR="00A542E9" w:rsidRPr="008E0AEA" w:rsidRDefault="00A542E9" w:rsidP="008E0AEA">
            <w:pPr>
              <w:spacing w:after="0"/>
              <w:jc w:val="center"/>
              <w:rPr>
                <w:rFonts w:ascii="Arial" w:hAnsi="Arial" w:cs="Arial"/>
                <w:sz w:val="20"/>
                <w:szCs w:val="20"/>
              </w:rPr>
            </w:pPr>
            <w:r w:rsidRPr="008E0AEA">
              <w:rPr>
                <w:rFonts w:ascii="Arial" w:hAnsi="Arial" w:cs="Arial"/>
                <w:sz w:val="20"/>
                <w:szCs w:val="20"/>
              </w:rPr>
              <w:t>0.445</w:t>
            </w:r>
          </w:p>
        </w:tc>
      </w:tr>
      <w:tr w:rsidR="00A542E9" w:rsidRPr="00A542E9" w:rsidTr="00107792">
        <w:trPr>
          <w:trHeight w:val="315"/>
        </w:trPr>
        <w:tc>
          <w:tcPr>
            <w:tcW w:w="1668" w:type="dxa"/>
            <w:shd w:val="clear" w:color="auto" w:fill="auto"/>
            <w:vAlign w:val="center"/>
            <w:hideMark/>
          </w:tcPr>
          <w:p w:rsidR="00A542E9" w:rsidRPr="008E0AEA" w:rsidRDefault="00A542E9" w:rsidP="008E0AEA">
            <w:pPr>
              <w:spacing w:after="0"/>
              <w:rPr>
                <w:rFonts w:ascii="Arial" w:hAnsi="Arial" w:cs="Arial"/>
                <w:b/>
                <w:sz w:val="20"/>
                <w:szCs w:val="20"/>
              </w:rPr>
            </w:pPr>
            <w:r w:rsidRPr="008E0AEA">
              <w:rPr>
                <w:rFonts w:ascii="Arial" w:hAnsi="Arial" w:cs="Arial"/>
                <w:b/>
                <w:sz w:val="20"/>
                <w:szCs w:val="20"/>
              </w:rPr>
              <w:t>DNA</w:t>
            </w:r>
            <w:r w:rsidR="00BB5D1F" w:rsidRPr="008E0AEA">
              <w:rPr>
                <w:rFonts w:ascii="Arial" w:hAnsi="Arial" w:cs="Arial"/>
                <w:b/>
                <w:sz w:val="20"/>
                <w:szCs w:val="20"/>
              </w:rPr>
              <w:t xml:space="preserve"> counts – ratio to population</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0.733</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0.274</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0.378</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0.494</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0.425</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0.569</w:t>
            </w:r>
          </w:p>
        </w:tc>
        <w:tc>
          <w:tcPr>
            <w:tcW w:w="921"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0.559</w:t>
            </w:r>
          </w:p>
        </w:tc>
        <w:tc>
          <w:tcPr>
            <w:tcW w:w="922" w:type="dxa"/>
            <w:shd w:val="clear" w:color="auto" w:fill="auto"/>
            <w:noWrap/>
            <w:vAlign w:val="center"/>
            <w:hideMark/>
          </w:tcPr>
          <w:p w:rsidR="00A542E9" w:rsidRPr="004C45B5" w:rsidRDefault="00A542E9" w:rsidP="008E0AEA">
            <w:pPr>
              <w:spacing w:after="0"/>
              <w:jc w:val="center"/>
              <w:rPr>
                <w:rFonts w:ascii="Arial" w:hAnsi="Arial" w:cs="Arial"/>
                <w:b/>
                <w:i/>
                <w:sz w:val="20"/>
                <w:szCs w:val="20"/>
              </w:rPr>
            </w:pPr>
            <w:r w:rsidRPr="004C45B5">
              <w:rPr>
                <w:rFonts w:ascii="Arial" w:hAnsi="Arial" w:cs="Arial"/>
                <w:b/>
                <w:i/>
                <w:sz w:val="20"/>
                <w:szCs w:val="20"/>
              </w:rPr>
              <w:t>0.662</w:t>
            </w:r>
          </w:p>
        </w:tc>
      </w:tr>
    </w:tbl>
    <w:p w:rsidR="00A542E9" w:rsidRDefault="00A542E9" w:rsidP="00A542E9">
      <w:pPr>
        <w:jc w:val="both"/>
        <w:rPr>
          <w:rFonts w:ascii="Arial" w:hAnsi="Arial" w:cs="Arial"/>
        </w:rPr>
      </w:pPr>
    </w:p>
    <w:p w:rsidR="004F00E5" w:rsidRDefault="004F00E5" w:rsidP="00A542E9">
      <w:pPr>
        <w:jc w:val="both"/>
        <w:rPr>
          <w:rFonts w:ascii="Arial" w:hAnsi="Arial" w:cs="Arial"/>
        </w:rPr>
      </w:pPr>
      <w:r>
        <w:rPr>
          <w:rFonts w:ascii="Arial" w:hAnsi="Arial" w:cs="Arial"/>
        </w:rPr>
        <w:lastRenderedPageBreak/>
        <w:t xml:space="preserve">In most of the subgroups, the variable to be </w:t>
      </w:r>
      <w:r w:rsidR="001827CB">
        <w:rPr>
          <w:rFonts w:ascii="Arial" w:hAnsi="Arial" w:cs="Arial"/>
        </w:rPr>
        <w:t xml:space="preserve">retained </w:t>
      </w:r>
      <w:r>
        <w:rPr>
          <w:rFonts w:ascii="Arial" w:hAnsi="Arial" w:cs="Arial"/>
        </w:rPr>
        <w:t xml:space="preserve">is clear. </w:t>
      </w:r>
      <w:r w:rsidR="00442301">
        <w:rPr>
          <w:rFonts w:ascii="Arial" w:hAnsi="Arial" w:cs="Arial"/>
        </w:rPr>
        <w:t>One</w:t>
      </w:r>
      <w:r w:rsidR="001827CB">
        <w:rPr>
          <w:rFonts w:ascii="Arial" w:hAnsi="Arial" w:cs="Arial"/>
        </w:rPr>
        <w:t xml:space="preserve"> exception is </w:t>
      </w:r>
      <w:r>
        <w:rPr>
          <w:rFonts w:ascii="Arial" w:hAnsi="Arial" w:cs="Arial"/>
        </w:rPr>
        <w:t>subgroup 5</w:t>
      </w:r>
      <w:r w:rsidR="004E11C5">
        <w:rPr>
          <w:rFonts w:ascii="Arial" w:hAnsi="Arial" w:cs="Arial"/>
        </w:rPr>
        <w:t xml:space="preserve"> (Table 16)</w:t>
      </w:r>
      <w:r>
        <w:rPr>
          <w:rFonts w:ascii="Arial" w:hAnsi="Arial" w:cs="Arial"/>
        </w:rPr>
        <w:t>,</w:t>
      </w:r>
      <w:r w:rsidR="001827CB">
        <w:rPr>
          <w:rFonts w:ascii="Arial" w:hAnsi="Arial" w:cs="Arial"/>
        </w:rPr>
        <w:t xml:space="preserve"> in which</w:t>
      </w:r>
      <w:r>
        <w:rPr>
          <w:rFonts w:ascii="Arial" w:hAnsi="Arial" w:cs="Arial"/>
        </w:rPr>
        <w:t xml:space="preserve"> General Health (bad or very bad) is correlated most strongly with the cost ratios for 4 out of 7 diagnostic groups; the variable most strongly correlated with cost ratios for the other </w:t>
      </w:r>
      <w:r w:rsidR="001433B0">
        <w:rPr>
          <w:rFonts w:ascii="Arial" w:hAnsi="Arial" w:cs="Arial"/>
        </w:rPr>
        <w:t>3</w:t>
      </w:r>
      <w:r>
        <w:rPr>
          <w:rFonts w:ascii="Arial" w:hAnsi="Arial" w:cs="Arial"/>
        </w:rPr>
        <w:t xml:space="preserve"> diagn</w:t>
      </w:r>
      <w:r w:rsidR="001827CB">
        <w:rPr>
          <w:rFonts w:ascii="Arial" w:hAnsi="Arial" w:cs="Arial"/>
        </w:rPr>
        <w:t>ostic groups is LLTI (Yes both), and it</w:t>
      </w:r>
      <w:r w:rsidR="001433B0">
        <w:rPr>
          <w:rFonts w:ascii="Arial" w:hAnsi="Arial" w:cs="Arial"/>
        </w:rPr>
        <w:t xml:space="preserve"> </w:t>
      </w:r>
      <w:r w:rsidR="001827CB">
        <w:rPr>
          <w:rFonts w:ascii="Arial" w:hAnsi="Arial" w:cs="Arial"/>
        </w:rPr>
        <w:t xml:space="preserve">is also </w:t>
      </w:r>
      <w:r w:rsidR="001433B0">
        <w:rPr>
          <w:rFonts w:ascii="Arial" w:hAnsi="Arial" w:cs="Arial"/>
        </w:rPr>
        <w:t>most strongly correlated with cost ratios for the ‘Whole Acute’ option.</w:t>
      </w:r>
      <w:r w:rsidR="001827CB">
        <w:rPr>
          <w:rFonts w:ascii="Arial" w:hAnsi="Arial" w:cs="Arial"/>
        </w:rPr>
        <w:t xml:space="preserve"> </w:t>
      </w:r>
      <w:r w:rsidR="004E11C5">
        <w:rPr>
          <w:rFonts w:ascii="Arial" w:hAnsi="Arial" w:cs="Arial"/>
        </w:rPr>
        <w:t>Since these variables are conceptually different (based on answers to different census questions), it seems safest to retain both at this stage.</w:t>
      </w:r>
    </w:p>
    <w:p w:rsidR="004E11C5" w:rsidRDefault="004E11C5" w:rsidP="001433B0">
      <w:pPr>
        <w:jc w:val="both"/>
        <w:rPr>
          <w:rFonts w:ascii="Arial" w:hAnsi="Arial" w:cs="Arial"/>
        </w:rPr>
      </w:pPr>
      <w:r>
        <w:rPr>
          <w:rFonts w:ascii="Arial" w:hAnsi="Arial" w:cs="Arial"/>
        </w:rPr>
        <w:t>For the Living Alone variables (Table 17), the highest correlations with the cost ratios are actually negative correlations. Since it is unclear at this stage how to interpret this, we will retain both the variable with the highest negative correlations (</w:t>
      </w:r>
      <w:r w:rsidRPr="004E11C5">
        <w:rPr>
          <w:rFonts w:ascii="Arial" w:hAnsi="Arial" w:cs="Arial"/>
        </w:rPr>
        <w:t>Living alone ≥70</w:t>
      </w:r>
      <w:r>
        <w:rPr>
          <w:rFonts w:ascii="Arial" w:hAnsi="Arial" w:cs="Arial"/>
        </w:rPr>
        <w:t>) and the variable with the highest positive correlations (</w:t>
      </w:r>
      <w:r w:rsidRPr="004E11C5">
        <w:rPr>
          <w:rFonts w:ascii="Arial" w:hAnsi="Arial" w:cs="Arial"/>
        </w:rPr>
        <w:t>Living alone ≥</w:t>
      </w:r>
      <w:r>
        <w:rPr>
          <w:rFonts w:ascii="Arial" w:hAnsi="Arial" w:cs="Arial"/>
        </w:rPr>
        <w:t>9</w:t>
      </w:r>
      <w:r w:rsidRPr="004E11C5">
        <w:rPr>
          <w:rFonts w:ascii="Arial" w:hAnsi="Arial" w:cs="Arial"/>
        </w:rPr>
        <w:t>0</w:t>
      </w:r>
      <w:r>
        <w:rPr>
          <w:rFonts w:ascii="Arial" w:hAnsi="Arial" w:cs="Arial"/>
        </w:rPr>
        <w:t>).</w:t>
      </w:r>
    </w:p>
    <w:p w:rsidR="001433B0" w:rsidRDefault="001433B0" w:rsidP="001433B0">
      <w:pPr>
        <w:jc w:val="both"/>
        <w:rPr>
          <w:rFonts w:ascii="Arial" w:hAnsi="Arial" w:cs="Arial"/>
        </w:rPr>
      </w:pPr>
      <w:r w:rsidRPr="0097225D">
        <w:rPr>
          <w:rFonts w:ascii="Arial" w:hAnsi="Arial" w:cs="Arial"/>
        </w:rPr>
        <w:t xml:space="preserve">Some variables </w:t>
      </w:r>
      <w:r>
        <w:rPr>
          <w:rFonts w:ascii="Arial" w:hAnsi="Arial" w:cs="Arial"/>
        </w:rPr>
        <w:t xml:space="preserve">have close to zero correlation </w:t>
      </w:r>
      <w:r w:rsidRPr="0097225D">
        <w:rPr>
          <w:rFonts w:ascii="Arial" w:hAnsi="Arial" w:cs="Arial"/>
        </w:rPr>
        <w:t xml:space="preserve">with the cost ratios. Those variables are </w:t>
      </w:r>
      <w:r>
        <w:rPr>
          <w:rFonts w:ascii="Arial" w:hAnsi="Arial" w:cs="Arial"/>
        </w:rPr>
        <w:t>not expected to be significant predictors of cost var</w:t>
      </w:r>
      <w:r w:rsidR="001827CB">
        <w:rPr>
          <w:rFonts w:ascii="Arial" w:hAnsi="Arial" w:cs="Arial"/>
        </w:rPr>
        <w:t>i</w:t>
      </w:r>
      <w:r>
        <w:rPr>
          <w:rFonts w:ascii="Arial" w:hAnsi="Arial" w:cs="Arial"/>
        </w:rPr>
        <w:t>ation</w:t>
      </w:r>
      <w:r w:rsidRPr="0097225D">
        <w:rPr>
          <w:rFonts w:ascii="Arial" w:hAnsi="Arial" w:cs="Arial"/>
        </w:rPr>
        <w:t xml:space="preserve">. However, the purpose of this </w:t>
      </w:r>
      <w:r>
        <w:rPr>
          <w:rFonts w:ascii="Arial" w:hAnsi="Arial" w:cs="Arial"/>
        </w:rPr>
        <w:t xml:space="preserve">stage of the </w:t>
      </w:r>
      <w:r w:rsidRPr="0097225D">
        <w:rPr>
          <w:rFonts w:ascii="Arial" w:hAnsi="Arial" w:cs="Arial"/>
        </w:rPr>
        <w:t xml:space="preserve">analysis is </w:t>
      </w:r>
      <w:r w:rsidR="009138EE">
        <w:rPr>
          <w:rFonts w:ascii="Arial" w:hAnsi="Arial" w:cs="Arial"/>
        </w:rPr>
        <w:t xml:space="preserve">merely </w:t>
      </w:r>
      <w:r w:rsidRPr="0097225D">
        <w:rPr>
          <w:rFonts w:ascii="Arial" w:hAnsi="Arial" w:cs="Arial"/>
        </w:rPr>
        <w:t xml:space="preserve">to eliminate near duplicates. Hence, one variable will still be chosen within each subgroup even if the correlations with cost ratios are near zero. </w:t>
      </w:r>
    </w:p>
    <w:p w:rsidR="001433B0" w:rsidRPr="0097225D" w:rsidRDefault="00A81491" w:rsidP="001433B0">
      <w:pPr>
        <w:jc w:val="both"/>
        <w:rPr>
          <w:rFonts w:ascii="Arial" w:hAnsi="Arial" w:cs="Arial"/>
        </w:rPr>
      </w:pPr>
      <w:r>
        <w:rPr>
          <w:rFonts w:ascii="Arial" w:hAnsi="Arial" w:cs="Arial"/>
        </w:rPr>
        <w:t>For completeness, T</w:t>
      </w:r>
      <w:r w:rsidR="001433B0">
        <w:rPr>
          <w:rFonts w:ascii="Arial" w:hAnsi="Arial" w:cs="Arial"/>
        </w:rPr>
        <w:t>able 21 shows the correlations with the cost ratios for the four retained variables that were not highly correlated with any others.</w:t>
      </w:r>
    </w:p>
    <w:p w:rsidR="00BB5D1F" w:rsidRPr="00A542E9" w:rsidRDefault="00BB5D1F" w:rsidP="00253A0E">
      <w:pPr>
        <w:spacing w:after="0"/>
        <w:jc w:val="both"/>
        <w:rPr>
          <w:rFonts w:ascii="Arial" w:hAnsi="Arial" w:cs="Arial"/>
          <w:bCs/>
          <w:i/>
        </w:rPr>
      </w:pPr>
      <w:r w:rsidRPr="00A542E9">
        <w:rPr>
          <w:rFonts w:ascii="Arial" w:hAnsi="Arial" w:cs="Arial"/>
          <w:bCs/>
          <w:i/>
        </w:rPr>
        <w:t xml:space="preserve">Table </w:t>
      </w:r>
      <w:r>
        <w:rPr>
          <w:rFonts w:ascii="Arial" w:hAnsi="Arial" w:cs="Arial"/>
          <w:bCs/>
          <w:i/>
        </w:rPr>
        <w:t>21:</w:t>
      </w:r>
      <w:r w:rsidRPr="00A542E9">
        <w:rPr>
          <w:rFonts w:ascii="Arial" w:hAnsi="Arial" w:cs="Arial"/>
          <w:bCs/>
          <w:i/>
        </w:rPr>
        <w:t xml:space="preserve"> correlations </w:t>
      </w:r>
      <w:r>
        <w:rPr>
          <w:rFonts w:ascii="Arial" w:hAnsi="Arial" w:cs="Arial"/>
          <w:bCs/>
          <w:i/>
        </w:rPr>
        <w:t xml:space="preserve">with </w:t>
      </w:r>
      <w:r w:rsidRPr="00A542E9">
        <w:rPr>
          <w:rFonts w:ascii="Arial" w:hAnsi="Arial" w:cs="Arial"/>
          <w:bCs/>
          <w:i/>
        </w:rPr>
        <w:t>cost ratios</w:t>
      </w:r>
      <w:r>
        <w:rPr>
          <w:rFonts w:ascii="Arial" w:hAnsi="Arial" w:cs="Arial"/>
          <w:bCs/>
          <w:i/>
        </w:rPr>
        <w:t xml:space="preserve"> for additional retained variables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1951"/>
        <w:gridCol w:w="886"/>
        <w:gridCol w:w="886"/>
        <w:gridCol w:w="886"/>
        <w:gridCol w:w="886"/>
        <w:gridCol w:w="886"/>
        <w:gridCol w:w="886"/>
        <w:gridCol w:w="886"/>
        <w:gridCol w:w="886"/>
      </w:tblGrid>
      <w:tr w:rsidR="00BB5D1F" w:rsidRPr="008E0AEA" w:rsidTr="001827CB">
        <w:trPr>
          <w:cantSplit/>
          <w:trHeight w:val="1460"/>
        </w:trPr>
        <w:tc>
          <w:tcPr>
            <w:tcW w:w="1951" w:type="dxa"/>
            <w:shd w:val="clear" w:color="auto" w:fill="auto"/>
            <w:textDirection w:val="btLr"/>
            <w:vAlign w:val="center"/>
            <w:hideMark/>
          </w:tcPr>
          <w:p w:rsidR="00BB5D1F" w:rsidRPr="008E0AEA" w:rsidRDefault="00BB5D1F" w:rsidP="008E0AEA">
            <w:pPr>
              <w:spacing w:after="0"/>
              <w:ind w:left="113" w:right="113"/>
              <w:rPr>
                <w:rFonts w:ascii="Arial" w:hAnsi="Arial" w:cs="Arial"/>
                <w:b/>
                <w:sz w:val="20"/>
                <w:szCs w:val="20"/>
              </w:rPr>
            </w:pPr>
            <w:r w:rsidRPr="008E0AEA">
              <w:rPr>
                <w:rFonts w:ascii="Arial" w:hAnsi="Arial" w:cs="Arial"/>
                <w:b/>
                <w:sz w:val="20"/>
                <w:szCs w:val="20"/>
              </w:rPr>
              <w:t> </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Whole Acute</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Cancer</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Heart</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Digestive</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Injury</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Other</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Respiratory</w:t>
            </w:r>
          </w:p>
        </w:tc>
        <w:tc>
          <w:tcPr>
            <w:tcW w:w="886" w:type="dxa"/>
            <w:shd w:val="clear" w:color="auto" w:fill="auto"/>
            <w:textDirection w:val="btLr"/>
            <w:vAlign w:val="center"/>
            <w:hideMark/>
          </w:tcPr>
          <w:p w:rsidR="00BB5D1F" w:rsidRPr="008E0AEA" w:rsidRDefault="00BB5D1F" w:rsidP="008E0AEA">
            <w:pPr>
              <w:spacing w:after="0"/>
              <w:ind w:left="113" w:right="113"/>
              <w:jc w:val="center"/>
              <w:rPr>
                <w:rFonts w:ascii="Arial" w:hAnsi="Arial" w:cs="Arial"/>
                <w:b/>
                <w:sz w:val="20"/>
                <w:szCs w:val="20"/>
              </w:rPr>
            </w:pPr>
            <w:r w:rsidRPr="008E0AEA">
              <w:rPr>
                <w:rFonts w:ascii="Arial" w:hAnsi="Arial" w:cs="Arial"/>
                <w:b/>
                <w:sz w:val="20"/>
                <w:szCs w:val="20"/>
              </w:rPr>
              <w:t>Outpatients</w:t>
            </w:r>
          </w:p>
        </w:tc>
      </w:tr>
      <w:tr w:rsidR="00BB5D1F" w:rsidRPr="00A542E9" w:rsidTr="001827CB">
        <w:trPr>
          <w:trHeight w:val="310"/>
        </w:trPr>
        <w:tc>
          <w:tcPr>
            <w:tcW w:w="1951" w:type="dxa"/>
            <w:shd w:val="clear" w:color="auto" w:fill="auto"/>
            <w:vAlign w:val="center"/>
            <w:hideMark/>
          </w:tcPr>
          <w:p w:rsidR="00BB5D1F" w:rsidRPr="008E0AEA" w:rsidRDefault="00BB5D1F" w:rsidP="008E0AEA">
            <w:pPr>
              <w:spacing w:after="0"/>
              <w:rPr>
                <w:rFonts w:ascii="Arial" w:hAnsi="Arial" w:cs="Arial"/>
                <w:b/>
                <w:sz w:val="20"/>
                <w:szCs w:val="20"/>
              </w:rPr>
            </w:pPr>
            <w:r w:rsidRPr="008E0AEA">
              <w:rPr>
                <w:rFonts w:ascii="Arial" w:hAnsi="Arial" w:cs="Arial"/>
                <w:b/>
                <w:sz w:val="20"/>
                <w:szCs w:val="20"/>
              </w:rPr>
              <w:t>Low birth weight births</w:t>
            </w:r>
          </w:p>
        </w:tc>
        <w:tc>
          <w:tcPr>
            <w:tcW w:w="886" w:type="dxa"/>
            <w:shd w:val="clear" w:color="auto" w:fill="auto"/>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0.127</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0.028</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0.070</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0.091</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0.064</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0.140</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0.106</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0.044</w:t>
            </w:r>
          </w:p>
        </w:tc>
      </w:tr>
      <w:tr w:rsidR="00BB5D1F" w:rsidRPr="00A542E9" w:rsidTr="001827CB">
        <w:trPr>
          <w:trHeight w:val="306"/>
        </w:trPr>
        <w:tc>
          <w:tcPr>
            <w:tcW w:w="1951" w:type="dxa"/>
            <w:shd w:val="clear" w:color="auto" w:fill="auto"/>
            <w:vAlign w:val="center"/>
            <w:hideMark/>
          </w:tcPr>
          <w:p w:rsidR="00BB5D1F" w:rsidRPr="008E0AEA" w:rsidRDefault="00BB5D1F" w:rsidP="00107792">
            <w:pPr>
              <w:spacing w:after="0"/>
              <w:rPr>
                <w:rFonts w:ascii="Arial" w:hAnsi="Arial" w:cs="Arial"/>
                <w:b/>
                <w:sz w:val="20"/>
                <w:szCs w:val="20"/>
              </w:rPr>
            </w:pPr>
            <w:r w:rsidRPr="008E0AEA">
              <w:rPr>
                <w:rFonts w:ascii="Arial" w:hAnsi="Arial" w:cs="Arial"/>
                <w:b/>
                <w:sz w:val="20"/>
                <w:szCs w:val="20"/>
              </w:rPr>
              <w:t xml:space="preserve">Patients receiving Dementia </w:t>
            </w:r>
            <w:r w:rsidR="008E0AEA">
              <w:rPr>
                <w:rFonts w:ascii="Arial" w:hAnsi="Arial" w:cs="Arial"/>
                <w:b/>
                <w:sz w:val="20"/>
                <w:szCs w:val="20"/>
              </w:rPr>
              <w:t>prescript</w:t>
            </w:r>
            <w:r w:rsidRPr="008E0AEA">
              <w:rPr>
                <w:rFonts w:ascii="Arial" w:hAnsi="Arial" w:cs="Arial"/>
                <w:b/>
                <w:sz w:val="20"/>
                <w:szCs w:val="20"/>
              </w:rPr>
              <w:t>ions</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-0.032</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-0.066</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-0.056</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-0.012</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0.032</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-0.012</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-0.023</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-0.031</w:t>
            </w:r>
          </w:p>
        </w:tc>
      </w:tr>
      <w:tr w:rsidR="00BB5D1F" w:rsidRPr="00A542E9" w:rsidTr="001827CB">
        <w:trPr>
          <w:trHeight w:val="311"/>
        </w:trPr>
        <w:tc>
          <w:tcPr>
            <w:tcW w:w="1951" w:type="dxa"/>
            <w:shd w:val="clear" w:color="auto" w:fill="auto"/>
            <w:vAlign w:val="center"/>
            <w:hideMark/>
          </w:tcPr>
          <w:p w:rsidR="00BB5D1F" w:rsidRPr="008E0AEA" w:rsidRDefault="008E0AEA" w:rsidP="008E0AEA">
            <w:pPr>
              <w:spacing w:after="0"/>
              <w:rPr>
                <w:rFonts w:ascii="Arial" w:hAnsi="Arial" w:cs="Arial"/>
                <w:b/>
                <w:sz w:val="20"/>
                <w:szCs w:val="20"/>
              </w:rPr>
            </w:pPr>
            <w:r>
              <w:rPr>
                <w:rFonts w:ascii="Arial" w:hAnsi="Arial" w:cs="Arial"/>
                <w:b/>
                <w:sz w:val="20"/>
                <w:szCs w:val="20"/>
              </w:rPr>
              <w:t>High resource individuals</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0.479</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0.174</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0.267</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0.328</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0.336</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0.443</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0.343</w:t>
            </w:r>
          </w:p>
        </w:tc>
        <w:tc>
          <w:tcPr>
            <w:tcW w:w="886" w:type="dxa"/>
            <w:shd w:val="clear" w:color="auto" w:fill="auto"/>
            <w:noWrap/>
            <w:vAlign w:val="center"/>
            <w:hideMark/>
          </w:tcPr>
          <w:p w:rsidR="00BB5D1F" w:rsidRPr="004C45B5" w:rsidRDefault="00BB5D1F" w:rsidP="008E0AEA">
            <w:pPr>
              <w:spacing w:after="0"/>
              <w:jc w:val="center"/>
              <w:rPr>
                <w:rFonts w:ascii="Arial" w:hAnsi="Arial" w:cs="Arial"/>
                <w:sz w:val="20"/>
                <w:szCs w:val="20"/>
              </w:rPr>
            </w:pPr>
            <w:r w:rsidRPr="004C45B5">
              <w:rPr>
                <w:rFonts w:ascii="Arial" w:hAnsi="Arial" w:cs="Arial"/>
                <w:sz w:val="20"/>
                <w:szCs w:val="20"/>
              </w:rPr>
              <w:t>0.223</w:t>
            </w:r>
          </w:p>
        </w:tc>
      </w:tr>
      <w:tr w:rsidR="00BB5D1F" w:rsidRPr="00A542E9" w:rsidTr="001827CB">
        <w:trPr>
          <w:trHeight w:val="325"/>
        </w:trPr>
        <w:tc>
          <w:tcPr>
            <w:tcW w:w="1951" w:type="dxa"/>
            <w:shd w:val="clear" w:color="auto" w:fill="auto"/>
            <w:vAlign w:val="center"/>
            <w:hideMark/>
          </w:tcPr>
          <w:p w:rsidR="00BB5D1F" w:rsidRPr="008E0AEA" w:rsidRDefault="00BB5D1F" w:rsidP="008E0AEA">
            <w:pPr>
              <w:spacing w:after="0"/>
              <w:rPr>
                <w:rFonts w:ascii="Arial" w:hAnsi="Arial" w:cs="Arial"/>
                <w:b/>
                <w:sz w:val="20"/>
                <w:szCs w:val="20"/>
              </w:rPr>
            </w:pPr>
            <w:r w:rsidRPr="008E0AEA">
              <w:rPr>
                <w:rFonts w:ascii="Arial" w:hAnsi="Arial" w:cs="Arial"/>
                <w:b/>
                <w:sz w:val="20"/>
                <w:szCs w:val="20"/>
              </w:rPr>
              <w:t>Long-term sick and not seeking work</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0.042</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0.016</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0.041</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0.016</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0.028</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0.035</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0.044</w:t>
            </w:r>
          </w:p>
        </w:tc>
        <w:tc>
          <w:tcPr>
            <w:tcW w:w="886" w:type="dxa"/>
            <w:shd w:val="clear" w:color="auto" w:fill="auto"/>
            <w:noWrap/>
            <w:vAlign w:val="center"/>
            <w:hideMark/>
          </w:tcPr>
          <w:p w:rsidR="00BB5D1F" w:rsidRPr="008E0AEA" w:rsidRDefault="00BB5D1F" w:rsidP="008E0AEA">
            <w:pPr>
              <w:spacing w:after="0"/>
              <w:jc w:val="center"/>
              <w:rPr>
                <w:rFonts w:ascii="Arial" w:hAnsi="Arial" w:cs="Arial"/>
                <w:sz w:val="20"/>
                <w:szCs w:val="20"/>
              </w:rPr>
            </w:pPr>
            <w:r w:rsidRPr="008E0AEA">
              <w:rPr>
                <w:rFonts w:ascii="Arial" w:hAnsi="Arial" w:cs="Arial"/>
                <w:sz w:val="20"/>
                <w:szCs w:val="20"/>
              </w:rPr>
              <w:t>0.009</w:t>
            </w:r>
          </w:p>
        </w:tc>
      </w:tr>
    </w:tbl>
    <w:p w:rsidR="00253A0E" w:rsidRDefault="00253A0E" w:rsidP="0097225D">
      <w:pPr>
        <w:jc w:val="both"/>
        <w:rPr>
          <w:rFonts w:ascii="Arial" w:hAnsi="Arial" w:cs="Arial"/>
        </w:rPr>
      </w:pPr>
    </w:p>
    <w:p w:rsidR="00A81491" w:rsidRDefault="001433B0" w:rsidP="0097225D">
      <w:pPr>
        <w:jc w:val="both"/>
        <w:rPr>
          <w:rFonts w:ascii="Arial" w:hAnsi="Arial" w:cs="Arial"/>
        </w:rPr>
      </w:pPr>
      <w:r>
        <w:rPr>
          <w:rFonts w:ascii="Arial" w:hAnsi="Arial" w:cs="Arial"/>
        </w:rPr>
        <w:t xml:space="preserve">As a further validation of the choice of retained variables, a series of regressions </w:t>
      </w:r>
      <w:r w:rsidR="0060789B">
        <w:rPr>
          <w:rFonts w:ascii="Arial" w:hAnsi="Arial" w:cs="Arial"/>
        </w:rPr>
        <w:t>has</w:t>
      </w:r>
      <w:r>
        <w:rPr>
          <w:rFonts w:ascii="Arial" w:hAnsi="Arial" w:cs="Arial"/>
        </w:rPr>
        <w:t xml:space="preserve"> been</w:t>
      </w:r>
      <w:r w:rsidR="0097225D" w:rsidRPr="0097225D">
        <w:rPr>
          <w:rFonts w:ascii="Arial" w:hAnsi="Arial" w:cs="Arial"/>
        </w:rPr>
        <w:t xml:space="preserve"> carried out using each potential candidate variable as </w:t>
      </w:r>
      <w:r>
        <w:rPr>
          <w:rFonts w:ascii="Arial" w:hAnsi="Arial" w:cs="Arial"/>
        </w:rPr>
        <w:t xml:space="preserve">an individual predictor </w:t>
      </w:r>
      <w:r w:rsidR="0097225D" w:rsidRPr="0097225D">
        <w:rPr>
          <w:rFonts w:ascii="Arial" w:hAnsi="Arial" w:cs="Arial"/>
        </w:rPr>
        <w:t>of need</w:t>
      </w:r>
      <w:r w:rsidR="00A81491">
        <w:rPr>
          <w:rFonts w:ascii="Arial" w:hAnsi="Arial" w:cs="Arial"/>
        </w:rPr>
        <w:t>, with the</w:t>
      </w:r>
      <w:r w:rsidR="0060789B">
        <w:rPr>
          <w:rFonts w:ascii="Arial" w:hAnsi="Arial" w:cs="Arial"/>
        </w:rPr>
        <w:t xml:space="preserve"> current</w:t>
      </w:r>
      <w:r w:rsidR="0097225D" w:rsidRPr="0097225D">
        <w:rPr>
          <w:rFonts w:ascii="Arial" w:hAnsi="Arial" w:cs="Arial"/>
        </w:rPr>
        <w:t xml:space="preserve"> supply model (supply variables IPACX and OPACX and health board dummy variables)</w:t>
      </w:r>
      <w:r w:rsidR="00A81491">
        <w:rPr>
          <w:rFonts w:ascii="Arial" w:hAnsi="Arial" w:cs="Arial"/>
        </w:rPr>
        <w:t xml:space="preserve"> included in the regression</w:t>
      </w:r>
      <w:r w:rsidR="0097225D" w:rsidRPr="0097225D">
        <w:rPr>
          <w:rFonts w:ascii="Arial" w:hAnsi="Arial" w:cs="Arial"/>
        </w:rPr>
        <w:t xml:space="preserve">. </w:t>
      </w:r>
      <w:r>
        <w:rPr>
          <w:rFonts w:ascii="Arial" w:hAnsi="Arial" w:cs="Arial"/>
        </w:rPr>
        <w:t>The a</w:t>
      </w:r>
      <w:r w:rsidR="00A81491">
        <w:rPr>
          <w:rFonts w:ascii="Arial" w:hAnsi="Arial" w:cs="Arial"/>
        </w:rPr>
        <w:t xml:space="preserve">djusted R-squared values, reassuringly, tended </w:t>
      </w:r>
      <w:r>
        <w:rPr>
          <w:rFonts w:ascii="Arial" w:hAnsi="Arial" w:cs="Arial"/>
        </w:rPr>
        <w:t>to be highest for the variables with highest correlations to the cost ratios. Results from this are given in Annex C.</w:t>
      </w:r>
      <w:r w:rsidR="001827CB">
        <w:rPr>
          <w:rFonts w:ascii="Arial" w:hAnsi="Arial" w:cs="Arial"/>
        </w:rPr>
        <w:t xml:space="preserve"> </w:t>
      </w:r>
    </w:p>
    <w:p w:rsidR="00442301" w:rsidRDefault="00442301">
      <w:pPr>
        <w:rPr>
          <w:rFonts w:ascii="Arial" w:hAnsi="Arial" w:cs="Arial"/>
          <w:b/>
        </w:rPr>
      </w:pPr>
      <w:r>
        <w:rPr>
          <w:rFonts w:ascii="Arial" w:hAnsi="Arial" w:cs="Arial"/>
          <w:b/>
        </w:rPr>
        <w:br w:type="page"/>
      </w:r>
    </w:p>
    <w:p w:rsidR="0097225D" w:rsidRPr="0097225D" w:rsidRDefault="0097225D" w:rsidP="0097225D">
      <w:pPr>
        <w:jc w:val="both"/>
        <w:rPr>
          <w:rFonts w:ascii="Arial" w:hAnsi="Arial" w:cs="Arial"/>
          <w:b/>
        </w:rPr>
      </w:pPr>
      <w:r w:rsidRPr="0097225D">
        <w:rPr>
          <w:rFonts w:ascii="Arial" w:hAnsi="Arial" w:cs="Arial"/>
          <w:b/>
        </w:rPr>
        <w:lastRenderedPageBreak/>
        <w:t>4.4 Retained variables</w:t>
      </w:r>
    </w:p>
    <w:p w:rsidR="0097225D" w:rsidRDefault="00344985" w:rsidP="0097225D">
      <w:pPr>
        <w:jc w:val="both"/>
        <w:rPr>
          <w:rFonts w:ascii="Arial" w:hAnsi="Arial" w:cs="Arial"/>
        </w:rPr>
      </w:pPr>
      <w:r>
        <w:rPr>
          <w:rFonts w:ascii="Arial" w:hAnsi="Arial" w:cs="Arial"/>
        </w:rPr>
        <w:t>T</w:t>
      </w:r>
      <w:r w:rsidR="0097225D" w:rsidRPr="0097225D">
        <w:rPr>
          <w:rFonts w:ascii="Arial" w:hAnsi="Arial" w:cs="Arial"/>
        </w:rPr>
        <w:t>he retaine</w:t>
      </w:r>
      <w:r>
        <w:rPr>
          <w:rFonts w:ascii="Arial" w:hAnsi="Arial" w:cs="Arial"/>
        </w:rPr>
        <w:t>d variables, after elimination of variables with high numbers of zeros and near-duplicates, are:</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All cause SMR &lt;75</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Cancer SMR &lt;75</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Heart SMR &lt;75</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Other SMR &lt;70</w:t>
      </w:r>
    </w:p>
    <w:p w:rsidR="00B21422" w:rsidRDefault="00B21422" w:rsidP="00B21422">
      <w:pPr>
        <w:pStyle w:val="ListParagraph"/>
        <w:numPr>
          <w:ilvl w:val="0"/>
          <w:numId w:val="10"/>
        </w:numPr>
        <w:jc w:val="both"/>
        <w:rPr>
          <w:rFonts w:ascii="Arial" w:hAnsi="Arial" w:cs="Arial"/>
        </w:rPr>
      </w:pPr>
      <w:r>
        <w:rPr>
          <w:rFonts w:ascii="Arial" w:hAnsi="Arial" w:cs="Arial"/>
        </w:rPr>
        <w:t>LLTI – Yes (both)</w:t>
      </w:r>
    </w:p>
    <w:p w:rsidR="00B21422" w:rsidRPr="003E53AF" w:rsidRDefault="00B21422" w:rsidP="00B21422">
      <w:pPr>
        <w:pStyle w:val="ListParagraph"/>
        <w:numPr>
          <w:ilvl w:val="0"/>
          <w:numId w:val="10"/>
        </w:numPr>
        <w:jc w:val="both"/>
        <w:rPr>
          <w:rFonts w:ascii="Arial" w:hAnsi="Arial" w:cs="Arial"/>
        </w:rPr>
      </w:pPr>
      <w:r w:rsidRPr="003E53AF">
        <w:rPr>
          <w:rFonts w:ascii="Arial" w:hAnsi="Arial" w:cs="Arial"/>
        </w:rPr>
        <w:t>General health – bad or very bad</w:t>
      </w:r>
    </w:p>
    <w:p w:rsidR="00B21422" w:rsidRPr="003E53AF" w:rsidRDefault="00B21422" w:rsidP="00B21422">
      <w:pPr>
        <w:pStyle w:val="ListParagraph"/>
        <w:numPr>
          <w:ilvl w:val="0"/>
          <w:numId w:val="10"/>
        </w:numPr>
        <w:jc w:val="both"/>
        <w:rPr>
          <w:rFonts w:ascii="Arial" w:hAnsi="Arial" w:cs="Arial"/>
        </w:rPr>
      </w:pPr>
      <w:r>
        <w:rPr>
          <w:rFonts w:ascii="Arial" w:hAnsi="Arial" w:cs="Arial"/>
        </w:rPr>
        <w:t>Living alone ≥7</w:t>
      </w:r>
      <w:r w:rsidRPr="0055621B">
        <w:rPr>
          <w:rFonts w:ascii="Arial" w:hAnsi="Arial" w:cs="Arial"/>
        </w:rPr>
        <w:t>0</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Living alone ≥90</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Unpaid care ≥ 20 hours</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Education – level 2 and below</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DNA counts – ratio to population</w:t>
      </w:r>
    </w:p>
    <w:p w:rsidR="00B21422" w:rsidRPr="0055621B" w:rsidRDefault="00B21422" w:rsidP="00B21422">
      <w:pPr>
        <w:pStyle w:val="ListParagraph"/>
        <w:numPr>
          <w:ilvl w:val="0"/>
          <w:numId w:val="10"/>
        </w:numPr>
        <w:jc w:val="both"/>
        <w:rPr>
          <w:rFonts w:ascii="Arial" w:hAnsi="Arial" w:cs="Arial"/>
        </w:rPr>
      </w:pPr>
      <w:r w:rsidRPr="0055621B">
        <w:rPr>
          <w:rFonts w:ascii="Arial" w:hAnsi="Arial" w:cs="Arial"/>
        </w:rPr>
        <w:t>Low birth weight births</w:t>
      </w:r>
    </w:p>
    <w:p w:rsidR="00B21422" w:rsidRPr="0055621B" w:rsidRDefault="00B21422" w:rsidP="00B21422">
      <w:pPr>
        <w:pStyle w:val="ListParagraph"/>
        <w:numPr>
          <w:ilvl w:val="0"/>
          <w:numId w:val="10"/>
        </w:numPr>
        <w:rPr>
          <w:rFonts w:ascii="Arial" w:hAnsi="Arial" w:cs="Arial"/>
        </w:rPr>
      </w:pPr>
      <w:r w:rsidRPr="0055621B">
        <w:rPr>
          <w:rFonts w:ascii="Arial" w:hAnsi="Arial" w:cs="Arial"/>
        </w:rPr>
        <w:t>Patients receiving Dementia prescriptions</w:t>
      </w:r>
    </w:p>
    <w:p w:rsidR="00B21422" w:rsidRPr="0055621B" w:rsidRDefault="00B21422" w:rsidP="00B21422">
      <w:pPr>
        <w:pStyle w:val="ListParagraph"/>
        <w:numPr>
          <w:ilvl w:val="0"/>
          <w:numId w:val="10"/>
        </w:numPr>
        <w:rPr>
          <w:rFonts w:ascii="Arial" w:hAnsi="Arial" w:cs="Arial"/>
        </w:rPr>
      </w:pPr>
      <w:r w:rsidRPr="0055621B">
        <w:rPr>
          <w:rFonts w:ascii="Arial" w:hAnsi="Arial" w:cs="Arial"/>
        </w:rPr>
        <w:t>High resource individuals</w:t>
      </w:r>
    </w:p>
    <w:p w:rsidR="00344985" w:rsidRPr="0055621B" w:rsidRDefault="00344985" w:rsidP="0055621B">
      <w:pPr>
        <w:pStyle w:val="ListParagraph"/>
        <w:numPr>
          <w:ilvl w:val="0"/>
          <w:numId w:val="10"/>
        </w:numPr>
        <w:rPr>
          <w:rFonts w:ascii="Arial" w:hAnsi="Arial" w:cs="Arial"/>
        </w:rPr>
      </w:pPr>
      <w:r w:rsidRPr="0055621B">
        <w:rPr>
          <w:rFonts w:ascii="Arial" w:hAnsi="Arial" w:cs="Arial"/>
        </w:rPr>
        <w:t>Long-term sick and not seeking work</w:t>
      </w:r>
    </w:p>
    <w:p w:rsidR="00344985" w:rsidRDefault="00344985" w:rsidP="0097225D">
      <w:pPr>
        <w:rPr>
          <w:rFonts w:ascii="Arial" w:hAnsi="Arial" w:cs="Arial"/>
          <w:b/>
        </w:rPr>
      </w:pPr>
    </w:p>
    <w:p w:rsidR="00293DA0" w:rsidRPr="00293DA0" w:rsidRDefault="00293DA0" w:rsidP="0097225D">
      <w:pPr>
        <w:rPr>
          <w:rFonts w:ascii="Arial" w:hAnsi="Arial" w:cs="Arial"/>
          <w:b/>
        </w:rPr>
      </w:pPr>
      <w:r w:rsidRPr="00293DA0">
        <w:rPr>
          <w:rFonts w:ascii="Arial" w:hAnsi="Arial" w:cs="Arial"/>
          <w:b/>
        </w:rPr>
        <w:t>5. Next steps</w:t>
      </w:r>
    </w:p>
    <w:p w:rsidR="00293DA0" w:rsidRDefault="00191028" w:rsidP="0097225D">
      <w:pPr>
        <w:rPr>
          <w:rFonts w:ascii="Arial" w:hAnsi="Arial" w:cs="Arial"/>
        </w:rPr>
      </w:pPr>
      <w:r>
        <w:rPr>
          <w:rFonts w:ascii="Arial" w:hAnsi="Arial" w:cs="Arial"/>
        </w:rPr>
        <w:t xml:space="preserve">This brings the work to step 4 of the method (Annex B). </w:t>
      </w:r>
      <w:r w:rsidR="00293DA0">
        <w:rPr>
          <w:rFonts w:ascii="Arial" w:hAnsi="Arial" w:cs="Arial"/>
        </w:rPr>
        <w:t>The next step</w:t>
      </w:r>
      <w:r>
        <w:rPr>
          <w:rFonts w:ascii="Arial" w:hAnsi="Arial" w:cs="Arial"/>
        </w:rPr>
        <w:t>s are</w:t>
      </w:r>
      <w:r w:rsidR="00293DA0">
        <w:rPr>
          <w:rFonts w:ascii="Arial" w:hAnsi="Arial" w:cs="Arial"/>
        </w:rPr>
        <w:t xml:space="preserve"> to </w:t>
      </w:r>
      <w:r>
        <w:rPr>
          <w:rFonts w:ascii="Arial" w:hAnsi="Arial" w:cs="Arial"/>
        </w:rPr>
        <w:t>perform both stepwise regressions and factor analysis, using the list of retained variables above with the cost ratios for the different diagnostic groups. This will result in a ‘restricted variable set’ consisting of the variables that had been prominent in the factor analysis and had most often been statistically significant in the stepwise regressions (steps 5 and 6). The restricted variable set will be presented at the March 2016 meeting of the Subgroup.</w:t>
      </w:r>
    </w:p>
    <w:p w:rsidR="00293DA0" w:rsidRDefault="00293DA0" w:rsidP="0097225D">
      <w:pPr>
        <w:rPr>
          <w:rFonts w:ascii="Arial" w:hAnsi="Arial" w:cs="Arial"/>
        </w:rPr>
      </w:pPr>
    </w:p>
    <w:p w:rsidR="00293DA0" w:rsidRPr="0055621B" w:rsidRDefault="00293DA0" w:rsidP="0097225D">
      <w:pPr>
        <w:rPr>
          <w:rFonts w:ascii="Arial" w:hAnsi="Arial" w:cs="Arial"/>
        </w:rPr>
        <w:sectPr w:rsidR="00293DA0" w:rsidRPr="0055621B" w:rsidSect="00EA6303">
          <w:headerReference w:type="default" r:id="rId8"/>
          <w:footerReference w:type="default" r:id="rId9"/>
          <w:pgSz w:w="11906" w:h="16838"/>
          <w:pgMar w:top="1440" w:right="1440" w:bottom="1440" w:left="1440" w:header="708" w:footer="708" w:gutter="0"/>
          <w:cols w:space="708"/>
          <w:docGrid w:linePitch="360"/>
        </w:sectPr>
      </w:pPr>
    </w:p>
    <w:p w:rsidR="005229AF" w:rsidRPr="005229AF" w:rsidRDefault="005229AF" w:rsidP="005229AF">
      <w:pPr>
        <w:rPr>
          <w:rFonts w:ascii="Arial" w:hAnsi="Arial" w:cs="Arial"/>
        </w:rPr>
      </w:pPr>
      <w:r w:rsidRPr="0097225D">
        <w:rPr>
          <w:rFonts w:ascii="Arial" w:hAnsi="Arial" w:cs="Arial"/>
          <w:b/>
        </w:rPr>
        <w:lastRenderedPageBreak/>
        <w:t xml:space="preserve">Annex A: </w:t>
      </w:r>
      <w:r>
        <w:rPr>
          <w:rFonts w:ascii="Arial" w:hAnsi="Arial" w:cs="Arial"/>
          <w:b/>
        </w:rPr>
        <w:t>Final potential candidate variables table</w:t>
      </w:r>
    </w:p>
    <w:p w:rsidR="005229AF" w:rsidRPr="008E2DD5" w:rsidRDefault="005229AF" w:rsidP="005229AF">
      <w:pPr>
        <w:spacing w:after="0"/>
        <w:rPr>
          <w:rFonts w:ascii="Arial" w:hAnsi="Arial" w:cs="Arial"/>
          <w:i/>
        </w:rPr>
      </w:pPr>
      <w:r w:rsidRPr="000F2402">
        <w:rPr>
          <w:rFonts w:ascii="Arial" w:hAnsi="Arial" w:cs="Arial"/>
          <w:i/>
        </w:rPr>
        <w:t xml:space="preserve">Table </w:t>
      </w:r>
      <w:r>
        <w:rPr>
          <w:rFonts w:ascii="Arial" w:hAnsi="Arial" w:cs="Arial"/>
          <w:i/>
        </w:rPr>
        <w:t>A.</w:t>
      </w:r>
      <w:r w:rsidRPr="000F2402">
        <w:rPr>
          <w:rFonts w:ascii="Arial" w:hAnsi="Arial" w:cs="Arial"/>
          <w:i/>
        </w:rPr>
        <w:t xml:space="preserve">1. </w:t>
      </w:r>
      <w:r>
        <w:rPr>
          <w:rFonts w:ascii="Arial" w:hAnsi="Arial" w:cs="Arial"/>
          <w:i/>
        </w:rPr>
        <w:t xml:space="preserve">Potential candidate variables </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7"/>
        <w:gridCol w:w="10294"/>
      </w:tblGrid>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b/>
                <w:sz w:val="20"/>
                <w:szCs w:val="20"/>
                <w:u w:val="single"/>
              </w:rPr>
            </w:pPr>
            <w:r w:rsidRPr="00E819B6">
              <w:rPr>
                <w:rFonts w:ascii="Arial" w:hAnsi="Arial" w:cs="Arial"/>
                <w:b/>
                <w:sz w:val="20"/>
                <w:szCs w:val="20"/>
                <w:u w:val="single"/>
              </w:rPr>
              <w:t>Variable</w:t>
            </w:r>
          </w:p>
        </w:tc>
        <w:tc>
          <w:tcPr>
            <w:tcW w:w="3676"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b/>
                <w:sz w:val="20"/>
                <w:szCs w:val="20"/>
                <w:u w:val="single"/>
              </w:rPr>
            </w:pPr>
            <w:r w:rsidRPr="00E819B6">
              <w:rPr>
                <w:rFonts w:ascii="Arial" w:hAnsi="Arial" w:cs="Arial"/>
                <w:b/>
                <w:sz w:val="20"/>
                <w:szCs w:val="20"/>
                <w:u w:val="single"/>
              </w:rPr>
              <w:t>Details</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EA6303">
            <w:pPr>
              <w:spacing w:after="0"/>
              <w:rPr>
                <w:rFonts w:ascii="Arial" w:hAnsi="Arial" w:cs="Arial"/>
                <w:sz w:val="20"/>
                <w:szCs w:val="20"/>
              </w:rPr>
            </w:pPr>
            <w:r w:rsidRPr="00E819B6">
              <w:rPr>
                <w:rFonts w:ascii="Arial" w:hAnsi="Arial" w:cs="Arial"/>
                <w:sz w:val="20"/>
                <w:szCs w:val="20"/>
              </w:rPr>
              <w:t>Low birth weight births</w:t>
            </w:r>
          </w:p>
        </w:tc>
        <w:tc>
          <w:tcPr>
            <w:tcW w:w="3676"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3 financial years’ data from ISD Maternity team (10/11—12/13 – the three most recent years’ data available). Expressed as a fraction of average population over 3 years (MYEs 2011, 2012, 2013).</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Death rate 0-74 all causes</w:t>
            </w:r>
          </w:p>
        </w:tc>
        <w:tc>
          <w:tcPr>
            <w:tcW w:w="3676" w:type="pct"/>
            <w:vMerge w:val="restart"/>
            <w:tcBorders>
              <w:top w:val="single" w:sz="4" w:space="0" w:color="auto"/>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5 financial years’ GRO death records (09/10 – 13/14). Expressed as a fraction of average population over middle 3 years (MYEs – 2011, 2012, 2013) since 2010 MYE not available until Spring 2016.</w:t>
            </w:r>
          </w:p>
          <w:p w:rsidR="005229AF" w:rsidRPr="00E819B6" w:rsidRDefault="005229AF" w:rsidP="00DD24B4">
            <w:pPr>
              <w:spacing w:after="0"/>
              <w:rPr>
                <w:rFonts w:ascii="Arial" w:hAnsi="Arial" w:cs="Arial"/>
                <w:sz w:val="20"/>
                <w:szCs w:val="20"/>
              </w:rPr>
            </w:pPr>
          </w:p>
          <w:p w:rsidR="005229AF" w:rsidRPr="00E819B6" w:rsidRDefault="005229AF" w:rsidP="00DD24B4">
            <w:pPr>
              <w:spacing w:after="0"/>
              <w:rPr>
                <w:rFonts w:ascii="Arial" w:hAnsi="Arial" w:cs="Arial"/>
                <w:sz w:val="20"/>
                <w:szCs w:val="20"/>
              </w:rPr>
            </w:pPr>
            <w:r w:rsidRPr="00E819B6">
              <w:rPr>
                <w:rFonts w:ascii="Arial" w:hAnsi="Arial" w:cs="Arial"/>
                <w:sz w:val="20"/>
                <w:szCs w:val="20"/>
              </w:rPr>
              <w:t>Cause of death selected using ICD10 codes:</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Cancer C00--D48</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CHD I20--I25</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Stroke I61, I63, I64</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Death rate 0-74 Cancer</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Death rate 0-74 CHD</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Death rate 0-74 Stroke</w:t>
            </w:r>
          </w:p>
        </w:tc>
        <w:tc>
          <w:tcPr>
            <w:tcW w:w="3676" w:type="pct"/>
            <w:vMerge/>
            <w:tcBorders>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All cause SMR 0-64</w:t>
            </w:r>
          </w:p>
        </w:tc>
        <w:tc>
          <w:tcPr>
            <w:tcW w:w="3676" w:type="pct"/>
            <w:vMerge w:val="restart"/>
            <w:tcBorders>
              <w:top w:val="single" w:sz="4" w:space="0" w:color="auto"/>
              <w:left w:val="single" w:sz="4" w:space="0" w:color="auto"/>
              <w:right w:val="single" w:sz="4" w:space="0" w:color="auto"/>
            </w:tcBorders>
            <w:vAlign w:val="center"/>
            <w:hideMark/>
          </w:tcPr>
          <w:p w:rsidR="005229AF" w:rsidRDefault="005229AF" w:rsidP="00DD24B4">
            <w:pPr>
              <w:spacing w:after="0"/>
              <w:rPr>
                <w:rFonts w:ascii="Arial" w:hAnsi="Arial" w:cs="Arial"/>
                <w:sz w:val="20"/>
                <w:szCs w:val="20"/>
              </w:rPr>
            </w:pPr>
            <w:r>
              <w:rPr>
                <w:rFonts w:ascii="Arial" w:hAnsi="Arial" w:cs="Arial"/>
                <w:sz w:val="20"/>
                <w:szCs w:val="20"/>
              </w:rPr>
              <w:t>Standardised mortality ratios with different causes of death.</w:t>
            </w:r>
          </w:p>
          <w:p w:rsidR="005229AF" w:rsidRDefault="005229AF" w:rsidP="00DD24B4">
            <w:pPr>
              <w:spacing w:after="0"/>
              <w:rPr>
                <w:rFonts w:ascii="Arial" w:hAnsi="Arial" w:cs="Arial"/>
                <w:sz w:val="20"/>
                <w:szCs w:val="20"/>
              </w:rPr>
            </w:pPr>
          </w:p>
          <w:p w:rsidR="005229AF" w:rsidRPr="00E819B6" w:rsidRDefault="005229AF" w:rsidP="00DD24B4">
            <w:pPr>
              <w:spacing w:after="0"/>
              <w:rPr>
                <w:rFonts w:ascii="Arial" w:hAnsi="Arial" w:cs="Arial"/>
                <w:sz w:val="20"/>
                <w:szCs w:val="20"/>
              </w:rPr>
            </w:pPr>
            <w:r>
              <w:rPr>
                <w:rFonts w:ascii="Arial" w:hAnsi="Arial" w:cs="Arial"/>
                <w:sz w:val="20"/>
                <w:szCs w:val="20"/>
              </w:rPr>
              <w:t xml:space="preserve">Using </w:t>
            </w:r>
            <w:r w:rsidRPr="00E819B6">
              <w:rPr>
                <w:rFonts w:ascii="Arial" w:hAnsi="Arial" w:cs="Arial"/>
                <w:sz w:val="20"/>
                <w:szCs w:val="20"/>
              </w:rPr>
              <w:t xml:space="preserve">5 financial years’ GRO death records (09/10 – 13/14). SMR calculated using average population over middle 3 years (MYEs – 2011, 2012, </w:t>
            </w:r>
            <w:proofErr w:type="gramStart"/>
            <w:r w:rsidRPr="00E819B6">
              <w:rPr>
                <w:rFonts w:ascii="Arial" w:hAnsi="Arial" w:cs="Arial"/>
                <w:sz w:val="20"/>
                <w:szCs w:val="20"/>
              </w:rPr>
              <w:t>2013</w:t>
            </w:r>
            <w:proofErr w:type="gramEnd"/>
            <w:r w:rsidRPr="00E819B6">
              <w:rPr>
                <w:rFonts w:ascii="Arial" w:hAnsi="Arial" w:cs="Arial"/>
                <w:sz w:val="20"/>
                <w:szCs w:val="20"/>
              </w:rPr>
              <w:t>) since 2010 MYE not available until Spring 2016.</w:t>
            </w:r>
          </w:p>
          <w:p w:rsidR="005229AF" w:rsidRPr="00E819B6" w:rsidRDefault="005229AF" w:rsidP="00DD24B4">
            <w:pPr>
              <w:spacing w:after="0"/>
              <w:rPr>
                <w:rFonts w:ascii="Arial" w:hAnsi="Arial" w:cs="Arial"/>
                <w:sz w:val="20"/>
                <w:szCs w:val="20"/>
              </w:rPr>
            </w:pPr>
          </w:p>
          <w:p w:rsidR="005229AF" w:rsidRPr="00E819B6" w:rsidRDefault="005229AF" w:rsidP="00DD24B4">
            <w:pPr>
              <w:spacing w:after="0"/>
              <w:rPr>
                <w:rFonts w:ascii="Arial" w:hAnsi="Arial" w:cs="Arial"/>
                <w:sz w:val="20"/>
                <w:szCs w:val="20"/>
              </w:rPr>
            </w:pPr>
            <w:r w:rsidRPr="00E819B6">
              <w:rPr>
                <w:rFonts w:ascii="Arial" w:hAnsi="Arial" w:cs="Arial"/>
                <w:sz w:val="20"/>
                <w:szCs w:val="20"/>
              </w:rPr>
              <w:t>Cause of death selected using ICD10 codes:</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Cancer C00--D48</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Heart disease I00--I99</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Respiratory J00--J99</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Digestive K00--K93</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External Causes V__--Y__</w:t>
            </w:r>
          </w:p>
          <w:p w:rsidR="005229AF" w:rsidRPr="00E819B6" w:rsidRDefault="005229AF" w:rsidP="005229AF">
            <w:pPr>
              <w:pStyle w:val="ListParagraph"/>
              <w:numPr>
                <w:ilvl w:val="0"/>
                <w:numId w:val="9"/>
              </w:numPr>
              <w:spacing w:after="0"/>
              <w:rPr>
                <w:rFonts w:ascii="Arial" w:hAnsi="Arial" w:cs="Arial"/>
                <w:sz w:val="20"/>
                <w:szCs w:val="20"/>
              </w:rPr>
            </w:pPr>
            <w:r w:rsidRPr="00E819B6">
              <w:rPr>
                <w:rFonts w:ascii="Arial" w:hAnsi="Arial" w:cs="Arial"/>
                <w:sz w:val="20"/>
                <w:szCs w:val="20"/>
              </w:rPr>
              <w:t>Other – any other codes</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All cause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All cause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Cancer SMR 0-64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Cancer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Cancer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Heart Disease SMR 0-64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Heart Disease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Heart Disease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Respiratory SMR 0-64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Respiratory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Respiratory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Digestive System SMR  0-64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Digestive System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Digestive System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External Causes SMR 0-64 </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External Causes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External Causes SMR 0-74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lastRenderedPageBreak/>
              <w:t>Other SMR 0-64</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Other SMR 0-69</w:t>
            </w:r>
          </w:p>
        </w:tc>
        <w:tc>
          <w:tcPr>
            <w:tcW w:w="3676" w:type="pct"/>
            <w:vMerge/>
            <w:tcBorders>
              <w:left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Other SMR 0-74</w:t>
            </w:r>
          </w:p>
        </w:tc>
        <w:tc>
          <w:tcPr>
            <w:tcW w:w="3676" w:type="pct"/>
            <w:vMerge/>
            <w:tcBorders>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EA6303">
            <w:pPr>
              <w:spacing w:after="0"/>
              <w:rPr>
                <w:rFonts w:ascii="Arial" w:hAnsi="Arial" w:cs="Arial"/>
                <w:sz w:val="20"/>
                <w:szCs w:val="20"/>
              </w:rPr>
            </w:pPr>
            <w:r w:rsidRPr="00E819B6">
              <w:rPr>
                <w:rFonts w:ascii="Arial" w:hAnsi="Arial" w:cs="Arial"/>
                <w:sz w:val="20"/>
                <w:szCs w:val="20"/>
              </w:rPr>
              <w:t>High Resource Individual counts</w:t>
            </w:r>
          </w:p>
        </w:tc>
        <w:tc>
          <w:tcPr>
            <w:tcW w:w="3676" w:type="pct"/>
            <w:tcBorders>
              <w:top w:val="single" w:sz="4" w:space="0" w:color="auto"/>
              <w:left w:val="single" w:sz="4" w:space="0" w:color="auto"/>
              <w:bottom w:val="single" w:sz="4" w:space="0" w:color="auto"/>
              <w:right w:val="single" w:sz="4" w:space="0" w:color="auto"/>
            </w:tcBorders>
            <w:hideMark/>
          </w:tcPr>
          <w:p w:rsidR="005229AF" w:rsidRPr="00E819B6" w:rsidRDefault="00D2692B" w:rsidP="00DD24B4">
            <w:pPr>
              <w:spacing w:after="0"/>
              <w:rPr>
                <w:rFonts w:ascii="Arial" w:hAnsi="Arial" w:cs="Arial"/>
                <w:sz w:val="20"/>
                <w:szCs w:val="20"/>
              </w:rPr>
            </w:pPr>
            <w:r>
              <w:rPr>
                <w:rFonts w:ascii="Arial" w:hAnsi="Arial" w:cs="Arial"/>
                <w:sz w:val="20"/>
                <w:szCs w:val="20"/>
              </w:rPr>
              <w:t xml:space="preserve">Count of individuals belonging to the group of ~100,000 highest resource-users that account for 50% of the total resource. Based on </w:t>
            </w:r>
            <w:r w:rsidR="005229AF" w:rsidRPr="00E819B6">
              <w:rPr>
                <w:rFonts w:ascii="Arial" w:hAnsi="Arial" w:cs="Arial"/>
                <w:sz w:val="20"/>
                <w:szCs w:val="20"/>
              </w:rPr>
              <w:t>3 financial years’ data from ISD IRF team (11/12 – 13/14). Expressed as a fraction of average population over 3 years (MYEs – 2012, 2013, 2014).</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Did Not Attend counts – as </w:t>
            </w:r>
            <w:r>
              <w:rPr>
                <w:rFonts w:ascii="Arial" w:hAnsi="Arial" w:cs="Arial"/>
                <w:sz w:val="20"/>
                <w:szCs w:val="20"/>
              </w:rPr>
              <w:t xml:space="preserve">a </w:t>
            </w:r>
            <w:r w:rsidRPr="00E819B6">
              <w:rPr>
                <w:rFonts w:ascii="Arial" w:hAnsi="Arial" w:cs="Arial"/>
                <w:sz w:val="20"/>
                <w:szCs w:val="20"/>
              </w:rPr>
              <w:t>fraction of all OP appointments</w:t>
            </w:r>
          </w:p>
        </w:tc>
        <w:tc>
          <w:tcPr>
            <w:tcW w:w="3676"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3 financial years’ data from ISD SC team (11/12 – 13/14). Expressed as a fraction of total outpatient appointments over same 3 financial years. Included because of its link to deprivation.</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Did Not Attend counts </w:t>
            </w:r>
            <w:r w:rsidR="00EA6303">
              <w:rPr>
                <w:rFonts w:ascii="Arial" w:hAnsi="Arial" w:cs="Arial"/>
                <w:sz w:val="20"/>
                <w:szCs w:val="20"/>
              </w:rPr>
              <w:t xml:space="preserve">– ratio </w:t>
            </w:r>
            <w:r w:rsidRPr="00E819B6">
              <w:rPr>
                <w:rFonts w:ascii="Arial" w:hAnsi="Arial" w:cs="Arial"/>
                <w:sz w:val="20"/>
                <w:szCs w:val="20"/>
              </w:rPr>
              <w:t>to data zone population</w:t>
            </w:r>
          </w:p>
        </w:tc>
        <w:tc>
          <w:tcPr>
            <w:tcW w:w="3676"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3 financial years’ data from ISD SC team (11/12 – 13/14). Average population over 3 years (MYEs – 2012, 2013, 2014). Included because of its link to deprivation.</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tcPr>
          <w:p w:rsidR="005229AF" w:rsidRPr="00E819B6" w:rsidRDefault="005229AF"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Diabetes prescriptions</w:t>
            </w:r>
          </w:p>
        </w:tc>
        <w:tc>
          <w:tcPr>
            <w:tcW w:w="3676" w:type="pct"/>
            <w:vMerge w:val="restart"/>
            <w:tcBorders>
              <w:top w:val="single" w:sz="4" w:space="0" w:color="auto"/>
              <w:left w:val="single" w:sz="4" w:space="0" w:color="auto"/>
              <w:right w:val="single" w:sz="4" w:space="0" w:color="auto"/>
            </w:tcBorders>
            <w:vAlign w:val="center"/>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3 financial years’ data from ISD Prescribing team (11/12 – 13/14). Expressed as a fraction of average population over 3 years (MYEs – 2012, 2013, 2014). </w:t>
            </w:r>
          </w:p>
          <w:p w:rsidR="005229AF" w:rsidRPr="00E819B6" w:rsidRDefault="005229AF" w:rsidP="00DD24B4">
            <w:pPr>
              <w:spacing w:after="0"/>
              <w:rPr>
                <w:rFonts w:ascii="Arial" w:hAnsi="Arial" w:cs="Arial"/>
                <w:sz w:val="20"/>
                <w:szCs w:val="20"/>
              </w:rPr>
            </w:pPr>
          </w:p>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Dementia - includes all drugs in BNF section 4.11; Diabetes - includes all insulin and antidiabetic drugs; Respiratory - includes all lama, </w:t>
            </w:r>
            <w:proofErr w:type="spellStart"/>
            <w:r w:rsidRPr="00E819B6">
              <w:rPr>
                <w:rFonts w:ascii="Arial" w:hAnsi="Arial" w:cs="Arial"/>
                <w:sz w:val="20"/>
                <w:szCs w:val="20"/>
              </w:rPr>
              <w:t>laba</w:t>
            </w:r>
            <w:proofErr w:type="spellEnd"/>
            <w:r w:rsidRPr="00E819B6">
              <w:rPr>
                <w:rFonts w:ascii="Arial" w:hAnsi="Arial" w:cs="Arial"/>
                <w:sz w:val="20"/>
                <w:szCs w:val="20"/>
              </w:rPr>
              <w:t xml:space="preserve"> and high strength steroid inhalers</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tcPr>
          <w:p w:rsidR="005229AF" w:rsidRPr="00E819B6" w:rsidRDefault="005229AF"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Dementia prescriptions</w:t>
            </w:r>
          </w:p>
        </w:tc>
        <w:tc>
          <w:tcPr>
            <w:tcW w:w="3676" w:type="pct"/>
            <w:vMerge/>
            <w:tcBorders>
              <w:left w:val="single" w:sz="4" w:space="0" w:color="auto"/>
              <w:right w:val="single" w:sz="4" w:space="0" w:color="auto"/>
            </w:tcBorders>
            <w:vAlign w:val="center"/>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tcPr>
          <w:p w:rsidR="005229AF" w:rsidRPr="00E819B6" w:rsidRDefault="005229AF" w:rsidP="00EA6303">
            <w:pPr>
              <w:spacing w:after="0"/>
              <w:rPr>
                <w:rFonts w:ascii="Arial" w:hAnsi="Arial" w:cs="Arial"/>
                <w:sz w:val="20"/>
                <w:szCs w:val="20"/>
              </w:rPr>
            </w:pPr>
            <w:r>
              <w:rPr>
                <w:rFonts w:ascii="Arial" w:hAnsi="Arial" w:cs="Arial"/>
                <w:sz w:val="20"/>
                <w:szCs w:val="20"/>
              </w:rPr>
              <w:t>P</w:t>
            </w:r>
            <w:r w:rsidRPr="00E819B6">
              <w:rPr>
                <w:rFonts w:ascii="Arial" w:hAnsi="Arial" w:cs="Arial"/>
                <w:sz w:val="20"/>
                <w:szCs w:val="20"/>
              </w:rPr>
              <w:t>atients receiving Respiratory prescriptions</w:t>
            </w:r>
          </w:p>
        </w:tc>
        <w:tc>
          <w:tcPr>
            <w:tcW w:w="3676" w:type="pct"/>
            <w:vMerge/>
            <w:tcBorders>
              <w:left w:val="single" w:sz="4" w:space="0" w:color="auto"/>
              <w:bottom w:val="single" w:sz="4" w:space="0" w:color="auto"/>
              <w:right w:val="single" w:sz="4" w:space="0" w:color="auto"/>
            </w:tcBorders>
            <w:vAlign w:val="center"/>
          </w:tcPr>
          <w:p w:rsidR="005229AF" w:rsidRPr="00E819B6" w:rsidRDefault="005229AF"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Long-term illness </w:t>
            </w:r>
          </w:p>
        </w:tc>
        <w:tc>
          <w:tcPr>
            <w:tcW w:w="3676" w:type="pct"/>
            <w:tcBorders>
              <w:top w:val="single" w:sz="4" w:space="0" w:color="auto"/>
              <w:left w:val="single" w:sz="4" w:space="0" w:color="auto"/>
              <w:bottom w:val="single" w:sz="4" w:space="0" w:color="auto"/>
              <w:right w:val="single" w:sz="4" w:space="0" w:color="auto"/>
            </w:tcBorders>
            <w:vAlign w:val="center"/>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Data from Census 2011 question 20 – standardised by age and sex using 2011 MYE population.</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Mental health condition </w:t>
            </w:r>
          </w:p>
        </w:tc>
        <w:tc>
          <w:tcPr>
            <w:tcW w:w="3676" w:type="pct"/>
            <w:tcBorders>
              <w:top w:val="single" w:sz="4" w:space="0" w:color="auto"/>
              <w:left w:val="single" w:sz="4" w:space="0" w:color="auto"/>
              <w:bottom w:val="single" w:sz="4" w:space="0" w:color="auto"/>
              <w:right w:val="single" w:sz="4" w:space="0" w:color="auto"/>
            </w:tcBorders>
            <w:vAlign w:val="center"/>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Data from Census 2011 question 20 – standardised by age and sex using 2011 MYE population. Included because of the link between mental health conditions and need for Acute services.</w:t>
            </w:r>
          </w:p>
        </w:tc>
      </w:tr>
      <w:tr w:rsidR="00020502"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sidRPr="00E819B6">
              <w:rPr>
                <w:rFonts w:ascii="Arial" w:hAnsi="Arial" w:cs="Arial"/>
                <w:sz w:val="20"/>
                <w:szCs w:val="20"/>
              </w:rPr>
              <w:t xml:space="preserve">Limiting long-term illness </w:t>
            </w:r>
            <w:r>
              <w:rPr>
                <w:rFonts w:ascii="Arial" w:hAnsi="Arial" w:cs="Arial"/>
                <w:sz w:val="20"/>
                <w:szCs w:val="20"/>
              </w:rPr>
              <w:t>– limited a lot</w:t>
            </w:r>
          </w:p>
        </w:tc>
        <w:tc>
          <w:tcPr>
            <w:tcW w:w="3676" w:type="pct"/>
            <w:tcBorders>
              <w:top w:val="single" w:sz="4" w:space="0" w:color="auto"/>
              <w:left w:val="single" w:sz="4" w:space="0" w:color="auto"/>
              <w:bottom w:val="single" w:sz="4" w:space="0" w:color="auto"/>
              <w:right w:val="single" w:sz="4" w:space="0" w:color="auto"/>
            </w:tcBorders>
            <w:vAlign w:val="center"/>
            <w:hideMark/>
          </w:tcPr>
          <w:p w:rsidR="00020502" w:rsidRPr="00E819B6" w:rsidRDefault="00020502" w:rsidP="00020502">
            <w:pPr>
              <w:spacing w:after="0"/>
              <w:rPr>
                <w:rFonts w:ascii="Arial" w:hAnsi="Arial" w:cs="Arial"/>
                <w:sz w:val="20"/>
                <w:szCs w:val="20"/>
              </w:rPr>
            </w:pPr>
            <w:r w:rsidRPr="00E819B6">
              <w:rPr>
                <w:rFonts w:ascii="Arial" w:hAnsi="Arial" w:cs="Arial"/>
                <w:sz w:val="20"/>
                <w:szCs w:val="20"/>
              </w:rPr>
              <w:t>Data from Census 2011 question 21 – standardised by age and sex using 2011 MYE population. Uses number of respondents answering ‘Yes</w:t>
            </w:r>
            <w:r>
              <w:rPr>
                <w:rFonts w:ascii="Arial" w:hAnsi="Arial" w:cs="Arial"/>
                <w:sz w:val="20"/>
                <w:szCs w:val="20"/>
              </w:rPr>
              <w:t xml:space="preserve"> – a lot</w:t>
            </w:r>
            <w:r w:rsidRPr="00E819B6">
              <w:rPr>
                <w:rFonts w:ascii="Arial" w:hAnsi="Arial" w:cs="Arial"/>
                <w:sz w:val="20"/>
                <w:szCs w:val="20"/>
              </w:rPr>
              <w:t>’</w:t>
            </w:r>
            <w:r>
              <w:rPr>
                <w:rFonts w:ascii="Arial" w:hAnsi="Arial" w:cs="Arial"/>
                <w:sz w:val="20"/>
                <w:szCs w:val="20"/>
              </w:rPr>
              <w:t>.</w:t>
            </w:r>
          </w:p>
        </w:tc>
      </w:tr>
      <w:tr w:rsidR="00020502"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Pr>
                <w:rFonts w:ascii="Arial" w:hAnsi="Arial" w:cs="Arial"/>
                <w:sz w:val="20"/>
                <w:szCs w:val="20"/>
              </w:rPr>
              <w:t>Limiting long-term illness – limited a little or a lot</w:t>
            </w:r>
          </w:p>
        </w:tc>
        <w:tc>
          <w:tcPr>
            <w:tcW w:w="3676" w:type="pct"/>
            <w:tcBorders>
              <w:top w:val="single" w:sz="4" w:space="0" w:color="auto"/>
              <w:left w:val="single" w:sz="4" w:space="0" w:color="auto"/>
              <w:bottom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r w:rsidRPr="00E819B6">
              <w:rPr>
                <w:rFonts w:ascii="Arial" w:hAnsi="Arial" w:cs="Arial"/>
                <w:sz w:val="20"/>
                <w:szCs w:val="20"/>
              </w:rPr>
              <w:t>Data from Census 2011 question 21 – standardised by age and sex using 2011 MYE population. Uses number of respondents answering ‘Yes’ (including both ‘a little’ and ‘a lot’).</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Long-term sick and not seeking work </w:t>
            </w:r>
          </w:p>
        </w:tc>
        <w:tc>
          <w:tcPr>
            <w:tcW w:w="3676" w:type="pct"/>
            <w:tcBorders>
              <w:top w:val="single" w:sz="4" w:space="0" w:color="auto"/>
              <w:left w:val="single" w:sz="4" w:space="0" w:color="auto"/>
              <w:bottom w:val="single" w:sz="4" w:space="0" w:color="auto"/>
              <w:right w:val="single" w:sz="4" w:space="0" w:color="auto"/>
            </w:tcBorders>
            <w:vAlign w:val="center"/>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Data from Census 2011 questions 24-28 – standardised by age and sex using 2011 MYE population.</w:t>
            </w: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65 and over</w:t>
            </w:r>
          </w:p>
        </w:tc>
        <w:tc>
          <w:tcPr>
            <w:tcW w:w="3676" w:type="pct"/>
            <w:vMerge w:val="restart"/>
            <w:tcBorders>
              <w:top w:val="single" w:sz="4" w:space="0" w:color="auto"/>
              <w:left w:val="single" w:sz="4" w:space="0" w:color="auto"/>
              <w:right w:val="single" w:sz="4" w:space="0" w:color="auto"/>
            </w:tcBorders>
            <w:vAlign w:val="center"/>
            <w:hideMark/>
          </w:tcPr>
          <w:p w:rsidR="00020502" w:rsidRPr="00E819B6" w:rsidRDefault="00020502" w:rsidP="00020502">
            <w:pPr>
              <w:spacing w:after="0"/>
              <w:rPr>
                <w:rFonts w:ascii="Arial" w:hAnsi="Arial" w:cs="Arial"/>
                <w:sz w:val="20"/>
                <w:szCs w:val="20"/>
              </w:rPr>
            </w:pPr>
            <w:r w:rsidRPr="00E819B6">
              <w:rPr>
                <w:rFonts w:ascii="Arial" w:hAnsi="Arial" w:cs="Arial"/>
                <w:sz w:val="20"/>
                <w:szCs w:val="20"/>
              </w:rPr>
              <w:t>Data from Census 2011</w:t>
            </w:r>
            <w:r>
              <w:rPr>
                <w:rFonts w:ascii="Arial" w:hAnsi="Arial" w:cs="Arial"/>
                <w:sz w:val="20"/>
                <w:szCs w:val="20"/>
              </w:rPr>
              <w:t xml:space="preserve"> – standardised </w:t>
            </w:r>
            <w:r w:rsidRPr="00E819B6">
              <w:rPr>
                <w:rFonts w:ascii="Arial" w:hAnsi="Arial" w:cs="Arial"/>
                <w:sz w:val="20"/>
                <w:szCs w:val="20"/>
              </w:rPr>
              <w:t>by age and sex using 2011 MYE population.</w:t>
            </w: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70 and over</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75 and over</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80 and over</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85 and over</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90 and over</w:t>
            </w:r>
          </w:p>
        </w:tc>
        <w:tc>
          <w:tcPr>
            <w:tcW w:w="3676" w:type="pct"/>
            <w:vMerge/>
            <w:tcBorders>
              <w:left w:val="single" w:sz="4" w:space="0" w:color="auto"/>
              <w:bottom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1 hour or more</w:t>
            </w:r>
          </w:p>
        </w:tc>
        <w:tc>
          <w:tcPr>
            <w:tcW w:w="3676" w:type="pct"/>
            <w:vMerge w:val="restart"/>
            <w:tcBorders>
              <w:top w:val="single" w:sz="4" w:space="0" w:color="auto"/>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r w:rsidRPr="00E819B6">
              <w:rPr>
                <w:rFonts w:ascii="Arial" w:hAnsi="Arial" w:cs="Arial"/>
                <w:sz w:val="20"/>
                <w:szCs w:val="20"/>
              </w:rPr>
              <w:t>Data from Census 2011 question 9 – standardised by age and sex using 2011 MYE population. Uses number of respondents answering yes (with various numbers of hours).</w:t>
            </w: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20 hours or more</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sidRPr="00E819B6">
              <w:rPr>
                <w:rFonts w:ascii="Arial" w:hAnsi="Arial" w:cs="Arial"/>
                <w:sz w:val="20"/>
                <w:szCs w:val="20"/>
              </w:rPr>
              <w:lastRenderedPageBreak/>
              <w:t xml:space="preserve">Unpaid care </w:t>
            </w:r>
            <w:r>
              <w:rPr>
                <w:rFonts w:ascii="Arial" w:hAnsi="Arial" w:cs="Arial"/>
                <w:sz w:val="20"/>
                <w:szCs w:val="20"/>
              </w:rPr>
              <w:t>– 35 hours or more</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50 hours or more</w:t>
            </w:r>
          </w:p>
        </w:tc>
        <w:tc>
          <w:tcPr>
            <w:tcW w:w="3676" w:type="pct"/>
            <w:vMerge/>
            <w:tcBorders>
              <w:left w:val="single" w:sz="4" w:space="0" w:color="auto"/>
              <w:bottom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020502" w:rsidP="003D01D4">
            <w:pPr>
              <w:spacing w:after="0"/>
              <w:rPr>
                <w:rFonts w:ascii="Arial" w:hAnsi="Arial" w:cs="Arial"/>
                <w:sz w:val="20"/>
                <w:szCs w:val="20"/>
              </w:rPr>
            </w:pPr>
            <w:r>
              <w:rPr>
                <w:rFonts w:ascii="Arial" w:hAnsi="Arial" w:cs="Arial"/>
                <w:sz w:val="20"/>
                <w:szCs w:val="20"/>
              </w:rPr>
              <w:t>G</w:t>
            </w:r>
            <w:r w:rsidRPr="00E819B6">
              <w:rPr>
                <w:rFonts w:ascii="Arial" w:hAnsi="Arial" w:cs="Arial"/>
                <w:sz w:val="20"/>
                <w:szCs w:val="20"/>
              </w:rPr>
              <w:t xml:space="preserve">eneral health </w:t>
            </w:r>
            <w:r>
              <w:rPr>
                <w:rFonts w:ascii="Arial" w:hAnsi="Arial" w:cs="Arial"/>
                <w:sz w:val="20"/>
                <w:szCs w:val="20"/>
              </w:rPr>
              <w:t>– very bad</w:t>
            </w:r>
          </w:p>
        </w:tc>
        <w:tc>
          <w:tcPr>
            <w:tcW w:w="3676" w:type="pct"/>
            <w:tcBorders>
              <w:top w:val="single" w:sz="4" w:space="0" w:color="auto"/>
              <w:left w:val="single" w:sz="4" w:space="0" w:color="auto"/>
              <w:bottom w:val="single" w:sz="4" w:space="0" w:color="auto"/>
              <w:right w:val="single" w:sz="4" w:space="0" w:color="auto"/>
            </w:tcBorders>
            <w:vAlign w:val="center"/>
            <w:hideMark/>
          </w:tcPr>
          <w:p w:rsidR="00020502" w:rsidRPr="00E819B6" w:rsidRDefault="00020502" w:rsidP="00020502">
            <w:pPr>
              <w:spacing w:after="0"/>
              <w:rPr>
                <w:rFonts w:ascii="Arial" w:hAnsi="Arial" w:cs="Arial"/>
                <w:sz w:val="20"/>
                <w:szCs w:val="20"/>
              </w:rPr>
            </w:pPr>
            <w:r w:rsidRPr="00E819B6">
              <w:rPr>
                <w:rFonts w:ascii="Arial" w:hAnsi="Arial" w:cs="Arial"/>
                <w:sz w:val="20"/>
                <w:szCs w:val="20"/>
              </w:rPr>
              <w:t>Data from Census 2011 question 19 – standardised by age and sex using 2011 MYE population. Uses n</w:t>
            </w:r>
            <w:r>
              <w:rPr>
                <w:rFonts w:ascii="Arial" w:hAnsi="Arial" w:cs="Arial"/>
                <w:sz w:val="20"/>
                <w:szCs w:val="20"/>
              </w:rPr>
              <w:t xml:space="preserve">umber of respondents answering </w:t>
            </w:r>
            <w:r w:rsidRPr="00E819B6">
              <w:rPr>
                <w:rFonts w:ascii="Arial" w:hAnsi="Arial" w:cs="Arial"/>
                <w:sz w:val="20"/>
                <w:szCs w:val="20"/>
              </w:rPr>
              <w:t>‘Very bad’.</w:t>
            </w:r>
          </w:p>
        </w:tc>
      </w:tr>
      <w:tr w:rsidR="00020502"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Default="00020502" w:rsidP="003D01D4">
            <w:pPr>
              <w:spacing w:after="0"/>
              <w:rPr>
                <w:rFonts w:ascii="Arial" w:hAnsi="Arial" w:cs="Arial"/>
                <w:sz w:val="20"/>
                <w:szCs w:val="20"/>
              </w:rPr>
            </w:pPr>
            <w:r>
              <w:rPr>
                <w:rFonts w:ascii="Arial" w:hAnsi="Arial" w:cs="Arial"/>
                <w:sz w:val="20"/>
                <w:szCs w:val="20"/>
              </w:rPr>
              <w:t>General health – bad or very bad</w:t>
            </w:r>
          </w:p>
        </w:tc>
        <w:tc>
          <w:tcPr>
            <w:tcW w:w="3676" w:type="pct"/>
            <w:tcBorders>
              <w:top w:val="single" w:sz="4" w:space="0" w:color="auto"/>
              <w:left w:val="single" w:sz="4" w:space="0" w:color="auto"/>
              <w:bottom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r w:rsidRPr="00E819B6">
              <w:rPr>
                <w:rFonts w:ascii="Arial" w:hAnsi="Arial" w:cs="Arial"/>
                <w:sz w:val="20"/>
                <w:szCs w:val="20"/>
              </w:rPr>
              <w:t>Data from Census 2011 question 19 – standardised by age and sex using 2011 MYE population. Uses number of respondents answering ‘Bad’ or ‘Very bad’.</w:t>
            </w: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931388" w:rsidP="003D01D4">
            <w:pPr>
              <w:spacing w:after="0"/>
              <w:rPr>
                <w:rFonts w:ascii="Arial" w:hAnsi="Arial" w:cs="Arial"/>
                <w:sz w:val="20"/>
                <w:szCs w:val="20"/>
              </w:rPr>
            </w:pPr>
            <w:r>
              <w:rPr>
                <w:rFonts w:ascii="Arial" w:hAnsi="Arial" w:cs="Arial"/>
                <w:sz w:val="20"/>
                <w:szCs w:val="20"/>
              </w:rPr>
              <w:t>E</w:t>
            </w:r>
            <w:r w:rsidR="00020502" w:rsidRPr="00E819B6">
              <w:rPr>
                <w:rFonts w:ascii="Arial" w:hAnsi="Arial" w:cs="Arial"/>
                <w:sz w:val="20"/>
                <w:szCs w:val="20"/>
              </w:rPr>
              <w:t xml:space="preserve">ducation level </w:t>
            </w:r>
            <w:r w:rsidR="00020502">
              <w:rPr>
                <w:rFonts w:ascii="Arial" w:hAnsi="Arial" w:cs="Arial"/>
                <w:sz w:val="20"/>
                <w:szCs w:val="20"/>
              </w:rPr>
              <w:t>– no qualifications</w:t>
            </w:r>
          </w:p>
        </w:tc>
        <w:tc>
          <w:tcPr>
            <w:tcW w:w="3676" w:type="pct"/>
            <w:vMerge w:val="restart"/>
            <w:tcBorders>
              <w:top w:val="single" w:sz="4" w:space="0" w:color="auto"/>
              <w:left w:val="single" w:sz="4" w:space="0" w:color="auto"/>
              <w:right w:val="single" w:sz="4" w:space="0" w:color="auto"/>
            </w:tcBorders>
            <w:vAlign w:val="center"/>
            <w:hideMark/>
          </w:tcPr>
          <w:p w:rsidR="00020502" w:rsidRPr="00E819B6" w:rsidRDefault="00020502" w:rsidP="00931388">
            <w:pPr>
              <w:spacing w:after="0"/>
              <w:rPr>
                <w:rFonts w:ascii="Arial" w:hAnsi="Arial" w:cs="Arial"/>
                <w:sz w:val="20"/>
                <w:szCs w:val="20"/>
              </w:rPr>
            </w:pPr>
            <w:r w:rsidRPr="00E819B6">
              <w:rPr>
                <w:rFonts w:ascii="Arial" w:hAnsi="Arial" w:cs="Arial"/>
                <w:sz w:val="20"/>
                <w:szCs w:val="20"/>
              </w:rPr>
              <w:t>Data from Census 2011 question 23 – standardised by age and sex using 2011 MYE population. Included for its relation to deprivation.</w:t>
            </w:r>
            <w:r w:rsidR="00EA6303">
              <w:rPr>
                <w:rFonts w:ascii="Arial" w:hAnsi="Arial" w:cs="Arial"/>
                <w:sz w:val="20"/>
                <w:szCs w:val="20"/>
              </w:rPr>
              <w:t xml:space="preserve"> Level 1 refers to</w:t>
            </w:r>
            <w:r w:rsidR="00931388">
              <w:rPr>
                <w:rFonts w:ascii="Arial" w:hAnsi="Arial" w:cs="Arial"/>
                <w:sz w:val="20"/>
                <w:szCs w:val="20"/>
              </w:rPr>
              <w:t xml:space="preserve"> ‘O’ grades or similar; level 2 refers to Highers or similar</w:t>
            </w:r>
            <w:r w:rsidR="00EA6303">
              <w:rPr>
                <w:rFonts w:ascii="Arial" w:hAnsi="Arial" w:cs="Arial"/>
                <w:sz w:val="20"/>
                <w:szCs w:val="20"/>
              </w:rPr>
              <w:t xml:space="preserve"> </w:t>
            </w:r>
            <w:r w:rsidR="00931388">
              <w:rPr>
                <w:rFonts w:ascii="Arial" w:hAnsi="Arial" w:cs="Arial"/>
                <w:sz w:val="20"/>
                <w:szCs w:val="20"/>
              </w:rPr>
              <w:t>(</w:t>
            </w:r>
            <w:hyperlink r:id="rId10" w:history="1">
              <w:r w:rsidR="00931388" w:rsidRPr="00F84E17">
                <w:rPr>
                  <w:rStyle w:val="Hyperlink"/>
                  <w:rFonts w:ascii="Arial" w:hAnsi="Arial" w:cs="Arial"/>
                  <w:sz w:val="20"/>
                  <w:szCs w:val="20"/>
                </w:rPr>
                <w:t>http://www.scotlandscensus.gov.uk/variables-classification/highest-level-qualification</w:t>
              </w:r>
            </w:hyperlink>
            <w:r w:rsidR="00931388">
              <w:rPr>
                <w:rFonts w:ascii="Arial" w:hAnsi="Arial" w:cs="Arial"/>
                <w:sz w:val="20"/>
                <w:szCs w:val="20"/>
              </w:rPr>
              <w:t>)</w:t>
            </w: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931388" w:rsidP="003D01D4">
            <w:pPr>
              <w:spacing w:after="0"/>
              <w:rPr>
                <w:rFonts w:ascii="Arial" w:hAnsi="Arial" w:cs="Arial"/>
                <w:sz w:val="20"/>
                <w:szCs w:val="20"/>
              </w:rPr>
            </w:pPr>
            <w:r>
              <w:rPr>
                <w:rFonts w:ascii="Arial" w:hAnsi="Arial" w:cs="Arial"/>
                <w:sz w:val="20"/>
                <w:szCs w:val="20"/>
              </w:rPr>
              <w:t>E</w:t>
            </w:r>
            <w:r w:rsidR="00020502" w:rsidRPr="00E819B6">
              <w:rPr>
                <w:rFonts w:ascii="Arial" w:hAnsi="Arial" w:cs="Arial"/>
                <w:sz w:val="20"/>
                <w:szCs w:val="20"/>
              </w:rPr>
              <w:t xml:space="preserve">ducation level </w:t>
            </w:r>
            <w:r w:rsidR="00020502">
              <w:rPr>
                <w:rFonts w:ascii="Arial" w:hAnsi="Arial" w:cs="Arial"/>
                <w:sz w:val="20"/>
                <w:szCs w:val="20"/>
              </w:rPr>
              <w:t>– level 1 and below</w:t>
            </w:r>
          </w:p>
        </w:tc>
        <w:tc>
          <w:tcPr>
            <w:tcW w:w="3676" w:type="pct"/>
            <w:vMerge/>
            <w:tcBorders>
              <w:left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020502" w:rsidRPr="00E819B6" w:rsidTr="003D01D4">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020502" w:rsidRPr="00E819B6" w:rsidRDefault="00931388" w:rsidP="003D01D4">
            <w:pPr>
              <w:spacing w:after="0"/>
              <w:rPr>
                <w:rFonts w:ascii="Arial" w:hAnsi="Arial" w:cs="Arial"/>
                <w:sz w:val="20"/>
                <w:szCs w:val="20"/>
              </w:rPr>
            </w:pPr>
            <w:r>
              <w:rPr>
                <w:rFonts w:ascii="Arial" w:hAnsi="Arial" w:cs="Arial"/>
                <w:sz w:val="20"/>
                <w:szCs w:val="20"/>
              </w:rPr>
              <w:t>E</w:t>
            </w:r>
            <w:r w:rsidR="00020502" w:rsidRPr="00E819B6">
              <w:rPr>
                <w:rFonts w:ascii="Arial" w:hAnsi="Arial" w:cs="Arial"/>
                <w:sz w:val="20"/>
                <w:szCs w:val="20"/>
              </w:rPr>
              <w:t xml:space="preserve">ducation level </w:t>
            </w:r>
            <w:r w:rsidR="00020502">
              <w:rPr>
                <w:rFonts w:ascii="Arial" w:hAnsi="Arial" w:cs="Arial"/>
                <w:sz w:val="20"/>
                <w:szCs w:val="20"/>
              </w:rPr>
              <w:t>– level 2 and below</w:t>
            </w:r>
          </w:p>
        </w:tc>
        <w:tc>
          <w:tcPr>
            <w:tcW w:w="3676" w:type="pct"/>
            <w:vMerge/>
            <w:tcBorders>
              <w:left w:val="single" w:sz="4" w:space="0" w:color="auto"/>
              <w:bottom w:val="single" w:sz="4" w:space="0" w:color="auto"/>
              <w:right w:val="single" w:sz="4" w:space="0" w:color="auto"/>
            </w:tcBorders>
            <w:vAlign w:val="center"/>
            <w:hideMark/>
          </w:tcPr>
          <w:p w:rsidR="00020502" w:rsidRPr="00E819B6" w:rsidRDefault="00020502" w:rsidP="00DD24B4">
            <w:pPr>
              <w:spacing w:after="0"/>
              <w:rPr>
                <w:rFonts w:ascii="Arial" w:hAnsi="Arial" w:cs="Arial"/>
                <w:sz w:val="20"/>
                <w:szCs w:val="20"/>
              </w:rPr>
            </w:pPr>
          </w:p>
        </w:tc>
      </w:tr>
      <w:tr w:rsidR="005229AF" w:rsidRPr="00E819B6" w:rsidTr="005229AF">
        <w:trPr>
          <w:trHeight w:val="284"/>
          <w:jc w:val="center"/>
        </w:trPr>
        <w:tc>
          <w:tcPr>
            <w:tcW w:w="1324" w:type="pct"/>
            <w:tcBorders>
              <w:top w:val="single" w:sz="4" w:space="0" w:color="auto"/>
              <w:left w:val="single" w:sz="4" w:space="0" w:color="auto"/>
              <w:bottom w:val="single" w:sz="4" w:space="0" w:color="auto"/>
              <w:right w:val="single" w:sz="4" w:space="0" w:color="auto"/>
            </w:tcBorders>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 xml:space="preserve">Job seekers </w:t>
            </w:r>
          </w:p>
        </w:tc>
        <w:tc>
          <w:tcPr>
            <w:tcW w:w="3676" w:type="pct"/>
            <w:tcBorders>
              <w:top w:val="single" w:sz="4" w:space="0" w:color="auto"/>
              <w:left w:val="single" w:sz="4" w:space="0" w:color="auto"/>
              <w:bottom w:val="single" w:sz="4" w:space="0" w:color="auto"/>
              <w:right w:val="single" w:sz="4" w:space="0" w:color="auto"/>
            </w:tcBorders>
            <w:vAlign w:val="center"/>
            <w:hideMark/>
          </w:tcPr>
          <w:p w:rsidR="005229AF" w:rsidRPr="00E819B6" w:rsidRDefault="005229AF" w:rsidP="00DD24B4">
            <w:pPr>
              <w:spacing w:after="0"/>
              <w:rPr>
                <w:rFonts w:ascii="Arial" w:hAnsi="Arial" w:cs="Arial"/>
                <w:sz w:val="20"/>
                <w:szCs w:val="20"/>
              </w:rPr>
            </w:pPr>
            <w:r w:rsidRPr="00E819B6">
              <w:rPr>
                <w:rFonts w:ascii="Arial" w:hAnsi="Arial" w:cs="Arial"/>
                <w:sz w:val="20"/>
                <w:szCs w:val="20"/>
              </w:rPr>
              <w:t>Data from Census 2011 question 25 – standardised by age and sex using 2011 MYE population (possibly economically active population only – try both). Included for its relation to deprivation.</w:t>
            </w:r>
          </w:p>
        </w:tc>
      </w:tr>
      <w:tr w:rsidR="005229AF" w:rsidRPr="00E819B6" w:rsidTr="005229AF">
        <w:trPr>
          <w:trHeight w:val="284"/>
          <w:jc w:val="center"/>
        </w:trPr>
        <w:tc>
          <w:tcPr>
            <w:tcW w:w="1324" w:type="pct"/>
            <w:tcBorders>
              <w:top w:val="single" w:sz="4" w:space="0" w:color="auto"/>
              <w:left w:val="single" w:sz="4" w:space="0" w:color="auto"/>
              <w:bottom w:val="single" w:sz="4" w:space="0" w:color="auto"/>
            </w:tcBorders>
            <w:hideMark/>
          </w:tcPr>
          <w:p w:rsidR="005229AF" w:rsidRPr="00E819B6" w:rsidRDefault="005229AF" w:rsidP="00020502">
            <w:pPr>
              <w:spacing w:after="0"/>
              <w:rPr>
                <w:rFonts w:ascii="Arial" w:hAnsi="Arial" w:cs="Arial"/>
                <w:sz w:val="20"/>
                <w:szCs w:val="20"/>
              </w:rPr>
            </w:pPr>
            <w:r w:rsidRPr="00E819B6">
              <w:rPr>
                <w:rFonts w:ascii="Arial" w:hAnsi="Arial" w:cs="Arial"/>
                <w:sz w:val="20"/>
                <w:szCs w:val="20"/>
              </w:rPr>
              <w:t>Ethnic group populations</w:t>
            </w:r>
          </w:p>
        </w:tc>
        <w:tc>
          <w:tcPr>
            <w:tcW w:w="3676" w:type="pct"/>
            <w:tcBorders>
              <w:top w:val="single" w:sz="4" w:space="0" w:color="auto"/>
              <w:left w:val="single" w:sz="4" w:space="0" w:color="auto"/>
              <w:bottom w:val="single" w:sz="4" w:space="0" w:color="auto"/>
            </w:tcBorders>
          </w:tcPr>
          <w:p w:rsidR="005229AF" w:rsidRPr="00E819B6" w:rsidRDefault="005229AF" w:rsidP="00DD24B4">
            <w:pPr>
              <w:spacing w:after="0"/>
              <w:rPr>
                <w:rFonts w:ascii="Arial" w:hAnsi="Arial" w:cs="Arial"/>
                <w:sz w:val="20"/>
                <w:szCs w:val="20"/>
              </w:rPr>
            </w:pPr>
            <w:r w:rsidRPr="00E819B6">
              <w:rPr>
                <w:rFonts w:ascii="Arial" w:hAnsi="Arial" w:cs="Arial"/>
                <w:sz w:val="20"/>
                <w:szCs w:val="20"/>
              </w:rPr>
              <w:t>Data from Census 2011 question 15 – simple fraction of 2011 MYE population.</w:t>
            </w:r>
          </w:p>
        </w:tc>
      </w:tr>
    </w:tbl>
    <w:p w:rsidR="005229AF" w:rsidRDefault="005229AF" w:rsidP="0097225D">
      <w:pPr>
        <w:rPr>
          <w:rFonts w:ascii="Arial" w:hAnsi="Arial" w:cs="Arial"/>
          <w:b/>
        </w:rPr>
        <w:sectPr w:rsidR="005229AF" w:rsidSect="00EA6303">
          <w:pgSz w:w="16838" w:h="11906" w:orient="landscape"/>
          <w:pgMar w:top="1440" w:right="1440" w:bottom="1440" w:left="1440" w:header="708" w:footer="708" w:gutter="0"/>
          <w:cols w:space="708"/>
          <w:docGrid w:linePitch="360"/>
        </w:sectPr>
      </w:pPr>
    </w:p>
    <w:p w:rsidR="0097225D" w:rsidRPr="005229AF" w:rsidRDefault="0097225D" w:rsidP="0097225D">
      <w:pPr>
        <w:rPr>
          <w:rFonts w:ascii="Arial" w:hAnsi="Arial" w:cs="Arial"/>
        </w:rPr>
      </w:pPr>
      <w:r w:rsidRPr="0097225D">
        <w:rPr>
          <w:rFonts w:ascii="Arial" w:hAnsi="Arial" w:cs="Arial"/>
          <w:b/>
        </w:rPr>
        <w:lastRenderedPageBreak/>
        <w:t xml:space="preserve">Annex </w:t>
      </w:r>
      <w:r w:rsidR="005229AF">
        <w:rPr>
          <w:rFonts w:ascii="Arial" w:hAnsi="Arial" w:cs="Arial"/>
          <w:b/>
        </w:rPr>
        <w:t>B</w:t>
      </w:r>
      <w:r w:rsidRPr="0097225D">
        <w:rPr>
          <w:rFonts w:ascii="Arial" w:hAnsi="Arial" w:cs="Arial"/>
          <w:b/>
        </w:rPr>
        <w:t>: Methodology for selecting the needs indicators</w:t>
      </w:r>
    </w:p>
    <w:p w:rsidR="0097225D" w:rsidRPr="0097225D" w:rsidRDefault="0097225D" w:rsidP="0097225D">
      <w:pPr>
        <w:jc w:val="both"/>
        <w:rPr>
          <w:rFonts w:ascii="Arial" w:hAnsi="Arial" w:cs="Arial"/>
        </w:rPr>
      </w:pPr>
      <w:r>
        <w:rPr>
          <w:rFonts w:ascii="Arial" w:hAnsi="Arial" w:cs="Arial"/>
        </w:rPr>
        <w:t xml:space="preserve">The </w:t>
      </w:r>
      <w:r w:rsidRPr="0097225D">
        <w:rPr>
          <w:rFonts w:ascii="Arial" w:hAnsi="Arial" w:cs="Arial"/>
        </w:rPr>
        <w:t xml:space="preserve">methodology </w:t>
      </w:r>
      <w:r>
        <w:rPr>
          <w:rFonts w:ascii="Arial" w:hAnsi="Arial" w:cs="Arial"/>
        </w:rPr>
        <w:t xml:space="preserve">adopted </w:t>
      </w:r>
      <w:r w:rsidRPr="0097225D">
        <w:rPr>
          <w:rFonts w:ascii="Arial" w:hAnsi="Arial" w:cs="Arial"/>
        </w:rPr>
        <w:t xml:space="preserve">for selecting the needs indicators, </w:t>
      </w:r>
      <w:r>
        <w:rPr>
          <w:rFonts w:ascii="Arial" w:hAnsi="Arial" w:cs="Arial"/>
        </w:rPr>
        <w:t xml:space="preserve">based on the 2007 method </w:t>
      </w:r>
      <w:r w:rsidRPr="0097225D">
        <w:rPr>
          <w:rFonts w:ascii="Arial" w:hAnsi="Arial" w:cs="Arial"/>
        </w:rPr>
        <w:t>from Technical Report D</w:t>
      </w:r>
      <w:r>
        <w:rPr>
          <w:rFonts w:ascii="Arial" w:hAnsi="Arial" w:cs="Arial"/>
        </w:rPr>
        <w:t>, is outlined below.</w:t>
      </w:r>
    </w:p>
    <w:p w:rsidR="0097225D" w:rsidRPr="0097225D" w:rsidRDefault="0097225D" w:rsidP="0097225D">
      <w:pPr>
        <w:spacing w:after="120"/>
        <w:jc w:val="both"/>
        <w:rPr>
          <w:rFonts w:ascii="Arial" w:hAnsi="Arial" w:cs="Arial"/>
          <w:u w:val="single"/>
        </w:rPr>
      </w:pPr>
      <w:r w:rsidRPr="0097225D">
        <w:rPr>
          <w:rFonts w:ascii="Arial" w:hAnsi="Arial" w:cs="Arial"/>
          <w:u w:val="single"/>
        </w:rPr>
        <w:t>Preliminary selection of the candidate variables and regressions</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Allocate the candidate variables to the appropriate topic/category. </w:t>
      </w:r>
    </w:p>
    <w:p w:rsidR="0097225D" w:rsidRPr="0097225D" w:rsidRDefault="0097225D" w:rsidP="0097225D">
      <w:pPr>
        <w:pStyle w:val="ListParagraph"/>
        <w:numPr>
          <w:ilvl w:val="0"/>
          <w:numId w:val="2"/>
        </w:numPr>
        <w:spacing w:after="120"/>
        <w:ind w:left="1434" w:hanging="357"/>
        <w:jc w:val="both"/>
        <w:rPr>
          <w:rFonts w:ascii="Arial" w:hAnsi="Arial" w:cs="Arial"/>
        </w:rPr>
      </w:pPr>
      <w:r w:rsidRPr="0097225D">
        <w:rPr>
          <w:rFonts w:ascii="Arial" w:hAnsi="Arial" w:cs="Arial"/>
        </w:rPr>
        <w:t>Births and deaths</w:t>
      </w:r>
    </w:p>
    <w:p w:rsidR="0097225D" w:rsidRPr="0097225D" w:rsidRDefault="0097225D" w:rsidP="0097225D">
      <w:pPr>
        <w:pStyle w:val="ListParagraph"/>
        <w:numPr>
          <w:ilvl w:val="0"/>
          <w:numId w:val="2"/>
        </w:numPr>
        <w:spacing w:after="120"/>
        <w:ind w:left="1434" w:hanging="357"/>
        <w:jc w:val="both"/>
        <w:rPr>
          <w:rFonts w:ascii="Arial" w:hAnsi="Arial" w:cs="Arial"/>
        </w:rPr>
      </w:pPr>
      <w:r w:rsidRPr="0097225D">
        <w:rPr>
          <w:rFonts w:ascii="Arial" w:hAnsi="Arial" w:cs="Arial"/>
        </w:rPr>
        <w:t>Health/morbidity</w:t>
      </w:r>
    </w:p>
    <w:p w:rsidR="0097225D" w:rsidRPr="0097225D" w:rsidRDefault="0097225D" w:rsidP="0097225D">
      <w:pPr>
        <w:pStyle w:val="ListParagraph"/>
        <w:numPr>
          <w:ilvl w:val="0"/>
          <w:numId w:val="2"/>
        </w:numPr>
        <w:spacing w:after="120"/>
        <w:ind w:left="1434" w:hanging="357"/>
        <w:jc w:val="both"/>
        <w:rPr>
          <w:rFonts w:ascii="Arial" w:hAnsi="Arial" w:cs="Arial"/>
        </w:rPr>
      </w:pPr>
      <w:r w:rsidRPr="0097225D">
        <w:rPr>
          <w:rFonts w:ascii="Arial" w:hAnsi="Arial" w:cs="Arial"/>
        </w:rPr>
        <w:t>Unpaid care and elderly living alone</w:t>
      </w:r>
    </w:p>
    <w:p w:rsidR="0097225D" w:rsidRPr="0097225D" w:rsidRDefault="0097225D" w:rsidP="0097225D">
      <w:pPr>
        <w:pStyle w:val="ListParagraph"/>
        <w:numPr>
          <w:ilvl w:val="0"/>
          <w:numId w:val="2"/>
        </w:numPr>
        <w:spacing w:after="120"/>
        <w:contextualSpacing w:val="0"/>
        <w:jc w:val="both"/>
        <w:rPr>
          <w:rFonts w:ascii="Arial" w:hAnsi="Arial" w:cs="Arial"/>
        </w:rPr>
      </w:pPr>
      <w:r w:rsidRPr="0097225D">
        <w:rPr>
          <w:rFonts w:ascii="Arial" w:hAnsi="Arial" w:cs="Arial"/>
        </w:rPr>
        <w:t xml:space="preserve">Deprivation </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For each topic, compute the inter-correlation. </w:t>
      </w:r>
    </w:p>
    <w:p w:rsidR="0097225D" w:rsidRPr="0097225D" w:rsidRDefault="0097225D" w:rsidP="0097225D">
      <w:pPr>
        <w:pStyle w:val="ListParagraph"/>
        <w:numPr>
          <w:ilvl w:val="0"/>
          <w:numId w:val="3"/>
        </w:numPr>
        <w:spacing w:after="120"/>
        <w:ind w:left="1434" w:hanging="357"/>
        <w:jc w:val="both"/>
        <w:rPr>
          <w:rFonts w:ascii="Arial" w:hAnsi="Arial" w:cs="Arial"/>
        </w:rPr>
      </w:pPr>
      <w:r w:rsidRPr="0097225D">
        <w:rPr>
          <w:rFonts w:ascii="Arial" w:hAnsi="Arial" w:cs="Arial"/>
        </w:rPr>
        <w:t xml:space="preserve">Retain candidate variables with low inter-correlations </w:t>
      </w:r>
      <w:r w:rsidRPr="0097225D">
        <w:rPr>
          <w:rFonts w:ascii="Arial" w:hAnsi="Arial" w:cs="Arial"/>
        </w:rPr>
        <w:sym w:font="Wingdings" w:char="F0E0"/>
      </w:r>
      <w:r w:rsidRPr="0097225D">
        <w:rPr>
          <w:rFonts w:ascii="Arial" w:hAnsi="Arial" w:cs="Arial"/>
        </w:rPr>
        <w:t xml:space="preserve"> Go to step 4.</w:t>
      </w:r>
    </w:p>
    <w:p w:rsidR="0097225D" w:rsidRPr="0097225D" w:rsidRDefault="0097225D" w:rsidP="0097225D">
      <w:pPr>
        <w:pStyle w:val="ListParagraph"/>
        <w:numPr>
          <w:ilvl w:val="0"/>
          <w:numId w:val="3"/>
        </w:numPr>
        <w:spacing w:after="120"/>
        <w:contextualSpacing w:val="0"/>
        <w:jc w:val="both"/>
        <w:rPr>
          <w:rFonts w:ascii="Arial" w:hAnsi="Arial" w:cs="Arial"/>
        </w:rPr>
      </w:pPr>
      <w:r w:rsidRPr="0097225D">
        <w:rPr>
          <w:rFonts w:ascii="Arial" w:hAnsi="Arial" w:cs="Arial"/>
        </w:rPr>
        <w:t xml:space="preserve">Group pairs of candidate variables with very high inter-correlations to form subgroups. </w:t>
      </w:r>
      <w:r w:rsidRPr="0097225D">
        <w:rPr>
          <w:rFonts w:ascii="Arial" w:hAnsi="Arial" w:cs="Arial"/>
        </w:rPr>
        <w:sym w:font="Wingdings" w:char="F0E0"/>
      </w:r>
      <w:r w:rsidRPr="0097225D">
        <w:rPr>
          <w:rFonts w:ascii="Arial" w:hAnsi="Arial" w:cs="Arial"/>
        </w:rPr>
        <w:t xml:space="preserve"> Go to step 3. </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For each subgroup, compute the correlation with cost ratios. </w:t>
      </w:r>
    </w:p>
    <w:p w:rsidR="0097225D" w:rsidRPr="0097225D" w:rsidRDefault="0097225D" w:rsidP="0097225D">
      <w:pPr>
        <w:pStyle w:val="ListParagraph"/>
        <w:numPr>
          <w:ilvl w:val="0"/>
          <w:numId w:val="4"/>
        </w:numPr>
        <w:spacing w:after="120"/>
        <w:contextualSpacing w:val="0"/>
        <w:jc w:val="both"/>
        <w:rPr>
          <w:rFonts w:ascii="Arial" w:hAnsi="Arial" w:cs="Arial"/>
        </w:rPr>
      </w:pPr>
      <w:r w:rsidRPr="0097225D">
        <w:rPr>
          <w:rFonts w:ascii="Arial" w:hAnsi="Arial" w:cs="Arial"/>
        </w:rPr>
        <w:t xml:space="preserve">Eliminate near duplicates for each subgroup – retain candidate variables that have the highest correlation with cost ratios for most diagnostic groups.  </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New candidate variables list is formed. </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Regress (stepwise) cost ratios against supply model with all the new candidate variables.</w:t>
      </w:r>
    </w:p>
    <w:p w:rsidR="0097225D" w:rsidRPr="0097225D" w:rsidRDefault="0097225D" w:rsidP="0097225D">
      <w:pPr>
        <w:pStyle w:val="ListParagraph"/>
        <w:numPr>
          <w:ilvl w:val="0"/>
          <w:numId w:val="5"/>
        </w:numPr>
        <w:spacing w:after="120"/>
        <w:contextualSpacing w:val="0"/>
        <w:jc w:val="both"/>
        <w:rPr>
          <w:rFonts w:ascii="Arial" w:hAnsi="Arial" w:cs="Arial"/>
        </w:rPr>
      </w:pPr>
      <w:r w:rsidRPr="0097225D">
        <w:rPr>
          <w:rFonts w:ascii="Arial" w:hAnsi="Arial" w:cs="Arial"/>
        </w:rPr>
        <w:t xml:space="preserve">Display all the statistically significant candidate variables for each diagnostic group in a table. </w:t>
      </w:r>
    </w:p>
    <w:p w:rsidR="0097225D" w:rsidRPr="0097225D" w:rsidRDefault="0097225D" w:rsidP="0097225D">
      <w:pPr>
        <w:spacing w:after="120"/>
        <w:jc w:val="both"/>
        <w:rPr>
          <w:rFonts w:ascii="Arial" w:hAnsi="Arial" w:cs="Arial"/>
          <w:u w:val="single"/>
        </w:rPr>
      </w:pPr>
      <w:r w:rsidRPr="0097225D">
        <w:rPr>
          <w:rFonts w:ascii="Arial" w:hAnsi="Arial" w:cs="Arial"/>
          <w:u w:val="single"/>
        </w:rPr>
        <w:t>Developing need indexes for the diagnostic groups cost ratios</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Undertake a factor analysis – using principal components – of the new candidate variables. Selection is based on the extent to which each of the ‘raw’ variables appears to reflect the factors or dimensions that are generated by the factor analysis. </w:t>
      </w:r>
    </w:p>
    <w:p w:rsidR="0097225D" w:rsidRPr="0097225D" w:rsidRDefault="0097225D" w:rsidP="0097225D">
      <w:pPr>
        <w:pStyle w:val="ListParagraph"/>
        <w:numPr>
          <w:ilvl w:val="0"/>
          <w:numId w:val="6"/>
        </w:numPr>
        <w:spacing w:after="120"/>
        <w:ind w:left="1434" w:hanging="357"/>
        <w:jc w:val="both"/>
        <w:rPr>
          <w:rFonts w:ascii="Arial" w:hAnsi="Arial" w:cs="Arial"/>
        </w:rPr>
      </w:pPr>
      <w:r w:rsidRPr="0097225D">
        <w:rPr>
          <w:rFonts w:ascii="Arial" w:hAnsi="Arial" w:cs="Arial"/>
        </w:rPr>
        <w:t>Choose the most effective variables.</w:t>
      </w:r>
    </w:p>
    <w:p w:rsidR="0097225D" w:rsidRPr="0097225D" w:rsidRDefault="0097225D" w:rsidP="0097225D">
      <w:pPr>
        <w:pStyle w:val="ListParagraph"/>
        <w:numPr>
          <w:ilvl w:val="0"/>
          <w:numId w:val="6"/>
        </w:numPr>
        <w:spacing w:after="120"/>
        <w:ind w:left="1434" w:hanging="357"/>
        <w:jc w:val="both"/>
        <w:rPr>
          <w:rFonts w:ascii="Arial" w:hAnsi="Arial" w:cs="Arial"/>
        </w:rPr>
      </w:pPr>
      <w:r w:rsidRPr="0097225D">
        <w:rPr>
          <w:rFonts w:ascii="Arial" w:hAnsi="Arial" w:cs="Arial"/>
        </w:rPr>
        <w:t xml:space="preserve">The restricted variable set is formed. </w:t>
      </w:r>
    </w:p>
    <w:p w:rsidR="0097225D" w:rsidRPr="0097225D" w:rsidRDefault="0097225D" w:rsidP="0097225D">
      <w:pPr>
        <w:pStyle w:val="ListParagraph"/>
        <w:numPr>
          <w:ilvl w:val="0"/>
          <w:numId w:val="6"/>
        </w:numPr>
        <w:spacing w:after="120"/>
        <w:contextualSpacing w:val="0"/>
        <w:jc w:val="both"/>
        <w:rPr>
          <w:rFonts w:ascii="Arial" w:hAnsi="Arial" w:cs="Arial"/>
        </w:rPr>
      </w:pPr>
      <w:r w:rsidRPr="0097225D">
        <w:rPr>
          <w:rFonts w:ascii="Arial" w:hAnsi="Arial" w:cs="Arial"/>
        </w:rPr>
        <w:t xml:space="preserve">Use table from step 5 to check that most of them had appeared in the full stepwise regressions. </w:t>
      </w:r>
    </w:p>
    <w:p w:rsidR="0097225D" w:rsidRPr="0097225D" w:rsidRDefault="00B21422" w:rsidP="0097225D">
      <w:pPr>
        <w:pStyle w:val="ListParagraph"/>
        <w:numPr>
          <w:ilvl w:val="0"/>
          <w:numId w:val="1"/>
        </w:numPr>
        <w:spacing w:after="120"/>
        <w:contextualSpacing w:val="0"/>
        <w:jc w:val="both"/>
        <w:rPr>
          <w:rFonts w:ascii="Arial" w:hAnsi="Arial" w:cs="Arial"/>
        </w:rPr>
      </w:pPr>
      <w:r>
        <w:rPr>
          <w:rFonts w:ascii="Arial" w:hAnsi="Arial" w:cs="Arial"/>
        </w:rPr>
        <w:t>Regress</w:t>
      </w:r>
      <w:r w:rsidR="0097225D" w:rsidRPr="0097225D">
        <w:rPr>
          <w:rFonts w:ascii="Arial" w:hAnsi="Arial" w:cs="Arial"/>
        </w:rPr>
        <w:t xml:space="preserve"> cost ratios against supply model with all the restricted candidate variables.</w:t>
      </w:r>
    </w:p>
    <w:p w:rsidR="0097225D" w:rsidRPr="0097225D" w:rsidRDefault="0097225D" w:rsidP="0097225D">
      <w:pPr>
        <w:pStyle w:val="ListParagraph"/>
        <w:numPr>
          <w:ilvl w:val="0"/>
          <w:numId w:val="7"/>
        </w:numPr>
        <w:spacing w:after="120"/>
        <w:ind w:left="1434" w:hanging="357"/>
        <w:jc w:val="both"/>
        <w:rPr>
          <w:rFonts w:ascii="Arial" w:hAnsi="Arial" w:cs="Arial"/>
        </w:rPr>
      </w:pPr>
      <w:r w:rsidRPr="0097225D">
        <w:rPr>
          <w:rFonts w:ascii="Arial" w:hAnsi="Arial" w:cs="Arial"/>
        </w:rPr>
        <w:t xml:space="preserve">Compare with the original equations – in terms of goodness of fit and the general specification test. </w:t>
      </w:r>
    </w:p>
    <w:p w:rsidR="0097225D" w:rsidRPr="0097225D" w:rsidRDefault="0097225D" w:rsidP="0097225D">
      <w:pPr>
        <w:pStyle w:val="ListParagraph"/>
        <w:numPr>
          <w:ilvl w:val="0"/>
          <w:numId w:val="7"/>
        </w:numPr>
        <w:spacing w:after="120"/>
        <w:ind w:left="1434" w:hanging="357"/>
        <w:jc w:val="both"/>
        <w:rPr>
          <w:rFonts w:ascii="Arial" w:hAnsi="Arial" w:cs="Arial"/>
        </w:rPr>
      </w:pPr>
      <w:r w:rsidRPr="0097225D">
        <w:rPr>
          <w:rFonts w:ascii="Arial" w:hAnsi="Arial" w:cs="Arial"/>
        </w:rPr>
        <w:t xml:space="preserve">Compute the coefficients from </w:t>
      </w:r>
      <w:proofErr w:type="gramStart"/>
      <w:r w:rsidRPr="0097225D">
        <w:rPr>
          <w:rFonts w:ascii="Arial" w:hAnsi="Arial" w:cs="Arial"/>
        </w:rPr>
        <w:t>regressing</w:t>
      </w:r>
      <w:proofErr w:type="gramEnd"/>
      <w:r w:rsidRPr="0097225D">
        <w:rPr>
          <w:rFonts w:ascii="Arial" w:hAnsi="Arial" w:cs="Arial"/>
        </w:rPr>
        <w:t xml:space="preserve"> these variables against the diagnostic groups cost ratios. </w:t>
      </w:r>
    </w:p>
    <w:p w:rsidR="0097225D" w:rsidRPr="0097225D" w:rsidRDefault="0097225D" w:rsidP="0097225D">
      <w:pPr>
        <w:pStyle w:val="ListParagraph"/>
        <w:numPr>
          <w:ilvl w:val="0"/>
          <w:numId w:val="7"/>
        </w:numPr>
        <w:spacing w:after="120"/>
        <w:ind w:left="1434" w:hanging="357"/>
        <w:jc w:val="both"/>
        <w:rPr>
          <w:rFonts w:ascii="Arial" w:hAnsi="Arial" w:cs="Arial"/>
        </w:rPr>
      </w:pPr>
      <w:r w:rsidRPr="0097225D">
        <w:rPr>
          <w:rFonts w:ascii="Arial" w:hAnsi="Arial" w:cs="Arial"/>
        </w:rPr>
        <w:t>Highlight variables with coefficients relatively high within the diagnostic groups.</w:t>
      </w:r>
    </w:p>
    <w:p w:rsidR="0097225D" w:rsidRPr="0097225D" w:rsidRDefault="0097225D" w:rsidP="0097225D">
      <w:pPr>
        <w:pStyle w:val="ListParagraph"/>
        <w:numPr>
          <w:ilvl w:val="0"/>
          <w:numId w:val="7"/>
        </w:numPr>
        <w:spacing w:after="120"/>
        <w:ind w:left="1434" w:hanging="357"/>
        <w:jc w:val="both"/>
        <w:rPr>
          <w:rFonts w:ascii="Arial" w:hAnsi="Arial" w:cs="Arial"/>
        </w:rPr>
      </w:pPr>
      <w:r w:rsidRPr="0097225D">
        <w:rPr>
          <w:rFonts w:ascii="Arial" w:hAnsi="Arial" w:cs="Arial"/>
        </w:rPr>
        <w:t xml:space="preserve">Select variables that appear often across the diagnostic groups and have high coefficients. </w:t>
      </w:r>
    </w:p>
    <w:p w:rsidR="0097225D" w:rsidRPr="0097225D" w:rsidRDefault="0097225D" w:rsidP="0097225D">
      <w:pPr>
        <w:pStyle w:val="ListParagraph"/>
        <w:numPr>
          <w:ilvl w:val="0"/>
          <w:numId w:val="7"/>
        </w:numPr>
        <w:spacing w:after="120"/>
        <w:contextualSpacing w:val="0"/>
        <w:jc w:val="both"/>
        <w:rPr>
          <w:rFonts w:ascii="Arial" w:hAnsi="Arial" w:cs="Arial"/>
        </w:rPr>
      </w:pPr>
      <w:r w:rsidRPr="0097225D">
        <w:rPr>
          <w:rFonts w:ascii="Arial" w:hAnsi="Arial" w:cs="Arial"/>
        </w:rPr>
        <w:t xml:space="preserve">Compute the sum of z-scores for those selected variables to form an index. </w:t>
      </w:r>
    </w:p>
    <w:p w:rsidR="0097225D" w:rsidRPr="0097225D" w:rsidRDefault="0097225D" w:rsidP="0097225D">
      <w:pPr>
        <w:pStyle w:val="ListParagraph"/>
        <w:numPr>
          <w:ilvl w:val="0"/>
          <w:numId w:val="1"/>
        </w:numPr>
        <w:spacing w:after="120"/>
        <w:contextualSpacing w:val="0"/>
        <w:jc w:val="both"/>
        <w:rPr>
          <w:rFonts w:ascii="Arial" w:hAnsi="Arial" w:cs="Arial"/>
        </w:rPr>
      </w:pPr>
      <w:r w:rsidRPr="0097225D">
        <w:rPr>
          <w:rFonts w:ascii="Arial" w:hAnsi="Arial" w:cs="Arial"/>
        </w:rPr>
        <w:t xml:space="preserve">Regress cost ratios against supply model with the index. </w:t>
      </w:r>
    </w:p>
    <w:p w:rsidR="0097225D" w:rsidRPr="0097225D" w:rsidRDefault="0097225D" w:rsidP="0097225D">
      <w:pPr>
        <w:pStyle w:val="ListParagraph"/>
        <w:numPr>
          <w:ilvl w:val="0"/>
          <w:numId w:val="8"/>
        </w:numPr>
        <w:spacing w:after="120"/>
        <w:contextualSpacing w:val="0"/>
        <w:jc w:val="both"/>
        <w:rPr>
          <w:rFonts w:ascii="Arial" w:hAnsi="Arial" w:cs="Arial"/>
        </w:rPr>
      </w:pPr>
      <w:r w:rsidRPr="0097225D">
        <w:rPr>
          <w:rFonts w:ascii="Arial" w:hAnsi="Arial" w:cs="Arial"/>
        </w:rPr>
        <w:lastRenderedPageBreak/>
        <w:t xml:space="preserve">Compare with the original equations – in terms of goodness of fit and the general specification test. </w:t>
      </w:r>
    </w:p>
    <w:p w:rsidR="0097225D" w:rsidRDefault="0097225D" w:rsidP="0097225D">
      <w:pPr>
        <w:jc w:val="both"/>
        <w:rPr>
          <w:rFonts w:ascii="Arial" w:hAnsi="Arial" w:cs="Arial"/>
        </w:rPr>
      </w:pPr>
    </w:p>
    <w:p w:rsidR="0097225D" w:rsidRPr="0097225D" w:rsidRDefault="0097225D" w:rsidP="0097225D">
      <w:pPr>
        <w:jc w:val="both"/>
        <w:rPr>
          <w:rFonts w:ascii="Arial" w:hAnsi="Arial" w:cs="Arial"/>
        </w:rPr>
      </w:pPr>
      <w:r w:rsidRPr="0097225D">
        <w:rPr>
          <w:rFonts w:ascii="Arial" w:hAnsi="Arial" w:cs="Arial"/>
        </w:rPr>
        <w:t xml:space="preserve">Figure </w:t>
      </w:r>
      <w:r w:rsidR="005229AF">
        <w:rPr>
          <w:rFonts w:ascii="Arial" w:hAnsi="Arial" w:cs="Arial"/>
        </w:rPr>
        <w:t>B</w:t>
      </w:r>
      <w:r>
        <w:rPr>
          <w:rFonts w:ascii="Arial" w:hAnsi="Arial" w:cs="Arial"/>
        </w:rPr>
        <w:t>.</w:t>
      </w:r>
      <w:r w:rsidRPr="0097225D">
        <w:rPr>
          <w:rFonts w:ascii="Arial" w:hAnsi="Arial" w:cs="Arial"/>
        </w:rPr>
        <w:t>1 shows the above methodology in the form of a flowchart. The numbers correspond to the numbers above.</w:t>
      </w:r>
    </w:p>
    <w:p w:rsidR="0097225D" w:rsidRDefault="0097225D" w:rsidP="0097225D">
      <w:pPr>
        <w:jc w:val="both"/>
        <w:rPr>
          <w:rFonts w:ascii="Arial" w:hAnsi="Arial" w:cs="Arial"/>
        </w:rPr>
      </w:pPr>
      <w:r w:rsidRPr="0097225D">
        <w:rPr>
          <w:rFonts w:ascii="Arial" w:hAnsi="Arial" w:cs="Arial"/>
        </w:rPr>
        <w:t>It is possible that the Subgroup may decide to allow the possibility of different needs indicators in different diagnostic groups. In this case, the final steps from 7iii</w:t>
      </w:r>
      <w:r>
        <w:rPr>
          <w:rFonts w:ascii="Arial" w:hAnsi="Arial" w:cs="Arial"/>
        </w:rPr>
        <w:t>)</w:t>
      </w:r>
      <w:r w:rsidRPr="0097225D">
        <w:rPr>
          <w:rFonts w:ascii="Arial" w:hAnsi="Arial" w:cs="Arial"/>
        </w:rPr>
        <w:t xml:space="preserve"> onwards would be revised.</w:t>
      </w:r>
    </w:p>
    <w:p w:rsidR="0097225D" w:rsidRPr="0097225D" w:rsidRDefault="0097225D" w:rsidP="0097225D">
      <w:pPr>
        <w:jc w:val="both"/>
        <w:rPr>
          <w:rFonts w:ascii="Arial" w:hAnsi="Arial" w:cs="Arial"/>
        </w:rPr>
      </w:pPr>
    </w:p>
    <w:p w:rsidR="0097225D" w:rsidRDefault="00B21422" w:rsidP="0097225D">
      <w:pPr>
        <w:rPr>
          <w:rFonts w:ascii="Arial" w:hAnsi="Arial" w:cs="Arial"/>
          <w:i/>
        </w:rPr>
      </w:pPr>
      <w:r w:rsidRPr="00B21422">
        <w:rPr>
          <w:rFonts w:ascii="Arial" w:hAnsi="Arial" w:cs="Arial"/>
          <w:i/>
          <w:noProof/>
        </w:rPr>
        <w:drawing>
          <wp:inline distT="0" distB="0" distL="0" distR="0">
            <wp:extent cx="5731510" cy="5081843"/>
            <wp:effectExtent l="19050" t="0" r="2540" b="0"/>
            <wp:docPr id="1" name="Picture 1" descr="C:\Users\chrism29\Desktop\regr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29\Desktop\regression.png"/>
                    <pic:cNvPicPr>
                      <a:picLocks noChangeAspect="1" noChangeArrowheads="1"/>
                    </pic:cNvPicPr>
                  </pic:nvPicPr>
                  <pic:blipFill>
                    <a:blip r:embed="rId11" cstate="print"/>
                    <a:srcRect/>
                    <a:stretch>
                      <a:fillRect/>
                    </a:stretch>
                  </pic:blipFill>
                  <pic:spPr bwMode="auto">
                    <a:xfrm>
                      <a:off x="0" y="0"/>
                      <a:ext cx="5731510" cy="5081843"/>
                    </a:xfrm>
                    <a:prstGeom prst="rect">
                      <a:avLst/>
                    </a:prstGeom>
                    <a:noFill/>
                    <a:ln w="9525">
                      <a:noFill/>
                      <a:miter lim="800000"/>
                      <a:headEnd/>
                      <a:tailEnd/>
                    </a:ln>
                  </pic:spPr>
                </pic:pic>
              </a:graphicData>
            </a:graphic>
          </wp:inline>
        </w:drawing>
      </w:r>
    </w:p>
    <w:p w:rsidR="0097225D" w:rsidRDefault="0097225D" w:rsidP="0097225D">
      <w:pPr>
        <w:rPr>
          <w:rFonts w:ascii="Arial" w:hAnsi="Arial" w:cs="Arial"/>
          <w:i/>
        </w:rPr>
      </w:pPr>
      <w:r w:rsidRPr="005229AF">
        <w:rPr>
          <w:rFonts w:ascii="Arial" w:hAnsi="Arial" w:cs="Arial"/>
          <w:i/>
        </w:rPr>
        <w:t xml:space="preserve">Figure </w:t>
      </w:r>
      <w:r w:rsidR="005229AF" w:rsidRPr="005229AF">
        <w:rPr>
          <w:rFonts w:ascii="Arial" w:hAnsi="Arial" w:cs="Arial"/>
          <w:i/>
        </w:rPr>
        <w:t>B</w:t>
      </w:r>
      <w:r w:rsidRPr="005229AF">
        <w:rPr>
          <w:rFonts w:ascii="Arial" w:hAnsi="Arial" w:cs="Arial"/>
          <w:i/>
        </w:rPr>
        <w:t>.1: Flowchart summary of proposed index development methodology</w:t>
      </w:r>
    </w:p>
    <w:p w:rsidR="00344985" w:rsidRDefault="00344985">
      <w:pPr>
        <w:rPr>
          <w:rFonts w:ascii="Arial" w:hAnsi="Arial" w:cs="Arial"/>
          <w:i/>
        </w:rPr>
      </w:pPr>
      <w:r>
        <w:rPr>
          <w:rFonts w:ascii="Arial" w:hAnsi="Arial" w:cs="Arial"/>
          <w:i/>
        </w:rPr>
        <w:br w:type="page"/>
      </w:r>
    </w:p>
    <w:p w:rsidR="00344985" w:rsidRDefault="00344985" w:rsidP="0097225D">
      <w:pPr>
        <w:rPr>
          <w:rFonts w:ascii="Arial" w:hAnsi="Arial" w:cs="Arial"/>
          <w:b/>
        </w:rPr>
      </w:pPr>
      <w:r>
        <w:rPr>
          <w:rFonts w:ascii="Arial" w:hAnsi="Arial" w:cs="Arial"/>
          <w:b/>
        </w:rPr>
        <w:lastRenderedPageBreak/>
        <w:t>Annex C: Regression results</w:t>
      </w:r>
    </w:p>
    <w:p w:rsidR="00344985" w:rsidRDefault="00344985" w:rsidP="0097225D">
      <w:pPr>
        <w:rPr>
          <w:rFonts w:ascii="Arial" w:hAnsi="Arial" w:cs="Arial"/>
        </w:rPr>
      </w:pPr>
      <w:r>
        <w:rPr>
          <w:rFonts w:ascii="Arial" w:hAnsi="Arial" w:cs="Arial"/>
        </w:rPr>
        <w:t xml:space="preserve">Table C.1 shows the adjusted R-squared from using each potential indicator as a single explanatory variable in a linear regression including the supply model. The subgroups </w:t>
      </w:r>
      <w:r w:rsidR="009138EE">
        <w:rPr>
          <w:rFonts w:ascii="Arial" w:hAnsi="Arial" w:cs="Arial"/>
        </w:rPr>
        <w:t>formed</w:t>
      </w:r>
      <w:r>
        <w:rPr>
          <w:rFonts w:ascii="Arial" w:hAnsi="Arial" w:cs="Arial"/>
        </w:rPr>
        <w:t xml:space="preserve"> earlier are </w:t>
      </w:r>
      <w:r w:rsidR="009138EE">
        <w:rPr>
          <w:rFonts w:ascii="Arial" w:hAnsi="Arial" w:cs="Arial"/>
        </w:rPr>
        <w:t xml:space="preserve">identified by </w:t>
      </w:r>
      <w:r>
        <w:rPr>
          <w:rFonts w:ascii="Arial" w:hAnsi="Arial" w:cs="Arial"/>
        </w:rPr>
        <w:t>alternate</w:t>
      </w:r>
      <w:r w:rsidR="009138EE">
        <w:rPr>
          <w:rFonts w:ascii="Arial" w:hAnsi="Arial" w:cs="Arial"/>
        </w:rPr>
        <w:t xml:space="preserve"> shading and non-shading.</w:t>
      </w:r>
      <w:r w:rsidR="00D50CFE">
        <w:rPr>
          <w:rFonts w:ascii="Arial" w:hAnsi="Arial" w:cs="Arial"/>
        </w:rPr>
        <w:t xml:space="preserve"> </w:t>
      </w:r>
      <w:r>
        <w:rPr>
          <w:rFonts w:ascii="Arial" w:hAnsi="Arial" w:cs="Arial"/>
        </w:rPr>
        <w:t>The highest adjusted R-squared within each subgroup, for each diagnostic group, is indicated in bold and italics.</w:t>
      </w:r>
      <w:r w:rsidR="009138EE">
        <w:rPr>
          <w:rFonts w:ascii="Arial" w:hAnsi="Arial" w:cs="Arial"/>
        </w:rPr>
        <w:t xml:space="preserve"> </w:t>
      </w:r>
    </w:p>
    <w:p w:rsidR="00344985" w:rsidRPr="00344985" w:rsidRDefault="00253A0E" w:rsidP="00253A0E">
      <w:pPr>
        <w:spacing w:after="0"/>
        <w:rPr>
          <w:rFonts w:ascii="Arial" w:hAnsi="Arial" w:cs="Arial"/>
          <w:i/>
        </w:rPr>
      </w:pPr>
      <w:r>
        <w:rPr>
          <w:rFonts w:ascii="Arial" w:hAnsi="Arial" w:cs="Arial"/>
          <w:i/>
        </w:rPr>
        <w:t>Table C.1: Adjusted R</w:t>
      </w:r>
      <w:r w:rsidRPr="00253A0E">
        <w:rPr>
          <w:rFonts w:ascii="Arial" w:hAnsi="Arial" w:cs="Arial"/>
          <w:i/>
          <w:vertAlign w:val="superscript"/>
        </w:rPr>
        <w:t>2</w:t>
      </w:r>
      <w:r w:rsidR="00344985" w:rsidRPr="00344985">
        <w:rPr>
          <w:rFonts w:ascii="Arial" w:hAnsi="Arial" w:cs="Arial"/>
          <w:i/>
        </w:rPr>
        <w:t xml:space="preserve"> </w:t>
      </w:r>
      <w:r>
        <w:rPr>
          <w:rFonts w:ascii="Arial" w:hAnsi="Arial" w:cs="Arial"/>
          <w:i/>
        </w:rPr>
        <w:t>for</w:t>
      </w:r>
      <w:r w:rsidR="00344985" w:rsidRPr="00344985">
        <w:rPr>
          <w:rFonts w:ascii="Arial" w:hAnsi="Arial" w:cs="Arial"/>
          <w:i/>
        </w:rPr>
        <w:t xml:space="preserve"> the</w:t>
      </w:r>
      <w:r w:rsidR="009138EE">
        <w:rPr>
          <w:rFonts w:ascii="Arial" w:hAnsi="Arial" w:cs="Arial"/>
          <w:i/>
        </w:rPr>
        <w:t xml:space="preserve"> ‘near-duplicate’</w:t>
      </w:r>
      <w:r w:rsidR="00344985" w:rsidRPr="00344985">
        <w:rPr>
          <w:rFonts w:ascii="Arial" w:hAnsi="Arial" w:cs="Arial"/>
          <w:i/>
        </w:rPr>
        <w:t xml:space="preserve"> potential indicators</w:t>
      </w:r>
      <w:r w:rsidR="009138EE">
        <w:rPr>
          <w:rFonts w:ascii="Arial" w:hAnsi="Arial" w:cs="Arial"/>
          <w:i/>
        </w:rPr>
        <w:t xml:space="preserve"> in nine subgroups</w:t>
      </w:r>
    </w:p>
    <w:tbl>
      <w:tblPr>
        <w:tblW w:w="9073" w:type="dxa"/>
        <w:tblInd w:w="-34" w:type="dxa"/>
        <w:tblLayout w:type="fixed"/>
        <w:tblCellMar>
          <w:top w:w="57" w:type="dxa"/>
          <w:bottom w:w="57" w:type="dxa"/>
        </w:tblCellMar>
        <w:tblLook w:val="04A0"/>
      </w:tblPr>
      <w:tblGrid>
        <w:gridCol w:w="1699"/>
        <w:gridCol w:w="921"/>
        <w:gridCol w:w="922"/>
        <w:gridCol w:w="922"/>
        <w:gridCol w:w="922"/>
        <w:gridCol w:w="921"/>
        <w:gridCol w:w="922"/>
        <w:gridCol w:w="922"/>
        <w:gridCol w:w="922"/>
      </w:tblGrid>
      <w:tr w:rsidR="00344985" w:rsidRPr="00344985" w:rsidTr="00DA3759">
        <w:trPr>
          <w:cantSplit/>
          <w:trHeight w:val="1523"/>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rPr>
                <w:rFonts w:ascii="Arial" w:eastAsia="Times New Roman" w:hAnsi="Arial" w:cs="Arial"/>
                <w:b/>
                <w:color w:val="000000"/>
                <w:sz w:val="20"/>
                <w:szCs w:val="20"/>
              </w:rPr>
            </w:pPr>
          </w:p>
        </w:tc>
        <w:tc>
          <w:tcPr>
            <w:tcW w:w="921" w:type="dxa"/>
            <w:tcBorders>
              <w:top w:val="single" w:sz="4" w:space="0" w:color="auto"/>
              <w:left w:val="nil"/>
              <w:bottom w:val="single" w:sz="4" w:space="0" w:color="auto"/>
              <w:right w:val="nil"/>
            </w:tcBorders>
            <w:textDirection w:val="btLr"/>
            <w:vAlign w:val="center"/>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Whole Acute</w:t>
            </w:r>
          </w:p>
        </w:tc>
        <w:tc>
          <w:tcPr>
            <w:tcW w:w="9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Cancer</w:t>
            </w:r>
          </w:p>
        </w:tc>
        <w:tc>
          <w:tcPr>
            <w:tcW w:w="9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Heart</w:t>
            </w:r>
          </w:p>
        </w:tc>
        <w:tc>
          <w:tcPr>
            <w:tcW w:w="9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Digestive</w:t>
            </w:r>
          </w:p>
        </w:tc>
        <w:tc>
          <w:tcPr>
            <w:tcW w:w="9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Injury</w:t>
            </w:r>
          </w:p>
        </w:tc>
        <w:tc>
          <w:tcPr>
            <w:tcW w:w="9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Other</w:t>
            </w:r>
          </w:p>
        </w:tc>
        <w:tc>
          <w:tcPr>
            <w:tcW w:w="9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Respiratory</w:t>
            </w:r>
          </w:p>
        </w:tc>
        <w:tc>
          <w:tcPr>
            <w:tcW w:w="9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44985" w:rsidRPr="00344985" w:rsidRDefault="00344985" w:rsidP="00DA3759">
            <w:pPr>
              <w:spacing w:after="0"/>
              <w:ind w:left="113" w:right="113"/>
              <w:jc w:val="center"/>
              <w:rPr>
                <w:rFonts w:ascii="Arial" w:eastAsia="Times New Roman" w:hAnsi="Arial" w:cs="Arial"/>
                <w:b/>
                <w:color w:val="000000"/>
                <w:sz w:val="20"/>
                <w:szCs w:val="20"/>
              </w:rPr>
            </w:pPr>
            <w:r w:rsidRPr="00344985">
              <w:rPr>
                <w:rFonts w:ascii="Arial" w:eastAsia="Times New Roman" w:hAnsi="Arial" w:cs="Arial"/>
                <w:b/>
                <w:color w:val="000000"/>
                <w:sz w:val="20"/>
                <w:szCs w:val="20"/>
              </w:rPr>
              <w:t>Outpatients</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All cause SMR &lt;75</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48.4%</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11.1%</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15.9%</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32.9%</w:t>
            </w:r>
          </w:p>
        </w:tc>
        <w:tc>
          <w:tcPr>
            <w:tcW w:w="921"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19.8%</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36.4%</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31.2%</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45.5%</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All cause SMR &lt;70</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47.0%</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10.8%</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15.2%</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32.3%</w:t>
            </w:r>
          </w:p>
        </w:tc>
        <w:tc>
          <w:tcPr>
            <w:tcW w:w="921"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19.0%</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35.7%</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29.2%</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45.4%</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All cause SMR &lt;65</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44.3%</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10.4%</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13.9%</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30.9%</w:t>
            </w:r>
          </w:p>
        </w:tc>
        <w:tc>
          <w:tcPr>
            <w:tcW w:w="921"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17.8%</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33.9%</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27.2%</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45.1%</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Death rate &lt;75</w:t>
            </w:r>
            <w:r>
              <w:rPr>
                <w:rFonts w:ascii="Arial" w:eastAsia="Times New Roman" w:hAnsi="Arial" w:cs="Arial"/>
                <w:b/>
                <w:color w:val="000000"/>
                <w:sz w:val="20"/>
                <w:szCs w:val="20"/>
              </w:rPr>
              <w:t xml:space="preserve"> all causes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44.3%</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10.8%</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12.4%</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30.8%</w:t>
            </w:r>
          </w:p>
        </w:tc>
        <w:tc>
          <w:tcPr>
            <w:tcW w:w="921"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17.0%</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33.9%</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26.5%</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45.8%</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Cancer SMR &lt;65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27.9%</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12.5%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6.1%</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21.8%</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21.1%</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42.3%</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Cancer SMR &lt;70</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31.0%</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13.9%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23.3%</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8.7%</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22.9%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42.8%</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Cancer SMR &lt;75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33.6%</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15.3%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8.4%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24.3%</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9.7%</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24.4%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18.8%</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43.4%</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Death rate &lt;75</w:t>
            </w:r>
            <w:r>
              <w:rPr>
                <w:rFonts w:ascii="Arial" w:eastAsia="Times New Roman" w:hAnsi="Arial" w:cs="Arial"/>
                <w:b/>
                <w:color w:val="000000"/>
                <w:sz w:val="20"/>
                <w:szCs w:val="20"/>
              </w:rPr>
              <w:t xml:space="preserve"> Cancer</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29.3%</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13.4%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5.8%</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22.5%</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7.8%</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21.8%</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15.1%</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43.6%</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Heart SMR &lt;65</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30.5%</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23.4%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24.3%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42.4%</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Heart SMR &lt;70</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32.6%</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9.8%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24.5%</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12.0%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26.0%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19.2%</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42.7%</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Heart SMR &lt;75</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34.8%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8.0%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25.3%</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13.0%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27.5%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21.7%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42.9%</w:t>
            </w:r>
          </w:p>
        </w:tc>
      </w:tr>
      <w:tr w:rsidR="00344985" w:rsidRPr="00F45667" w:rsidTr="00DA3759">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Death rate &lt;75</w:t>
            </w:r>
            <w:r>
              <w:rPr>
                <w:rFonts w:ascii="Arial" w:eastAsia="Times New Roman" w:hAnsi="Arial" w:cs="Arial"/>
                <w:b/>
                <w:color w:val="000000"/>
                <w:sz w:val="20"/>
                <w:szCs w:val="20"/>
              </w:rPr>
              <w:t xml:space="preserve"> CHD</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30.0%</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8.1%</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23.4%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9.4%</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23.8%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42.8%</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Other SMR &lt;70</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27.5%</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7.3%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7.2%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21.7%</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8.2%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22.9%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17.2%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41.5%</w:t>
            </w:r>
          </w:p>
        </w:tc>
      </w:tr>
      <w:tr w:rsidR="00344985" w:rsidRPr="00F45667" w:rsidTr="00D50CFE">
        <w:trPr>
          <w:trHeight w:val="307"/>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Other SMR &lt;75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26.7%</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7.3%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6.6%</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21.7%</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22.2%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17.0%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41.2%</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sidRPr="00344985">
              <w:rPr>
                <w:rFonts w:ascii="Arial" w:eastAsia="Times New Roman" w:hAnsi="Arial" w:cs="Arial"/>
                <w:b/>
                <w:color w:val="000000"/>
                <w:sz w:val="20"/>
                <w:szCs w:val="20"/>
              </w:rPr>
              <w:t>LLTI</w:t>
            </w:r>
            <w:r>
              <w:rPr>
                <w:rFonts w:ascii="Arial" w:eastAsia="Times New Roman" w:hAnsi="Arial" w:cs="Arial"/>
                <w:b/>
                <w:color w:val="000000"/>
                <w:sz w:val="20"/>
                <w:szCs w:val="20"/>
              </w:rPr>
              <w:t xml:space="preserve"> – </w:t>
            </w:r>
            <w:r w:rsidRPr="00344985">
              <w:rPr>
                <w:rFonts w:ascii="Arial" w:eastAsia="Times New Roman" w:hAnsi="Arial" w:cs="Arial"/>
                <w:b/>
                <w:color w:val="000000"/>
                <w:sz w:val="20"/>
                <w:szCs w:val="20"/>
              </w:rPr>
              <w:t>Yes</w:t>
            </w:r>
            <w:r>
              <w:rPr>
                <w:rFonts w:ascii="Arial" w:eastAsia="Times New Roman" w:hAnsi="Arial" w:cs="Arial"/>
                <w:b/>
                <w:color w:val="000000"/>
                <w:sz w:val="20"/>
                <w:szCs w:val="20"/>
              </w:rPr>
              <w:t xml:space="preserve"> (</w:t>
            </w:r>
            <w:r w:rsidRPr="00344985">
              <w:rPr>
                <w:rFonts w:ascii="Arial" w:eastAsia="Times New Roman" w:hAnsi="Arial" w:cs="Arial"/>
                <w:b/>
                <w:color w:val="000000"/>
                <w:sz w:val="20"/>
                <w:szCs w:val="20"/>
              </w:rPr>
              <w:t>both</w:t>
            </w:r>
            <w:r>
              <w:rPr>
                <w:rFonts w:ascii="Arial" w:eastAsia="Times New Roman" w:hAnsi="Arial" w:cs="Arial"/>
                <w:b/>
                <w:color w:val="000000"/>
                <w:sz w:val="20"/>
                <w:szCs w:val="20"/>
              </w:rPr>
              <w:t>)</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60.8%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9.7%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21.6%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39.4%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26.8%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46.7%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38.2%</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50.9%</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Pr>
                <w:rFonts w:ascii="Arial" w:eastAsia="Times New Roman" w:hAnsi="Arial" w:cs="Arial"/>
                <w:b/>
                <w:color w:val="000000"/>
                <w:sz w:val="20"/>
                <w:szCs w:val="20"/>
              </w:rPr>
              <w:t xml:space="preserve">LLTI – </w:t>
            </w:r>
            <w:r w:rsidRPr="00344985">
              <w:rPr>
                <w:rFonts w:ascii="Arial" w:eastAsia="Times New Roman" w:hAnsi="Arial" w:cs="Arial"/>
                <w:b/>
                <w:color w:val="000000"/>
                <w:sz w:val="20"/>
                <w:szCs w:val="20"/>
              </w:rPr>
              <w:t>Yes</w:t>
            </w:r>
            <w:r>
              <w:rPr>
                <w:rFonts w:ascii="Arial" w:eastAsia="Times New Roman" w:hAnsi="Arial" w:cs="Arial"/>
                <w:b/>
                <w:color w:val="000000"/>
                <w:sz w:val="20"/>
                <w:szCs w:val="20"/>
              </w:rPr>
              <w:t xml:space="preserve"> (a </w:t>
            </w:r>
            <w:r w:rsidRPr="00344985">
              <w:rPr>
                <w:rFonts w:ascii="Arial" w:eastAsia="Times New Roman" w:hAnsi="Arial" w:cs="Arial"/>
                <w:b/>
                <w:color w:val="000000"/>
                <w:sz w:val="20"/>
                <w:szCs w:val="20"/>
              </w:rPr>
              <w:t>lot</w:t>
            </w:r>
            <w:r>
              <w:rPr>
                <w:rFonts w:ascii="Arial" w:eastAsia="Times New Roman" w:hAnsi="Arial" w:cs="Arial"/>
                <w:b/>
                <w:color w:val="000000"/>
                <w:sz w:val="20"/>
                <w:szCs w:val="20"/>
              </w:rPr>
              <w:t>)</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58.5%</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9.3%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38.6%</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25.3%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44.7%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39.1%</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50.1%</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Pr>
                <w:rFonts w:ascii="Arial" w:eastAsia="Times New Roman" w:hAnsi="Arial" w:cs="Arial"/>
                <w:b/>
                <w:color w:val="000000"/>
                <w:sz w:val="20"/>
                <w:szCs w:val="20"/>
              </w:rPr>
              <w:t>General health – very bad</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57.8%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9.4%</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20.6%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25.0%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43.5%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38.4%</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50.2%</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Pr>
                <w:rFonts w:ascii="Arial" w:eastAsia="Times New Roman" w:hAnsi="Arial" w:cs="Arial"/>
                <w:b/>
                <w:color w:val="000000"/>
                <w:sz w:val="20"/>
                <w:szCs w:val="20"/>
              </w:rPr>
              <w:lastRenderedPageBreak/>
              <w:t>General health – bad or very bad</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50.7%</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35.1%</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20.6%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38.2%</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34.0%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49.0%</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Pr>
                <w:rFonts w:ascii="Arial" w:eastAsia="Times New Roman" w:hAnsi="Arial" w:cs="Arial"/>
                <w:b/>
                <w:color w:val="000000"/>
                <w:sz w:val="20"/>
                <w:szCs w:val="20"/>
              </w:rPr>
              <w:t>Mental health condition</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13.6%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32.3%</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22.6%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35.6%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45.0%</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rPr>
                <w:rFonts w:ascii="Arial" w:eastAsia="Times New Roman" w:hAnsi="Arial" w:cs="Arial"/>
                <w:b/>
                <w:color w:val="000000"/>
                <w:sz w:val="20"/>
                <w:szCs w:val="20"/>
              </w:rPr>
            </w:pPr>
            <w:r>
              <w:rPr>
                <w:rFonts w:ascii="Arial" w:eastAsia="Times New Roman" w:hAnsi="Arial" w:cs="Arial"/>
                <w:b/>
                <w:color w:val="000000"/>
                <w:sz w:val="20"/>
                <w:szCs w:val="20"/>
              </w:rPr>
              <w:t>Long term illness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49.8%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9.1%</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15.9%</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33.9%</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31.1%</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49.4%</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≥65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20.0%</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18.7%</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16.6%</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40.7%</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≥70</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20.0%</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18.6%</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4.6%</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40.7%</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≥75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19.7%</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18.4%</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40.5%</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≥80</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19.4%</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18.2%</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40.4%</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≥85</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19.4%</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18.2%</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40.3%</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Living alone ≥90</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19.6%</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7.1%</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18.3%</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40.5%</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 xml:space="preserve">Unpaid care </w:t>
            </w:r>
            <w:r w:rsidRPr="00344985">
              <w:rPr>
                <w:rFonts w:ascii="Arial" w:eastAsia="Times New Roman" w:hAnsi="Arial" w:cs="Arial"/>
                <w:b/>
                <w:color w:val="000000"/>
                <w:sz w:val="20"/>
                <w:szCs w:val="20"/>
              </w:rPr>
              <w:t>≥</w:t>
            </w:r>
            <w:r>
              <w:rPr>
                <w:rFonts w:ascii="Arial" w:eastAsia="Times New Roman" w:hAnsi="Arial" w:cs="Arial"/>
                <w:b/>
                <w:color w:val="000000"/>
                <w:sz w:val="20"/>
                <w:szCs w:val="20"/>
              </w:rPr>
              <w:t xml:space="preserve"> 1 hour</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21.8%</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11.6%</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44.0%</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 xml:space="preserve">Unpaid care </w:t>
            </w:r>
            <w:r w:rsidRPr="00344985">
              <w:rPr>
                <w:rFonts w:ascii="Arial" w:eastAsia="Times New Roman" w:hAnsi="Arial" w:cs="Arial"/>
                <w:b/>
                <w:color w:val="000000"/>
                <w:sz w:val="20"/>
                <w:szCs w:val="20"/>
              </w:rPr>
              <w:t>≥</w:t>
            </w:r>
            <w:r>
              <w:rPr>
                <w:rFonts w:ascii="Arial" w:eastAsia="Times New Roman" w:hAnsi="Arial" w:cs="Arial"/>
                <w:b/>
                <w:color w:val="000000"/>
                <w:sz w:val="20"/>
                <w:szCs w:val="20"/>
              </w:rPr>
              <w:t xml:space="preserve"> 20 hours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43.2%</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8.5%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12.3%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30.4%</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13.0%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33.8%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25.8%</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50.7%</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 xml:space="preserve">Unpaid care </w:t>
            </w:r>
            <w:r w:rsidRPr="00344985">
              <w:rPr>
                <w:rFonts w:ascii="Arial" w:eastAsia="Times New Roman" w:hAnsi="Arial" w:cs="Arial"/>
                <w:b/>
                <w:color w:val="000000"/>
                <w:sz w:val="20"/>
                <w:szCs w:val="20"/>
              </w:rPr>
              <w:t>≥</w:t>
            </w:r>
            <w:r>
              <w:rPr>
                <w:rFonts w:ascii="Arial" w:eastAsia="Times New Roman" w:hAnsi="Arial" w:cs="Arial"/>
                <w:b/>
                <w:color w:val="000000"/>
                <w:sz w:val="20"/>
                <w:szCs w:val="20"/>
              </w:rPr>
              <w:t xml:space="preserve"> 35 hours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42.9%</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12.5%</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30.3%</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13.0%</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33.7%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25.7%</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50.0%</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 xml:space="preserve">Unpaid care </w:t>
            </w:r>
            <w:r w:rsidRPr="00344985">
              <w:rPr>
                <w:rFonts w:ascii="Arial" w:eastAsia="Times New Roman" w:hAnsi="Arial" w:cs="Arial"/>
                <w:b/>
                <w:color w:val="000000"/>
                <w:sz w:val="20"/>
                <w:szCs w:val="20"/>
              </w:rPr>
              <w:t>≥</w:t>
            </w:r>
            <w:r>
              <w:rPr>
                <w:rFonts w:ascii="Arial" w:eastAsia="Times New Roman" w:hAnsi="Arial" w:cs="Arial"/>
                <w:b/>
                <w:color w:val="000000"/>
                <w:sz w:val="20"/>
                <w:szCs w:val="20"/>
              </w:rPr>
              <w:t xml:space="preserve"> 50 hours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40.1%</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8.3%</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11.4%</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28.6%</w:t>
            </w:r>
          </w:p>
        </w:tc>
        <w:tc>
          <w:tcPr>
            <w:tcW w:w="921"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12.1%</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31.4%</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24.2%</w:t>
            </w:r>
          </w:p>
        </w:tc>
        <w:tc>
          <w:tcPr>
            <w:tcW w:w="922" w:type="dxa"/>
            <w:tcBorders>
              <w:top w:val="nil"/>
              <w:left w:val="nil"/>
              <w:bottom w:val="single" w:sz="4" w:space="0" w:color="auto"/>
              <w:right w:val="single" w:sz="4" w:space="0" w:color="auto"/>
            </w:tcBorders>
            <w:shd w:val="clear" w:color="auto" w:fill="auto"/>
            <w:noWrap/>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49.0%</w:t>
            </w:r>
          </w:p>
        </w:tc>
      </w:tr>
      <w:tr w:rsidR="00344985"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Education – no qualifications</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19.4%</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18.2%</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11.0%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40.3%</w:t>
            </w:r>
          </w:p>
        </w:tc>
      </w:tr>
      <w:tr w:rsidR="00344985"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Education – level 1 and below</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20.5%</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7.0%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3.5%</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18.5%</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4.4%</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16.8%</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11.3%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41.1%</w:t>
            </w:r>
          </w:p>
        </w:tc>
      </w:tr>
      <w:tr w:rsidR="00344985"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Pr>
                <w:rFonts w:ascii="Arial" w:eastAsia="Times New Roman" w:hAnsi="Arial" w:cs="Arial"/>
                <w:b/>
                <w:color w:val="000000"/>
                <w:sz w:val="20"/>
                <w:szCs w:val="20"/>
              </w:rPr>
              <w:t>Education – level 2 and below</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20.8%</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7.0%</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3.6%</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18.6%</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4.6%</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17.2%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11.3%</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b/>
                <w:i/>
                <w:sz w:val="20"/>
                <w:szCs w:val="20"/>
              </w:rPr>
            </w:pPr>
            <w:r w:rsidRPr="00D50CFE">
              <w:rPr>
                <w:rFonts w:ascii="Arial" w:hAnsi="Arial" w:cs="Arial"/>
                <w:b/>
                <w:i/>
                <w:sz w:val="20"/>
                <w:szCs w:val="20"/>
              </w:rPr>
              <w:t>41.5%</w:t>
            </w:r>
          </w:p>
        </w:tc>
      </w:tr>
      <w:tr w:rsidR="00344985"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344985" w:rsidRDefault="00344985" w:rsidP="00DA3759">
            <w:pPr>
              <w:spacing w:after="0"/>
              <w:rPr>
                <w:rFonts w:ascii="Arial" w:hAnsi="Arial" w:cs="Arial"/>
                <w:b/>
                <w:sz w:val="20"/>
                <w:szCs w:val="20"/>
              </w:rPr>
            </w:pPr>
            <w:r>
              <w:rPr>
                <w:rFonts w:ascii="Arial" w:hAnsi="Arial" w:cs="Arial"/>
                <w:b/>
                <w:sz w:val="20"/>
                <w:szCs w:val="20"/>
              </w:rPr>
              <w:t>Job seekers</w:t>
            </w:r>
          </w:p>
        </w:tc>
        <w:tc>
          <w:tcPr>
            <w:tcW w:w="921" w:type="dxa"/>
            <w:tcBorders>
              <w:top w:val="single" w:sz="4" w:space="0" w:color="auto"/>
              <w:left w:val="nil"/>
              <w:bottom w:val="single" w:sz="4" w:space="0" w:color="auto"/>
              <w:right w:val="nil"/>
            </w:tcBorders>
            <w:shd w:val="clear" w:color="auto" w:fill="D9D9D9" w:themeFill="background1" w:themeFillShade="D9"/>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19.4%</w:t>
            </w:r>
          </w:p>
        </w:tc>
        <w:tc>
          <w:tcPr>
            <w:tcW w:w="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3.2%</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18.2%</w:t>
            </w:r>
          </w:p>
        </w:tc>
        <w:tc>
          <w:tcPr>
            <w:tcW w:w="921"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15.9%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10.9%</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40.7%</w:t>
            </w:r>
          </w:p>
        </w:tc>
      </w:tr>
      <w:tr w:rsidR="00344985" w:rsidRPr="00F45667" w:rsidTr="00DA3759">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985" w:rsidRPr="00344985" w:rsidRDefault="00344985"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DNA</w:t>
            </w:r>
            <w:r>
              <w:rPr>
                <w:rFonts w:ascii="Arial" w:eastAsia="Times New Roman" w:hAnsi="Arial" w:cs="Arial"/>
                <w:b/>
                <w:color w:val="000000"/>
                <w:sz w:val="20"/>
                <w:szCs w:val="20"/>
              </w:rPr>
              <w:t xml:space="preserve"> count – as fraction of appointments</w:t>
            </w:r>
          </w:p>
        </w:tc>
        <w:tc>
          <w:tcPr>
            <w:tcW w:w="921" w:type="dxa"/>
            <w:tcBorders>
              <w:top w:val="single" w:sz="4" w:space="0" w:color="auto"/>
              <w:left w:val="nil"/>
              <w:bottom w:val="single" w:sz="4" w:space="0" w:color="auto"/>
              <w:right w:val="nil"/>
            </w:tcBorders>
            <w:shd w:val="clear" w:color="auto" w:fill="auto"/>
            <w:vAlign w:val="center"/>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45.4%</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8.4%</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16.4%</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31.7%</w:t>
            </w:r>
          </w:p>
        </w:tc>
        <w:tc>
          <w:tcPr>
            <w:tcW w:w="921"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19.7%</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34.5%</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29.9%</w:t>
            </w:r>
          </w:p>
        </w:tc>
        <w:tc>
          <w:tcPr>
            <w:tcW w:w="922" w:type="dxa"/>
            <w:tcBorders>
              <w:top w:val="nil"/>
              <w:left w:val="nil"/>
              <w:bottom w:val="single" w:sz="4" w:space="0" w:color="auto"/>
              <w:right w:val="single" w:sz="4" w:space="0" w:color="auto"/>
            </w:tcBorders>
            <w:shd w:val="clear" w:color="auto" w:fill="auto"/>
            <w:noWrap/>
            <w:vAlign w:val="center"/>
            <w:hideMark/>
          </w:tcPr>
          <w:p w:rsidR="00344985" w:rsidRPr="00D50CFE" w:rsidRDefault="00344985" w:rsidP="00DA3759">
            <w:pPr>
              <w:spacing w:after="0"/>
              <w:contextualSpacing/>
              <w:jc w:val="center"/>
              <w:rPr>
                <w:rFonts w:ascii="Arial" w:hAnsi="Arial" w:cs="Arial"/>
                <w:sz w:val="20"/>
                <w:szCs w:val="20"/>
              </w:rPr>
            </w:pPr>
            <w:r w:rsidRPr="00D50CFE">
              <w:rPr>
                <w:rFonts w:ascii="Arial" w:hAnsi="Arial" w:cs="Arial"/>
                <w:sz w:val="20"/>
                <w:szCs w:val="20"/>
              </w:rPr>
              <w:t>45.4%</w:t>
            </w:r>
          </w:p>
        </w:tc>
      </w:tr>
      <w:tr w:rsidR="00D50CFE" w:rsidRPr="00F45667" w:rsidTr="00D50CFE">
        <w:trPr>
          <w:trHeight w:val="29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CFE" w:rsidRPr="00344985" w:rsidRDefault="00D50CFE" w:rsidP="00DA3759">
            <w:pPr>
              <w:spacing w:after="0"/>
              <w:contextualSpacing/>
              <w:rPr>
                <w:rFonts w:ascii="Arial" w:eastAsia="Times New Roman" w:hAnsi="Arial" w:cs="Arial"/>
                <w:b/>
                <w:color w:val="000000"/>
                <w:sz w:val="20"/>
                <w:szCs w:val="20"/>
              </w:rPr>
            </w:pPr>
            <w:r w:rsidRPr="00344985">
              <w:rPr>
                <w:rFonts w:ascii="Arial" w:eastAsia="Times New Roman" w:hAnsi="Arial" w:cs="Arial"/>
                <w:b/>
                <w:color w:val="000000"/>
                <w:sz w:val="20"/>
                <w:szCs w:val="20"/>
              </w:rPr>
              <w:t>DNA</w:t>
            </w:r>
            <w:r>
              <w:rPr>
                <w:rFonts w:ascii="Arial" w:eastAsia="Times New Roman" w:hAnsi="Arial" w:cs="Arial"/>
                <w:b/>
                <w:color w:val="000000"/>
                <w:sz w:val="20"/>
                <w:szCs w:val="20"/>
              </w:rPr>
              <w:t xml:space="preserve"> count – ratio to population</w:t>
            </w:r>
          </w:p>
        </w:tc>
        <w:tc>
          <w:tcPr>
            <w:tcW w:w="921" w:type="dxa"/>
            <w:tcBorders>
              <w:top w:val="single" w:sz="4" w:space="0" w:color="auto"/>
              <w:left w:val="nil"/>
              <w:bottom w:val="single" w:sz="4" w:space="0" w:color="auto"/>
              <w:right w:val="nil"/>
            </w:tcBorders>
            <w:shd w:val="clear" w:color="auto" w:fill="auto"/>
            <w:vAlign w:val="center"/>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60.9%</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10.3%</w:t>
            </w:r>
          </w:p>
        </w:tc>
        <w:tc>
          <w:tcPr>
            <w:tcW w:w="922"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19.6%</w:t>
            </w:r>
          </w:p>
        </w:tc>
        <w:tc>
          <w:tcPr>
            <w:tcW w:w="922"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38.2%</w:t>
            </w:r>
          </w:p>
        </w:tc>
        <w:tc>
          <w:tcPr>
            <w:tcW w:w="921"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24.6%</w:t>
            </w:r>
          </w:p>
        </w:tc>
        <w:tc>
          <w:tcPr>
            <w:tcW w:w="922"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44.4%</w:t>
            </w:r>
          </w:p>
        </w:tc>
        <w:tc>
          <w:tcPr>
            <w:tcW w:w="922"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35.5%</w:t>
            </w:r>
          </w:p>
        </w:tc>
        <w:tc>
          <w:tcPr>
            <w:tcW w:w="922" w:type="dxa"/>
            <w:tcBorders>
              <w:top w:val="nil"/>
              <w:left w:val="nil"/>
              <w:bottom w:val="single" w:sz="4" w:space="0" w:color="auto"/>
              <w:right w:val="single" w:sz="4" w:space="0" w:color="auto"/>
            </w:tcBorders>
            <w:shd w:val="clear" w:color="auto" w:fill="auto"/>
            <w:noWrap/>
            <w:vAlign w:val="center"/>
            <w:hideMark/>
          </w:tcPr>
          <w:p w:rsidR="00D50CFE" w:rsidRPr="00D50CFE" w:rsidRDefault="00D50CFE" w:rsidP="00DA3759">
            <w:pPr>
              <w:spacing w:after="0"/>
              <w:contextualSpacing/>
              <w:jc w:val="center"/>
              <w:rPr>
                <w:rFonts w:ascii="Arial" w:hAnsi="Arial" w:cs="Arial"/>
                <w:b/>
                <w:i/>
                <w:sz w:val="20"/>
                <w:szCs w:val="20"/>
              </w:rPr>
            </w:pPr>
            <w:r w:rsidRPr="00D50CFE">
              <w:rPr>
                <w:rFonts w:ascii="Arial" w:hAnsi="Arial" w:cs="Arial"/>
                <w:b/>
                <w:i/>
                <w:sz w:val="20"/>
                <w:szCs w:val="20"/>
              </w:rPr>
              <w:t>57.8%</w:t>
            </w:r>
          </w:p>
        </w:tc>
      </w:tr>
    </w:tbl>
    <w:p w:rsidR="00344985" w:rsidRDefault="00344985" w:rsidP="0097225D">
      <w:pPr>
        <w:rPr>
          <w:rFonts w:ascii="Arial" w:hAnsi="Arial" w:cs="Arial"/>
          <w:b/>
        </w:rPr>
      </w:pPr>
    </w:p>
    <w:p w:rsidR="009138EE" w:rsidRDefault="009138EE" w:rsidP="0060789B">
      <w:pPr>
        <w:rPr>
          <w:rFonts w:ascii="Arial" w:hAnsi="Arial" w:cs="Arial"/>
        </w:rPr>
      </w:pPr>
      <w:r>
        <w:rPr>
          <w:rFonts w:ascii="Arial" w:hAnsi="Arial" w:cs="Arial"/>
        </w:rPr>
        <w:lastRenderedPageBreak/>
        <w:t>For completeness, Table C.2 shows R-squared values for the four individually-retained variables.</w:t>
      </w:r>
    </w:p>
    <w:p w:rsidR="009138EE" w:rsidRDefault="00253A0E" w:rsidP="00253A0E">
      <w:pPr>
        <w:spacing w:after="0"/>
        <w:rPr>
          <w:rFonts w:ascii="Arial" w:hAnsi="Arial" w:cs="Arial"/>
          <w:i/>
        </w:rPr>
      </w:pPr>
      <w:r>
        <w:rPr>
          <w:rFonts w:ascii="Arial" w:hAnsi="Arial" w:cs="Arial"/>
          <w:i/>
        </w:rPr>
        <w:t>Table C.2: Adjusted R</w:t>
      </w:r>
      <w:r w:rsidRPr="00253A0E">
        <w:rPr>
          <w:rFonts w:ascii="Arial" w:hAnsi="Arial" w:cs="Arial"/>
          <w:i/>
          <w:vertAlign w:val="superscript"/>
        </w:rPr>
        <w:t>2</w:t>
      </w:r>
      <w:r w:rsidR="009138EE" w:rsidRPr="009138EE">
        <w:rPr>
          <w:rFonts w:ascii="Arial" w:hAnsi="Arial" w:cs="Arial"/>
          <w:i/>
        </w:rPr>
        <w:t xml:space="preserve"> </w:t>
      </w:r>
      <w:r>
        <w:rPr>
          <w:rFonts w:ascii="Arial" w:hAnsi="Arial" w:cs="Arial"/>
          <w:i/>
        </w:rPr>
        <w:t>for</w:t>
      </w:r>
      <w:r w:rsidR="009138EE" w:rsidRPr="009138EE">
        <w:rPr>
          <w:rFonts w:ascii="Arial" w:hAnsi="Arial" w:cs="Arial"/>
          <w:i/>
        </w:rPr>
        <w:t xml:space="preserve"> the individually-retained potential</w:t>
      </w:r>
      <w:r w:rsidR="009138EE" w:rsidRPr="00344985">
        <w:rPr>
          <w:rFonts w:ascii="Arial" w:hAnsi="Arial" w:cs="Arial"/>
          <w:i/>
        </w:rPr>
        <w:t xml:space="preserve"> indicators</w:t>
      </w:r>
    </w:p>
    <w:tbl>
      <w:tblPr>
        <w:tblW w:w="9073" w:type="dxa"/>
        <w:tblInd w:w="-34" w:type="dxa"/>
        <w:shd w:val="clear" w:color="D9D9D9" w:themeColor="background1" w:themeShade="D9" w:fill="auto"/>
        <w:tblLayout w:type="fixed"/>
        <w:tblCellMar>
          <w:top w:w="57" w:type="dxa"/>
          <w:bottom w:w="57" w:type="dxa"/>
        </w:tblCellMar>
        <w:tblLook w:val="04A0"/>
      </w:tblPr>
      <w:tblGrid>
        <w:gridCol w:w="1699"/>
        <w:gridCol w:w="921"/>
        <w:gridCol w:w="922"/>
        <w:gridCol w:w="922"/>
        <w:gridCol w:w="922"/>
        <w:gridCol w:w="921"/>
        <w:gridCol w:w="922"/>
        <w:gridCol w:w="922"/>
        <w:gridCol w:w="922"/>
      </w:tblGrid>
      <w:tr w:rsidR="009138EE" w:rsidRPr="009138EE" w:rsidTr="009138EE">
        <w:trPr>
          <w:cantSplit/>
          <w:trHeight w:val="1357"/>
        </w:trPr>
        <w:tc>
          <w:tcPr>
            <w:tcW w:w="1699"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tcPr>
          <w:p w:rsidR="009138EE" w:rsidRPr="009138EE" w:rsidRDefault="009138EE" w:rsidP="00484DA1">
            <w:pPr>
              <w:spacing w:after="0"/>
              <w:rPr>
                <w:rFonts w:ascii="Arial" w:eastAsia="Times New Roman" w:hAnsi="Arial" w:cs="Arial"/>
                <w:b/>
                <w:color w:val="000000"/>
                <w:sz w:val="20"/>
                <w:szCs w:val="20"/>
              </w:rPr>
            </w:pPr>
          </w:p>
        </w:tc>
        <w:tc>
          <w:tcPr>
            <w:tcW w:w="921" w:type="dxa"/>
            <w:tcBorders>
              <w:top w:val="single" w:sz="4" w:space="0" w:color="auto"/>
              <w:left w:val="nil"/>
              <w:bottom w:val="single" w:sz="4" w:space="0" w:color="auto"/>
              <w:right w:val="nil"/>
            </w:tcBorders>
            <w:shd w:val="clear" w:color="D9D9D9" w:themeColor="background1" w:themeShade="D9" w:fill="auto"/>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Whole Acute</w:t>
            </w:r>
          </w:p>
        </w:tc>
        <w:tc>
          <w:tcPr>
            <w:tcW w:w="922"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Cancer</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Heart</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Digestive</w:t>
            </w:r>
          </w:p>
        </w:tc>
        <w:tc>
          <w:tcPr>
            <w:tcW w:w="921"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Injury</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Other</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Respiratory</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textDirection w:val="btLr"/>
            <w:vAlign w:val="center"/>
          </w:tcPr>
          <w:p w:rsidR="009138EE" w:rsidRPr="009138EE" w:rsidRDefault="009138EE" w:rsidP="009138EE">
            <w:pPr>
              <w:spacing w:after="0"/>
              <w:ind w:left="113" w:right="113"/>
              <w:contextualSpacing/>
              <w:jc w:val="center"/>
              <w:rPr>
                <w:rFonts w:ascii="Arial" w:hAnsi="Arial" w:cs="Arial"/>
                <w:b/>
                <w:sz w:val="20"/>
                <w:szCs w:val="20"/>
              </w:rPr>
            </w:pPr>
            <w:r w:rsidRPr="009138EE">
              <w:rPr>
                <w:rFonts w:ascii="Arial" w:hAnsi="Arial" w:cs="Arial"/>
                <w:b/>
                <w:sz w:val="20"/>
                <w:szCs w:val="20"/>
              </w:rPr>
              <w:t>Outpatients</w:t>
            </w:r>
          </w:p>
        </w:tc>
      </w:tr>
      <w:tr w:rsidR="009138EE" w:rsidRPr="00F45667" w:rsidTr="009138EE">
        <w:trPr>
          <w:trHeight w:val="307"/>
        </w:trPr>
        <w:tc>
          <w:tcPr>
            <w:tcW w:w="1699"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tcPr>
          <w:p w:rsidR="009138EE" w:rsidRPr="00344985" w:rsidRDefault="009138EE" w:rsidP="00484DA1">
            <w:pPr>
              <w:spacing w:after="0"/>
              <w:rPr>
                <w:rFonts w:ascii="Arial" w:eastAsia="Times New Roman" w:hAnsi="Arial" w:cs="Arial"/>
                <w:b/>
                <w:color w:val="000000"/>
                <w:sz w:val="20"/>
                <w:szCs w:val="20"/>
              </w:rPr>
            </w:pPr>
            <w:r>
              <w:rPr>
                <w:rFonts w:ascii="Arial" w:eastAsia="Times New Roman" w:hAnsi="Arial" w:cs="Arial"/>
                <w:b/>
                <w:color w:val="000000"/>
                <w:sz w:val="20"/>
                <w:szCs w:val="20"/>
              </w:rPr>
              <w:t>Low birth weight births</w:t>
            </w:r>
          </w:p>
        </w:tc>
        <w:tc>
          <w:tcPr>
            <w:tcW w:w="921" w:type="dxa"/>
            <w:tcBorders>
              <w:top w:val="single" w:sz="4" w:space="0" w:color="auto"/>
              <w:left w:val="nil"/>
              <w:bottom w:val="single" w:sz="4" w:space="0" w:color="auto"/>
              <w:right w:val="nil"/>
            </w:tcBorders>
            <w:shd w:val="clear" w:color="D9D9D9" w:themeColor="background1" w:themeShade="D9" w:fill="auto"/>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20.5%</w:t>
            </w:r>
          </w:p>
        </w:tc>
        <w:tc>
          <w:tcPr>
            <w:tcW w:w="922"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6.9%</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3.6%</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18.7%</w:t>
            </w:r>
          </w:p>
        </w:tc>
        <w:tc>
          <w:tcPr>
            <w:tcW w:w="921"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4.3%</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17.4%</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11.7%</w:t>
            </w:r>
          </w:p>
        </w:tc>
        <w:tc>
          <w:tcPr>
            <w:tcW w:w="922" w:type="dxa"/>
            <w:tcBorders>
              <w:top w:val="single" w:sz="4" w:space="0" w:color="auto"/>
              <w:left w:val="nil"/>
              <w:bottom w:val="single" w:sz="4" w:space="0" w:color="auto"/>
              <w:right w:val="single" w:sz="4" w:space="0" w:color="auto"/>
            </w:tcBorders>
            <w:shd w:val="clear" w:color="D9D9D9" w:themeColor="background1" w:themeShade="D9" w:fill="auto"/>
            <w:noWrap/>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40.4%</w:t>
            </w:r>
          </w:p>
        </w:tc>
      </w:tr>
      <w:tr w:rsidR="009138EE" w:rsidRPr="00F45667" w:rsidTr="009138EE">
        <w:trPr>
          <w:trHeight w:val="298"/>
        </w:trPr>
        <w:tc>
          <w:tcPr>
            <w:tcW w:w="1699"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344985" w:rsidRDefault="009138EE" w:rsidP="00484DA1">
            <w:pPr>
              <w:spacing w:after="0"/>
              <w:rPr>
                <w:rFonts w:ascii="Arial" w:hAnsi="Arial" w:cs="Arial"/>
                <w:b/>
                <w:sz w:val="20"/>
                <w:szCs w:val="20"/>
              </w:rPr>
            </w:pPr>
            <w:r>
              <w:rPr>
                <w:rFonts w:ascii="Arial" w:eastAsia="Times New Roman" w:hAnsi="Arial" w:cs="Arial"/>
                <w:b/>
                <w:color w:val="000000"/>
                <w:sz w:val="20"/>
                <w:szCs w:val="20"/>
              </w:rPr>
              <w:t>Patients receiving Dementia prescriptions</w:t>
            </w:r>
          </w:p>
        </w:tc>
        <w:tc>
          <w:tcPr>
            <w:tcW w:w="921" w:type="dxa"/>
            <w:tcBorders>
              <w:top w:val="single" w:sz="4" w:space="0" w:color="auto"/>
              <w:left w:val="nil"/>
              <w:bottom w:val="single" w:sz="4" w:space="0" w:color="auto"/>
              <w:right w:val="nil"/>
            </w:tcBorders>
            <w:shd w:val="clear" w:color="D9D9D9" w:themeColor="background1" w:themeShade="D9" w:fill="auto"/>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19.4%</w:t>
            </w:r>
          </w:p>
        </w:tc>
        <w:tc>
          <w:tcPr>
            <w:tcW w:w="922" w:type="dxa"/>
            <w:tcBorders>
              <w:top w:val="nil"/>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7.4%</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3.4%</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18.2%</w:t>
            </w:r>
          </w:p>
        </w:tc>
        <w:tc>
          <w:tcPr>
            <w:tcW w:w="921"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4.1%</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15.9%</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10.9%</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40.5%</w:t>
            </w:r>
          </w:p>
        </w:tc>
      </w:tr>
      <w:tr w:rsidR="009138EE" w:rsidRPr="00F45667" w:rsidTr="009138EE">
        <w:trPr>
          <w:trHeight w:val="298"/>
        </w:trPr>
        <w:tc>
          <w:tcPr>
            <w:tcW w:w="1699"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344985" w:rsidRDefault="009138EE" w:rsidP="00484DA1">
            <w:pPr>
              <w:spacing w:after="0"/>
              <w:rPr>
                <w:rFonts w:ascii="Arial" w:hAnsi="Arial" w:cs="Arial"/>
                <w:b/>
                <w:sz w:val="20"/>
                <w:szCs w:val="20"/>
              </w:rPr>
            </w:pPr>
            <w:r>
              <w:rPr>
                <w:rFonts w:ascii="Arial" w:hAnsi="Arial" w:cs="Arial"/>
                <w:b/>
                <w:sz w:val="20"/>
                <w:szCs w:val="20"/>
              </w:rPr>
              <w:t>Long term sick and not seeking work</w:t>
            </w:r>
          </w:p>
        </w:tc>
        <w:tc>
          <w:tcPr>
            <w:tcW w:w="921" w:type="dxa"/>
            <w:tcBorders>
              <w:top w:val="single" w:sz="4" w:space="0" w:color="auto"/>
              <w:left w:val="nil"/>
              <w:bottom w:val="single" w:sz="4" w:space="0" w:color="auto"/>
              <w:right w:val="nil"/>
            </w:tcBorders>
            <w:shd w:val="clear" w:color="D9D9D9" w:themeColor="background1" w:themeShade="D9" w:fill="auto"/>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19.7%</w:t>
            </w:r>
          </w:p>
        </w:tc>
        <w:tc>
          <w:tcPr>
            <w:tcW w:w="922" w:type="dxa"/>
            <w:tcBorders>
              <w:top w:val="nil"/>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7.0%</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3.5%</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18.3%</w:t>
            </w:r>
          </w:p>
        </w:tc>
        <w:tc>
          <w:tcPr>
            <w:tcW w:w="921"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4.1%</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16.2%</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11.2%</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40.4%</w:t>
            </w:r>
          </w:p>
        </w:tc>
      </w:tr>
      <w:tr w:rsidR="009138EE" w:rsidRPr="00F45667" w:rsidTr="009138EE">
        <w:trPr>
          <w:trHeight w:val="298"/>
        </w:trPr>
        <w:tc>
          <w:tcPr>
            <w:tcW w:w="1699" w:type="dxa"/>
            <w:tcBorders>
              <w:top w:val="single" w:sz="4" w:space="0" w:color="auto"/>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344985" w:rsidRDefault="009138EE" w:rsidP="00484DA1">
            <w:pPr>
              <w:spacing w:after="0"/>
              <w:rPr>
                <w:rFonts w:ascii="Arial" w:hAnsi="Arial" w:cs="Arial"/>
                <w:b/>
                <w:sz w:val="20"/>
                <w:szCs w:val="20"/>
              </w:rPr>
            </w:pPr>
            <w:r>
              <w:rPr>
                <w:rFonts w:ascii="Arial" w:eastAsia="Times New Roman" w:hAnsi="Arial" w:cs="Arial"/>
                <w:b/>
                <w:color w:val="000000"/>
                <w:sz w:val="20"/>
                <w:szCs w:val="20"/>
              </w:rPr>
              <w:t>High resource individuals</w:t>
            </w:r>
          </w:p>
        </w:tc>
        <w:tc>
          <w:tcPr>
            <w:tcW w:w="921" w:type="dxa"/>
            <w:tcBorders>
              <w:top w:val="single" w:sz="4" w:space="0" w:color="auto"/>
              <w:left w:val="nil"/>
              <w:bottom w:val="single" w:sz="4" w:space="0" w:color="auto"/>
              <w:right w:val="nil"/>
            </w:tcBorders>
            <w:shd w:val="clear" w:color="D9D9D9" w:themeColor="background1" w:themeShade="D9" w:fill="auto"/>
            <w:vAlign w:val="center"/>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38.6%</w:t>
            </w:r>
          </w:p>
        </w:tc>
        <w:tc>
          <w:tcPr>
            <w:tcW w:w="922" w:type="dxa"/>
            <w:tcBorders>
              <w:top w:val="nil"/>
              <w:left w:val="single" w:sz="4" w:space="0" w:color="auto"/>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9.5%</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9.7%</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26.7%</w:t>
            </w:r>
          </w:p>
        </w:tc>
        <w:tc>
          <w:tcPr>
            <w:tcW w:w="921"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15.1%</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31.4%</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21.2%</w:t>
            </w:r>
          </w:p>
        </w:tc>
        <w:tc>
          <w:tcPr>
            <w:tcW w:w="922" w:type="dxa"/>
            <w:tcBorders>
              <w:top w:val="nil"/>
              <w:left w:val="nil"/>
              <w:bottom w:val="single" w:sz="4" w:space="0" w:color="auto"/>
              <w:right w:val="single" w:sz="4" w:space="0" w:color="auto"/>
            </w:tcBorders>
            <w:shd w:val="clear" w:color="D9D9D9" w:themeColor="background1" w:themeShade="D9" w:fill="auto"/>
            <w:noWrap/>
            <w:vAlign w:val="center"/>
            <w:hideMark/>
          </w:tcPr>
          <w:p w:rsidR="009138EE" w:rsidRPr="00D50CFE" w:rsidRDefault="009138EE" w:rsidP="00484DA1">
            <w:pPr>
              <w:spacing w:after="0"/>
              <w:contextualSpacing/>
              <w:jc w:val="center"/>
              <w:rPr>
                <w:rFonts w:ascii="Arial" w:hAnsi="Arial" w:cs="Arial"/>
                <w:sz w:val="20"/>
                <w:szCs w:val="20"/>
              </w:rPr>
            </w:pPr>
            <w:r w:rsidRPr="00D50CFE">
              <w:rPr>
                <w:rFonts w:ascii="Arial" w:hAnsi="Arial" w:cs="Arial"/>
                <w:sz w:val="20"/>
                <w:szCs w:val="20"/>
              </w:rPr>
              <w:t>44.0%</w:t>
            </w:r>
          </w:p>
        </w:tc>
      </w:tr>
    </w:tbl>
    <w:p w:rsidR="009138EE" w:rsidRPr="005229AF" w:rsidRDefault="009138EE" w:rsidP="0097225D">
      <w:pPr>
        <w:rPr>
          <w:rFonts w:ascii="Arial" w:hAnsi="Arial" w:cs="Arial"/>
          <w:b/>
        </w:rPr>
      </w:pPr>
    </w:p>
    <w:sectPr w:rsidR="009138EE" w:rsidRPr="005229AF" w:rsidSect="00EA630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34" w:rsidRDefault="002D1234" w:rsidP="0097225D">
      <w:pPr>
        <w:spacing w:after="0" w:line="240" w:lineRule="auto"/>
      </w:pPr>
      <w:r>
        <w:separator/>
      </w:r>
    </w:p>
  </w:endnote>
  <w:endnote w:type="continuationSeparator" w:id="0">
    <w:p w:rsidR="002D1234" w:rsidRDefault="002D1234" w:rsidP="00972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3813"/>
      <w:docPartObj>
        <w:docPartGallery w:val="Page Numbers (Bottom of Page)"/>
        <w:docPartUnique/>
      </w:docPartObj>
    </w:sdtPr>
    <w:sdtContent>
      <w:p w:rsidR="002D1234" w:rsidRDefault="002D1234">
        <w:pPr>
          <w:pStyle w:val="Footer"/>
          <w:jc w:val="center"/>
        </w:pPr>
        <w:fldSimple w:instr=" PAGE   \* MERGEFORMAT ">
          <w:r w:rsidR="00442301">
            <w:rPr>
              <w:noProof/>
            </w:rPr>
            <w:t>19</w:t>
          </w:r>
        </w:fldSimple>
      </w:p>
    </w:sdtContent>
  </w:sdt>
  <w:p w:rsidR="002D1234" w:rsidRDefault="002D1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34" w:rsidRDefault="002D1234" w:rsidP="0097225D">
      <w:pPr>
        <w:spacing w:after="0" w:line="240" w:lineRule="auto"/>
      </w:pPr>
      <w:r>
        <w:separator/>
      </w:r>
    </w:p>
  </w:footnote>
  <w:footnote w:type="continuationSeparator" w:id="0">
    <w:p w:rsidR="002D1234" w:rsidRDefault="002D1234" w:rsidP="0097225D">
      <w:pPr>
        <w:spacing w:after="0" w:line="240" w:lineRule="auto"/>
      </w:pPr>
      <w:r>
        <w:continuationSeparator/>
      </w:r>
    </w:p>
  </w:footnote>
  <w:footnote w:id="1">
    <w:p w:rsidR="002D1234" w:rsidRDefault="002D1234" w:rsidP="00CD7D5B">
      <w:pPr>
        <w:pStyle w:val="FootnoteText"/>
      </w:pPr>
      <w:r>
        <w:rPr>
          <w:rStyle w:val="FootnoteReference"/>
        </w:rPr>
        <w:footnoteRef/>
      </w:r>
      <w:r>
        <w:t xml:space="preserve"> Available from </w:t>
      </w:r>
      <w:hyperlink r:id="rId1" w:history="1">
        <w:r w:rsidRPr="00DD1B43">
          <w:rPr>
            <w:rStyle w:val="Hyperlink"/>
          </w:rPr>
          <w:t>http://www.gov.scot/Publications/2015/08/7995/downloads</w:t>
        </w:r>
      </w:hyperlink>
      <w:r>
        <w:t xml:space="preserve"> </w:t>
      </w:r>
    </w:p>
  </w:footnote>
  <w:footnote w:id="2">
    <w:p w:rsidR="002D1234" w:rsidRDefault="002D1234">
      <w:pPr>
        <w:pStyle w:val="FootnoteText"/>
      </w:pPr>
      <w:r>
        <w:rPr>
          <w:rStyle w:val="FootnoteReference"/>
        </w:rPr>
        <w:footnoteRef/>
      </w:r>
      <w:r>
        <w:t xml:space="preserve"> The ICD-10 code groups can be found here: </w:t>
      </w:r>
      <w:hyperlink r:id="rId2" w:history="1">
        <w:r w:rsidRPr="00F84E17">
          <w:rPr>
            <w:rStyle w:val="Hyperlink"/>
          </w:rPr>
          <w:t>http://apps.who.int/classifications/icd10/browse/2015/en</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34" w:rsidRPr="0097225D" w:rsidRDefault="002D1234" w:rsidP="0097225D">
    <w:pPr>
      <w:pStyle w:val="Header"/>
      <w:jc w:val="right"/>
      <w:rPr>
        <w:rFonts w:ascii="Arial" w:hAnsi="Arial" w:cs="Arial"/>
        <w:i/>
      </w:rPr>
    </w:pPr>
    <w:r w:rsidRPr="0097225D">
      <w:rPr>
        <w:rFonts w:ascii="Arial" w:hAnsi="Arial" w:cs="Arial"/>
        <w:i/>
      </w:rPr>
      <w:t>TAMLC</w:t>
    </w:r>
    <w:r>
      <w:rPr>
        <w:rFonts w:ascii="Arial" w:hAnsi="Arial" w:cs="Arial"/>
        <w:i/>
      </w:rPr>
      <w:t>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87576C"/>
    <w:multiLevelType w:val="hybridMultilevel"/>
    <w:tmpl w:val="35E4FE0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8"/>
  </w:num>
  <w:num w:numId="4">
    <w:abstractNumId w:val="4"/>
  </w:num>
  <w:num w:numId="5">
    <w:abstractNumId w:val="0"/>
  </w:num>
  <w:num w:numId="6">
    <w:abstractNumId w:val="7"/>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225D"/>
    <w:rsid w:val="00020502"/>
    <w:rsid w:val="00045A8F"/>
    <w:rsid w:val="00054D17"/>
    <w:rsid w:val="00094A6C"/>
    <w:rsid w:val="000A32F1"/>
    <w:rsid w:val="000A70E2"/>
    <w:rsid w:val="000D6788"/>
    <w:rsid w:val="00107792"/>
    <w:rsid w:val="00142B20"/>
    <w:rsid w:val="001433B0"/>
    <w:rsid w:val="0014666D"/>
    <w:rsid w:val="0016610F"/>
    <w:rsid w:val="001763BD"/>
    <w:rsid w:val="001827CB"/>
    <w:rsid w:val="00191028"/>
    <w:rsid w:val="001926FF"/>
    <w:rsid w:val="0019465A"/>
    <w:rsid w:val="001A7FE6"/>
    <w:rsid w:val="001B00F9"/>
    <w:rsid w:val="001D5AA4"/>
    <w:rsid w:val="001E45EA"/>
    <w:rsid w:val="002233C8"/>
    <w:rsid w:val="00253A0E"/>
    <w:rsid w:val="00257DD2"/>
    <w:rsid w:val="00262832"/>
    <w:rsid w:val="00293DA0"/>
    <w:rsid w:val="0029595F"/>
    <w:rsid w:val="002A395F"/>
    <w:rsid w:val="002A3C50"/>
    <w:rsid w:val="002C57F0"/>
    <w:rsid w:val="002D1234"/>
    <w:rsid w:val="002D5B9D"/>
    <w:rsid w:val="00322A4F"/>
    <w:rsid w:val="00330CE5"/>
    <w:rsid w:val="00344985"/>
    <w:rsid w:val="003779AE"/>
    <w:rsid w:val="003D01D4"/>
    <w:rsid w:val="00413092"/>
    <w:rsid w:val="00424C5C"/>
    <w:rsid w:val="00425E4D"/>
    <w:rsid w:val="00427B46"/>
    <w:rsid w:val="00430B84"/>
    <w:rsid w:val="00442301"/>
    <w:rsid w:val="00466FA0"/>
    <w:rsid w:val="00484DA1"/>
    <w:rsid w:val="004C45B5"/>
    <w:rsid w:val="004C620C"/>
    <w:rsid w:val="004D0935"/>
    <w:rsid w:val="004D5699"/>
    <w:rsid w:val="004E11C5"/>
    <w:rsid w:val="004F00E5"/>
    <w:rsid w:val="005229AF"/>
    <w:rsid w:val="00531FAC"/>
    <w:rsid w:val="00546F0A"/>
    <w:rsid w:val="0055621B"/>
    <w:rsid w:val="005B7CCB"/>
    <w:rsid w:val="005C7AAC"/>
    <w:rsid w:val="005E7BF4"/>
    <w:rsid w:val="00603521"/>
    <w:rsid w:val="00605A81"/>
    <w:rsid w:val="0060789B"/>
    <w:rsid w:val="006214C1"/>
    <w:rsid w:val="00626577"/>
    <w:rsid w:val="00682746"/>
    <w:rsid w:val="006916EE"/>
    <w:rsid w:val="006D166A"/>
    <w:rsid w:val="00735E9A"/>
    <w:rsid w:val="007640CF"/>
    <w:rsid w:val="00785B52"/>
    <w:rsid w:val="008915F1"/>
    <w:rsid w:val="008C0A6B"/>
    <w:rsid w:val="008C20E8"/>
    <w:rsid w:val="008C21DF"/>
    <w:rsid w:val="008E0AEA"/>
    <w:rsid w:val="008F017E"/>
    <w:rsid w:val="009138EE"/>
    <w:rsid w:val="00931388"/>
    <w:rsid w:val="0097225D"/>
    <w:rsid w:val="0097273A"/>
    <w:rsid w:val="009A2C6A"/>
    <w:rsid w:val="009C3DD2"/>
    <w:rsid w:val="009F79CA"/>
    <w:rsid w:val="00A00770"/>
    <w:rsid w:val="00A36E26"/>
    <w:rsid w:val="00A542E9"/>
    <w:rsid w:val="00A81491"/>
    <w:rsid w:val="00A82960"/>
    <w:rsid w:val="00A92874"/>
    <w:rsid w:val="00B21422"/>
    <w:rsid w:val="00B43F4B"/>
    <w:rsid w:val="00B91AF8"/>
    <w:rsid w:val="00BB5D1F"/>
    <w:rsid w:val="00BC340B"/>
    <w:rsid w:val="00C661F0"/>
    <w:rsid w:val="00C80AC4"/>
    <w:rsid w:val="00CD232E"/>
    <w:rsid w:val="00CD7D5B"/>
    <w:rsid w:val="00D03E50"/>
    <w:rsid w:val="00D06F21"/>
    <w:rsid w:val="00D152CF"/>
    <w:rsid w:val="00D2692B"/>
    <w:rsid w:val="00D50CFE"/>
    <w:rsid w:val="00DA3759"/>
    <w:rsid w:val="00DD012C"/>
    <w:rsid w:val="00DD24B4"/>
    <w:rsid w:val="00DD7273"/>
    <w:rsid w:val="00E02A61"/>
    <w:rsid w:val="00E10E50"/>
    <w:rsid w:val="00E4591C"/>
    <w:rsid w:val="00E732AC"/>
    <w:rsid w:val="00E7432D"/>
    <w:rsid w:val="00EA6303"/>
    <w:rsid w:val="00EC6516"/>
    <w:rsid w:val="00ED06BD"/>
    <w:rsid w:val="00F05E93"/>
    <w:rsid w:val="00F23F6E"/>
    <w:rsid w:val="00F462C9"/>
    <w:rsid w:val="00FB08A6"/>
    <w:rsid w:val="00FF7D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2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25D"/>
  </w:style>
  <w:style w:type="paragraph" w:styleId="Footer">
    <w:name w:val="footer"/>
    <w:basedOn w:val="Normal"/>
    <w:link w:val="FooterChar"/>
    <w:uiPriority w:val="99"/>
    <w:unhideWhenUsed/>
    <w:rsid w:val="00972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25D"/>
  </w:style>
  <w:style w:type="paragraph" w:styleId="FootnoteText">
    <w:name w:val="footnote text"/>
    <w:basedOn w:val="Normal"/>
    <w:link w:val="FootnoteTextChar"/>
    <w:uiPriority w:val="99"/>
    <w:semiHidden/>
    <w:unhideWhenUsed/>
    <w:rsid w:val="00972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25D"/>
    <w:rPr>
      <w:rFonts w:eastAsiaTheme="minorEastAsia"/>
      <w:sz w:val="20"/>
      <w:szCs w:val="20"/>
      <w:lang w:eastAsia="en-GB"/>
    </w:rPr>
  </w:style>
  <w:style w:type="character" w:styleId="FootnoteReference">
    <w:name w:val="footnote reference"/>
    <w:basedOn w:val="DefaultParagraphFont"/>
    <w:uiPriority w:val="99"/>
    <w:semiHidden/>
    <w:unhideWhenUsed/>
    <w:rsid w:val="0097225D"/>
    <w:rPr>
      <w:vertAlign w:val="superscript"/>
    </w:rPr>
  </w:style>
  <w:style w:type="character" w:styleId="Hyperlink">
    <w:name w:val="Hyperlink"/>
    <w:basedOn w:val="DefaultParagraphFont"/>
    <w:uiPriority w:val="99"/>
    <w:unhideWhenUsed/>
    <w:rsid w:val="0097225D"/>
    <w:rPr>
      <w:color w:val="0000FF" w:themeColor="hyperlink"/>
      <w:u w:val="single"/>
    </w:rPr>
  </w:style>
  <w:style w:type="paragraph" w:styleId="ListParagraph">
    <w:name w:val="List Paragraph"/>
    <w:basedOn w:val="Normal"/>
    <w:uiPriority w:val="34"/>
    <w:qFormat/>
    <w:rsid w:val="0097225D"/>
    <w:pPr>
      <w:ind w:left="720"/>
      <w:contextualSpacing/>
    </w:pPr>
  </w:style>
  <w:style w:type="paragraph" w:styleId="BalloonText">
    <w:name w:val="Balloon Text"/>
    <w:basedOn w:val="Normal"/>
    <w:link w:val="BalloonTextChar"/>
    <w:uiPriority w:val="99"/>
    <w:semiHidden/>
    <w:unhideWhenUsed/>
    <w:rsid w:val="0097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5D"/>
    <w:rPr>
      <w:rFonts w:ascii="Tahoma" w:hAnsi="Tahoma" w:cs="Tahoma"/>
      <w:sz w:val="16"/>
      <w:szCs w:val="16"/>
    </w:rPr>
  </w:style>
  <w:style w:type="character" w:styleId="CommentReference">
    <w:name w:val="annotation reference"/>
    <w:basedOn w:val="DefaultParagraphFont"/>
    <w:uiPriority w:val="99"/>
    <w:semiHidden/>
    <w:unhideWhenUsed/>
    <w:rsid w:val="00DD24B4"/>
    <w:rPr>
      <w:sz w:val="16"/>
      <w:szCs w:val="16"/>
    </w:rPr>
  </w:style>
  <w:style w:type="paragraph" w:styleId="CommentText">
    <w:name w:val="annotation text"/>
    <w:basedOn w:val="Normal"/>
    <w:link w:val="CommentTextChar"/>
    <w:uiPriority w:val="99"/>
    <w:semiHidden/>
    <w:unhideWhenUsed/>
    <w:rsid w:val="00DD24B4"/>
    <w:pPr>
      <w:spacing w:line="240" w:lineRule="auto"/>
    </w:pPr>
    <w:rPr>
      <w:sz w:val="20"/>
      <w:szCs w:val="20"/>
    </w:rPr>
  </w:style>
  <w:style w:type="character" w:customStyle="1" w:styleId="CommentTextChar">
    <w:name w:val="Comment Text Char"/>
    <w:basedOn w:val="DefaultParagraphFont"/>
    <w:link w:val="CommentText"/>
    <w:uiPriority w:val="99"/>
    <w:semiHidden/>
    <w:rsid w:val="00DD24B4"/>
    <w:rPr>
      <w:sz w:val="20"/>
      <w:szCs w:val="20"/>
    </w:rPr>
  </w:style>
  <w:style w:type="paragraph" w:styleId="CommentSubject">
    <w:name w:val="annotation subject"/>
    <w:basedOn w:val="CommentText"/>
    <w:next w:val="CommentText"/>
    <w:link w:val="CommentSubjectChar"/>
    <w:uiPriority w:val="99"/>
    <w:semiHidden/>
    <w:unhideWhenUsed/>
    <w:rsid w:val="00DD24B4"/>
    <w:rPr>
      <w:b/>
      <w:bCs/>
    </w:rPr>
  </w:style>
  <w:style w:type="character" w:customStyle="1" w:styleId="CommentSubjectChar">
    <w:name w:val="Comment Subject Char"/>
    <w:basedOn w:val="CommentTextChar"/>
    <w:link w:val="CommentSubject"/>
    <w:uiPriority w:val="99"/>
    <w:semiHidden/>
    <w:rsid w:val="00DD24B4"/>
    <w:rPr>
      <w:b/>
      <w:bCs/>
      <w:sz w:val="20"/>
      <w:szCs w:val="20"/>
    </w:rPr>
  </w:style>
  <w:style w:type="table" w:styleId="TableGrid">
    <w:name w:val="Table Grid"/>
    <w:basedOn w:val="TableNormal"/>
    <w:uiPriority w:val="59"/>
    <w:rsid w:val="00A54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2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25D"/>
  </w:style>
  <w:style w:type="paragraph" w:styleId="Footer">
    <w:name w:val="footer"/>
    <w:basedOn w:val="Normal"/>
    <w:link w:val="FooterChar"/>
    <w:uiPriority w:val="99"/>
    <w:unhideWhenUsed/>
    <w:rsid w:val="00972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25D"/>
  </w:style>
  <w:style w:type="paragraph" w:styleId="FootnoteText">
    <w:name w:val="footnote text"/>
    <w:basedOn w:val="Normal"/>
    <w:link w:val="FootnoteTextChar"/>
    <w:uiPriority w:val="99"/>
    <w:semiHidden/>
    <w:unhideWhenUsed/>
    <w:rsid w:val="00972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25D"/>
    <w:rPr>
      <w:rFonts w:eastAsiaTheme="minorEastAsia"/>
      <w:sz w:val="20"/>
      <w:szCs w:val="20"/>
      <w:lang w:eastAsia="en-GB"/>
    </w:rPr>
  </w:style>
  <w:style w:type="character" w:styleId="FootnoteReference">
    <w:name w:val="footnote reference"/>
    <w:basedOn w:val="DefaultParagraphFont"/>
    <w:uiPriority w:val="99"/>
    <w:semiHidden/>
    <w:unhideWhenUsed/>
    <w:rsid w:val="0097225D"/>
    <w:rPr>
      <w:vertAlign w:val="superscript"/>
    </w:rPr>
  </w:style>
  <w:style w:type="character" w:styleId="Hyperlink">
    <w:name w:val="Hyperlink"/>
    <w:basedOn w:val="DefaultParagraphFont"/>
    <w:uiPriority w:val="99"/>
    <w:unhideWhenUsed/>
    <w:rsid w:val="0097225D"/>
    <w:rPr>
      <w:color w:val="0000FF" w:themeColor="hyperlink"/>
      <w:u w:val="single"/>
    </w:rPr>
  </w:style>
  <w:style w:type="paragraph" w:styleId="ListParagraph">
    <w:name w:val="List Paragraph"/>
    <w:basedOn w:val="Normal"/>
    <w:uiPriority w:val="34"/>
    <w:qFormat/>
    <w:rsid w:val="0097225D"/>
    <w:pPr>
      <w:ind w:left="720"/>
      <w:contextualSpacing/>
    </w:pPr>
  </w:style>
  <w:style w:type="paragraph" w:styleId="BalloonText">
    <w:name w:val="Balloon Text"/>
    <w:basedOn w:val="Normal"/>
    <w:link w:val="BalloonTextChar"/>
    <w:uiPriority w:val="99"/>
    <w:semiHidden/>
    <w:unhideWhenUsed/>
    <w:rsid w:val="0097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5D"/>
    <w:rPr>
      <w:rFonts w:ascii="Tahoma" w:hAnsi="Tahoma" w:cs="Tahoma"/>
      <w:sz w:val="16"/>
      <w:szCs w:val="16"/>
    </w:rPr>
  </w:style>
  <w:style w:type="character" w:styleId="CommentReference">
    <w:name w:val="annotation reference"/>
    <w:basedOn w:val="DefaultParagraphFont"/>
    <w:uiPriority w:val="99"/>
    <w:semiHidden/>
    <w:unhideWhenUsed/>
    <w:rsid w:val="00DD24B4"/>
    <w:rPr>
      <w:sz w:val="16"/>
      <w:szCs w:val="16"/>
    </w:rPr>
  </w:style>
  <w:style w:type="paragraph" w:styleId="CommentText">
    <w:name w:val="annotation text"/>
    <w:basedOn w:val="Normal"/>
    <w:link w:val="CommentTextChar"/>
    <w:uiPriority w:val="99"/>
    <w:semiHidden/>
    <w:unhideWhenUsed/>
    <w:rsid w:val="00DD24B4"/>
    <w:pPr>
      <w:spacing w:line="240" w:lineRule="auto"/>
    </w:pPr>
    <w:rPr>
      <w:sz w:val="20"/>
      <w:szCs w:val="20"/>
    </w:rPr>
  </w:style>
  <w:style w:type="character" w:customStyle="1" w:styleId="CommentTextChar">
    <w:name w:val="Comment Text Char"/>
    <w:basedOn w:val="DefaultParagraphFont"/>
    <w:link w:val="CommentText"/>
    <w:uiPriority w:val="99"/>
    <w:semiHidden/>
    <w:rsid w:val="00DD24B4"/>
    <w:rPr>
      <w:sz w:val="20"/>
      <w:szCs w:val="20"/>
    </w:rPr>
  </w:style>
  <w:style w:type="paragraph" w:styleId="CommentSubject">
    <w:name w:val="annotation subject"/>
    <w:basedOn w:val="CommentText"/>
    <w:next w:val="CommentText"/>
    <w:link w:val="CommentSubjectChar"/>
    <w:uiPriority w:val="99"/>
    <w:semiHidden/>
    <w:unhideWhenUsed/>
    <w:rsid w:val="00DD24B4"/>
    <w:rPr>
      <w:b/>
      <w:bCs/>
    </w:rPr>
  </w:style>
  <w:style w:type="character" w:customStyle="1" w:styleId="CommentSubjectChar">
    <w:name w:val="Comment Subject Char"/>
    <w:basedOn w:val="CommentTextChar"/>
    <w:link w:val="CommentSubject"/>
    <w:uiPriority w:val="99"/>
    <w:semiHidden/>
    <w:rsid w:val="00DD24B4"/>
    <w:rPr>
      <w:b/>
      <w:bCs/>
      <w:sz w:val="20"/>
      <w:szCs w:val="20"/>
    </w:rPr>
  </w:style>
  <w:style w:type="table" w:styleId="TableGrid">
    <w:name w:val="Table Grid"/>
    <w:basedOn w:val="TableNormal"/>
    <w:uiPriority w:val="59"/>
    <w:rsid w:val="00A5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281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cotlandscensus.gov.uk/variables-classification/highest-level-qualification"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pps.who.int/classifications/icd10/browse/2015/en" TargetMode="External"/><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A295D-3F70-4F2F-89AE-A202E46B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Touati</dc:creator>
  <cp:lastModifiedBy>Sarah Touati</cp:lastModifiedBy>
  <cp:revision>6</cp:revision>
  <cp:lastPrinted>2015-12-04T15:35:00Z</cp:lastPrinted>
  <dcterms:created xsi:type="dcterms:W3CDTF">2016-01-11T18:00:00Z</dcterms:created>
  <dcterms:modified xsi:type="dcterms:W3CDTF">2016-01-12T10:53:00Z</dcterms:modified>
</cp:coreProperties>
</file>