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D4" w:rsidRDefault="003840D4" w:rsidP="003840D4">
      <w:pPr>
        <w:rPr>
          <w:rFonts w:ascii="Arial" w:hAnsi="Arial" w:cs="Arial"/>
          <w:b/>
        </w:rPr>
      </w:pPr>
      <w:r w:rsidRPr="00180CFC">
        <w:rPr>
          <w:rFonts w:ascii="Arial" w:hAnsi="Arial" w:cs="Arial"/>
          <w:b/>
        </w:rPr>
        <w:t>TAGRA ACUTE MLC SUBGROUP</w:t>
      </w:r>
      <w:r>
        <w:rPr>
          <w:rFonts w:ascii="Arial" w:hAnsi="Arial" w:cs="Arial"/>
          <w:b/>
        </w:rPr>
        <w:t xml:space="preserve">                                               Tuesday</w:t>
      </w:r>
      <w:r w:rsidRPr="00A144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15</w:t>
      </w:r>
      <w:r w:rsidRPr="00430B84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March 2016</w:t>
      </w:r>
    </w:p>
    <w:p w:rsidR="003840D4" w:rsidRDefault="003840D4" w:rsidP="003840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ADDENDUM TO ‘INDICATOR SELECTION RESULTS – PART 2’</w:t>
      </w:r>
    </w:p>
    <w:p w:rsidR="00DB0763" w:rsidRDefault="00DB0763" w:rsidP="00CD63D7">
      <w:pPr>
        <w:spacing w:after="240" w:line="276" w:lineRule="auto"/>
        <w:jc w:val="both"/>
        <w:rPr>
          <w:rFonts w:ascii="Arial" w:hAnsi="Arial" w:cs="Arial"/>
        </w:rPr>
      </w:pPr>
    </w:p>
    <w:p w:rsidR="00CC2ED2" w:rsidRPr="00CC2ED2" w:rsidRDefault="00CC2ED2" w:rsidP="00CD63D7">
      <w:pPr>
        <w:spacing w:after="240" w:line="276" w:lineRule="auto"/>
        <w:jc w:val="both"/>
        <w:rPr>
          <w:rFonts w:ascii="Arial" w:hAnsi="Arial" w:cs="Arial"/>
          <w:b/>
        </w:rPr>
      </w:pPr>
      <w:r w:rsidRPr="00CC2ED2">
        <w:rPr>
          <w:rFonts w:ascii="Arial" w:hAnsi="Arial" w:cs="Arial"/>
          <w:b/>
        </w:rPr>
        <w:t>Alternative</w:t>
      </w:r>
      <w:r w:rsidR="00020542">
        <w:rPr>
          <w:rFonts w:ascii="Arial" w:hAnsi="Arial" w:cs="Arial"/>
          <w:b/>
        </w:rPr>
        <w:t xml:space="preserve"> ‘best’</w:t>
      </w:r>
      <w:r w:rsidRPr="00CC2ED2">
        <w:rPr>
          <w:rFonts w:ascii="Arial" w:hAnsi="Arial" w:cs="Arial"/>
          <w:b/>
        </w:rPr>
        <w:t xml:space="preserve"> index options </w:t>
      </w:r>
    </w:p>
    <w:p w:rsidR="003840D4" w:rsidRDefault="003840D4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section 4 of paper TAMLC43, the ‘top’ 1, 2, 3 and 4 indicators were identified. They were the combinations of variables that had the highest R</w:t>
      </w:r>
      <w:r w:rsidRPr="003840D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in regressions in which each variable was included </w:t>
      </w:r>
      <w:r w:rsidRPr="003840D4">
        <w:rPr>
          <w:rFonts w:ascii="Arial" w:hAnsi="Arial" w:cs="Arial"/>
          <w:i/>
        </w:rPr>
        <w:t>separately</w:t>
      </w:r>
      <w:r w:rsidR="00AF50DE">
        <w:rPr>
          <w:rFonts w:ascii="Arial" w:hAnsi="Arial" w:cs="Arial"/>
        </w:rPr>
        <w:t xml:space="preserve"> – i.e.</w:t>
      </w:r>
      <w:r w:rsidR="009A1638">
        <w:rPr>
          <w:rFonts w:ascii="Arial" w:hAnsi="Arial" w:cs="Arial"/>
        </w:rPr>
        <w:t xml:space="preserve"> in</w:t>
      </w:r>
      <w:r w:rsidR="00AF50DE">
        <w:rPr>
          <w:rFonts w:ascii="Arial" w:hAnsi="Arial" w:cs="Arial"/>
        </w:rPr>
        <w:t xml:space="preserve"> multiple regressions.</w:t>
      </w:r>
    </w:p>
    <w:p w:rsidR="003840D4" w:rsidRDefault="003840D4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the NRAC formula, the indicators of need are transformed into a ‘needs index’ (as the sum of the Z-scores of the indicators).</w:t>
      </w:r>
      <w:r w:rsidRPr="00384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When the index options were transformed into an index in this way and regressions carried out</w:t>
      </w:r>
      <w:r w:rsidR="00CA1027">
        <w:rPr>
          <w:rFonts w:ascii="Arial" w:hAnsi="Arial" w:cs="Arial"/>
        </w:rPr>
        <w:t>, in section 5 of the paper</w:t>
      </w:r>
      <w:r>
        <w:rPr>
          <w:rFonts w:ascii="Arial" w:hAnsi="Arial" w:cs="Arial"/>
        </w:rPr>
        <w:t xml:space="preserve">, it was noted (Table </w:t>
      </w:r>
      <w:r w:rsidR="00B52519">
        <w:rPr>
          <w:rFonts w:ascii="Arial" w:hAnsi="Arial" w:cs="Arial"/>
        </w:rPr>
        <w:t>9</w:t>
      </w:r>
      <w:r>
        <w:rPr>
          <w:rFonts w:ascii="Arial" w:hAnsi="Arial" w:cs="Arial"/>
        </w:rPr>
        <w:t>) that the current Acute MLC index – which consists of two variables, LLTI and All-cause SMR – sometimes produced higher R</w:t>
      </w:r>
      <w:r w:rsidRPr="003840D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than the ‘best’ 2 variables identified in section 4.</w:t>
      </w:r>
      <w:r w:rsidR="00AF50DE">
        <w:rPr>
          <w:rFonts w:ascii="Arial" w:hAnsi="Arial" w:cs="Arial"/>
        </w:rPr>
        <w:t xml:space="preserve"> </w:t>
      </w:r>
      <w:r w:rsidR="004020C9">
        <w:rPr>
          <w:rFonts w:ascii="Arial" w:hAnsi="Arial" w:cs="Arial"/>
        </w:rPr>
        <w:t>Clearly,</w:t>
      </w:r>
      <w:r w:rsidR="00AF50DE">
        <w:rPr>
          <w:rFonts w:ascii="Arial" w:hAnsi="Arial" w:cs="Arial"/>
        </w:rPr>
        <w:t xml:space="preserve"> the best variables in a multiple regression do not necessarily form the best combined </w:t>
      </w:r>
      <w:r w:rsidR="00AF50DE" w:rsidRPr="00AF50DE">
        <w:rPr>
          <w:rFonts w:ascii="Arial" w:hAnsi="Arial" w:cs="Arial"/>
          <w:i/>
        </w:rPr>
        <w:t>index</w:t>
      </w:r>
      <w:r w:rsidR="00AF50DE">
        <w:rPr>
          <w:rFonts w:ascii="Arial" w:hAnsi="Arial" w:cs="Arial"/>
        </w:rPr>
        <w:t>.</w:t>
      </w:r>
    </w:p>
    <w:p w:rsidR="003840D4" w:rsidRDefault="003840D4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Because of this, we have now repeated the analysis of section 4</w:t>
      </w:r>
      <w:r w:rsidR="00AF50DE">
        <w:rPr>
          <w:rFonts w:ascii="Arial" w:hAnsi="Arial" w:cs="Arial"/>
        </w:rPr>
        <w:t xml:space="preserve"> to choose the top 4,</w:t>
      </w:r>
      <w:r>
        <w:rPr>
          <w:rFonts w:ascii="Arial" w:hAnsi="Arial" w:cs="Arial"/>
        </w:rPr>
        <w:t xml:space="preserve"> but </w:t>
      </w:r>
      <w:r w:rsidR="00AF50DE">
        <w:rPr>
          <w:rFonts w:ascii="Arial" w:hAnsi="Arial" w:cs="Arial"/>
        </w:rPr>
        <w:t>based</w:t>
      </w:r>
      <w:r>
        <w:rPr>
          <w:rFonts w:ascii="Arial" w:hAnsi="Arial" w:cs="Arial"/>
        </w:rPr>
        <w:t xml:space="preserve"> on </w:t>
      </w:r>
      <w:r w:rsidRPr="00AF50DE">
        <w:rPr>
          <w:rFonts w:ascii="Arial" w:hAnsi="Arial" w:cs="Arial"/>
        </w:rPr>
        <w:t>indexes</w:t>
      </w:r>
      <w:r>
        <w:rPr>
          <w:rFonts w:ascii="Arial" w:hAnsi="Arial" w:cs="Arial"/>
        </w:rPr>
        <w:t xml:space="preserve"> formed of combinations of variables, rather than keeping the variables separate. The </w:t>
      </w:r>
      <w:r w:rsidR="00CA1027">
        <w:rPr>
          <w:rFonts w:ascii="Arial" w:hAnsi="Arial" w:cs="Arial"/>
        </w:rPr>
        <w:t>resulting ‘alternative’ top 4s</w:t>
      </w:r>
      <w:r>
        <w:rPr>
          <w:rFonts w:ascii="Arial" w:hAnsi="Arial" w:cs="Arial"/>
        </w:rPr>
        <w:t xml:space="preserve"> are </w:t>
      </w:r>
      <w:r w:rsidR="00B52519">
        <w:rPr>
          <w:rFonts w:ascii="Arial" w:hAnsi="Arial" w:cs="Arial"/>
        </w:rPr>
        <w:t>shown in Table 16</w:t>
      </w:r>
      <w:r>
        <w:rPr>
          <w:rFonts w:ascii="Arial" w:hAnsi="Arial" w:cs="Arial"/>
        </w:rPr>
        <w:t>.</w:t>
      </w:r>
    </w:p>
    <w:p w:rsidR="00B52519" w:rsidRPr="0022071D" w:rsidRDefault="00B52519" w:rsidP="00B52519">
      <w:pPr>
        <w:spacing w:after="0" w:line="240" w:lineRule="auto"/>
        <w:jc w:val="both"/>
        <w:rPr>
          <w:rFonts w:ascii="Arial" w:hAnsi="Arial" w:cs="Arial"/>
          <w:i/>
        </w:rPr>
      </w:pPr>
      <w:r w:rsidRPr="0022071D">
        <w:rPr>
          <w:rFonts w:ascii="Arial" w:hAnsi="Arial" w:cs="Arial"/>
          <w:i/>
        </w:rPr>
        <w:t xml:space="preserve">Table </w:t>
      </w:r>
      <w:r>
        <w:rPr>
          <w:rFonts w:ascii="Arial" w:hAnsi="Arial" w:cs="Arial"/>
          <w:i/>
        </w:rPr>
        <w:t>16</w:t>
      </w:r>
      <w:r w:rsidRPr="0022071D">
        <w:rPr>
          <w:rFonts w:ascii="Arial" w:hAnsi="Arial" w:cs="Arial"/>
          <w:i/>
        </w:rPr>
        <w:t>: Top 4 in</w:t>
      </w:r>
      <w:r>
        <w:rPr>
          <w:rFonts w:ascii="Arial" w:hAnsi="Arial" w:cs="Arial"/>
          <w:i/>
        </w:rPr>
        <w:t>dicators derived by regression analysis on indexes</w:t>
      </w:r>
    </w:p>
    <w:tbl>
      <w:tblPr>
        <w:tblStyle w:val="TableGrid"/>
        <w:tblW w:w="9640" w:type="dxa"/>
        <w:tblInd w:w="-176" w:type="dxa"/>
        <w:tblLook w:val="04A0"/>
      </w:tblPr>
      <w:tblGrid>
        <w:gridCol w:w="710"/>
        <w:gridCol w:w="2693"/>
        <w:gridCol w:w="2835"/>
        <w:gridCol w:w="3402"/>
      </w:tblGrid>
      <w:tr w:rsidR="00E14464" w:rsidRPr="002F1D62" w:rsidTr="004020C9">
        <w:trPr>
          <w:trHeight w:val="447"/>
        </w:trPr>
        <w:tc>
          <w:tcPr>
            <w:tcW w:w="710" w:type="dxa"/>
          </w:tcPr>
          <w:p w:rsidR="00E14464" w:rsidRPr="002F1D62" w:rsidRDefault="00E14464" w:rsidP="00CB4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14464" w:rsidRPr="002F1D62" w:rsidRDefault="00E14464" w:rsidP="00CB4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D62">
              <w:rPr>
                <w:rFonts w:ascii="Arial" w:hAnsi="Arial" w:cs="Arial"/>
                <w:b/>
                <w:sz w:val="20"/>
                <w:szCs w:val="20"/>
              </w:rPr>
              <w:t>Common top 4</w:t>
            </w:r>
          </w:p>
        </w:tc>
        <w:tc>
          <w:tcPr>
            <w:tcW w:w="2835" w:type="dxa"/>
            <w:vAlign w:val="center"/>
          </w:tcPr>
          <w:p w:rsidR="00E14464" w:rsidRPr="002F1D62" w:rsidRDefault="00E14464" w:rsidP="00CB4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D62">
              <w:rPr>
                <w:rFonts w:ascii="Arial" w:hAnsi="Arial" w:cs="Arial"/>
                <w:b/>
                <w:sz w:val="20"/>
                <w:szCs w:val="20"/>
              </w:rPr>
              <w:t>Whole Acute top 4</w:t>
            </w:r>
          </w:p>
        </w:tc>
        <w:tc>
          <w:tcPr>
            <w:tcW w:w="3402" w:type="dxa"/>
            <w:vAlign w:val="center"/>
          </w:tcPr>
          <w:p w:rsidR="00E14464" w:rsidRPr="002F1D62" w:rsidRDefault="00E14464" w:rsidP="00CB4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D62">
              <w:rPr>
                <w:rFonts w:ascii="Arial" w:hAnsi="Arial" w:cs="Arial"/>
                <w:b/>
                <w:sz w:val="20"/>
                <w:szCs w:val="20"/>
              </w:rPr>
              <w:t>Cancer specific top 4</w:t>
            </w:r>
          </w:p>
        </w:tc>
      </w:tr>
      <w:tr w:rsidR="00E14464" w:rsidRPr="002F1D62" w:rsidTr="004020C9">
        <w:tc>
          <w:tcPr>
            <w:tcW w:w="710" w:type="dxa"/>
          </w:tcPr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1</w:t>
            </w:r>
          </w:p>
          <w:p w:rsidR="00B52519" w:rsidRPr="008C5BCB" w:rsidRDefault="00B52519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2</w:t>
            </w:r>
          </w:p>
          <w:p w:rsidR="00B52519" w:rsidRPr="008C5BCB" w:rsidRDefault="00B52519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3</w:t>
            </w:r>
          </w:p>
          <w:p w:rsidR="00B52519" w:rsidRDefault="00B52519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52519" w:rsidRPr="008C5BCB" w:rsidRDefault="00B52519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14464" w:rsidRPr="008C5BCB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4</w:t>
            </w:r>
          </w:p>
        </w:tc>
        <w:tc>
          <w:tcPr>
            <w:tcW w:w="2693" w:type="dxa"/>
          </w:tcPr>
          <w:p w:rsidR="00CC5429" w:rsidRDefault="00CC542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5429">
              <w:rPr>
                <w:rFonts w:ascii="Arial" w:hAnsi="Arial" w:cs="Arial"/>
                <w:sz w:val="18"/>
                <w:szCs w:val="18"/>
              </w:rPr>
              <w:t xml:space="preserve">LLTI </w:t>
            </w:r>
          </w:p>
          <w:p w:rsidR="00B52519" w:rsidRPr="00CC5429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C5429" w:rsidRDefault="00CC542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5429">
              <w:rPr>
                <w:rFonts w:ascii="Arial" w:hAnsi="Arial" w:cs="Arial"/>
                <w:sz w:val="18"/>
                <w:szCs w:val="18"/>
              </w:rPr>
              <w:t>LLTI, General health</w:t>
            </w:r>
          </w:p>
          <w:p w:rsidR="00B52519" w:rsidRPr="00CC5429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C5429" w:rsidRDefault="00CC542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5429">
              <w:rPr>
                <w:rFonts w:ascii="Arial" w:hAnsi="Arial" w:cs="Arial"/>
                <w:sz w:val="18"/>
                <w:szCs w:val="18"/>
              </w:rPr>
              <w:t>LLTI, HRI, DNA</w:t>
            </w:r>
          </w:p>
          <w:p w:rsidR="00B52519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52519" w:rsidRPr="00CC5429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Pr="009E6CBA" w:rsidRDefault="00CC542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5429">
              <w:rPr>
                <w:rFonts w:ascii="Arial" w:hAnsi="Arial" w:cs="Arial"/>
                <w:sz w:val="18"/>
                <w:szCs w:val="18"/>
              </w:rPr>
              <w:t>LLTI, HRI, DNA, Unpaid care</w:t>
            </w:r>
          </w:p>
        </w:tc>
        <w:tc>
          <w:tcPr>
            <w:tcW w:w="2835" w:type="dxa"/>
          </w:tcPr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D62">
              <w:rPr>
                <w:rFonts w:ascii="Arial" w:hAnsi="Arial" w:cs="Arial"/>
                <w:color w:val="000000"/>
                <w:sz w:val="18"/>
                <w:szCs w:val="18"/>
              </w:rPr>
              <w:t xml:space="preserve">LLTI </w:t>
            </w:r>
          </w:p>
          <w:p w:rsidR="00B52519" w:rsidRPr="002F1D62" w:rsidRDefault="00B52519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1D62">
              <w:rPr>
                <w:rFonts w:ascii="Arial" w:hAnsi="Arial" w:cs="Arial"/>
                <w:color w:val="000000"/>
                <w:sz w:val="18"/>
                <w:szCs w:val="18"/>
              </w:rPr>
              <w:t xml:space="preserve">LLTI, </w:t>
            </w:r>
            <w:r w:rsidRPr="002F1D62">
              <w:rPr>
                <w:rFonts w:ascii="Arial" w:hAnsi="Arial" w:cs="Arial"/>
                <w:sz w:val="18"/>
                <w:szCs w:val="18"/>
              </w:rPr>
              <w:t>General health</w:t>
            </w:r>
          </w:p>
          <w:p w:rsidR="00B52519" w:rsidRPr="00167B7F" w:rsidRDefault="00B52519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4464" w:rsidRDefault="00167B7F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LLTI, HRI, DNA</w:t>
            </w:r>
          </w:p>
          <w:p w:rsidR="00B52519" w:rsidRDefault="00B52519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2519" w:rsidRPr="00167B7F" w:rsidRDefault="00B52519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4464" w:rsidRPr="002F1D62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1D62">
              <w:rPr>
                <w:rFonts w:ascii="Arial" w:hAnsi="Arial" w:cs="Arial"/>
                <w:sz w:val="18"/>
                <w:szCs w:val="18"/>
              </w:rPr>
              <w:t>LLTI, HRI, DNA,</w:t>
            </w:r>
            <w:r w:rsidR="00CC5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B7F">
              <w:rPr>
                <w:rFonts w:ascii="Arial" w:hAnsi="Arial" w:cs="Arial"/>
                <w:sz w:val="18"/>
                <w:szCs w:val="18"/>
              </w:rPr>
              <w:t>Unpaid care</w:t>
            </w:r>
          </w:p>
        </w:tc>
        <w:tc>
          <w:tcPr>
            <w:tcW w:w="3402" w:type="dxa"/>
          </w:tcPr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D62">
              <w:rPr>
                <w:rFonts w:ascii="Arial" w:hAnsi="Arial" w:cs="Arial"/>
                <w:color w:val="000000"/>
                <w:sz w:val="18"/>
                <w:szCs w:val="18"/>
              </w:rPr>
              <w:t>Cancer SMR</w:t>
            </w:r>
          </w:p>
          <w:p w:rsidR="00B52519" w:rsidRPr="002F1D62" w:rsidRDefault="00B52519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D62">
              <w:rPr>
                <w:rFonts w:ascii="Arial" w:hAnsi="Arial" w:cs="Arial"/>
                <w:color w:val="000000"/>
                <w:sz w:val="18"/>
                <w:szCs w:val="18"/>
              </w:rPr>
              <w:t>Cancer SMR, HRI</w:t>
            </w:r>
          </w:p>
          <w:p w:rsidR="00B52519" w:rsidRPr="002F1D62" w:rsidRDefault="00B52519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4464" w:rsidRDefault="007B1932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1D62">
              <w:rPr>
                <w:rFonts w:ascii="Arial" w:hAnsi="Arial" w:cs="Arial"/>
                <w:color w:val="000000"/>
                <w:sz w:val="18"/>
                <w:szCs w:val="18"/>
              </w:rPr>
              <w:t>Cancer SMR, HRI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F1D62">
              <w:rPr>
                <w:rFonts w:ascii="Arial" w:hAnsi="Arial" w:cs="Arial"/>
                <w:sz w:val="18"/>
                <w:szCs w:val="18"/>
              </w:rPr>
              <w:t>All-cause SMR</w:t>
            </w:r>
          </w:p>
          <w:p w:rsidR="00B52519" w:rsidRPr="00167B7F" w:rsidRDefault="00B52519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4464" w:rsidRPr="00167B7F" w:rsidRDefault="00167B7F" w:rsidP="004C15E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D62">
              <w:rPr>
                <w:rFonts w:ascii="Arial" w:hAnsi="Arial" w:cs="Arial"/>
                <w:color w:val="000000"/>
                <w:sz w:val="18"/>
                <w:szCs w:val="18"/>
              </w:rPr>
              <w:t>Cancer SMR, HRI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F1D62">
              <w:rPr>
                <w:rFonts w:ascii="Arial" w:hAnsi="Arial" w:cs="Arial"/>
                <w:sz w:val="18"/>
                <w:szCs w:val="18"/>
              </w:rPr>
              <w:t>All-cause SMR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C15E1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972060">
              <w:rPr>
                <w:rFonts w:ascii="Arial" w:hAnsi="Arial" w:cs="Arial"/>
                <w:color w:val="000000"/>
                <w:sz w:val="18"/>
                <w:szCs w:val="18"/>
              </w:rPr>
              <w:t>iving alone</w:t>
            </w:r>
            <w:r w:rsidR="00972060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="004C15E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≥</w:t>
            </w:r>
            <w:r w:rsidR="00972060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70</w:t>
            </w:r>
          </w:p>
        </w:tc>
      </w:tr>
      <w:tr w:rsidR="00E14464" w:rsidRPr="002F1D62" w:rsidTr="004020C9">
        <w:trPr>
          <w:trHeight w:val="447"/>
        </w:trPr>
        <w:tc>
          <w:tcPr>
            <w:tcW w:w="710" w:type="dxa"/>
          </w:tcPr>
          <w:p w:rsidR="00E14464" w:rsidRPr="008C5BCB" w:rsidRDefault="00E14464" w:rsidP="00CB4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14464" w:rsidRPr="002F1D62" w:rsidRDefault="00E14464" w:rsidP="00CB4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D62">
              <w:rPr>
                <w:rFonts w:ascii="Arial" w:hAnsi="Arial" w:cs="Arial"/>
                <w:b/>
                <w:sz w:val="20"/>
                <w:szCs w:val="20"/>
              </w:rPr>
              <w:t>Heart specific top 4</w:t>
            </w:r>
          </w:p>
        </w:tc>
        <w:tc>
          <w:tcPr>
            <w:tcW w:w="2835" w:type="dxa"/>
            <w:vAlign w:val="center"/>
          </w:tcPr>
          <w:p w:rsidR="00E14464" w:rsidRPr="002F1D62" w:rsidRDefault="00E14464" w:rsidP="00CB4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D62">
              <w:rPr>
                <w:rFonts w:ascii="Arial" w:hAnsi="Arial" w:cs="Arial"/>
                <w:b/>
                <w:sz w:val="20"/>
                <w:szCs w:val="20"/>
              </w:rPr>
              <w:t>Digestive specific top 4</w:t>
            </w:r>
          </w:p>
        </w:tc>
        <w:tc>
          <w:tcPr>
            <w:tcW w:w="3402" w:type="dxa"/>
            <w:vAlign w:val="center"/>
          </w:tcPr>
          <w:p w:rsidR="00E14464" w:rsidRPr="002F1D62" w:rsidRDefault="00E14464" w:rsidP="00CB4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D62">
              <w:rPr>
                <w:rFonts w:ascii="Arial" w:hAnsi="Arial" w:cs="Arial"/>
                <w:b/>
                <w:sz w:val="20"/>
                <w:szCs w:val="20"/>
              </w:rPr>
              <w:t>Injury specific top 4</w:t>
            </w:r>
          </w:p>
        </w:tc>
      </w:tr>
      <w:tr w:rsidR="00E14464" w:rsidRPr="002F1D62" w:rsidTr="004020C9">
        <w:tc>
          <w:tcPr>
            <w:tcW w:w="710" w:type="dxa"/>
          </w:tcPr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1</w:t>
            </w:r>
          </w:p>
          <w:p w:rsidR="00B52519" w:rsidRPr="008C5BCB" w:rsidRDefault="00B52519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2</w:t>
            </w:r>
          </w:p>
          <w:p w:rsidR="00B52519" w:rsidRPr="008C5BCB" w:rsidRDefault="00B52519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3</w:t>
            </w:r>
          </w:p>
          <w:p w:rsidR="00B52519" w:rsidRPr="008C5BCB" w:rsidRDefault="00B52519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14464" w:rsidRPr="008C5BCB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4</w:t>
            </w:r>
          </w:p>
          <w:p w:rsidR="00E14464" w:rsidRPr="008C5BCB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LLTI 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LLTI, </w:t>
            </w:r>
            <w:r w:rsidRPr="002F1D62">
              <w:rPr>
                <w:rFonts w:ascii="Arial" w:hAnsi="Arial" w:cs="Arial"/>
                <w:sz w:val="18"/>
                <w:szCs w:val="18"/>
              </w:rPr>
              <w:t>General health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>LLTI, HRI, DNA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Pr="006135C0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LLTI, HRI, DNA, </w:t>
            </w:r>
            <w:r w:rsidRPr="006135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General health</w:t>
            </w:r>
          </w:p>
        </w:tc>
        <w:tc>
          <w:tcPr>
            <w:tcW w:w="2835" w:type="dxa"/>
          </w:tcPr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LLTI 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LLTI, </w:t>
            </w:r>
            <w:r w:rsidRPr="002F1D62">
              <w:rPr>
                <w:rFonts w:ascii="Arial" w:hAnsi="Arial" w:cs="Arial"/>
                <w:sz w:val="18"/>
                <w:szCs w:val="18"/>
              </w:rPr>
              <w:t>General health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227F" w:rsidRDefault="0041227F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D62">
              <w:rPr>
                <w:rFonts w:ascii="Arial" w:hAnsi="Arial" w:cs="Arial"/>
                <w:color w:val="000000"/>
                <w:sz w:val="18"/>
                <w:szCs w:val="18"/>
              </w:rPr>
              <w:t>LLTI, HRI, DNA</w:t>
            </w:r>
          </w:p>
          <w:p w:rsidR="00B52519" w:rsidRPr="002F1D62" w:rsidRDefault="00B52519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4464" w:rsidRPr="006135C0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General health, HRI, DNA, </w:t>
            </w:r>
            <w:r w:rsidR="00167B7F">
              <w:rPr>
                <w:rFonts w:ascii="Arial" w:hAnsi="Arial" w:cs="Arial"/>
                <w:sz w:val="18"/>
                <w:szCs w:val="18"/>
              </w:rPr>
              <w:t>Unpaid care</w:t>
            </w:r>
          </w:p>
        </w:tc>
        <w:tc>
          <w:tcPr>
            <w:tcW w:w="3402" w:type="dxa"/>
          </w:tcPr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LLTI 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>DNA, HRI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>LLTI, HRI, DNA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Pr="006135C0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>LLTI, DNA, HRI, General health</w:t>
            </w:r>
          </w:p>
        </w:tc>
      </w:tr>
      <w:tr w:rsidR="00E14464" w:rsidRPr="002F1D62" w:rsidTr="004020C9">
        <w:trPr>
          <w:trHeight w:val="448"/>
        </w:trPr>
        <w:tc>
          <w:tcPr>
            <w:tcW w:w="710" w:type="dxa"/>
          </w:tcPr>
          <w:p w:rsidR="00E14464" w:rsidRPr="008C5BCB" w:rsidRDefault="00E14464" w:rsidP="00CB4A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14464" w:rsidRPr="006135C0" w:rsidRDefault="00E14464" w:rsidP="00CB4AFE">
            <w:pPr>
              <w:rPr>
                <w:rFonts w:ascii="Arial" w:hAnsi="Arial" w:cs="Arial"/>
                <w:sz w:val="18"/>
                <w:szCs w:val="18"/>
              </w:rPr>
            </w:pPr>
            <w:r w:rsidRPr="002F1D62">
              <w:rPr>
                <w:rFonts w:ascii="Arial" w:hAnsi="Arial" w:cs="Arial"/>
                <w:b/>
                <w:sz w:val="20"/>
                <w:szCs w:val="20"/>
              </w:rPr>
              <w:t>Other specific top 4</w:t>
            </w:r>
          </w:p>
        </w:tc>
        <w:tc>
          <w:tcPr>
            <w:tcW w:w="2835" w:type="dxa"/>
            <w:vAlign w:val="center"/>
          </w:tcPr>
          <w:p w:rsidR="00E14464" w:rsidRPr="006135C0" w:rsidRDefault="00E14464" w:rsidP="00CB4AFE">
            <w:pPr>
              <w:rPr>
                <w:rFonts w:ascii="Arial" w:hAnsi="Arial" w:cs="Arial"/>
                <w:sz w:val="18"/>
                <w:szCs w:val="18"/>
              </w:rPr>
            </w:pPr>
            <w:r w:rsidRPr="002F1D62">
              <w:rPr>
                <w:rFonts w:ascii="Arial" w:hAnsi="Arial" w:cs="Arial"/>
                <w:b/>
                <w:sz w:val="20"/>
                <w:szCs w:val="20"/>
              </w:rPr>
              <w:t>Respiratory specific top 4</w:t>
            </w:r>
          </w:p>
        </w:tc>
        <w:tc>
          <w:tcPr>
            <w:tcW w:w="3402" w:type="dxa"/>
            <w:vAlign w:val="center"/>
          </w:tcPr>
          <w:p w:rsidR="00E14464" w:rsidRPr="006135C0" w:rsidRDefault="00E14464" w:rsidP="00CB4AFE">
            <w:pPr>
              <w:rPr>
                <w:rFonts w:ascii="Arial" w:hAnsi="Arial" w:cs="Arial"/>
                <w:sz w:val="18"/>
                <w:szCs w:val="18"/>
              </w:rPr>
            </w:pPr>
            <w:r w:rsidRPr="002F1D62">
              <w:rPr>
                <w:rFonts w:ascii="Arial" w:hAnsi="Arial" w:cs="Arial"/>
                <w:b/>
                <w:sz w:val="20"/>
                <w:szCs w:val="20"/>
              </w:rPr>
              <w:t>Outpatients specific top 4</w:t>
            </w:r>
          </w:p>
        </w:tc>
      </w:tr>
      <w:tr w:rsidR="00E14464" w:rsidRPr="002F1D62" w:rsidTr="004020C9">
        <w:tc>
          <w:tcPr>
            <w:tcW w:w="710" w:type="dxa"/>
          </w:tcPr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1</w:t>
            </w:r>
          </w:p>
          <w:p w:rsidR="00B52519" w:rsidRPr="008C5BCB" w:rsidRDefault="00B52519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2</w:t>
            </w:r>
          </w:p>
          <w:p w:rsidR="00B52519" w:rsidRPr="008C5BCB" w:rsidRDefault="00B52519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3</w:t>
            </w:r>
          </w:p>
          <w:p w:rsidR="00B52519" w:rsidRDefault="00B52519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14464" w:rsidRPr="008C5BCB" w:rsidRDefault="00E14464" w:rsidP="00B525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5BC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 4</w:t>
            </w:r>
          </w:p>
        </w:tc>
        <w:tc>
          <w:tcPr>
            <w:tcW w:w="2693" w:type="dxa"/>
          </w:tcPr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LLTI 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>LLTI, HRI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>LLTI, HRI, DNA</w:t>
            </w:r>
          </w:p>
          <w:p w:rsidR="00B52519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Pr="006135C0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LLTI, HRI, DNA, </w:t>
            </w:r>
            <w:r w:rsidR="00167B7F">
              <w:rPr>
                <w:rFonts w:ascii="Arial" w:hAnsi="Arial" w:cs="Arial"/>
                <w:sz w:val="18"/>
                <w:szCs w:val="18"/>
              </w:rPr>
              <w:t>Unpaid care</w:t>
            </w:r>
          </w:p>
        </w:tc>
        <w:tc>
          <w:tcPr>
            <w:tcW w:w="2835" w:type="dxa"/>
          </w:tcPr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General health 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>General health, LLTI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Default="007B1932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>General health</w:t>
            </w:r>
            <w:r w:rsidR="0041227F" w:rsidRPr="002F1D62">
              <w:rPr>
                <w:rFonts w:ascii="Arial" w:hAnsi="Arial" w:cs="Arial"/>
                <w:color w:val="000000"/>
                <w:sz w:val="18"/>
                <w:szCs w:val="18"/>
              </w:rPr>
              <w:t>, HRI, DNA</w:t>
            </w:r>
          </w:p>
          <w:p w:rsidR="00B52519" w:rsidRPr="00167B7F" w:rsidRDefault="00B52519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4464" w:rsidRPr="006135C0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General health, HRI, DNA, </w:t>
            </w:r>
            <w:r w:rsidR="00972060" w:rsidRPr="002F1D62">
              <w:rPr>
                <w:rFonts w:ascii="Arial" w:hAnsi="Arial" w:cs="Arial"/>
                <w:color w:val="000000"/>
                <w:sz w:val="18"/>
                <w:szCs w:val="18"/>
              </w:rPr>
              <w:t>LLTI</w:t>
            </w:r>
          </w:p>
        </w:tc>
        <w:tc>
          <w:tcPr>
            <w:tcW w:w="3402" w:type="dxa"/>
          </w:tcPr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LLTI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464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>LLTI</w:t>
            </w:r>
            <w:r>
              <w:rPr>
                <w:rFonts w:ascii="Arial" w:hAnsi="Arial" w:cs="Arial"/>
                <w:sz w:val="18"/>
                <w:szCs w:val="18"/>
              </w:rPr>
              <w:t>, Unpaid care</w:t>
            </w:r>
          </w:p>
          <w:p w:rsidR="00B52519" w:rsidRPr="006135C0" w:rsidRDefault="00B52519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227F" w:rsidRDefault="007B1932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>General health</w:t>
            </w:r>
            <w:r w:rsidR="0041227F" w:rsidRPr="002F1D62">
              <w:rPr>
                <w:rFonts w:ascii="Arial" w:hAnsi="Arial" w:cs="Arial"/>
                <w:color w:val="000000"/>
                <w:sz w:val="18"/>
                <w:szCs w:val="18"/>
              </w:rPr>
              <w:t xml:space="preserve">, HRI, </w:t>
            </w:r>
            <w:r>
              <w:rPr>
                <w:rFonts w:ascii="Arial" w:hAnsi="Arial" w:cs="Arial"/>
                <w:sz w:val="18"/>
                <w:szCs w:val="18"/>
              </w:rPr>
              <w:t>Unpaid care</w:t>
            </w:r>
          </w:p>
          <w:p w:rsidR="00B52519" w:rsidRPr="00167B7F" w:rsidRDefault="00B52519" w:rsidP="00B525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4464" w:rsidRPr="006135C0" w:rsidRDefault="00E14464" w:rsidP="00B52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5C0">
              <w:rPr>
                <w:rFonts w:ascii="Arial" w:hAnsi="Arial" w:cs="Arial"/>
                <w:sz w:val="18"/>
                <w:szCs w:val="18"/>
              </w:rPr>
              <w:t xml:space="preserve">Unpaid care, General health, </w:t>
            </w:r>
            <w:r w:rsidR="001D6C49">
              <w:rPr>
                <w:rFonts w:ascii="Arial" w:hAnsi="Arial" w:cs="Arial"/>
                <w:sz w:val="18"/>
                <w:szCs w:val="18"/>
              </w:rPr>
              <w:t>LLTI</w:t>
            </w:r>
            <w:r w:rsidRPr="006135C0">
              <w:rPr>
                <w:rFonts w:ascii="Arial" w:hAnsi="Arial" w:cs="Arial"/>
                <w:sz w:val="18"/>
                <w:szCs w:val="18"/>
              </w:rPr>
              <w:t>, HRI</w:t>
            </w:r>
          </w:p>
        </w:tc>
      </w:tr>
    </w:tbl>
    <w:p w:rsidR="00E14464" w:rsidRPr="00B52519" w:rsidRDefault="00E14464" w:rsidP="00B52519">
      <w:pPr>
        <w:spacing w:after="240" w:line="276" w:lineRule="auto"/>
        <w:rPr>
          <w:rFonts w:ascii="Arial" w:hAnsi="Arial" w:cs="Arial"/>
        </w:rPr>
      </w:pPr>
    </w:p>
    <w:p w:rsidR="00CC5429" w:rsidRDefault="00B52519" w:rsidP="00CD63D7">
      <w:pPr>
        <w:spacing w:after="240" w:line="276" w:lineRule="auto"/>
        <w:jc w:val="both"/>
        <w:rPr>
          <w:rFonts w:ascii="Arial" w:hAnsi="Arial" w:cs="Arial"/>
        </w:rPr>
      </w:pPr>
      <w:r w:rsidRPr="00B52519">
        <w:rPr>
          <w:rFonts w:ascii="Arial" w:hAnsi="Arial" w:cs="Arial"/>
        </w:rPr>
        <w:t>The</w:t>
      </w:r>
      <w:r w:rsidR="00AF50DE">
        <w:rPr>
          <w:rFonts w:ascii="Arial" w:hAnsi="Arial" w:cs="Arial"/>
        </w:rPr>
        <w:t>re are some changes from the top 4s listed in Table 7.</w:t>
      </w:r>
      <w:r w:rsidRPr="00B52519">
        <w:rPr>
          <w:rFonts w:ascii="Arial" w:hAnsi="Arial" w:cs="Arial"/>
        </w:rPr>
        <w:t xml:space="preserve"> </w:t>
      </w:r>
      <w:r w:rsidR="00AF50DE">
        <w:rPr>
          <w:rFonts w:ascii="Arial" w:hAnsi="Arial" w:cs="Arial"/>
        </w:rPr>
        <w:t xml:space="preserve">Particularly, </w:t>
      </w:r>
      <w:r w:rsidRPr="00B52519">
        <w:rPr>
          <w:rFonts w:ascii="Arial" w:hAnsi="Arial" w:cs="Arial"/>
        </w:rPr>
        <w:t>in the top 2s,</w:t>
      </w:r>
      <w:r>
        <w:rPr>
          <w:rFonts w:ascii="Arial" w:hAnsi="Arial" w:cs="Arial"/>
        </w:rPr>
        <w:t xml:space="preserve"> HRI is now often replaced with General health; and in the top 4s, Ethnicity is often replaced with </w:t>
      </w:r>
      <w:proofErr w:type="gramStart"/>
      <w:r>
        <w:rPr>
          <w:rFonts w:ascii="Arial" w:hAnsi="Arial" w:cs="Arial"/>
        </w:rPr>
        <w:t>Unpaid</w:t>
      </w:r>
      <w:proofErr w:type="gramEnd"/>
      <w:r>
        <w:rPr>
          <w:rFonts w:ascii="Arial" w:hAnsi="Arial" w:cs="Arial"/>
        </w:rPr>
        <w:t xml:space="preserve"> care.</w:t>
      </w:r>
    </w:p>
    <w:p w:rsidR="00F3210D" w:rsidRDefault="00F3210D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 common and specific index options now </w:t>
      </w:r>
      <w:r w:rsidR="004020C9">
        <w:rPr>
          <w:rFonts w:ascii="Arial" w:hAnsi="Arial" w:cs="Arial"/>
        </w:rPr>
        <w:t>turn out to be subsets of a group</w:t>
      </w:r>
      <w:r w:rsidR="004C15E1">
        <w:rPr>
          <w:rFonts w:ascii="Arial" w:hAnsi="Arial" w:cs="Arial"/>
        </w:rPr>
        <w:t xml:space="preserve"> of five variables</w:t>
      </w:r>
      <w:r>
        <w:rPr>
          <w:rFonts w:ascii="Arial" w:hAnsi="Arial" w:cs="Arial"/>
        </w:rPr>
        <w:t xml:space="preserve"> – LLTI, General health, HRI, DNA, and Unpaid care </w:t>
      </w:r>
      <w:r w:rsidR="004C15E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C15E1">
        <w:rPr>
          <w:rFonts w:ascii="Arial" w:hAnsi="Arial" w:cs="Arial"/>
        </w:rPr>
        <w:t xml:space="preserve">with the exception of Cancer which </w:t>
      </w:r>
      <w:r w:rsidR="004020C9">
        <w:rPr>
          <w:rFonts w:ascii="Arial" w:hAnsi="Arial" w:cs="Arial"/>
        </w:rPr>
        <w:t xml:space="preserve">still </w:t>
      </w:r>
      <w:r w:rsidR="004C15E1">
        <w:rPr>
          <w:rFonts w:ascii="Arial" w:hAnsi="Arial" w:cs="Arial"/>
        </w:rPr>
        <w:t>has two further variables (Cancer SMR, Living alone ≥70) in its specific sets.</w:t>
      </w:r>
    </w:p>
    <w:p w:rsidR="00AF50DE" w:rsidRDefault="00B52519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Table 17 shows the R</w:t>
      </w:r>
      <w:r w:rsidRPr="00B5251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values for these alternative index options.</w:t>
      </w:r>
    </w:p>
    <w:p w:rsidR="00B52519" w:rsidRPr="00BA6E98" w:rsidRDefault="00B52519" w:rsidP="0089313E">
      <w:pPr>
        <w:spacing w:after="0" w:line="240" w:lineRule="auto"/>
        <w:rPr>
          <w:rFonts w:ascii="Arial" w:hAnsi="Arial" w:cs="Arial"/>
        </w:rPr>
      </w:pPr>
      <w:r w:rsidRPr="00357D70">
        <w:rPr>
          <w:rFonts w:ascii="Arial" w:hAnsi="Arial" w:cs="Arial"/>
          <w:i/>
        </w:rPr>
        <w:t>Table</w:t>
      </w:r>
      <w:r>
        <w:rPr>
          <w:rFonts w:ascii="Arial" w:hAnsi="Arial" w:cs="Arial"/>
          <w:i/>
        </w:rPr>
        <w:t xml:space="preserve"> 17</w:t>
      </w:r>
      <w:r w:rsidRPr="00357D70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 xml:space="preserve">Adjusted </w:t>
      </w:r>
      <w:r w:rsidRPr="00357D70">
        <w:rPr>
          <w:rFonts w:ascii="Arial" w:hAnsi="Arial" w:cs="Arial"/>
          <w:i/>
        </w:rPr>
        <w:t>R</w:t>
      </w:r>
      <w:r w:rsidRPr="00357D70">
        <w:rPr>
          <w:rFonts w:ascii="Arial" w:hAnsi="Arial" w:cs="Arial"/>
          <w:i/>
          <w:vertAlign w:val="superscript"/>
        </w:rPr>
        <w:t>2</w:t>
      </w:r>
      <w:r w:rsidRPr="00357D70">
        <w:rPr>
          <w:rFonts w:ascii="Arial" w:hAnsi="Arial" w:cs="Arial"/>
          <w:i/>
        </w:rPr>
        <w:t xml:space="preserve"> for the top 1, 2, 3 and 4 variables </w:t>
      </w:r>
      <w:r>
        <w:rPr>
          <w:rFonts w:ascii="Arial" w:hAnsi="Arial" w:cs="Arial"/>
          <w:i/>
        </w:rPr>
        <w:t>combined into an index, in comparison with the current reference model</w:t>
      </w:r>
    </w:p>
    <w:tbl>
      <w:tblPr>
        <w:tblStyle w:val="TableGrid"/>
        <w:tblW w:w="0" w:type="auto"/>
        <w:tblLook w:val="04A0"/>
      </w:tblPr>
      <w:tblGrid>
        <w:gridCol w:w="2518"/>
        <w:gridCol w:w="840"/>
        <w:gridCol w:w="841"/>
        <w:gridCol w:w="840"/>
        <w:gridCol w:w="841"/>
        <w:gridCol w:w="840"/>
        <w:gridCol w:w="841"/>
        <w:gridCol w:w="840"/>
        <w:gridCol w:w="841"/>
      </w:tblGrid>
      <w:tr w:rsidR="00E14464" w:rsidTr="00CB4AFE">
        <w:trPr>
          <w:trHeight w:val="1451"/>
        </w:trPr>
        <w:tc>
          <w:tcPr>
            <w:tcW w:w="2518" w:type="dxa"/>
          </w:tcPr>
          <w:p w:rsidR="00E14464" w:rsidRPr="007F4F7C" w:rsidRDefault="00E14464" w:rsidP="00CC54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extDirection w:val="btLr"/>
            <w:vAlign w:val="center"/>
          </w:tcPr>
          <w:p w:rsidR="00E14464" w:rsidRPr="00357D70" w:rsidRDefault="00E14464" w:rsidP="00CC5429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Whole Acute</w:t>
            </w:r>
          </w:p>
        </w:tc>
        <w:tc>
          <w:tcPr>
            <w:tcW w:w="841" w:type="dxa"/>
            <w:textDirection w:val="btLr"/>
            <w:vAlign w:val="center"/>
          </w:tcPr>
          <w:p w:rsidR="00E14464" w:rsidRPr="00357D70" w:rsidRDefault="00E14464" w:rsidP="00CC54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840" w:type="dxa"/>
            <w:textDirection w:val="btLr"/>
            <w:vAlign w:val="center"/>
          </w:tcPr>
          <w:p w:rsidR="00E14464" w:rsidRPr="00357D70" w:rsidRDefault="00E14464" w:rsidP="00CC54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841" w:type="dxa"/>
            <w:textDirection w:val="btLr"/>
            <w:vAlign w:val="center"/>
          </w:tcPr>
          <w:p w:rsidR="00E14464" w:rsidRPr="00357D70" w:rsidRDefault="00E14464" w:rsidP="00CC54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Digestive</w:t>
            </w:r>
          </w:p>
        </w:tc>
        <w:tc>
          <w:tcPr>
            <w:tcW w:w="840" w:type="dxa"/>
            <w:textDirection w:val="btLr"/>
            <w:vAlign w:val="center"/>
          </w:tcPr>
          <w:p w:rsidR="00E14464" w:rsidRPr="00357D70" w:rsidRDefault="00E14464" w:rsidP="00CC54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Injury</w:t>
            </w:r>
          </w:p>
        </w:tc>
        <w:tc>
          <w:tcPr>
            <w:tcW w:w="841" w:type="dxa"/>
            <w:textDirection w:val="btLr"/>
            <w:vAlign w:val="center"/>
          </w:tcPr>
          <w:p w:rsidR="00E14464" w:rsidRPr="00357D70" w:rsidRDefault="00E14464" w:rsidP="00CC54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40" w:type="dxa"/>
            <w:textDirection w:val="btLr"/>
            <w:vAlign w:val="center"/>
          </w:tcPr>
          <w:p w:rsidR="00E14464" w:rsidRPr="00357D70" w:rsidRDefault="00E14464" w:rsidP="00CC54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Respiratory</w:t>
            </w:r>
          </w:p>
        </w:tc>
        <w:tc>
          <w:tcPr>
            <w:tcW w:w="841" w:type="dxa"/>
            <w:textDirection w:val="btLr"/>
            <w:vAlign w:val="center"/>
          </w:tcPr>
          <w:p w:rsidR="00E14464" w:rsidRPr="00357D70" w:rsidRDefault="00E14464" w:rsidP="00CC54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Outpatients</w:t>
            </w:r>
          </w:p>
        </w:tc>
      </w:tr>
      <w:tr w:rsidR="00CC5429" w:rsidTr="00CB4AFE">
        <w:tc>
          <w:tcPr>
            <w:tcW w:w="2518" w:type="dxa"/>
          </w:tcPr>
          <w:p w:rsidR="00CC5429" w:rsidRPr="007F4F7C" w:rsidRDefault="00CC5429" w:rsidP="00CC54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 w:rsidRPr="007F4F7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using common top 4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B52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B52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10.5%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B52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B52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41.4%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B52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B52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51.0%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B52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40.7%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B52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52.8%</w:t>
            </w:r>
          </w:p>
        </w:tc>
      </w:tr>
      <w:tr w:rsidR="00E14464" w:rsidTr="00CB4AFE">
        <w:tc>
          <w:tcPr>
            <w:tcW w:w="2518" w:type="dxa"/>
          </w:tcPr>
          <w:p w:rsidR="00E14464" w:rsidRPr="007F4F7C" w:rsidRDefault="00E14464" w:rsidP="00CC54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 w:rsidRPr="007F4F7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using </w:t>
            </w:r>
            <w:r>
              <w:rPr>
                <w:rFonts w:ascii="Arial" w:hAnsi="Arial" w:cs="Arial"/>
                <w:sz w:val="20"/>
                <w:szCs w:val="20"/>
              </w:rPr>
              <w:t>specific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top 4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40" w:type="dxa"/>
            <w:vAlign w:val="center"/>
          </w:tcPr>
          <w:p w:rsidR="00E14464" w:rsidRPr="006135C0" w:rsidRDefault="00E14464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67B7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67B7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41" w:type="dxa"/>
            <w:vAlign w:val="center"/>
          </w:tcPr>
          <w:p w:rsidR="00E14464" w:rsidRPr="006135C0" w:rsidRDefault="00972060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14.2%</w:t>
            </w:r>
          </w:p>
        </w:tc>
        <w:tc>
          <w:tcPr>
            <w:tcW w:w="840" w:type="dxa"/>
            <w:vAlign w:val="center"/>
          </w:tcPr>
          <w:p w:rsidR="00E14464" w:rsidRPr="006135C0" w:rsidRDefault="00E14464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23.3%</w:t>
            </w:r>
          </w:p>
        </w:tc>
        <w:tc>
          <w:tcPr>
            <w:tcW w:w="841" w:type="dxa"/>
            <w:vAlign w:val="center"/>
          </w:tcPr>
          <w:p w:rsidR="00E14464" w:rsidRPr="006135C0" w:rsidRDefault="00167B7F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</w:t>
            </w:r>
            <w:r w:rsidR="00E144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40" w:type="dxa"/>
            <w:vAlign w:val="center"/>
          </w:tcPr>
          <w:p w:rsidR="00E14464" w:rsidRPr="006135C0" w:rsidRDefault="00E14464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30.1%</w:t>
            </w:r>
          </w:p>
        </w:tc>
        <w:tc>
          <w:tcPr>
            <w:tcW w:w="841" w:type="dxa"/>
            <w:vAlign w:val="center"/>
          </w:tcPr>
          <w:p w:rsidR="00E14464" w:rsidRPr="006135C0" w:rsidRDefault="00167B7F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51.0</w:t>
            </w:r>
            <w:r w:rsidR="00E144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40" w:type="dxa"/>
            <w:vAlign w:val="center"/>
          </w:tcPr>
          <w:p w:rsidR="00E14464" w:rsidRPr="006135C0" w:rsidRDefault="00972060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41.5%</w:t>
            </w:r>
          </w:p>
        </w:tc>
        <w:tc>
          <w:tcPr>
            <w:tcW w:w="841" w:type="dxa"/>
            <w:vAlign w:val="center"/>
          </w:tcPr>
          <w:p w:rsidR="00E14464" w:rsidRPr="006135C0" w:rsidRDefault="00167B7F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  <w:r w:rsidR="00972060">
              <w:rPr>
                <w:rFonts w:ascii="Arial" w:hAnsi="Arial" w:cs="Arial"/>
                <w:sz w:val="20"/>
                <w:szCs w:val="20"/>
              </w:rPr>
              <w:t>1</w:t>
            </w:r>
            <w:r w:rsidR="00E144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14464" w:rsidTr="00CB4AFE">
        <w:tc>
          <w:tcPr>
            <w:tcW w:w="2518" w:type="dxa"/>
            <w:shd w:val="clear" w:color="auto" w:fill="EEECE1" w:themeFill="background2"/>
          </w:tcPr>
          <w:p w:rsidR="00E14464" w:rsidRPr="007F4F7C" w:rsidRDefault="00E14464" w:rsidP="00CC54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 w:rsidRPr="007F4F7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common top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E14464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64.9%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E14464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E14464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E14464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E14464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E14464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E14464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E14464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50.5%</w:t>
            </w:r>
          </w:p>
        </w:tc>
      </w:tr>
      <w:tr w:rsidR="00E14464" w:rsidTr="00CB4AFE">
        <w:tc>
          <w:tcPr>
            <w:tcW w:w="2518" w:type="dxa"/>
            <w:shd w:val="clear" w:color="auto" w:fill="EEECE1" w:themeFill="background2"/>
          </w:tcPr>
          <w:p w:rsidR="00E14464" w:rsidRPr="007F4F7C" w:rsidRDefault="00E14464" w:rsidP="00CC54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 w:rsidRPr="007F4F7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specific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top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E14464" w:rsidRPr="006135C0" w:rsidRDefault="00E14464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64.9%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E14464" w:rsidRPr="006135C0" w:rsidRDefault="00E14464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E14464" w:rsidRPr="006135C0" w:rsidRDefault="00E14464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E14464" w:rsidRPr="006135C0" w:rsidRDefault="00E14464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E14464" w:rsidRPr="006135C0" w:rsidRDefault="00E14464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E14464" w:rsidRPr="006135C0" w:rsidRDefault="00E14464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E14464" w:rsidRPr="006135C0" w:rsidRDefault="00E14464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40.8%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E14464" w:rsidRPr="006135C0" w:rsidRDefault="0041227F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</w:t>
            </w:r>
            <w:r w:rsidR="00E144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C5429" w:rsidTr="00CB4AFE">
        <w:tc>
          <w:tcPr>
            <w:tcW w:w="2518" w:type="dxa"/>
          </w:tcPr>
          <w:p w:rsidR="00CC5429" w:rsidRPr="007F4F7C" w:rsidRDefault="00CC5429" w:rsidP="00CC54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 w:rsidRPr="007F4F7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common top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B525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60.8%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9.6%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39.6%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26.7%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46.2%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51.1%</w:t>
            </w:r>
          </w:p>
        </w:tc>
      </w:tr>
      <w:tr w:rsidR="00CC5429" w:rsidTr="00CB4AFE">
        <w:tc>
          <w:tcPr>
            <w:tcW w:w="2518" w:type="dxa"/>
          </w:tcPr>
          <w:p w:rsidR="00CC5429" w:rsidRPr="007F4F7C" w:rsidRDefault="00CC5429" w:rsidP="00CC54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 w:rsidRPr="007F4F7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specific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top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60.8%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15.1%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39.6%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47.3%</w:t>
            </w:r>
          </w:p>
        </w:tc>
        <w:tc>
          <w:tcPr>
            <w:tcW w:w="840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39.3%</w:t>
            </w:r>
          </w:p>
        </w:tc>
        <w:tc>
          <w:tcPr>
            <w:tcW w:w="841" w:type="dxa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53.0%</w:t>
            </w:r>
          </w:p>
        </w:tc>
      </w:tr>
      <w:tr w:rsidR="00CC5429" w:rsidTr="00CB4AFE">
        <w:tc>
          <w:tcPr>
            <w:tcW w:w="2518" w:type="dxa"/>
            <w:shd w:val="clear" w:color="auto" w:fill="EEECE1" w:themeFill="background2"/>
          </w:tcPr>
          <w:p w:rsidR="00CC5429" w:rsidRPr="007F4F7C" w:rsidRDefault="00CC5429" w:rsidP="00CC54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 w:rsidRPr="007F4F7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using common top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60.8%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46.7%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51.1%</w:t>
            </w:r>
          </w:p>
        </w:tc>
      </w:tr>
      <w:tr w:rsidR="00CC5429" w:rsidTr="00CB4AFE">
        <w:tc>
          <w:tcPr>
            <w:tcW w:w="2518" w:type="dxa"/>
            <w:shd w:val="clear" w:color="auto" w:fill="EEECE1" w:themeFill="background2"/>
          </w:tcPr>
          <w:p w:rsidR="00CC5429" w:rsidRPr="007F4F7C" w:rsidRDefault="00CC5429" w:rsidP="00CC54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 w:rsidRPr="007F4F7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specific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top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60.8%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46.7%</w:t>
            </w:r>
          </w:p>
        </w:tc>
        <w:tc>
          <w:tcPr>
            <w:tcW w:w="840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38.5%</w:t>
            </w:r>
          </w:p>
        </w:tc>
        <w:tc>
          <w:tcPr>
            <w:tcW w:w="841" w:type="dxa"/>
            <w:shd w:val="clear" w:color="auto" w:fill="EEECE1" w:themeFill="background2"/>
            <w:vAlign w:val="center"/>
          </w:tcPr>
          <w:p w:rsidR="00CC5429" w:rsidRPr="006135C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51.1%</w:t>
            </w:r>
          </w:p>
        </w:tc>
      </w:tr>
      <w:tr w:rsidR="00CC5429" w:rsidRPr="00800A50" w:rsidTr="00CB4AFE">
        <w:trPr>
          <w:trHeight w:val="305"/>
        </w:trPr>
        <w:tc>
          <w:tcPr>
            <w:tcW w:w="2518" w:type="dxa"/>
            <w:noWrap/>
            <w:hideMark/>
          </w:tcPr>
          <w:p w:rsidR="00CC5429" w:rsidRPr="00800A50" w:rsidRDefault="00CC5429" w:rsidP="00CC542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800A5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Reference model</w:t>
            </w:r>
          </w:p>
        </w:tc>
        <w:tc>
          <w:tcPr>
            <w:tcW w:w="840" w:type="dxa"/>
            <w:vAlign w:val="center"/>
          </w:tcPr>
          <w:p w:rsidR="00CC5429" w:rsidRPr="00800A50" w:rsidRDefault="00CC5429" w:rsidP="00CC54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0A50">
              <w:rPr>
                <w:rFonts w:ascii="Arial" w:hAnsi="Arial" w:cs="Arial"/>
                <w:b/>
                <w:i/>
                <w:sz w:val="20"/>
                <w:szCs w:val="20"/>
              </w:rPr>
              <w:t>59.6%</w:t>
            </w:r>
          </w:p>
        </w:tc>
        <w:tc>
          <w:tcPr>
            <w:tcW w:w="841" w:type="dxa"/>
            <w:noWrap/>
            <w:vAlign w:val="center"/>
            <w:hideMark/>
          </w:tcPr>
          <w:p w:rsidR="00CC5429" w:rsidRPr="00800A50" w:rsidRDefault="00CC5429" w:rsidP="00C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800A5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10.9%</w:t>
            </w:r>
          </w:p>
        </w:tc>
        <w:tc>
          <w:tcPr>
            <w:tcW w:w="840" w:type="dxa"/>
            <w:noWrap/>
            <w:vAlign w:val="center"/>
            <w:hideMark/>
          </w:tcPr>
          <w:p w:rsidR="00CC5429" w:rsidRPr="00800A50" w:rsidRDefault="00CC5429" w:rsidP="00C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800A5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21.0%</w:t>
            </w:r>
          </w:p>
        </w:tc>
        <w:tc>
          <w:tcPr>
            <w:tcW w:w="841" w:type="dxa"/>
            <w:noWrap/>
            <w:vAlign w:val="center"/>
            <w:hideMark/>
          </w:tcPr>
          <w:p w:rsidR="00CC5429" w:rsidRPr="00800A50" w:rsidRDefault="00CC5429" w:rsidP="00C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800A5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38.6%</w:t>
            </w:r>
          </w:p>
        </w:tc>
        <w:tc>
          <w:tcPr>
            <w:tcW w:w="840" w:type="dxa"/>
            <w:noWrap/>
            <w:vAlign w:val="center"/>
            <w:hideMark/>
          </w:tcPr>
          <w:p w:rsidR="00CC5429" w:rsidRPr="00800A50" w:rsidRDefault="00CC5429" w:rsidP="00C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800A5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26.0%</w:t>
            </w:r>
          </w:p>
        </w:tc>
        <w:tc>
          <w:tcPr>
            <w:tcW w:w="841" w:type="dxa"/>
            <w:noWrap/>
            <w:vAlign w:val="center"/>
            <w:hideMark/>
          </w:tcPr>
          <w:p w:rsidR="00CC5429" w:rsidRPr="00800A50" w:rsidRDefault="00CC5429" w:rsidP="00C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800A5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45.1%</w:t>
            </w:r>
          </w:p>
        </w:tc>
        <w:tc>
          <w:tcPr>
            <w:tcW w:w="840" w:type="dxa"/>
            <w:noWrap/>
            <w:vAlign w:val="center"/>
            <w:hideMark/>
          </w:tcPr>
          <w:p w:rsidR="00CC5429" w:rsidRPr="00800A50" w:rsidRDefault="00CC5429" w:rsidP="00C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800A5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38.2%</w:t>
            </w:r>
          </w:p>
        </w:tc>
        <w:tc>
          <w:tcPr>
            <w:tcW w:w="841" w:type="dxa"/>
            <w:noWrap/>
            <w:vAlign w:val="center"/>
            <w:hideMark/>
          </w:tcPr>
          <w:p w:rsidR="00CC5429" w:rsidRPr="00800A50" w:rsidRDefault="00CC5429" w:rsidP="00C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800A5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49.3%</w:t>
            </w:r>
          </w:p>
        </w:tc>
      </w:tr>
    </w:tbl>
    <w:p w:rsidR="002F2928" w:rsidRDefault="002F2928" w:rsidP="00B52519">
      <w:pPr>
        <w:spacing w:after="240" w:line="276" w:lineRule="auto"/>
        <w:rPr>
          <w:rFonts w:ascii="Arial" w:hAnsi="Arial" w:cs="Arial"/>
        </w:rPr>
      </w:pPr>
    </w:p>
    <w:p w:rsidR="00BA6E98" w:rsidRDefault="00B52519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Comparing Table 17 with Table 9, </w:t>
      </w:r>
      <w:r w:rsidR="00BA6E98">
        <w:rPr>
          <w:rFonts w:ascii="Arial" w:hAnsi="Arial" w:cs="Arial"/>
        </w:rPr>
        <w:t xml:space="preserve">the overall picture is quite similar, but there are a couple of noticeable changes. </w:t>
      </w:r>
    </w:p>
    <w:p w:rsidR="00BA6E98" w:rsidRDefault="00BA6E98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Firstly, in most cases the R</w:t>
      </w:r>
      <w:r w:rsidRPr="00BA6E9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for the top 2 is now slightly better than for the reference model – which indicates that General health tends to perform slightly better as a 2</w:t>
      </w:r>
      <w:r w:rsidRPr="00BA6E9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variable than both HRI and All-cause SMR</w:t>
      </w:r>
      <w:r w:rsidR="00AF50DE">
        <w:rPr>
          <w:rFonts w:ascii="Arial" w:hAnsi="Arial" w:cs="Arial"/>
        </w:rPr>
        <w:t>, in a combined index</w:t>
      </w:r>
      <w:r>
        <w:rPr>
          <w:rFonts w:ascii="Arial" w:hAnsi="Arial" w:cs="Arial"/>
        </w:rPr>
        <w:t xml:space="preserve">. </w:t>
      </w:r>
    </w:p>
    <w:p w:rsidR="00B52519" w:rsidRDefault="00BA6E98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Secondly, the R</w:t>
      </w:r>
      <w:r w:rsidRPr="00B5251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does now increase as the 4</w:t>
      </w:r>
      <w:r w:rsidRPr="00BA6E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variable is added, in most cases; particularly for cases where the 4</w:t>
      </w:r>
      <w:r w:rsidRPr="00BA6E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variable has been changed from Ethnicity to Unpaid care as this has increased the R</w:t>
      </w:r>
      <w:r w:rsidRPr="00BA6E9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quite substantially. For Outpatients, changing Ethnicity to HRI in the top 3 also led to a large improvement.</w:t>
      </w:r>
    </w:p>
    <w:p w:rsidR="00BA6E98" w:rsidRDefault="00BA6E98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It is still the case that the specific index options for Cancer produce higher R</w:t>
      </w:r>
      <w:r w:rsidRPr="00D37E4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than the common index options. </w:t>
      </w:r>
      <w:r w:rsidR="00AF50DE">
        <w:rPr>
          <w:rFonts w:ascii="Arial" w:hAnsi="Arial" w:cs="Arial"/>
        </w:rPr>
        <w:t xml:space="preserve">Again, </w:t>
      </w:r>
      <w:r w:rsidR="004C15E1">
        <w:rPr>
          <w:rFonts w:ascii="Arial" w:hAnsi="Arial" w:cs="Arial"/>
        </w:rPr>
        <w:t>there are no big R</w:t>
      </w:r>
      <w:r w:rsidR="004C15E1" w:rsidRPr="004C15E1">
        <w:rPr>
          <w:rFonts w:ascii="Arial" w:hAnsi="Arial" w:cs="Arial"/>
          <w:vertAlign w:val="superscript"/>
        </w:rPr>
        <w:t>2</w:t>
      </w:r>
      <w:r w:rsidR="004C15E1">
        <w:rPr>
          <w:rFonts w:ascii="Arial" w:hAnsi="Arial" w:cs="Arial"/>
        </w:rPr>
        <w:t xml:space="preserve"> gains in using the specific options</w:t>
      </w:r>
      <w:r w:rsidR="00D37E4C">
        <w:rPr>
          <w:rFonts w:ascii="Arial" w:hAnsi="Arial" w:cs="Arial"/>
        </w:rPr>
        <w:t xml:space="preserve"> </w:t>
      </w:r>
      <w:r w:rsidR="004C15E1">
        <w:rPr>
          <w:rFonts w:ascii="Arial" w:hAnsi="Arial" w:cs="Arial"/>
        </w:rPr>
        <w:t>for any other diagnostic groups; this is not surprising considering the overlap in the variable sets.</w:t>
      </w:r>
    </w:p>
    <w:p w:rsidR="00AF50DE" w:rsidRDefault="00BA6E98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Table 18 shows the RSS obtained from comparing predictions using these alternative index options with the 2014/15 cost ratios.</w:t>
      </w:r>
      <w:r w:rsidR="00D37E4C">
        <w:rPr>
          <w:rFonts w:ascii="Arial" w:hAnsi="Arial" w:cs="Arial"/>
        </w:rPr>
        <w:t xml:space="preserve"> </w:t>
      </w:r>
    </w:p>
    <w:p w:rsidR="00AF50DE" w:rsidRPr="00357D70" w:rsidRDefault="00AF50DE" w:rsidP="00AF50DE">
      <w:pPr>
        <w:spacing w:after="0" w:line="240" w:lineRule="auto"/>
        <w:rPr>
          <w:rFonts w:ascii="Arial" w:hAnsi="Arial" w:cs="Arial"/>
          <w:i/>
        </w:rPr>
      </w:pPr>
      <w:r w:rsidRPr="00357D70">
        <w:rPr>
          <w:rFonts w:ascii="Arial" w:hAnsi="Arial" w:cs="Arial"/>
          <w:i/>
        </w:rPr>
        <w:lastRenderedPageBreak/>
        <w:t xml:space="preserve">Table </w:t>
      </w:r>
      <w:r>
        <w:rPr>
          <w:rFonts w:ascii="Arial" w:hAnsi="Arial" w:cs="Arial"/>
          <w:i/>
        </w:rPr>
        <w:t>18</w:t>
      </w:r>
      <w:r w:rsidRPr="00357D70">
        <w:rPr>
          <w:rFonts w:ascii="Arial" w:hAnsi="Arial" w:cs="Arial"/>
          <w:i/>
        </w:rPr>
        <w:t xml:space="preserve">: RSS obtained </w:t>
      </w:r>
      <w:r>
        <w:rPr>
          <w:rFonts w:ascii="Arial" w:hAnsi="Arial" w:cs="Arial"/>
          <w:i/>
        </w:rPr>
        <w:t>from comparing predictions derived from</w:t>
      </w:r>
      <w:r w:rsidRPr="00357D70">
        <w:rPr>
          <w:rFonts w:ascii="Arial" w:hAnsi="Arial" w:cs="Arial"/>
          <w:i/>
        </w:rPr>
        <w:t xml:space="preserve"> the top 1, 2, 3 and 4 variables from the restricted set</w:t>
      </w:r>
      <w:r>
        <w:rPr>
          <w:rFonts w:ascii="Arial" w:hAnsi="Arial" w:cs="Arial"/>
          <w:i/>
        </w:rPr>
        <w:t>s</w:t>
      </w:r>
      <w:r w:rsidRPr="00357D70">
        <w:rPr>
          <w:rFonts w:ascii="Arial" w:hAnsi="Arial" w:cs="Arial"/>
          <w:i/>
        </w:rPr>
        <w:t xml:space="preserve"> with the 2014/15 cost ratios</w:t>
      </w:r>
      <w:r>
        <w:rPr>
          <w:rFonts w:ascii="Arial" w:hAnsi="Arial" w:cs="Arial"/>
          <w:i/>
        </w:rPr>
        <w:t>. Lower values indicate the predictions are closer to the observed values.</w:t>
      </w:r>
    </w:p>
    <w:tbl>
      <w:tblPr>
        <w:tblStyle w:val="TableGrid"/>
        <w:tblW w:w="0" w:type="auto"/>
        <w:tblLook w:val="04A0"/>
      </w:tblPr>
      <w:tblGrid>
        <w:gridCol w:w="2037"/>
        <w:gridCol w:w="836"/>
        <w:gridCol w:w="939"/>
        <w:gridCol w:w="939"/>
        <w:gridCol w:w="939"/>
        <w:gridCol w:w="939"/>
        <w:gridCol w:w="837"/>
        <w:gridCol w:w="939"/>
        <w:gridCol w:w="837"/>
      </w:tblGrid>
      <w:tr w:rsidR="00AF50DE" w:rsidTr="00AF50DE">
        <w:trPr>
          <w:trHeight w:val="1451"/>
        </w:trPr>
        <w:tc>
          <w:tcPr>
            <w:tcW w:w="2037" w:type="dxa"/>
          </w:tcPr>
          <w:p w:rsidR="00AF50DE" w:rsidRPr="007F4F7C" w:rsidRDefault="00AF50DE" w:rsidP="00AF50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AF50DE" w:rsidRPr="00357D70" w:rsidRDefault="00AF50DE" w:rsidP="00AF50DE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Whole Acute</w:t>
            </w:r>
          </w:p>
        </w:tc>
        <w:tc>
          <w:tcPr>
            <w:tcW w:w="939" w:type="dxa"/>
            <w:textDirection w:val="btLr"/>
            <w:vAlign w:val="center"/>
          </w:tcPr>
          <w:p w:rsidR="00AF50DE" w:rsidRPr="00357D70" w:rsidRDefault="00AF50DE" w:rsidP="00AF50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939" w:type="dxa"/>
            <w:textDirection w:val="btLr"/>
            <w:vAlign w:val="center"/>
          </w:tcPr>
          <w:p w:rsidR="00AF50DE" w:rsidRPr="00357D70" w:rsidRDefault="00AF50DE" w:rsidP="00AF50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939" w:type="dxa"/>
            <w:textDirection w:val="btLr"/>
            <w:vAlign w:val="center"/>
          </w:tcPr>
          <w:p w:rsidR="00AF50DE" w:rsidRPr="00357D70" w:rsidRDefault="00AF50DE" w:rsidP="00AF50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Digestive</w:t>
            </w:r>
          </w:p>
        </w:tc>
        <w:tc>
          <w:tcPr>
            <w:tcW w:w="939" w:type="dxa"/>
            <w:textDirection w:val="btLr"/>
            <w:vAlign w:val="center"/>
          </w:tcPr>
          <w:p w:rsidR="00AF50DE" w:rsidRPr="00357D70" w:rsidRDefault="00AF50DE" w:rsidP="00AF50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Injury</w:t>
            </w:r>
          </w:p>
        </w:tc>
        <w:tc>
          <w:tcPr>
            <w:tcW w:w="837" w:type="dxa"/>
            <w:textDirection w:val="btLr"/>
            <w:vAlign w:val="center"/>
          </w:tcPr>
          <w:p w:rsidR="00AF50DE" w:rsidRPr="00357D70" w:rsidRDefault="00AF50DE" w:rsidP="00AF50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39" w:type="dxa"/>
            <w:textDirection w:val="btLr"/>
            <w:vAlign w:val="center"/>
          </w:tcPr>
          <w:p w:rsidR="00AF50DE" w:rsidRPr="00357D70" w:rsidRDefault="00AF50DE" w:rsidP="00AF50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Respiratory</w:t>
            </w:r>
          </w:p>
        </w:tc>
        <w:tc>
          <w:tcPr>
            <w:tcW w:w="837" w:type="dxa"/>
            <w:textDirection w:val="btLr"/>
            <w:vAlign w:val="center"/>
          </w:tcPr>
          <w:p w:rsidR="00AF50DE" w:rsidRPr="00357D70" w:rsidRDefault="00AF50DE" w:rsidP="00AF50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Outpatients</w:t>
            </w:r>
          </w:p>
        </w:tc>
      </w:tr>
      <w:tr w:rsidR="00AF50DE" w:rsidTr="00AF50DE">
        <w:tc>
          <w:tcPr>
            <w:tcW w:w="2037" w:type="dxa"/>
          </w:tcPr>
          <w:p w:rsidR="00AF50DE" w:rsidRPr="007F4F7C" w:rsidRDefault="00AF50DE" w:rsidP="00AF50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SS 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using common top 4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36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3473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4056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2158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2881</w:t>
            </w:r>
          </w:p>
        </w:tc>
        <w:tc>
          <w:tcPr>
            <w:tcW w:w="837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3449</w:t>
            </w:r>
          </w:p>
        </w:tc>
        <w:tc>
          <w:tcPr>
            <w:tcW w:w="837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</w:tr>
      <w:tr w:rsidR="00AF50DE" w:rsidTr="00AF50DE">
        <w:tc>
          <w:tcPr>
            <w:tcW w:w="2037" w:type="dxa"/>
          </w:tcPr>
          <w:p w:rsidR="00AF50DE" w:rsidRPr="007F4F7C" w:rsidRDefault="00AF50DE" w:rsidP="00AF50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SS 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>
              <w:rPr>
                <w:rFonts w:ascii="Arial" w:hAnsi="Arial" w:cs="Arial"/>
                <w:sz w:val="20"/>
                <w:szCs w:val="20"/>
              </w:rPr>
              <w:t>specific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top 4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36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3516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4029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2868</w:t>
            </w:r>
          </w:p>
        </w:tc>
        <w:tc>
          <w:tcPr>
            <w:tcW w:w="837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</w:t>
            </w:r>
          </w:p>
        </w:tc>
        <w:tc>
          <w:tcPr>
            <w:tcW w:w="837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</w:tr>
      <w:tr w:rsidR="00AF50DE" w:rsidTr="00AF50DE">
        <w:tc>
          <w:tcPr>
            <w:tcW w:w="2037" w:type="dxa"/>
            <w:shd w:val="clear" w:color="auto" w:fill="EEECE1" w:themeFill="background2"/>
          </w:tcPr>
          <w:p w:rsidR="00AF50DE" w:rsidRPr="007F4F7C" w:rsidRDefault="00AF50DE" w:rsidP="00AF50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SS using common top 3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3472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4045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2197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837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3454</w:t>
            </w:r>
          </w:p>
        </w:tc>
        <w:tc>
          <w:tcPr>
            <w:tcW w:w="837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</w:tr>
      <w:tr w:rsidR="00AF50DE" w:rsidTr="00AF50DE">
        <w:tc>
          <w:tcPr>
            <w:tcW w:w="2037" w:type="dxa"/>
            <w:shd w:val="clear" w:color="auto" w:fill="EEECE1" w:themeFill="background2"/>
          </w:tcPr>
          <w:p w:rsidR="00AF50DE" w:rsidRPr="007F4F7C" w:rsidRDefault="00AF50DE" w:rsidP="00AF50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SS using specific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top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3542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4045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2197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837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3443</w:t>
            </w:r>
          </w:p>
        </w:tc>
        <w:tc>
          <w:tcPr>
            <w:tcW w:w="837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</w:tr>
      <w:tr w:rsidR="00AF50DE" w:rsidTr="00AF50DE">
        <w:tc>
          <w:tcPr>
            <w:tcW w:w="2037" w:type="dxa"/>
          </w:tcPr>
          <w:p w:rsidR="00AF50DE" w:rsidRPr="007F4F7C" w:rsidRDefault="00AF50DE" w:rsidP="00AF50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SS using 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common top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36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3460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4011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2147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2870</w:t>
            </w:r>
          </w:p>
        </w:tc>
        <w:tc>
          <w:tcPr>
            <w:tcW w:w="837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3470</w:t>
            </w:r>
          </w:p>
        </w:tc>
        <w:tc>
          <w:tcPr>
            <w:tcW w:w="837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</w:tr>
      <w:tr w:rsidR="00AF50DE" w:rsidTr="00AF50DE">
        <w:tc>
          <w:tcPr>
            <w:tcW w:w="2037" w:type="dxa"/>
          </w:tcPr>
          <w:p w:rsidR="00AF50DE" w:rsidRPr="007F4F7C" w:rsidRDefault="00AF50DE" w:rsidP="00AF50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SS using specific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top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36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4011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2147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2934</w:t>
            </w:r>
          </w:p>
        </w:tc>
        <w:tc>
          <w:tcPr>
            <w:tcW w:w="837" w:type="dxa"/>
            <w:vAlign w:val="center"/>
          </w:tcPr>
          <w:p w:rsidR="00AF50DE" w:rsidRPr="00CB26A0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939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3502</w:t>
            </w:r>
          </w:p>
        </w:tc>
        <w:tc>
          <w:tcPr>
            <w:tcW w:w="837" w:type="dxa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</w:tr>
      <w:tr w:rsidR="00AF50DE" w:rsidTr="00AF50DE">
        <w:tc>
          <w:tcPr>
            <w:tcW w:w="2037" w:type="dxa"/>
            <w:shd w:val="clear" w:color="auto" w:fill="EEECE1" w:themeFill="background2"/>
          </w:tcPr>
          <w:p w:rsidR="00AF50DE" w:rsidRPr="007F4F7C" w:rsidRDefault="00AF50DE" w:rsidP="00AF50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SS using 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common top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3467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4015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2861</w:t>
            </w:r>
          </w:p>
        </w:tc>
        <w:tc>
          <w:tcPr>
            <w:tcW w:w="837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3499</w:t>
            </w:r>
          </w:p>
        </w:tc>
        <w:tc>
          <w:tcPr>
            <w:tcW w:w="837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</w:tr>
      <w:tr w:rsidR="00AF50DE" w:rsidTr="00AF50DE">
        <w:tc>
          <w:tcPr>
            <w:tcW w:w="2037" w:type="dxa"/>
            <w:shd w:val="clear" w:color="auto" w:fill="EEECE1" w:themeFill="background2"/>
          </w:tcPr>
          <w:p w:rsidR="00AF50DE" w:rsidRPr="007F4F7C" w:rsidRDefault="00AF50DE" w:rsidP="00AF50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F7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SS using specific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top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F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3554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4015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2861</w:t>
            </w:r>
          </w:p>
        </w:tc>
        <w:tc>
          <w:tcPr>
            <w:tcW w:w="837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939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</w:t>
            </w:r>
          </w:p>
        </w:tc>
        <w:tc>
          <w:tcPr>
            <w:tcW w:w="837" w:type="dxa"/>
            <w:shd w:val="clear" w:color="auto" w:fill="EEECE1" w:themeFill="background2"/>
            <w:vAlign w:val="center"/>
          </w:tcPr>
          <w:p w:rsidR="00AF50DE" w:rsidRPr="001929EF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</w:tr>
      <w:tr w:rsidR="00AF50DE" w:rsidRPr="00463D32" w:rsidTr="00AF50DE">
        <w:tc>
          <w:tcPr>
            <w:tcW w:w="2037" w:type="dxa"/>
            <w:shd w:val="clear" w:color="auto" w:fill="auto"/>
          </w:tcPr>
          <w:p w:rsidR="00AF50DE" w:rsidRPr="00463D32" w:rsidRDefault="00AF50DE" w:rsidP="00AF50D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3D32">
              <w:rPr>
                <w:rFonts w:ascii="Arial" w:hAnsi="Arial" w:cs="Arial"/>
                <w:b/>
                <w:i/>
                <w:sz w:val="20"/>
                <w:szCs w:val="20"/>
              </w:rPr>
              <w:t>RSS using reference model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F50DE" w:rsidRPr="00463D32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3D32">
              <w:rPr>
                <w:rFonts w:ascii="Arial" w:hAnsi="Arial" w:cs="Arial"/>
                <w:b/>
                <w:i/>
                <w:sz w:val="20"/>
                <w:szCs w:val="20"/>
              </w:rPr>
              <w:t>368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F50DE" w:rsidRPr="00463D32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3D32">
              <w:rPr>
                <w:rFonts w:ascii="Arial" w:hAnsi="Arial" w:cs="Arial"/>
                <w:b/>
                <w:i/>
                <w:sz w:val="20"/>
                <w:szCs w:val="20"/>
              </w:rPr>
              <w:t>347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F50DE" w:rsidRPr="00463D32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3D32">
              <w:rPr>
                <w:rFonts w:ascii="Arial" w:hAnsi="Arial" w:cs="Arial"/>
                <w:b/>
                <w:i/>
                <w:sz w:val="20"/>
                <w:szCs w:val="20"/>
              </w:rPr>
              <w:t>402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F50DE" w:rsidRPr="00463D32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52D2">
              <w:rPr>
                <w:rFonts w:ascii="Arial" w:hAnsi="Arial" w:cs="Arial"/>
                <w:b/>
                <w:i/>
                <w:sz w:val="20"/>
                <w:szCs w:val="20"/>
              </w:rPr>
              <w:t>220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F50DE" w:rsidRPr="00463D32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52D2">
              <w:rPr>
                <w:rFonts w:ascii="Arial" w:hAnsi="Arial" w:cs="Arial"/>
                <w:b/>
                <w:i/>
                <w:sz w:val="20"/>
                <w:szCs w:val="20"/>
              </w:rPr>
              <w:t>2868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AF50DE" w:rsidRPr="00463D32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52D2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F50DE" w:rsidRPr="00463D32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52D2">
              <w:rPr>
                <w:rFonts w:ascii="Arial" w:hAnsi="Arial" w:cs="Arial"/>
                <w:b/>
                <w:i/>
                <w:sz w:val="20"/>
                <w:szCs w:val="20"/>
              </w:rPr>
              <w:t>354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AF50DE" w:rsidRPr="00463D32" w:rsidRDefault="00AF50DE" w:rsidP="00AF50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52D2">
              <w:rPr>
                <w:rFonts w:ascii="Arial" w:hAnsi="Arial" w:cs="Arial"/>
                <w:b/>
                <w:i/>
                <w:sz w:val="20"/>
                <w:szCs w:val="20"/>
              </w:rPr>
              <w:t>422</w:t>
            </w:r>
          </w:p>
        </w:tc>
      </w:tr>
    </w:tbl>
    <w:p w:rsidR="00AF50DE" w:rsidRDefault="00AF50DE" w:rsidP="00AF50DE">
      <w:pPr>
        <w:spacing w:after="240" w:line="276" w:lineRule="auto"/>
        <w:rPr>
          <w:rFonts w:ascii="Arial" w:hAnsi="Arial" w:cs="Arial"/>
        </w:rPr>
      </w:pPr>
    </w:p>
    <w:p w:rsidR="00D37E4C" w:rsidRDefault="00AF50DE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Table 10, the reference model outperformed the ‘common’ </w:t>
      </w:r>
      <w:r w:rsidR="0033106F">
        <w:rPr>
          <w:rFonts w:ascii="Arial" w:hAnsi="Arial" w:cs="Arial"/>
        </w:rPr>
        <w:t xml:space="preserve">2-variable </w:t>
      </w:r>
      <w:r>
        <w:rPr>
          <w:rFonts w:ascii="Arial" w:hAnsi="Arial" w:cs="Arial"/>
        </w:rPr>
        <w:t xml:space="preserve">index consisting of LLTI + HRI. </w:t>
      </w:r>
      <w:r w:rsidR="002B2824">
        <w:rPr>
          <w:rFonts w:ascii="Arial" w:hAnsi="Arial" w:cs="Arial"/>
        </w:rPr>
        <w:t xml:space="preserve">In Table 18 this is no longer the case – the alternative </w:t>
      </w:r>
      <w:r w:rsidR="0033106F">
        <w:rPr>
          <w:rFonts w:ascii="Arial" w:hAnsi="Arial" w:cs="Arial"/>
        </w:rPr>
        <w:t>common index</w:t>
      </w:r>
      <w:r>
        <w:rPr>
          <w:rFonts w:ascii="Arial" w:hAnsi="Arial" w:cs="Arial"/>
        </w:rPr>
        <w:t xml:space="preserve">, LLTI + General </w:t>
      </w:r>
      <w:proofErr w:type="gramStart"/>
      <w:r>
        <w:rPr>
          <w:rFonts w:ascii="Arial" w:hAnsi="Arial" w:cs="Arial"/>
        </w:rPr>
        <w:t>health</w:t>
      </w:r>
      <w:proofErr w:type="gramEnd"/>
      <w:r>
        <w:rPr>
          <w:rFonts w:ascii="Arial" w:hAnsi="Arial" w:cs="Arial"/>
        </w:rPr>
        <w:t xml:space="preserve">, </w:t>
      </w:r>
      <w:r w:rsidR="0033106F">
        <w:rPr>
          <w:rFonts w:ascii="Arial" w:hAnsi="Arial" w:cs="Arial"/>
        </w:rPr>
        <w:t>outperforms the reference model for all diagnostic groups except Injury</w:t>
      </w:r>
      <w:r w:rsidR="00765AEE">
        <w:rPr>
          <w:rFonts w:ascii="Arial" w:hAnsi="Arial" w:cs="Arial"/>
        </w:rPr>
        <w:t xml:space="preserve"> where the RSS values are almost equal</w:t>
      </w:r>
      <w:r w:rsidR="003310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D63D7" w:rsidRDefault="00CD63D7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before, specific-index predictions for Cancer are worse than </w:t>
      </w:r>
      <w:r w:rsidR="002B282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common-index predictions</w:t>
      </w:r>
      <w:r w:rsidR="0033106F">
        <w:rPr>
          <w:rFonts w:ascii="Arial" w:hAnsi="Arial" w:cs="Arial"/>
        </w:rPr>
        <w:t xml:space="preserve"> – in opposition to the R</w:t>
      </w:r>
      <w:r w:rsidR="0033106F" w:rsidRPr="0033106F">
        <w:rPr>
          <w:rFonts w:ascii="Arial" w:hAnsi="Arial" w:cs="Arial"/>
          <w:vertAlign w:val="superscript"/>
        </w:rPr>
        <w:t>2</w:t>
      </w:r>
      <w:r w:rsidR="0033106F">
        <w:rPr>
          <w:rFonts w:ascii="Arial" w:hAnsi="Arial" w:cs="Arial"/>
        </w:rPr>
        <w:t xml:space="preserve"> results</w:t>
      </w:r>
      <w:r>
        <w:rPr>
          <w:rFonts w:ascii="Arial" w:hAnsi="Arial" w:cs="Arial"/>
        </w:rPr>
        <w:t>. For no other diagnostic groups are there consistent or sizeable differences</w:t>
      </w:r>
      <w:r w:rsidR="002B2824">
        <w:rPr>
          <w:rFonts w:ascii="Arial" w:hAnsi="Arial" w:cs="Arial"/>
        </w:rPr>
        <w:t xml:space="preserve"> in RSS</w:t>
      </w:r>
      <w:r>
        <w:rPr>
          <w:rFonts w:ascii="Arial" w:hAnsi="Arial" w:cs="Arial"/>
        </w:rPr>
        <w:t xml:space="preserve"> between the specific and the common </w:t>
      </w:r>
      <w:r w:rsidR="002B2824">
        <w:rPr>
          <w:rFonts w:ascii="Arial" w:hAnsi="Arial" w:cs="Arial"/>
        </w:rPr>
        <w:t>indexes</w:t>
      </w:r>
      <w:r>
        <w:rPr>
          <w:rFonts w:ascii="Arial" w:hAnsi="Arial" w:cs="Arial"/>
        </w:rPr>
        <w:t>.</w:t>
      </w:r>
    </w:p>
    <w:p w:rsidR="00EB6D91" w:rsidRPr="00EB6D91" w:rsidRDefault="00EB6D91" w:rsidP="00EB6D91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Pr="00EB6D91">
        <w:rPr>
          <w:rFonts w:ascii="Arial" w:hAnsi="Arial" w:cs="Arial"/>
        </w:rPr>
        <w:t>onclusions</w:t>
      </w:r>
      <w:r>
        <w:rPr>
          <w:rFonts w:ascii="Arial" w:hAnsi="Arial" w:cs="Arial"/>
        </w:rPr>
        <w:t xml:space="preserve"> from this analysis are</w:t>
      </w:r>
      <w:r w:rsidRPr="00EB6D91">
        <w:rPr>
          <w:rFonts w:ascii="Arial" w:hAnsi="Arial" w:cs="Arial"/>
        </w:rPr>
        <w:t>:</w:t>
      </w:r>
    </w:p>
    <w:p w:rsidR="00EB6D91" w:rsidRDefault="00EB6D91" w:rsidP="00EB6D91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indicators that perform best in a combined </w:t>
      </w:r>
      <w:r w:rsidRPr="0033106F">
        <w:rPr>
          <w:rFonts w:ascii="Arial" w:hAnsi="Arial" w:cs="Arial"/>
          <w:i/>
        </w:rPr>
        <w:t>index</w:t>
      </w:r>
      <w:r>
        <w:rPr>
          <w:rFonts w:ascii="Arial" w:hAnsi="Arial" w:cs="Arial"/>
        </w:rPr>
        <w:t xml:space="preserve"> are generally not the same as the indicators that perform best as separate variables in a multiple regression.</w:t>
      </w:r>
    </w:p>
    <w:p w:rsidR="00EB6D91" w:rsidRDefault="00EB6D91" w:rsidP="00EB6D91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C15E1">
        <w:rPr>
          <w:rFonts w:ascii="Arial" w:hAnsi="Arial" w:cs="Arial"/>
        </w:rPr>
        <w:t>Allowing the variables to differ between diagnostic groups has not produced ra</w:t>
      </w:r>
      <w:r>
        <w:rPr>
          <w:rFonts w:ascii="Arial" w:hAnsi="Arial" w:cs="Arial"/>
        </w:rPr>
        <w:t xml:space="preserve">dically different index options, so does not seem worth the added complexity. </w:t>
      </w:r>
      <w:r w:rsidR="00FC1393">
        <w:rPr>
          <w:rFonts w:ascii="Arial" w:hAnsi="Arial" w:cs="Arial"/>
        </w:rPr>
        <w:t>There are no noticeable improvements in the predictive power using specific indexes</w:t>
      </w:r>
      <w:r>
        <w:rPr>
          <w:rFonts w:ascii="Arial" w:hAnsi="Arial" w:cs="Arial"/>
        </w:rPr>
        <w:t>. We would still recommend the ‘common’ approach.</w:t>
      </w:r>
    </w:p>
    <w:p w:rsidR="00FC1393" w:rsidRPr="004C15E1" w:rsidRDefault="00FC1393" w:rsidP="00EB6D91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FC1393">
        <w:rPr>
          <w:rFonts w:ascii="Arial" w:hAnsi="Arial" w:cs="Arial"/>
        </w:rPr>
        <w:t xml:space="preserve">RSS seems to favour </w:t>
      </w:r>
      <w:r>
        <w:rPr>
          <w:rFonts w:ascii="Arial" w:hAnsi="Arial" w:cs="Arial"/>
        </w:rPr>
        <w:t xml:space="preserve">a </w:t>
      </w:r>
      <w:r w:rsidRPr="00FC1393">
        <w:rPr>
          <w:rFonts w:ascii="Arial" w:hAnsi="Arial" w:cs="Arial"/>
        </w:rPr>
        <w:t>2-indicator model</w:t>
      </w:r>
      <w:r>
        <w:rPr>
          <w:rFonts w:ascii="Arial" w:hAnsi="Arial" w:cs="Arial"/>
        </w:rPr>
        <w:t xml:space="preserve"> overall</w:t>
      </w:r>
      <w:r w:rsidRPr="00FC1393">
        <w:rPr>
          <w:rFonts w:ascii="Arial" w:hAnsi="Arial" w:cs="Arial"/>
        </w:rPr>
        <w:t>, but not strongly</w:t>
      </w:r>
      <w:r>
        <w:rPr>
          <w:rFonts w:ascii="Arial" w:hAnsi="Arial" w:cs="Arial"/>
        </w:rPr>
        <w:t>.</w:t>
      </w:r>
    </w:p>
    <w:p w:rsidR="00EB6D91" w:rsidRDefault="00EB6D91" w:rsidP="00EB6D91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EB6D91">
        <w:rPr>
          <w:rFonts w:ascii="Arial" w:hAnsi="Arial" w:cs="Arial"/>
        </w:rPr>
        <w:t>If 2 indicators were to be used, then using LLTI +</w:t>
      </w:r>
      <w:r w:rsidR="002B2824">
        <w:rPr>
          <w:rFonts w:ascii="Arial" w:hAnsi="Arial" w:cs="Arial"/>
        </w:rPr>
        <w:t xml:space="preserve"> General </w:t>
      </w:r>
      <w:proofErr w:type="gramStart"/>
      <w:r w:rsidR="002B2824">
        <w:rPr>
          <w:rFonts w:ascii="Arial" w:hAnsi="Arial" w:cs="Arial"/>
        </w:rPr>
        <w:t>health</w:t>
      </w:r>
      <w:proofErr w:type="gramEnd"/>
      <w:r w:rsidR="002B2824">
        <w:rPr>
          <w:rFonts w:ascii="Arial" w:hAnsi="Arial" w:cs="Arial"/>
        </w:rPr>
        <w:t xml:space="preserve"> </w:t>
      </w:r>
      <w:r w:rsidRPr="00EB6D91">
        <w:rPr>
          <w:rFonts w:ascii="Arial" w:hAnsi="Arial" w:cs="Arial"/>
        </w:rPr>
        <w:t>results in a consistently better-performing index than LLTI + HRI.</w:t>
      </w:r>
      <w:r w:rsidR="002B2824">
        <w:rPr>
          <w:rFonts w:ascii="Arial" w:hAnsi="Arial" w:cs="Arial"/>
        </w:rPr>
        <w:t xml:space="preserve"> This would</w:t>
      </w:r>
      <w:r w:rsidRPr="00EB6D91">
        <w:rPr>
          <w:rFonts w:ascii="Arial" w:hAnsi="Arial" w:cs="Arial"/>
        </w:rPr>
        <w:t xml:space="preserve"> also </w:t>
      </w:r>
      <w:r w:rsidR="002B2824">
        <w:rPr>
          <w:rFonts w:ascii="Arial" w:hAnsi="Arial" w:cs="Arial"/>
        </w:rPr>
        <w:t xml:space="preserve">avoid </w:t>
      </w:r>
      <w:r w:rsidRPr="00EB6D91">
        <w:rPr>
          <w:rFonts w:ascii="Arial" w:hAnsi="Arial" w:cs="Arial"/>
        </w:rPr>
        <w:t>the potential ‘perverse incentive’ identified for HRI in section 6.1 of the paper.</w:t>
      </w:r>
      <w:r w:rsidR="00CB2F93">
        <w:rPr>
          <w:rFonts w:ascii="Arial" w:hAnsi="Arial" w:cs="Arial"/>
        </w:rPr>
        <w:t xml:space="preserve"> </w:t>
      </w:r>
    </w:p>
    <w:p w:rsidR="00EB6D91" w:rsidRDefault="002B2824" w:rsidP="00FC1393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B6D91" w:rsidRPr="00EB6D91">
        <w:rPr>
          <w:rFonts w:ascii="Arial" w:hAnsi="Arial" w:cs="Arial"/>
        </w:rPr>
        <w:t xml:space="preserve">he best-performing 3-indicator model is </w:t>
      </w:r>
      <w:r>
        <w:rPr>
          <w:rFonts w:ascii="Arial" w:hAnsi="Arial" w:cs="Arial"/>
        </w:rPr>
        <w:t xml:space="preserve">still </w:t>
      </w:r>
      <w:r w:rsidR="00EB6D91" w:rsidRPr="00EB6D91">
        <w:rPr>
          <w:rFonts w:ascii="Arial" w:hAnsi="Arial" w:cs="Arial"/>
        </w:rPr>
        <w:t xml:space="preserve">[LLTI, HRI, </w:t>
      </w:r>
      <w:proofErr w:type="gramStart"/>
      <w:r w:rsidR="00EB6D91" w:rsidRPr="00EB6D91">
        <w:rPr>
          <w:rFonts w:ascii="Arial" w:hAnsi="Arial" w:cs="Arial"/>
        </w:rPr>
        <w:t>DNA</w:t>
      </w:r>
      <w:proofErr w:type="gramEnd"/>
      <w:r w:rsidR="00EB6D91" w:rsidRPr="00EB6D91">
        <w:rPr>
          <w:rFonts w:ascii="Arial" w:hAnsi="Arial" w:cs="Arial"/>
        </w:rPr>
        <w:t xml:space="preserve">]. </w:t>
      </w:r>
    </w:p>
    <w:p w:rsidR="008E46A4" w:rsidRPr="00EB6D91" w:rsidRDefault="008E46A4" w:rsidP="00EB6D91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4 indicators were to be used, then [</w:t>
      </w:r>
      <w:r w:rsidRPr="00CD63D7">
        <w:rPr>
          <w:rFonts w:ascii="Arial" w:hAnsi="Arial" w:cs="Arial"/>
        </w:rPr>
        <w:t>LLTI, HRI, DNA, Unpaid care</w:t>
      </w:r>
      <w:r>
        <w:rPr>
          <w:rFonts w:ascii="Arial" w:hAnsi="Arial" w:cs="Arial"/>
        </w:rPr>
        <w:t>] performs much better as an index than [</w:t>
      </w:r>
      <w:r w:rsidRPr="00CD63D7">
        <w:rPr>
          <w:rFonts w:ascii="Arial" w:hAnsi="Arial" w:cs="Arial"/>
        </w:rPr>
        <w:t xml:space="preserve">LLTI, HRI, DNA, </w:t>
      </w:r>
      <w:r>
        <w:rPr>
          <w:rFonts w:ascii="Arial" w:hAnsi="Arial" w:cs="Arial"/>
        </w:rPr>
        <w:t>Ethnicity].</w:t>
      </w:r>
    </w:p>
    <w:p w:rsidR="00CC2ED2" w:rsidRPr="00CC2ED2" w:rsidRDefault="00CC2ED2" w:rsidP="00CD63D7">
      <w:pPr>
        <w:spacing w:after="240" w:line="276" w:lineRule="auto"/>
        <w:jc w:val="both"/>
        <w:rPr>
          <w:rFonts w:ascii="Arial" w:hAnsi="Arial" w:cs="Arial"/>
          <w:b/>
        </w:rPr>
      </w:pPr>
      <w:r w:rsidRPr="00CC2ED2">
        <w:rPr>
          <w:rFonts w:ascii="Arial" w:hAnsi="Arial" w:cs="Arial"/>
          <w:b/>
        </w:rPr>
        <w:t>Other alternatives</w:t>
      </w:r>
    </w:p>
    <w:p w:rsidR="00CC2ED2" w:rsidRDefault="00CC2ED2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paper identified potential issues around perverse incent</w:t>
      </w:r>
      <w:r w:rsidR="002B2824">
        <w:rPr>
          <w:rFonts w:ascii="Arial" w:hAnsi="Arial" w:cs="Arial"/>
        </w:rPr>
        <w:t>ives with some of the variables;</w:t>
      </w:r>
      <w:r>
        <w:rPr>
          <w:rFonts w:ascii="Arial" w:hAnsi="Arial" w:cs="Arial"/>
        </w:rPr>
        <w:t xml:space="preserve"> particularly DNA, but also HRI to a lesser extent. With HRI there is also the potential for better explanation of past costs than prediction of future costs, since HRI is very closely linked to cost.</w:t>
      </w:r>
    </w:p>
    <w:p w:rsidR="00CC2ED2" w:rsidRDefault="00CC2ED2" w:rsidP="00CD63D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common top 3 and top 4 in Table 16 both contain DNA and HRI. Because the Subgroup may wish to exclude either or both of these, we have briefly explored the performance of </w:t>
      </w:r>
      <w:r w:rsidR="002B2824">
        <w:rPr>
          <w:rFonts w:ascii="Arial" w:hAnsi="Arial" w:cs="Arial"/>
        </w:rPr>
        <w:t xml:space="preserve">some </w:t>
      </w:r>
      <w:r>
        <w:rPr>
          <w:rFonts w:ascii="Arial" w:hAnsi="Arial" w:cs="Arial"/>
        </w:rPr>
        <w:t>other possible 3- and 4-indicator models, drawing from the same set of five indicators</w:t>
      </w:r>
      <w:r w:rsidR="00077F41">
        <w:rPr>
          <w:rFonts w:ascii="Arial" w:hAnsi="Arial" w:cs="Arial"/>
        </w:rPr>
        <w:t xml:space="preserve"> </w:t>
      </w:r>
      <w:r w:rsidR="002B2824">
        <w:rPr>
          <w:rFonts w:ascii="Arial" w:hAnsi="Arial" w:cs="Arial"/>
        </w:rPr>
        <w:t>and also</w:t>
      </w:r>
      <w:r w:rsidR="00077F41">
        <w:rPr>
          <w:rFonts w:ascii="Arial" w:hAnsi="Arial" w:cs="Arial"/>
        </w:rPr>
        <w:t xml:space="preserve"> All-cause SMR &lt;75</w:t>
      </w:r>
      <w:r>
        <w:rPr>
          <w:rFonts w:ascii="Arial" w:hAnsi="Arial" w:cs="Arial"/>
        </w:rPr>
        <w:t>. Table 19 shows the R</w:t>
      </w:r>
      <w:r w:rsidRPr="00CC2ED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for these other alternatives</w:t>
      </w:r>
      <w:r w:rsidR="002B2824">
        <w:rPr>
          <w:rFonts w:ascii="Arial" w:hAnsi="Arial" w:cs="Arial"/>
        </w:rPr>
        <w:t>, using the Whole Acute cost ratios</w:t>
      </w:r>
      <w:r>
        <w:rPr>
          <w:rFonts w:ascii="Arial" w:hAnsi="Arial" w:cs="Arial"/>
        </w:rPr>
        <w:t>.</w:t>
      </w:r>
    </w:p>
    <w:p w:rsidR="00CC2ED2" w:rsidRPr="00BA6E98" w:rsidRDefault="00CC2ED2" w:rsidP="00CC2E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57D70">
        <w:rPr>
          <w:rFonts w:ascii="Arial" w:hAnsi="Arial" w:cs="Arial"/>
          <w:i/>
        </w:rPr>
        <w:t>Table</w:t>
      </w:r>
      <w:r>
        <w:rPr>
          <w:rFonts w:ascii="Arial" w:hAnsi="Arial" w:cs="Arial"/>
          <w:i/>
        </w:rPr>
        <w:t xml:space="preserve"> 19</w:t>
      </w:r>
      <w:r w:rsidRPr="00357D70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 xml:space="preserve">Adjusted </w:t>
      </w:r>
      <w:r w:rsidRPr="00357D70">
        <w:rPr>
          <w:rFonts w:ascii="Arial" w:hAnsi="Arial" w:cs="Arial"/>
          <w:i/>
        </w:rPr>
        <w:t>R</w:t>
      </w:r>
      <w:r w:rsidRPr="00357D70">
        <w:rPr>
          <w:rFonts w:ascii="Arial" w:hAnsi="Arial" w:cs="Arial"/>
          <w:i/>
          <w:vertAlign w:val="superscript"/>
        </w:rPr>
        <w:t>2</w:t>
      </w:r>
      <w:r w:rsidRPr="00357D70">
        <w:rPr>
          <w:rFonts w:ascii="Arial" w:hAnsi="Arial" w:cs="Arial"/>
          <w:i/>
        </w:rPr>
        <w:t xml:space="preserve"> for </w:t>
      </w:r>
      <w:r w:rsidR="00897CFE">
        <w:rPr>
          <w:rFonts w:ascii="Arial" w:hAnsi="Arial" w:cs="Arial"/>
          <w:i/>
        </w:rPr>
        <w:t>other alternative</w:t>
      </w:r>
      <w:r>
        <w:rPr>
          <w:rFonts w:ascii="Arial" w:hAnsi="Arial" w:cs="Arial"/>
          <w:i/>
        </w:rPr>
        <w:t xml:space="preserve"> index</w:t>
      </w:r>
      <w:r w:rsidR="00897CFE">
        <w:rPr>
          <w:rFonts w:ascii="Arial" w:hAnsi="Arial" w:cs="Arial"/>
          <w:i/>
        </w:rPr>
        <w:t xml:space="preserve"> options using 3 and 4 variables</w:t>
      </w:r>
    </w:p>
    <w:tbl>
      <w:tblPr>
        <w:tblStyle w:val="TableGrid"/>
        <w:tblW w:w="0" w:type="auto"/>
        <w:tblLook w:val="04A0"/>
      </w:tblPr>
      <w:tblGrid>
        <w:gridCol w:w="6345"/>
        <w:gridCol w:w="2835"/>
      </w:tblGrid>
      <w:tr w:rsidR="00897CFE" w:rsidTr="00077F41">
        <w:trPr>
          <w:trHeight w:val="622"/>
        </w:trPr>
        <w:tc>
          <w:tcPr>
            <w:tcW w:w="6345" w:type="dxa"/>
          </w:tcPr>
          <w:p w:rsidR="00897CFE" w:rsidRPr="007F4F7C" w:rsidRDefault="00897CFE" w:rsidP="00CC2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97CFE" w:rsidRPr="00357D70" w:rsidRDefault="00897CFE" w:rsidP="00897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D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Whole Acute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R</w:t>
            </w:r>
            <w:r w:rsidRPr="00897C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97CFE" w:rsidRPr="00897CFE" w:rsidTr="00077F41">
        <w:trPr>
          <w:trHeight w:val="340"/>
        </w:trPr>
        <w:tc>
          <w:tcPr>
            <w:tcW w:w="6345" w:type="dxa"/>
            <w:vAlign w:val="center"/>
          </w:tcPr>
          <w:p w:rsidR="00897CFE" w:rsidRPr="00897CFE" w:rsidRDefault="00897CFE" w:rsidP="00897C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7CFE">
              <w:rPr>
                <w:rFonts w:ascii="Arial" w:hAnsi="Arial" w:cs="Arial"/>
                <w:b/>
                <w:sz w:val="20"/>
                <w:szCs w:val="20"/>
              </w:rPr>
              <w:t>Common top 4 index [LLTI, HRI, DNA, Unpaid care]</w:t>
            </w:r>
          </w:p>
        </w:tc>
        <w:tc>
          <w:tcPr>
            <w:tcW w:w="2835" w:type="dxa"/>
            <w:vAlign w:val="center"/>
          </w:tcPr>
          <w:p w:rsidR="00897CFE" w:rsidRPr="00897CFE" w:rsidRDefault="00897CFE" w:rsidP="00CC2E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CFE">
              <w:rPr>
                <w:rFonts w:ascii="Arial" w:hAnsi="Arial" w:cs="Arial"/>
                <w:b/>
                <w:sz w:val="20"/>
                <w:szCs w:val="20"/>
              </w:rPr>
              <w:t>66.0%</w:t>
            </w:r>
          </w:p>
        </w:tc>
      </w:tr>
      <w:tr w:rsidR="00897CFE" w:rsidTr="00077F41">
        <w:trPr>
          <w:trHeight w:val="340"/>
        </w:trPr>
        <w:tc>
          <w:tcPr>
            <w:tcW w:w="6345" w:type="dxa"/>
            <w:vAlign w:val="center"/>
          </w:tcPr>
          <w:p w:rsidR="00897CFE" w:rsidRDefault="00897CFE" w:rsidP="00315A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1 [LLTI, </w:t>
            </w:r>
            <w:r w:rsidR="00315A76">
              <w:rPr>
                <w:rFonts w:ascii="Arial" w:hAnsi="Arial" w:cs="Arial"/>
                <w:sz w:val="20"/>
                <w:szCs w:val="20"/>
              </w:rPr>
              <w:t xml:space="preserve">HRI, </w:t>
            </w:r>
            <w:r>
              <w:rPr>
                <w:rFonts w:ascii="Arial" w:hAnsi="Arial" w:cs="Arial"/>
                <w:sz w:val="20"/>
                <w:szCs w:val="20"/>
              </w:rPr>
              <w:t>General health, Unpaid care]</w:t>
            </w:r>
          </w:p>
        </w:tc>
        <w:tc>
          <w:tcPr>
            <w:tcW w:w="2835" w:type="dxa"/>
            <w:vAlign w:val="center"/>
          </w:tcPr>
          <w:p w:rsidR="00897CFE" w:rsidRDefault="00897CFE" w:rsidP="00CC2E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64.7%</w:t>
            </w:r>
          </w:p>
        </w:tc>
      </w:tr>
      <w:tr w:rsidR="00077F41" w:rsidTr="00DB31A6">
        <w:trPr>
          <w:trHeight w:val="340"/>
        </w:trPr>
        <w:tc>
          <w:tcPr>
            <w:tcW w:w="6345" w:type="dxa"/>
            <w:vAlign w:val="center"/>
          </w:tcPr>
          <w:p w:rsidR="00077F41" w:rsidRDefault="00077F41" w:rsidP="00315A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[LLTI</w:t>
            </w:r>
            <w:r w:rsidR="00315A76">
              <w:rPr>
                <w:rFonts w:ascii="Arial" w:hAnsi="Arial" w:cs="Arial"/>
                <w:sz w:val="20"/>
                <w:szCs w:val="20"/>
              </w:rPr>
              <w:t>, All-cause SMR &lt;75</w:t>
            </w:r>
            <w:r>
              <w:rPr>
                <w:rFonts w:ascii="Arial" w:hAnsi="Arial" w:cs="Arial"/>
                <w:sz w:val="20"/>
                <w:szCs w:val="20"/>
              </w:rPr>
              <w:t>, General health, Unpaid care]</w:t>
            </w:r>
          </w:p>
        </w:tc>
        <w:tc>
          <w:tcPr>
            <w:tcW w:w="2835" w:type="dxa"/>
            <w:vAlign w:val="center"/>
          </w:tcPr>
          <w:p w:rsidR="00077F41" w:rsidRDefault="00077F41" w:rsidP="00DB31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62.3%</w:t>
            </w:r>
          </w:p>
        </w:tc>
      </w:tr>
      <w:tr w:rsidR="00897CFE" w:rsidRPr="00897CFE" w:rsidTr="00077F41">
        <w:trPr>
          <w:trHeight w:val="340"/>
        </w:trPr>
        <w:tc>
          <w:tcPr>
            <w:tcW w:w="6345" w:type="dxa"/>
            <w:vAlign w:val="center"/>
          </w:tcPr>
          <w:p w:rsidR="00897CFE" w:rsidRPr="00897CFE" w:rsidRDefault="00897CFE" w:rsidP="00897C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7CFE">
              <w:rPr>
                <w:rFonts w:ascii="Arial" w:hAnsi="Arial" w:cs="Arial"/>
                <w:b/>
                <w:sz w:val="20"/>
                <w:szCs w:val="20"/>
              </w:rPr>
              <w:t>Common top 3 index [LLTI, HRI, DNA]</w:t>
            </w:r>
          </w:p>
        </w:tc>
        <w:tc>
          <w:tcPr>
            <w:tcW w:w="2835" w:type="dxa"/>
            <w:vAlign w:val="center"/>
          </w:tcPr>
          <w:p w:rsidR="00897CFE" w:rsidRPr="00897CFE" w:rsidRDefault="00897CFE" w:rsidP="00897C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CFE">
              <w:rPr>
                <w:rFonts w:ascii="Arial" w:hAnsi="Arial" w:cs="Arial"/>
                <w:b/>
                <w:sz w:val="20"/>
                <w:szCs w:val="20"/>
              </w:rPr>
              <w:t>64.9%</w:t>
            </w:r>
          </w:p>
        </w:tc>
      </w:tr>
      <w:tr w:rsidR="00897CFE" w:rsidTr="00077F41">
        <w:trPr>
          <w:trHeight w:val="340"/>
        </w:trPr>
        <w:tc>
          <w:tcPr>
            <w:tcW w:w="6345" w:type="dxa"/>
            <w:vAlign w:val="center"/>
          </w:tcPr>
          <w:p w:rsidR="00897CFE" w:rsidRDefault="00897CFE" w:rsidP="00315A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1 [LLTI</w:t>
            </w:r>
            <w:r w:rsidR="00315A76">
              <w:rPr>
                <w:rFonts w:ascii="Arial" w:hAnsi="Arial" w:cs="Arial"/>
                <w:sz w:val="20"/>
                <w:szCs w:val="20"/>
              </w:rPr>
              <w:t>, HRI</w:t>
            </w:r>
            <w:r>
              <w:rPr>
                <w:rFonts w:ascii="Arial" w:hAnsi="Arial" w:cs="Arial"/>
                <w:sz w:val="20"/>
                <w:szCs w:val="20"/>
              </w:rPr>
              <w:t>, General health]</w:t>
            </w:r>
          </w:p>
        </w:tc>
        <w:tc>
          <w:tcPr>
            <w:tcW w:w="2835" w:type="dxa"/>
            <w:vAlign w:val="center"/>
          </w:tcPr>
          <w:p w:rsidR="00897CFE" w:rsidRDefault="00897CFE" w:rsidP="00897C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64.2%</w:t>
            </w:r>
          </w:p>
        </w:tc>
      </w:tr>
      <w:tr w:rsidR="00897CFE" w:rsidTr="00077F41">
        <w:trPr>
          <w:trHeight w:val="340"/>
        </w:trPr>
        <w:tc>
          <w:tcPr>
            <w:tcW w:w="6345" w:type="dxa"/>
            <w:vAlign w:val="center"/>
          </w:tcPr>
          <w:p w:rsidR="00897CFE" w:rsidRDefault="00897CFE" w:rsidP="00897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2 [LLTI, HRI, Unpaid care]</w:t>
            </w:r>
          </w:p>
        </w:tc>
        <w:tc>
          <w:tcPr>
            <w:tcW w:w="2835" w:type="dxa"/>
            <w:vAlign w:val="center"/>
          </w:tcPr>
          <w:p w:rsidR="00897CFE" w:rsidRDefault="00897CFE" w:rsidP="00897C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62.6%</w:t>
            </w:r>
          </w:p>
        </w:tc>
      </w:tr>
      <w:tr w:rsidR="00077F41" w:rsidTr="00077F41">
        <w:trPr>
          <w:trHeight w:val="340"/>
        </w:trPr>
        <w:tc>
          <w:tcPr>
            <w:tcW w:w="6345" w:type="dxa"/>
            <w:vAlign w:val="center"/>
          </w:tcPr>
          <w:p w:rsidR="00077F41" w:rsidRDefault="00077F41" w:rsidP="00077F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3 [LLTI, HRI, </w:t>
            </w:r>
            <w:r>
              <w:rPr>
                <w:rFonts w:ascii="Arial" w:hAnsi="Arial" w:cs="Arial"/>
                <w:sz w:val="20"/>
                <w:szCs w:val="20"/>
              </w:rPr>
              <w:t>All-cause SMR &lt;75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835" w:type="dxa"/>
            <w:vAlign w:val="center"/>
          </w:tcPr>
          <w:p w:rsidR="00077F41" w:rsidRDefault="00077F41" w:rsidP="00897C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62.1%</w:t>
            </w:r>
          </w:p>
        </w:tc>
      </w:tr>
      <w:tr w:rsidR="00077F41" w:rsidTr="00077F41">
        <w:trPr>
          <w:trHeight w:val="340"/>
        </w:trPr>
        <w:tc>
          <w:tcPr>
            <w:tcW w:w="6345" w:type="dxa"/>
            <w:vAlign w:val="center"/>
          </w:tcPr>
          <w:p w:rsidR="00077F41" w:rsidRDefault="00077F41" w:rsidP="00077F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4 [LLTI, Unpaid care, </w:t>
            </w:r>
            <w:r>
              <w:rPr>
                <w:rFonts w:ascii="Arial" w:hAnsi="Arial" w:cs="Arial"/>
                <w:sz w:val="20"/>
                <w:szCs w:val="20"/>
              </w:rPr>
              <w:t>All-cause SMR &lt;75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835" w:type="dxa"/>
            <w:vAlign w:val="center"/>
          </w:tcPr>
          <w:p w:rsidR="00077F41" w:rsidRDefault="00077F41" w:rsidP="00897C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61.3%</w:t>
            </w:r>
          </w:p>
        </w:tc>
      </w:tr>
      <w:tr w:rsidR="00897CFE" w:rsidTr="00077F41">
        <w:trPr>
          <w:trHeight w:val="340"/>
        </w:trPr>
        <w:tc>
          <w:tcPr>
            <w:tcW w:w="6345" w:type="dxa"/>
            <w:vAlign w:val="center"/>
          </w:tcPr>
          <w:p w:rsidR="00897CFE" w:rsidRDefault="00077F41" w:rsidP="00897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5</w:t>
            </w:r>
            <w:r w:rsidR="00897CFE">
              <w:rPr>
                <w:rFonts w:ascii="Arial" w:hAnsi="Arial" w:cs="Arial"/>
                <w:sz w:val="20"/>
                <w:szCs w:val="20"/>
              </w:rPr>
              <w:t xml:space="preserve"> [LLTI, General health, </w:t>
            </w:r>
            <w:r w:rsidR="00C020B4">
              <w:rPr>
                <w:rFonts w:ascii="Arial" w:hAnsi="Arial" w:cs="Arial"/>
                <w:sz w:val="20"/>
                <w:szCs w:val="20"/>
              </w:rPr>
              <w:t>All-cause SMR &lt;75</w:t>
            </w:r>
            <w:r w:rsidR="00897CFE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835" w:type="dxa"/>
            <w:vAlign w:val="center"/>
          </w:tcPr>
          <w:p w:rsidR="00897CFE" w:rsidRDefault="00897CFE" w:rsidP="00C020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020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020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97CFE" w:rsidRPr="00897CFE" w:rsidTr="00077F41">
        <w:trPr>
          <w:trHeight w:val="340"/>
        </w:trPr>
        <w:tc>
          <w:tcPr>
            <w:tcW w:w="6345" w:type="dxa"/>
            <w:vAlign w:val="center"/>
          </w:tcPr>
          <w:p w:rsidR="00897CFE" w:rsidRPr="00897CFE" w:rsidRDefault="00897CFE" w:rsidP="00897C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7CFE">
              <w:rPr>
                <w:rFonts w:ascii="Arial" w:hAnsi="Arial" w:cs="Arial"/>
                <w:b/>
                <w:sz w:val="20"/>
                <w:szCs w:val="20"/>
              </w:rPr>
              <w:t>Common top 2 index [LLTI, General health]</w:t>
            </w:r>
          </w:p>
        </w:tc>
        <w:tc>
          <w:tcPr>
            <w:tcW w:w="2835" w:type="dxa"/>
            <w:vAlign w:val="center"/>
          </w:tcPr>
          <w:p w:rsidR="00897CFE" w:rsidRPr="00897CFE" w:rsidRDefault="00897CFE" w:rsidP="00CC2E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CFE">
              <w:rPr>
                <w:rFonts w:ascii="Arial" w:hAnsi="Arial" w:cs="Arial"/>
                <w:b/>
                <w:sz w:val="20"/>
                <w:szCs w:val="20"/>
              </w:rPr>
              <w:t>60.8%</w:t>
            </w:r>
          </w:p>
        </w:tc>
      </w:tr>
      <w:tr w:rsidR="00897CFE" w:rsidRPr="00500B94" w:rsidTr="00CB2F93">
        <w:trPr>
          <w:trHeight w:val="340"/>
        </w:trPr>
        <w:tc>
          <w:tcPr>
            <w:tcW w:w="634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97CFE" w:rsidRPr="00500B94" w:rsidRDefault="00897CFE" w:rsidP="00897C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00B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Reference model [LLTI, All-cause SMR &lt;75]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7CFE" w:rsidRPr="00500B94" w:rsidRDefault="00897CFE" w:rsidP="0089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00B94">
              <w:rPr>
                <w:rFonts w:ascii="Arial" w:hAnsi="Arial" w:cs="Arial"/>
                <w:b/>
                <w:sz w:val="20"/>
                <w:szCs w:val="20"/>
              </w:rPr>
              <w:t>59.6%</w:t>
            </w:r>
          </w:p>
        </w:tc>
      </w:tr>
      <w:tr w:rsidR="00CB2F93" w:rsidRPr="00CB2F93" w:rsidTr="00CB2F93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:rsidR="00CB2F93" w:rsidRPr="00CB2F93" w:rsidRDefault="00CB2F93" w:rsidP="00CB2F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2F9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B2F93">
              <w:rPr>
                <w:rFonts w:ascii="Arial" w:hAnsi="Arial" w:cs="Arial"/>
                <w:b/>
                <w:sz w:val="20"/>
                <w:szCs w:val="20"/>
              </w:rPr>
              <w:t>ommon top 1 index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[LLTI]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2F93" w:rsidRPr="00CB2F93" w:rsidRDefault="00CB2F93" w:rsidP="00CB2F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F93">
              <w:rPr>
                <w:rFonts w:ascii="Arial" w:hAnsi="Arial" w:cs="Arial"/>
                <w:b/>
                <w:sz w:val="20"/>
                <w:szCs w:val="20"/>
              </w:rPr>
              <w:t>60.8%</w:t>
            </w:r>
          </w:p>
        </w:tc>
      </w:tr>
    </w:tbl>
    <w:p w:rsidR="00CC2ED2" w:rsidRDefault="00CC2ED2" w:rsidP="00CD63D7">
      <w:pPr>
        <w:spacing w:after="240" w:line="276" w:lineRule="auto"/>
        <w:jc w:val="both"/>
        <w:rPr>
          <w:rFonts w:ascii="Arial" w:hAnsi="Arial" w:cs="Arial"/>
        </w:rPr>
      </w:pPr>
    </w:p>
    <w:p w:rsidR="00EB6D91" w:rsidRDefault="00500B94" w:rsidP="00EB6D91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Based on these values,</w:t>
      </w:r>
      <w:r w:rsidR="00EB6D91">
        <w:rPr>
          <w:rFonts w:ascii="Arial" w:hAnsi="Arial" w:cs="Arial"/>
        </w:rPr>
        <w:t xml:space="preserve"> we can conclude:</w:t>
      </w:r>
    </w:p>
    <w:p w:rsidR="00EB6D91" w:rsidRDefault="00EB6D91" w:rsidP="00EB6D91">
      <w:pPr>
        <w:pStyle w:val="ListParagraph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00B94" w:rsidRPr="00EB6D91">
        <w:rPr>
          <w:rFonts w:ascii="Arial" w:hAnsi="Arial" w:cs="Arial"/>
        </w:rPr>
        <w:t xml:space="preserve">here are a </w:t>
      </w:r>
      <w:r w:rsidR="00077F41" w:rsidRPr="00EB6D91">
        <w:rPr>
          <w:rFonts w:ascii="Arial" w:hAnsi="Arial" w:cs="Arial"/>
        </w:rPr>
        <w:t>few</w:t>
      </w:r>
      <w:r w:rsidR="00500B94" w:rsidRPr="00EB6D91">
        <w:rPr>
          <w:rFonts w:ascii="Arial" w:hAnsi="Arial" w:cs="Arial"/>
        </w:rPr>
        <w:t xml:space="preserve"> 3-indicator models </w:t>
      </w:r>
      <w:r w:rsidR="00020542" w:rsidRPr="00EB6D91">
        <w:rPr>
          <w:rFonts w:ascii="Arial" w:hAnsi="Arial" w:cs="Arial"/>
        </w:rPr>
        <w:t xml:space="preserve">without DNA </w:t>
      </w:r>
      <w:r w:rsidR="00500B94" w:rsidRPr="00EB6D91">
        <w:rPr>
          <w:rFonts w:ascii="Arial" w:hAnsi="Arial" w:cs="Arial"/>
        </w:rPr>
        <w:t>that offer a</w:t>
      </w:r>
      <w:r w:rsidRPr="00EB6D91">
        <w:rPr>
          <w:rFonts w:ascii="Arial" w:hAnsi="Arial" w:cs="Arial"/>
        </w:rPr>
        <w:t xml:space="preserve">n </w:t>
      </w:r>
      <w:r w:rsidR="00500B94" w:rsidRPr="00EB6D91">
        <w:rPr>
          <w:rFonts w:ascii="Arial" w:hAnsi="Arial" w:cs="Arial"/>
        </w:rPr>
        <w:t>improvement o</w:t>
      </w:r>
      <w:r w:rsidR="00077F41" w:rsidRPr="00EB6D91">
        <w:rPr>
          <w:rFonts w:ascii="Arial" w:hAnsi="Arial" w:cs="Arial"/>
        </w:rPr>
        <w:t>ver the best 2-indicator model</w:t>
      </w:r>
      <w:r w:rsidRPr="00EB6D91">
        <w:rPr>
          <w:rFonts w:ascii="Arial" w:hAnsi="Arial" w:cs="Arial"/>
        </w:rPr>
        <w:t xml:space="preserve">. </w:t>
      </w:r>
      <w:r w:rsidR="00500B94" w:rsidRPr="00EB6D91">
        <w:rPr>
          <w:rFonts w:ascii="Arial" w:hAnsi="Arial" w:cs="Arial"/>
        </w:rPr>
        <w:t xml:space="preserve">Of these, [LLTI, General health, HRI] appears to </w:t>
      </w:r>
      <w:r w:rsidR="00077F41" w:rsidRPr="00EB6D91">
        <w:rPr>
          <w:rFonts w:ascii="Arial" w:hAnsi="Arial" w:cs="Arial"/>
        </w:rPr>
        <w:t>be the best</w:t>
      </w:r>
      <w:r>
        <w:rPr>
          <w:rFonts w:ascii="Arial" w:hAnsi="Arial" w:cs="Arial"/>
        </w:rPr>
        <w:t>, with an R</w:t>
      </w:r>
      <w:r w:rsidRPr="00EB6D9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that is almost as high as [LLTI, HRI, DNA]</w:t>
      </w:r>
      <w:r w:rsidR="00500B94" w:rsidRPr="00EB6D91">
        <w:rPr>
          <w:rFonts w:ascii="Arial" w:hAnsi="Arial" w:cs="Arial"/>
        </w:rPr>
        <w:t xml:space="preserve">. </w:t>
      </w:r>
    </w:p>
    <w:p w:rsidR="00EB6D91" w:rsidRDefault="00500B94" w:rsidP="00EB6D91">
      <w:pPr>
        <w:pStyle w:val="ListParagraph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EB6D91">
        <w:rPr>
          <w:rFonts w:ascii="Arial" w:hAnsi="Arial" w:cs="Arial"/>
        </w:rPr>
        <w:t xml:space="preserve">Adding </w:t>
      </w:r>
      <w:proofErr w:type="gramStart"/>
      <w:r w:rsidRPr="00EB6D91">
        <w:rPr>
          <w:rFonts w:ascii="Arial" w:hAnsi="Arial" w:cs="Arial"/>
        </w:rPr>
        <w:t>Unpaid</w:t>
      </w:r>
      <w:proofErr w:type="gramEnd"/>
      <w:r w:rsidRPr="00EB6D91">
        <w:rPr>
          <w:rFonts w:ascii="Arial" w:hAnsi="Arial" w:cs="Arial"/>
        </w:rPr>
        <w:t xml:space="preserve"> care to this</w:t>
      </w:r>
      <w:r w:rsidR="00EB6D91" w:rsidRPr="00EB6D91">
        <w:rPr>
          <w:rFonts w:ascii="Arial" w:hAnsi="Arial" w:cs="Arial"/>
        </w:rPr>
        <w:t xml:space="preserve"> model</w:t>
      </w:r>
      <w:r w:rsidRPr="00EB6D91">
        <w:rPr>
          <w:rFonts w:ascii="Arial" w:hAnsi="Arial" w:cs="Arial"/>
        </w:rPr>
        <w:t xml:space="preserve"> produces a reasonable alternative 4-indicator model</w:t>
      </w:r>
      <w:r w:rsidR="00EB6D91" w:rsidRPr="00EB6D91">
        <w:rPr>
          <w:rFonts w:ascii="Arial" w:hAnsi="Arial" w:cs="Arial"/>
        </w:rPr>
        <w:t xml:space="preserve"> but the gain in R</w:t>
      </w:r>
      <w:r w:rsidR="00EB6D91" w:rsidRPr="00EB6D91">
        <w:rPr>
          <w:rFonts w:ascii="Arial" w:hAnsi="Arial" w:cs="Arial"/>
          <w:vertAlign w:val="superscript"/>
        </w:rPr>
        <w:t>2</w:t>
      </w:r>
      <w:r w:rsidR="00EB6D91" w:rsidRPr="00EB6D91">
        <w:rPr>
          <w:rFonts w:ascii="Arial" w:hAnsi="Arial" w:cs="Arial"/>
        </w:rPr>
        <w:t xml:space="preserve"> is very slight</w:t>
      </w:r>
      <w:r w:rsidRPr="00EB6D91">
        <w:rPr>
          <w:rFonts w:ascii="Arial" w:hAnsi="Arial" w:cs="Arial"/>
        </w:rPr>
        <w:t>.</w:t>
      </w:r>
    </w:p>
    <w:p w:rsidR="00EB6D91" w:rsidRDefault="00EB6D91" w:rsidP="00CB2F93">
      <w:pPr>
        <w:pStyle w:val="ListParagraph"/>
        <w:numPr>
          <w:ilvl w:val="0"/>
          <w:numId w:val="2"/>
        </w:numPr>
        <w:spacing w:after="120" w:line="276" w:lineRule="auto"/>
        <w:ind w:left="777" w:hanging="357"/>
        <w:contextualSpacing w:val="0"/>
        <w:jc w:val="both"/>
        <w:rPr>
          <w:rFonts w:ascii="Arial" w:hAnsi="Arial" w:cs="Arial"/>
        </w:rPr>
      </w:pPr>
      <w:r w:rsidRPr="00EB6D91">
        <w:rPr>
          <w:rFonts w:ascii="Arial" w:hAnsi="Arial" w:cs="Arial"/>
        </w:rPr>
        <w:t>There are also a couple of 3-indicator options that exclude both DNA and HRI and that still offer a (slight) improvement in R</w:t>
      </w:r>
      <w:r w:rsidRPr="00EB6D91">
        <w:rPr>
          <w:rFonts w:ascii="Arial" w:hAnsi="Arial" w:cs="Arial"/>
          <w:vertAlign w:val="superscript"/>
        </w:rPr>
        <w:t>2</w:t>
      </w:r>
      <w:r w:rsidRPr="00EB6D91">
        <w:rPr>
          <w:rFonts w:ascii="Arial" w:hAnsi="Arial" w:cs="Arial"/>
        </w:rPr>
        <w:t xml:space="preserve"> over two indicators</w:t>
      </w:r>
      <w:r w:rsidR="008E46A4">
        <w:rPr>
          <w:rFonts w:ascii="Arial" w:hAnsi="Arial" w:cs="Arial"/>
        </w:rPr>
        <w:t xml:space="preserve">: </w:t>
      </w:r>
      <w:r w:rsidR="008E46A4" w:rsidRPr="008E46A4">
        <w:rPr>
          <w:rFonts w:ascii="Arial" w:hAnsi="Arial" w:cs="Arial"/>
        </w:rPr>
        <w:t>[LLTI, Unpaid care, All-cause SMR &lt;75]</w:t>
      </w:r>
      <w:r w:rsidR="008E46A4">
        <w:rPr>
          <w:rFonts w:ascii="Arial" w:hAnsi="Arial" w:cs="Arial"/>
        </w:rPr>
        <w:t xml:space="preserve"> and </w:t>
      </w:r>
      <w:r w:rsidR="008E46A4" w:rsidRPr="008E46A4">
        <w:rPr>
          <w:rFonts w:ascii="Arial" w:hAnsi="Arial" w:cs="Arial"/>
        </w:rPr>
        <w:t>[LLTI, General health, All-cause SMR &lt;75]</w:t>
      </w:r>
      <w:r w:rsidR="008E46A4">
        <w:rPr>
          <w:rFonts w:ascii="Arial" w:hAnsi="Arial" w:cs="Arial"/>
        </w:rPr>
        <w:t>.</w:t>
      </w:r>
    </w:p>
    <w:p w:rsidR="00CB2F93" w:rsidRPr="00EB6D91" w:rsidRDefault="00CB2F93" w:rsidP="00CD63D7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best 2-indicator model offers no real improvement in R</w:t>
      </w:r>
      <w:r w:rsidRPr="00CB2F9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over a single indicator (although the predictive power </w:t>
      </w:r>
      <w:r w:rsidRPr="00CB2F93">
        <w:rPr>
          <w:rFonts w:ascii="Arial" w:hAnsi="Arial" w:cs="Arial"/>
          <w:i/>
        </w:rPr>
        <w:t>is</w:t>
      </w:r>
      <w:r>
        <w:rPr>
          <w:rFonts w:ascii="Arial" w:hAnsi="Arial" w:cs="Arial"/>
        </w:rPr>
        <w:t xml:space="preserve"> slightly better, in Table 18).</w:t>
      </w:r>
    </w:p>
    <w:sectPr w:rsidR="00CB2F93" w:rsidRPr="00EB6D91" w:rsidSect="00DB076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42" w:rsidRDefault="00020542" w:rsidP="003840D4">
      <w:pPr>
        <w:spacing w:after="0" w:line="240" w:lineRule="auto"/>
      </w:pPr>
      <w:r>
        <w:separator/>
      </w:r>
    </w:p>
  </w:endnote>
  <w:endnote w:type="continuationSeparator" w:id="0">
    <w:p w:rsidR="00020542" w:rsidRDefault="00020542" w:rsidP="0038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42" w:rsidRDefault="00020542" w:rsidP="003840D4">
      <w:pPr>
        <w:spacing w:after="0" w:line="240" w:lineRule="auto"/>
      </w:pPr>
      <w:r>
        <w:separator/>
      </w:r>
    </w:p>
  </w:footnote>
  <w:footnote w:type="continuationSeparator" w:id="0">
    <w:p w:rsidR="00020542" w:rsidRDefault="00020542" w:rsidP="0038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42" w:rsidRPr="0097225D" w:rsidRDefault="00020542" w:rsidP="003840D4">
    <w:pPr>
      <w:pStyle w:val="Header"/>
      <w:jc w:val="right"/>
      <w:rPr>
        <w:rFonts w:ascii="Arial" w:hAnsi="Arial" w:cs="Arial"/>
        <w:i/>
      </w:rPr>
    </w:pPr>
    <w:r w:rsidRPr="0097225D">
      <w:rPr>
        <w:rFonts w:ascii="Arial" w:hAnsi="Arial" w:cs="Arial"/>
        <w:i/>
      </w:rPr>
      <w:t>TAMLC</w:t>
    </w:r>
    <w:r>
      <w:rPr>
        <w:rFonts w:ascii="Arial" w:hAnsi="Arial" w:cs="Arial"/>
        <w:i/>
      </w:rPr>
      <w:t xml:space="preserve">43 – addendum </w:t>
    </w:r>
  </w:p>
  <w:p w:rsidR="00020542" w:rsidRDefault="000205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ADC"/>
    <w:multiLevelType w:val="hybridMultilevel"/>
    <w:tmpl w:val="2EB09E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C81C97"/>
    <w:multiLevelType w:val="hybridMultilevel"/>
    <w:tmpl w:val="08F4B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464"/>
    <w:rsid w:val="00020542"/>
    <w:rsid w:val="000307DA"/>
    <w:rsid w:val="00077F41"/>
    <w:rsid w:val="000E61F7"/>
    <w:rsid w:val="001318E8"/>
    <w:rsid w:val="00167B7F"/>
    <w:rsid w:val="001D6C49"/>
    <w:rsid w:val="002B2824"/>
    <w:rsid w:val="002F2928"/>
    <w:rsid w:val="002F55EC"/>
    <w:rsid w:val="00315A76"/>
    <w:rsid w:val="0033106F"/>
    <w:rsid w:val="003840D4"/>
    <w:rsid w:val="003B21EC"/>
    <w:rsid w:val="003B7ECE"/>
    <w:rsid w:val="003F35FD"/>
    <w:rsid w:val="004020C9"/>
    <w:rsid w:val="0041227F"/>
    <w:rsid w:val="004C15E1"/>
    <w:rsid w:val="00500B94"/>
    <w:rsid w:val="007201E0"/>
    <w:rsid w:val="00765AEE"/>
    <w:rsid w:val="007B1932"/>
    <w:rsid w:val="00853CDE"/>
    <w:rsid w:val="0089313E"/>
    <w:rsid w:val="00897CFE"/>
    <w:rsid w:val="008E46A4"/>
    <w:rsid w:val="00972060"/>
    <w:rsid w:val="009A1638"/>
    <w:rsid w:val="00AF50DE"/>
    <w:rsid w:val="00B4258C"/>
    <w:rsid w:val="00B52519"/>
    <w:rsid w:val="00B53927"/>
    <w:rsid w:val="00BA6E98"/>
    <w:rsid w:val="00C020B4"/>
    <w:rsid w:val="00C154E8"/>
    <w:rsid w:val="00C85D4A"/>
    <w:rsid w:val="00CA1027"/>
    <w:rsid w:val="00CB2F93"/>
    <w:rsid w:val="00CB4AFE"/>
    <w:rsid w:val="00CC2ED2"/>
    <w:rsid w:val="00CC5429"/>
    <w:rsid w:val="00CD63D7"/>
    <w:rsid w:val="00D01163"/>
    <w:rsid w:val="00D37E4C"/>
    <w:rsid w:val="00D82797"/>
    <w:rsid w:val="00DB0763"/>
    <w:rsid w:val="00E14464"/>
    <w:rsid w:val="00EB6D91"/>
    <w:rsid w:val="00F137D6"/>
    <w:rsid w:val="00F3210D"/>
    <w:rsid w:val="00F36CCB"/>
    <w:rsid w:val="00FC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64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425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0D4"/>
  </w:style>
  <w:style w:type="paragraph" w:styleId="Footer">
    <w:name w:val="footer"/>
    <w:basedOn w:val="Normal"/>
    <w:link w:val="FooterChar"/>
    <w:uiPriority w:val="99"/>
    <w:semiHidden/>
    <w:unhideWhenUsed/>
    <w:rsid w:val="0038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40D4"/>
  </w:style>
  <w:style w:type="paragraph" w:styleId="ListParagraph">
    <w:name w:val="List Paragraph"/>
    <w:basedOn w:val="Normal"/>
    <w:uiPriority w:val="34"/>
    <w:qFormat/>
    <w:rsid w:val="00CD6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8AFB5-F409-470B-A2BB-B3489794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chrism29</dc:creator>
  <cp:lastModifiedBy>Sarah Touati</cp:lastModifiedBy>
  <cp:revision>6</cp:revision>
  <dcterms:created xsi:type="dcterms:W3CDTF">2016-03-11T12:14:00Z</dcterms:created>
  <dcterms:modified xsi:type="dcterms:W3CDTF">2016-03-11T15:36:00Z</dcterms:modified>
</cp:coreProperties>
</file>