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7DE" w:rsidRPr="00140388" w:rsidRDefault="004617DE" w:rsidP="004617DE">
      <w:pPr>
        <w:spacing w:line="240" w:lineRule="auto"/>
        <w:rPr>
          <w:rFonts w:ascii="Arial" w:hAnsi="Arial" w:cs="Arial"/>
          <w:b/>
        </w:rPr>
      </w:pPr>
      <w:r w:rsidRPr="00140388">
        <w:rPr>
          <w:rFonts w:ascii="Arial" w:hAnsi="Arial" w:cs="Arial"/>
          <w:b/>
        </w:rPr>
        <w:t>TAGRA Acute MLC Sub-group</w:t>
      </w:r>
    </w:p>
    <w:p w:rsidR="004617DE" w:rsidRDefault="004617DE" w:rsidP="004617DE">
      <w:pPr>
        <w:spacing w:line="240" w:lineRule="auto"/>
        <w:rPr>
          <w:rFonts w:ascii="Arial" w:hAnsi="Arial" w:cs="Arial"/>
          <w:b/>
        </w:rPr>
      </w:pPr>
      <w:r>
        <w:rPr>
          <w:rFonts w:ascii="Arial" w:hAnsi="Arial" w:cs="Arial"/>
          <w:b/>
        </w:rPr>
        <w:t>Minutes</w:t>
      </w:r>
      <w:r w:rsidRPr="00140388">
        <w:rPr>
          <w:rFonts w:ascii="Arial" w:hAnsi="Arial" w:cs="Arial"/>
          <w:b/>
        </w:rPr>
        <w:t xml:space="preserve"> of </w:t>
      </w:r>
      <w:r>
        <w:rPr>
          <w:rFonts w:ascii="Arial" w:hAnsi="Arial" w:cs="Arial"/>
          <w:b/>
        </w:rPr>
        <w:t>1</w:t>
      </w:r>
      <w:r w:rsidR="001B4B4C">
        <w:rPr>
          <w:rFonts w:ascii="Arial" w:hAnsi="Arial" w:cs="Arial"/>
          <w:b/>
        </w:rPr>
        <w:t>5</w:t>
      </w:r>
      <w:r w:rsidRPr="00140388">
        <w:rPr>
          <w:rFonts w:ascii="Arial" w:hAnsi="Arial" w:cs="Arial"/>
          <w:b/>
        </w:rPr>
        <w:t xml:space="preserve">th meeting – </w:t>
      </w:r>
      <w:r w:rsidR="001B4B4C">
        <w:rPr>
          <w:rFonts w:ascii="Arial" w:hAnsi="Arial" w:cs="Arial"/>
          <w:b/>
        </w:rPr>
        <w:t>6</w:t>
      </w:r>
      <w:r w:rsidR="001B4B4C" w:rsidRPr="001B4B4C">
        <w:rPr>
          <w:rFonts w:ascii="Arial" w:hAnsi="Arial" w:cs="Arial"/>
          <w:b/>
          <w:vertAlign w:val="superscript"/>
        </w:rPr>
        <w:t>th</w:t>
      </w:r>
      <w:r w:rsidR="001B4B4C">
        <w:rPr>
          <w:rFonts w:ascii="Arial" w:hAnsi="Arial" w:cs="Arial"/>
          <w:b/>
        </w:rPr>
        <w:t xml:space="preserve"> June</w:t>
      </w:r>
      <w:r w:rsidR="00276CA1">
        <w:rPr>
          <w:rFonts w:ascii="Arial" w:hAnsi="Arial" w:cs="Arial"/>
          <w:b/>
        </w:rPr>
        <w:t xml:space="preserve"> </w:t>
      </w:r>
      <w:r>
        <w:rPr>
          <w:rFonts w:ascii="Arial" w:hAnsi="Arial" w:cs="Arial"/>
          <w:b/>
        </w:rPr>
        <w:t>2016</w:t>
      </w:r>
      <w:r w:rsidRPr="00140388">
        <w:rPr>
          <w:rFonts w:ascii="Arial" w:hAnsi="Arial" w:cs="Arial"/>
          <w:b/>
        </w:rPr>
        <w:t xml:space="preserve"> –</w:t>
      </w:r>
      <w:r>
        <w:rPr>
          <w:rFonts w:ascii="Arial" w:hAnsi="Arial" w:cs="Arial"/>
          <w:b/>
        </w:rPr>
        <w:t xml:space="preserve"> </w:t>
      </w:r>
      <w:proofErr w:type="spellStart"/>
      <w:r w:rsidR="004E2246">
        <w:rPr>
          <w:rFonts w:ascii="Arial" w:hAnsi="Arial" w:cs="Arial"/>
          <w:b/>
        </w:rPr>
        <w:t>Gyle</w:t>
      </w:r>
      <w:proofErr w:type="spellEnd"/>
      <w:r w:rsidR="004E2246">
        <w:rPr>
          <w:rFonts w:ascii="Arial" w:hAnsi="Arial" w:cs="Arial"/>
          <w:b/>
        </w:rPr>
        <w:t xml:space="preserve"> Square, Edinburgh</w:t>
      </w:r>
    </w:p>
    <w:p w:rsidR="007672C5" w:rsidRDefault="007672C5"/>
    <w:p w:rsidR="001506AC" w:rsidRDefault="004617DE" w:rsidP="004617DE">
      <w:pPr>
        <w:spacing w:after="120" w:line="240" w:lineRule="auto"/>
        <w:rPr>
          <w:rFonts w:ascii="Arial" w:hAnsi="Arial" w:cs="Arial"/>
        </w:rPr>
      </w:pPr>
      <w:r>
        <w:rPr>
          <w:rFonts w:ascii="Arial" w:hAnsi="Arial" w:cs="Arial"/>
          <w:b/>
        </w:rPr>
        <w:t>Present</w:t>
      </w:r>
      <w:r>
        <w:rPr>
          <w:rFonts w:ascii="Arial" w:hAnsi="Arial" w:cs="Arial"/>
          <w:b/>
        </w:rPr>
        <w:tab/>
      </w:r>
      <w:r>
        <w:rPr>
          <w:rFonts w:ascii="Arial" w:hAnsi="Arial" w:cs="Arial"/>
          <w:b/>
        </w:rPr>
        <w:tab/>
      </w:r>
      <w:r>
        <w:rPr>
          <w:rFonts w:ascii="Arial" w:hAnsi="Arial" w:cs="Arial"/>
          <w:b/>
        </w:rPr>
        <w:tab/>
      </w:r>
      <w:r>
        <w:rPr>
          <w:rFonts w:ascii="Arial" w:hAnsi="Arial" w:cs="Arial"/>
        </w:rPr>
        <w:br/>
      </w:r>
      <w:r w:rsidRPr="00140388">
        <w:rPr>
          <w:rFonts w:ascii="Arial" w:hAnsi="Arial" w:cs="Arial"/>
        </w:rPr>
        <w:t>Roger Black (NHS NSS)</w:t>
      </w:r>
      <w:r w:rsidRPr="001C6E0C">
        <w:rPr>
          <w:rFonts w:ascii="Arial" w:hAnsi="Arial" w:cs="Arial"/>
        </w:rPr>
        <w:t xml:space="preserve"> </w:t>
      </w:r>
      <w:r>
        <w:rPr>
          <w:rFonts w:ascii="Arial" w:hAnsi="Arial" w:cs="Arial"/>
        </w:rPr>
        <w:tab/>
      </w:r>
      <w:r>
        <w:rPr>
          <w:rFonts w:ascii="Arial" w:hAnsi="Arial" w:cs="Arial"/>
        </w:rPr>
        <w:tab/>
      </w:r>
      <w:r>
        <w:rPr>
          <w:rFonts w:ascii="Arial" w:hAnsi="Arial" w:cs="Arial"/>
        </w:rPr>
        <w:br/>
        <w:t>Ang</w:t>
      </w:r>
      <w:r w:rsidRPr="00140388">
        <w:rPr>
          <w:rFonts w:ascii="Arial" w:hAnsi="Arial" w:cs="Arial"/>
        </w:rPr>
        <w:t>ela Campbell (Scottish Government)</w:t>
      </w:r>
      <w:r w:rsidR="000F3D9C">
        <w:rPr>
          <w:rFonts w:ascii="Arial" w:hAnsi="Arial" w:cs="Arial"/>
        </w:rPr>
        <w:br/>
        <w:t>Pauline Craig (NHS Health Scotland)</w:t>
      </w:r>
      <w:r w:rsidR="003C6912">
        <w:rPr>
          <w:rFonts w:ascii="Arial" w:hAnsi="Arial" w:cs="Arial"/>
        </w:rPr>
        <w:br/>
        <w:t>Andrew Daly (NHS GG&amp;C)</w:t>
      </w:r>
      <w:r w:rsidR="003C6912">
        <w:rPr>
          <w:rFonts w:ascii="Arial" w:hAnsi="Arial" w:cs="Arial"/>
        </w:rPr>
        <w:br/>
        <w:t>Frances E</w:t>
      </w:r>
      <w:r w:rsidR="00B76833">
        <w:rPr>
          <w:rFonts w:ascii="Arial" w:hAnsi="Arial" w:cs="Arial"/>
        </w:rPr>
        <w:t>l</w:t>
      </w:r>
      <w:r w:rsidR="003C6912">
        <w:rPr>
          <w:rFonts w:ascii="Arial" w:hAnsi="Arial" w:cs="Arial"/>
        </w:rPr>
        <w:t>liot (NHS Fife)</w:t>
      </w:r>
      <w:r>
        <w:rPr>
          <w:rFonts w:ascii="Arial" w:hAnsi="Arial" w:cs="Arial"/>
        </w:rPr>
        <w:br/>
      </w:r>
      <w:r w:rsidRPr="00140388">
        <w:rPr>
          <w:rFonts w:ascii="Arial" w:hAnsi="Arial" w:cs="Arial"/>
        </w:rPr>
        <w:t>Karen Facey (Chair)</w:t>
      </w:r>
      <w:r w:rsidR="001B4B4C">
        <w:rPr>
          <w:rFonts w:ascii="Arial" w:hAnsi="Arial" w:cs="Arial"/>
        </w:rPr>
        <w:br/>
        <w:t>David Garden (NHS Highland)</w:t>
      </w:r>
      <w:r w:rsidR="001B4B4C">
        <w:rPr>
          <w:rFonts w:ascii="Arial" w:hAnsi="Arial" w:cs="Arial"/>
        </w:rPr>
        <w:br/>
      </w:r>
      <w:r>
        <w:rPr>
          <w:rFonts w:ascii="Arial" w:hAnsi="Arial" w:cs="Arial"/>
        </w:rPr>
        <w:t>Lynne Jarvis (NHS NSS)</w:t>
      </w:r>
      <w:r w:rsidRPr="00D04093">
        <w:rPr>
          <w:rFonts w:ascii="Arial" w:hAnsi="Arial" w:cs="Arial"/>
        </w:rPr>
        <w:t xml:space="preserve"> </w:t>
      </w:r>
      <w:r w:rsidRPr="00140388">
        <w:rPr>
          <w:rFonts w:ascii="Arial" w:hAnsi="Arial" w:cs="Arial"/>
        </w:rPr>
        <w:t>(Minutes)</w:t>
      </w:r>
      <w:r w:rsidR="003C6912">
        <w:rPr>
          <w:rFonts w:ascii="Arial" w:hAnsi="Arial" w:cs="Arial"/>
        </w:rPr>
        <w:br/>
        <w:t>Peter Martin (NHS NSS)</w:t>
      </w:r>
      <w:r>
        <w:rPr>
          <w:rFonts w:ascii="Arial" w:hAnsi="Arial" w:cs="Arial"/>
          <w:b/>
        </w:rPr>
        <w:br/>
      </w:r>
      <w:r w:rsidR="003C6912">
        <w:rPr>
          <w:rFonts w:ascii="Arial" w:hAnsi="Arial" w:cs="Arial"/>
        </w:rPr>
        <w:t>Ciaran McCloskey (NHS NSS)</w:t>
      </w:r>
      <w:r>
        <w:rPr>
          <w:rFonts w:ascii="Arial" w:hAnsi="Arial" w:cs="Arial"/>
          <w:b/>
        </w:rPr>
        <w:br/>
      </w:r>
      <w:r>
        <w:rPr>
          <w:rFonts w:ascii="Arial" w:hAnsi="Arial" w:cs="Arial"/>
        </w:rPr>
        <w:t>Chris Mueller (NHS NSS)</w:t>
      </w:r>
      <w:r>
        <w:rPr>
          <w:rFonts w:ascii="Arial" w:hAnsi="Arial" w:cs="Arial"/>
          <w:b/>
        </w:rPr>
        <w:br/>
      </w:r>
      <w:proofErr w:type="spellStart"/>
      <w:r w:rsidRPr="00140388">
        <w:rPr>
          <w:rFonts w:ascii="Arial" w:hAnsi="Arial" w:cs="Arial"/>
        </w:rPr>
        <w:t>Paudric</w:t>
      </w:r>
      <w:proofErr w:type="spellEnd"/>
      <w:r w:rsidRPr="00140388">
        <w:rPr>
          <w:rFonts w:ascii="Arial" w:hAnsi="Arial" w:cs="Arial"/>
        </w:rPr>
        <w:t xml:space="preserve"> Osborne (Scottish Government)</w:t>
      </w:r>
      <w:r>
        <w:rPr>
          <w:rFonts w:ascii="Arial" w:hAnsi="Arial" w:cs="Arial"/>
        </w:rPr>
        <w:br/>
      </w:r>
      <w:r w:rsidR="001506AC">
        <w:rPr>
          <w:rFonts w:ascii="Arial" w:hAnsi="Arial" w:cs="Arial"/>
        </w:rPr>
        <w:t xml:space="preserve">Diane </w:t>
      </w:r>
      <w:proofErr w:type="spellStart"/>
      <w:r w:rsidR="001506AC">
        <w:rPr>
          <w:rFonts w:ascii="Arial" w:hAnsi="Arial" w:cs="Arial"/>
        </w:rPr>
        <w:t>Sk</w:t>
      </w:r>
      <w:r w:rsidR="00DA3532">
        <w:rPr>
          <w:rFonts w:ascii="Arial" w:hAnsi="Arial" w:cs="Arial"/>
        </w:rPr>
        <w:t>å</w:t>
      </w:r>
      <w:r w:rsidR="001506AC">
        <w:rPr>
          <w:rFonts w:ascii="Arial" w:hAnsi="Arial" w:cs="Arial"/>
        </w:rPr>
        <w:t>tun</w:t>
      </w:r>
      <w:proofErr w:type="spellEnd"/>
      <w:r w:rsidR="001506AC">
        <w:rPr>
          <w:rFonts w:ascii="Arial" w:hAnsi="Arial" w:cs="Arial"/>
        </w:rPr>
        <w:t xml:space="preserve"> (</w:t>
      </w:r>
      <w:r w:rsidR="00DA3532">
        <w:rPr>
          <w:rFonts w:ascii="Arial" w:hAnsi="Arial" w:cs="Arial"/>
        </w:rPr>
        <w:t>University of Aberdeen</w:t>
      </w:r>
      <w:r w:rsidR="001506AC">
        <w:rPr>
          <w:rFonts w:ascii="Arial" w:hAnsi="Arial" w:cs="Arial"/>
        </w:rPr>
        <w:t>)</w:t>
      </w:r>
      <w:r w:rsidR="003C6912">
        <w:rPr>
          <w:rFonts w:ascii="Arial" w:hAnsi="Arial" w:cs="Arial"/>
        </w:rPr>
        <w:br/>
        <w:t>Evan Williams (Scottish Government)</w:t>
      </w:r>
      <w:r w:rsidR="001506AC">
        <w:rPr>
          <w:rFonts w:ascii="Arial" w:hAnsi="Arial" w:cs="Arial"/>
        </w:rPr>
        <w:br/>
      </w:r>
    </w:p>
    <w:p w:rsidR="004617DE" w:rsidRDefault="001506AC">
      <w:pPr>
        <w:rPr>
          <w:rFonts w:ascii="Arial" w:hAnsi="Arial" w:cs="Arial"/>
          <w:b/>
        </w:rPr>
      </w:pPr>
      <w:r>
        <w:rPr>
          <w:rFonts w:ascii="Arial" w:hAnsi="Arial" w:cs="Arial"/>
          <w:b/>
        </w:rPr>
        <w:t>A</w:t>
      </w:r>
      <w:r w:rsidR="004617DE" w:rsidRPr="001506AC">
        <w:rPr>
          <w:rFonts w:ascii="Arial" w:hAnsi="Arial" w:cs="Arial"/>
          <w:b/>
        </w:rPr>
        <w:t>pologies</w:t>
      </w:r>
    </w:p>
    <w:p w:rsidR="001B4B4C" w:rsidRPr="001506AC" w:rsidRDefault="001B4B4C">
      <w:pPr>
        <w:rPr>
          <w:rFonts w:ascii="Arial" w:hAnsi="Arial" w:cs="Arial"/>
          <w:b/>
        </w:rPr>
      </w:pPr>
      <w:r w:rsidRPr="00140388">
        <w:rPr>
          <w:rFonts w:ascii="Arial" w:hAnsi="Arial" w:cs="Arial"/>
        </w:rPr>
        <w:t>Alisd</w:t>
      </w:r>
      <w:r>
        <w:rPr>
          <w:rFonts w:ascii="Arial" w:hAnsi="Arial" w:cs="Arial"/>
        </w:rPr>
        <w:t>air McDonald (NHS Lothian)</w:t>
      </w:r>
    </w:p>
    <w:p w:rsidR="004617DE" w:rsidRDefault="004617DE">
      <w:pPr>
        <w:rPr>
          <w:rFonts w:ascii="Arial" w:hAnsi="Arial" w:cs="Arial"/>
        </w:rPr>
      </w:pPr>
      <w:r w:rsidRPr="00964E78">
        <w:rPr>
          <w:rFonts w:ascii="Arial" w:hAnsi="Arial" w:cs="Arial"/>
        </w:rPr>
        <w:t>Matt Sutton (University of Manchester)</w:t>
      </w:r>
    </w:p>
    <w:p w:rsidR="00276CA1" w:rsidRDefault="00276CA1">
      <w:pPr>
        <w:rPr>
          <w:rFonts w:ascii="Arial" w:hAnsi="Arial" w:cs="Arial"/>
        </w:rPr>
      </w:pPr>
      <w:r>
        <w:rPr>
          <w:rFonts w:ascii="Arial" w:hAnsi="Arial" w:cs="Arial"/>
        </w:rPr>
        <w:t>Sarah Barry (University of Glasgow)</w:t>
      </w:r>
    </w:p>
    <w:p w:rsidR="00276CA1" w:rsidRDefault="00182E8E">
      <w:pPr>
        <w:rPr>
          <w:rFonts w:ascii="Arial" w:hAnsi="Arial" w:cs="Arial"/>
        </w:rPr>
      </w:pPr>
      <w:r>
        <w:rPr>
          <w:rFonts w:ascii="Arial" w:hAnsi="Arial" w:cs="Arial"/>
        </w:rPr>
        <w:t>Fiona Ramsay (NHS Forth Valley</w:t>
      </w:r>
      <w:r w:rsidR="00276CA1">
        <w:rPr>
          <w:rFonts w:ascii="Arial" w:hAnsi="Arial" w:cs="Arial"/>
        </w:rPr>
        <w:t>)</w:t>
      </w:r>
    </w:p>
    <w:p w:rsidR="004617DE" w:rsidRDefault="001B4B4C">
      <w:r w:rsidRPr="00140388">
        <w:rPr>
          <w:rFonts w:ascii="Arial" w:hAnsi="Arial" w:cs="Arial"/>
        </w:rPr>
        <w:t>Sarah Touati (NHS NSS)</w:t>
      </w:r>
    </w:p>
    <w:p w:rsidR="00D56645" w:rsidRDefault="00D56645"/>
    <w:p w:rsidR="00CA7817" w:rsidRDefault="00CA7817" w:rsidP="00CA7817">
      <w:pPr>
        <w:pStyle w:val="ListParagraph"/>
        <w:numPr>
          <w:ilvl w:val="0"/>
          <w:numId w:val="1"/>
        </w:numPr>
        <w:spacing w:after="120" w:line="240" w:lineRule="auto"/>
        <w:rPr>
          <w:rFonts w:ascii="Arial" w:hAnsi="Arial" w:cs="Arial"/>
          <w:b/>
        </w:rPr>
      </w:pPr>
      <w:r w:rsidRPr="004915B1">
        <w:rPr>
          <w:rFonts w:ascii="Arial" w:hAnsi="Arial" w:cs="Arial"/>
          <w:b/>
        </w:rPr>
        <w:t>Welcome and apologies</w:t>
      </w:r>
    </w:p>
    <w:p w:rsidR="00EB5289" w:rsidRPr="004915B1" w:rsidRDefault="00EB5289" w:rsidP="00EB5289">
      <w:pPr>
        <w:pStyle w:val="ListParagraph"/>
        <w:spacing w:after="120" w:line="240" w:lineRule="auto"/>
        <w:ind w:left="360"/>
        <w:rPr>
          <w:rFonts w:ascii="Arial" w:hAnsi="Arial" w:cs="Arial"/>
          <w:b/>
        </w:rPr>
      </w:pPr>
    </w:p>
    <w:p w:rsidR="00EB5289" w:rsidRPr="00EB5289" w:rsidRDefault="00EB5289" w:rsidP="00EB5289">
      <w:pPr>
        <w:spacing w:after="240"/>
        <w:jc w:val="both"/>
        <w:rPr>
          <w:rFonts w:ascii="Arial" w:hAnsi="Arial" w:cs="Arial"/>
        </w:rPr>
      </w:pPr>
      <w:r w:rsidRPr="00EB5289">
        <w:rPr>
          <w:rFonts w:ascii="Arial" w:hAnsi="Arial" w:cs="Arial"/>
        </w:rPr>
        <w:t>KF welcomed the group.</w:t>
      </w:r>
    </w:p>
    <w:p w:rsidR="00CE7C86" w:rsidRPr="008B2282" w:rsidRDefault="00CE7C86" w:rsidP="00CE7C86">
      <w:pPr>
        <w:pStyle w:val="ListParagraph"/>
        <w:numPr>
          <w:ilvl w:val="0"/>
          <w:numId w:val="1"/>
        </w:numPr>
        <w:spacing w:after="240"/>
        <w:contextualSpacing w:val="0"/>
        <w:jc w:val="both"/>
        <w:rPr>
          <w:rFonts w:ascii="Arial" w:hAnsi="Arial" w:cs="Arial"/>
          <w:b/>
        </w:rPr>
      </w:pPr>
      <w:r w:rsidRPr="00F63ABA">
        <w:rPr>
          <w:rFonts w:ascii="Arial" w:hAnsi="Arial" w:cs="Arial"/>
          <w:b/>
        </w:rPr>
        <w:t>Minutes from previous meeting</w:t>
      </w:r>
    </w:p>
    <w:p w:rsidR="00CE7C86" w:rsidRDefault="00CE7C86" w:rsidP="00CE7C86">
      <w:pPr>
        <w:pStyle w:val="ListParagraph"/>
        <w:spacing w:after="240"/>
        <w:ind w:left="0"/>
        <w:contextualSpacing w:val="0"/>
        <w:jc w:val="both"/>
        <w:rPr>
          <w:rFonts w:ascii="Arial" w:hAnsi="Arial" w:cs="Arial"/>
        </w:rPr>
      </w:pPr>
      <w:r>
        <w:rPr>
          <w:rFonts w:ascii="Arial" w:hAnsi="Arial" w:cs="Arial"/>
        </w:rPr>
        <w:t xml:space="preserve">The minutes from the meeting on </w:t>
      </w:r>
      <w:r w:rsidR="00BE729D">
        <w:rPr>
          <w:rFonts w:ascii="Arial" w:hAnsi="Arial" w:cs="Arial"/>
        </w:rPr>
        <w:t>5</w:t>
      </w:r>
      <w:r w:rsidR="00BE729D" w:rsidRPr="00BE729D">
        <w:rPr>
          <w:rFonts w:ascii="Arial" w:hAnsi="Arial" w:cs="Arial"/>
          <w:vertAlign w:val="superscript"/>
        </w:rPr>
        <w:t>th</w:t>
      </w:r>
      <w:r w:rsidR="00BE729D">
        <w:rPr>
          <w:rFonts w:ascii="Arial" w:hAnsi="Arial" w:cs="Arial"/>
        </w:rPr>
        <w:t xml:space="preserve"> May </w:t>
      </w:r>
      <w:r>
        <w:rPr>
          <w:rFonts w:ascii="Arial" w:hAnsi="Arial" w:cs="Arial"/>
        </w:rPr>
        <w:t>2016 were approved.</w:t>
      </w:r>
    </w:p>
    <w:p w:rsidR="00CE7C86" w:rsidRDefault="00CE7C86" w:rsidP="00CE7C86">
      <w:pPr>
        <w:pStyle w:val="ListParagraph"/>
        <w:numPr>
          <w:ilvl w:val="0"/>
          <w:numId w:val="1"/>
        </w:numPr>
        <w:spacing w:after="240"/>
        <w:contextualSpacing w:val="0"/>
        <w:jc w:val="both"/>
        <w:rPr>
          <w:rFonts w:ascii="Arial" w:hAnsi="Arial" w:cs="Arial"/>
          <w:b/>
        </w:rPr>
      </w:pPr>
      <w:r w:rsidRPr="00A329D6">
        <w:rPr>
          <w:rFonts w:ascii="Arial" w:hAnsi="Arial" w:cs="Arial"/>
          <w:b/>
        </w:rPr>
        <w:t>Matters arising</w:t>
      </w:r>
    </w:p>
    <w:p w:rsidR="00CE7C86" w:rsidRPr="003D228F" w:rsidRDefault="00CE7C86" w:rsidP="00CE7C86">
      <w:pPr>
        <w:spacing w:after="240"/>
        <w:jc w:val="both"/>
        <w:rPr>
          <w:rFonts w:ascii="Arial" w:hAnsi="Arial" w:cs="Arial"/>
        </w:rPr>
      </w:pPr>
      <w:r w:rsidRPr="003D228F">
        <w:rPr>
          <w:rFonts w:ascii="Arial" w:hAnsi="Arial" w:cs="Arial"/>
        </w:rPr>
        <w:t>It was agreed that all items in t</w:t>
      </w:r>
      <w:r w:rsidR="00F66F89" w:rsidRPr="003D228F">
        <w:rPr>
          <w:rFonts w:ascii="Arial" w:hAnsi="Arial" w:cs="Arial"/>
        </w:rPr>
        <w:t>he Matters Arising paper (TAMLC5</w:t>
      </w:r>
      <w:r w:rsidR="00BE729D" w:rsidRPr="003D228F">
        <w:rPr>
          <w:rFonts w:ascii="Arial" w:hAnsi="Arial" w:cs="Arial"/>
        </w:rPr>
        <w:t>4</w:t>
      </w:r>
      <w:r w:rsidRPr="003D228F">
        <w:rPr>
          <w:rFonts w:ascii="Arial" w:hAnsi="Arial" w:cs="Arial"/>
        </w:rPr>
        <w:t xml:space="preserve">) were adequately addressed.  </w:t>
      </w:r>
      <w:r w:rsidR="00CF3B9B" w:rsidRPr="003D228F">
        <w:rPr>
          <w:rFonts w:ascii="Arial" w:hAnsi="Arial" w:cs="Arial"/>
        </w:rPr>
        <w:t xml:space="preserve">KF reminded the group that </w:t>
      </w:r>
      <w:r w:rsidR="003D228F" w:rsidRPr="003D228F">
        <w:rPr>
          <w:rFonts w:ascii="Arial" w:hAnsi="Arial" w:cs="Arial"/>
        </w:rPr>
        <w:t xml:space="preserve">we have </w:t>
      </w:r>
      <w:r w:rsidR="003D228F">
        <w:rPr>
          <w:rFonts w:ascii="Arial" w:hAnsi="Arial" w:cs="Arial"/>
        </w:rPr>
        <w:t>agreed</w:t>
      </w:r>
      <w:r w:rsidR="00934B8B">
        <w:rPr>
          <w:rFonts w:ascii="Arial" w:hAnsi="Arial" w:cs="Arial"/>
        </w:rPr>
        <w:t xml:space="preserve"> to retain LLTI and All-cause SMR &lt;75</w:t>
      </w:r>
      <w:r w:rsidR="005361F2">
        <w:rPr>
          <w:rFonts w:ascii="Arial" w:hAnsi="Arial" w:cs="Arial"/>
        </w:rPr>
        <w:t xml:space="preserve"> </w:t>
      </w:r>
      <w:r w:rsidR="003D228F" w:rsidRPr="003D228F">
        <w:rPr>
          <w:rFonts w:ascii="Arial" w:hAnsi="Arial" w:cs="Arial"/>
        </w:rPr>
        <w:t xml:space="preserve">as the </w:t>
      </w:r>
      <w:r w:rsidR="003D228F">
        <w:rPr>
          <w:rFonts w:ascii="Arial" w:hAnsi="Arial" w:cs="Arial"/>
        </w:rPr>
        <w:t xml:space="preserve">recommended Acute </w:t>
      </w:r>
      <w:r w:rsidR="001B6005">
        <w:rPr>
          <w:rFonts w:ascii="Arial" w:hAnsi="Arial" w:cs="Arial"/>
        </w:rPr>
        <w:t>needs index.</w:t>
      </w:r>
      <w:r w:rsidR="00D80175">
        <w:rPr>
          <w:rFonts w:ascii="Arial" w:hAnsi="Arial" w:cs="Arial"/>
        </w:rPr>
        <w:t xml:space="preserve"> </w:t>
      </w:r>
      <w:r w:rsidR="003D228F">
        <w:rPr>
          <w:rFonts w:ascii="Arial" w:hAnsi="Arial" w:cs="Arial"/>
        </w:rPr>
        <w:t>This decision and the analysis</w:t>
      </w:r>
      <w:r w:rsidR="00D80175">
        <w:rPr>
          <w:rFonts w:ascii="Arial" w:hAnsi="Arial" w:cs="Arial"/>
        </w:rPr>
        <w:t xml:space="preserve"> behind it</w:t>
      </w:r>
      <w:r w:rsidR="003D228F">
        <w:rPr>
          <w:rFonts w:ascii="Arial" w:hAnsi="Arial" w:cs="Arial"/>
        </w:rPr>
        <w:t xml:space="preserve"> was circulated in paper TAMC53 by email prior to this meeting.</w:t>
      </w:r>
    </w:p>
    <w:p w:rsidR="00F66F89" w:rsidRDefault="001A5BD6" w:rsidP="00F66F89">
      <w:pPr>
        <w:pStyle w:val="ListParagraph"/>
        <w:numPr>
          <w:ilvl w:val="0"/>
          <w:numId w:val="1"/>
        </w:numPr>
        <w:spacing w:after="200"/>
        <w:jc w:val="both"/>
        <w:rPr>
          <w:rFonts w:ascii="Arial" w:hAnsi="Arial" w:cs="Arial"/>
          <w:b/>
        </w:rPr>
      </w:pPr>
      <w:r>
        <w:rPr>
          <w:rFonts w:ascii="Arial" w:hAnsi="Arial" w:cs="Arial"/>
          <w:b/>
        </w:rPr>
        <w:t>Unmet need analysis</w:t>
      </w:r>
    </w:p>
    <w:p w:rsidR="0030110A" w:rsidRDefault="00AC38D0" w:rsidP="0030110A">
      <w:pPr>
        <w:spacing w:after="200"/>
        <w:jc w:val="both"/>
        <w:rPr>
          <w:rFonts w:ascii="Arial" w:hAnsi="Arial" w:cs="Arial"/>
        </w:rPr>
      </w:pPr>
      <w:r>
        <w:rPr>
          <w:rFonts w:ascii="Arial" w:hAnsi="Arial" w:cs="Arial"/>
        </w:rPr>
        <w:t xml:space="preserve">CM presented </w:t>
      </w:r>
      <w:r w:rsidR="0030110A" w:rsidRPr="0030110A">
        <w:rPr>
          <w:rFonts w:ascii="Arial" w:hAnsi="Arial" w:cs="Arial"/>
        </w:rPr>
        <w:t xml:space="preserve">the </w:t>
      </w:r>
      <w:r w:rsidR="0030110A">
        <w:rPr>
          <w:rFonts w:ascii="Arial" w:hAnsi="Arial" w:cs="Arial"/>
        </w:rPr>
        <w:t>paper TAMLC</w:t>
      </w:r>
      <w:r w:rsidR="001A5BD6">
        <w:rPr>
          <w:rFonts w:ascii="Arial" w:hAnsi="Arial" w:cs="Arial"/>
        </w:rPr>
        <w:t>55</w:t>
      </w:r>
      <w:r w:rsidR="0030110A">
        <w:rPr>
          <w:rFonts w:ascii="Arial" w:hAnsi="Arial" w:cs="Arial"/>
        </w:rPr>
        <w:t xml:space="preserve">, </w:t>
      </w:r>
      <w:r>
        <w:rPr>
          <w:rFonts w:ascii="Arial" w:hAnsi="Arial" w:cs="Arial"/>
        </w:rPr>
        <w:t>which described the results of the unmet need analysis, looking fo</w:t>
      </w:r>
      <w:r w:rsidR="00DE0160">
        <w:rPr>
          <w:rFonts w:ascii="Arial" w:hAnsi="Arial" w:cs="Arial"/>
        </w:rPr>
        <w:t>r evidence of unmet need in data zones relating to the high end of the Acute needs index, ethnicity and rurality.  The following decisions were made</w:t>
      </w:r>
      <w:r w:rsidR="00050D36">
        <w:rPr>
          <w:rFonts w:ascii="Arial" w:hAnsi="Arial" w:cs="Arial"/>
        </w:rPr>
        <w:t>:</w:t>
      </w:r>
    </w:p>
    <w:p w:rsidR="00DE0160" w:rsidRDefault="00DE0160" w:rsidP="00DE0160">
      <w:pPr>
        <w:pStyle w:val="ListParagraph"/>
        <w:numPr>
          <w:ilvl w:val="0"/>
          <w:numId w:val="8"/>
        </w:numPr>
        <w:spacing w:after="200"/>
        <w:rPr>
          <w:rFonts w:ascii="Arial" w:hAnsi="Arial" w:cs="Arial"/>
          <w:b/>
        </w:rPr>
      </w:pPr>
      <w:r w:rsidRPr="00DE0160">
        <w:rPr>
          <w:rFonts w:ascii="Arial" w:hAnsi="Arial" w:cs="Arial"/>
          <w:b/>
        </w:rPr>
        <w:t>Unmet n</w:t>
      </w:r>
      <w:r w:rsidR="007F1288">
        <w:rPr>
          <w:rFonts w:ascii="Arial" w:hAnsi="Arial" w:cs="Arial"/>
          <w:b/>
        </w:rPr>
        <w:t>eed relating to the needs index</w:t>
      </w:r>
    </w:p>
    <w:p w:rsidR="00C97A49" w:rsidRDefault="002D7DE2" w:rsidP="00DE0160">
      <w:pPr>
        <w:spacing w:after="200"/>
        <w:rPr>
          <w:rFonts w:ascii="Arial" w:hAnsi="Arial" w:cs="Arial"/>
        </w:rPr>
      </w:pPr>
      <w:r>
        <w:rPr>
          <w:rFonts w:ascii="Arial" w:hAnsi="Arial" w:cs="Arial"/>
        </w:rPr>
        <w:t xml:space="preserve">Evidence </w:t>
      </w:r>
      <w:r w:rsidR="00A843EA">
        <w:rPr>
          <w:rFonts w:ascii="Arial" w:hAnsi="Arial" w:cs="Arial"/>
        </w:rPr>
        <w:t xml:space="preserve">of unmet need was found in two </w:t>
      </w:r>
      <w:r>
        <w:rPr>
          <w:rFonts w:ascii="Arial" w:hAnsi="Arial" w:cs="Arial"/>
        </w:rPr>
        <w:t xml:space="preserve">diagnostic groups: Heart and Other.  </w:t>
      </w:r>
    </w:p>
    <w:p w:rsidR="00805B97" w:rsidRDefault="00EF7FE7" w:rsidP="00DE0160">
      <w:pPr>
        <w:spacing w:after="200"/>
        <w:rPr>
          <w:rFonts w:ascii="Arial" w:hAnsi="Arial" w:cs="Arial"/>
        </w:rPr>
      </w:pPr>
      <w:r>
        <w:rPr>
          <w:rFonts w:ascii="Arial" w:hAnsi="Arial" w:cs="Arial"/>
        </w:rPr>
        <w:lastRenderedPageBreak/>
        <w:t>There was some discu</w:t>
      </w:r>
      <w:r w:rsidR="00351EB9">
        <w:rPr>
          <w:rFonts w:ascii="Arial" w:hAnsi="Arial" w:cs="Arial"/>
        </w:rPr>
        <w:t>ssion</w:t>
      </w:r>
      <w:r w:rsidR="00245D6C">
        <w:rPr>
          <w:rFonts w:ascii="Arial" w:hAnsi="Arial" w:cs="Arial"/>
        </w:rPr>
        <w:t xml:space="preserve"> </w:t>
      </w:r>
      <w:r w:rsidR="00351EB9">
        <w:rPr>
          <w:rFonts w:ascii="Arial" w:hAnsi="Arial" w:cs="Arial"/>
        </w:rPr>
        <w:t xml:space="preserve">around </w:t>
      </w:r>
      <w:r w:rsidR="0099738E">
        <w:rPr>
          <w:rFonts w:ascii="Arial" w:hAnsi="Arial" w:cs="Arial"/>
        </w:rPr>
        <w:t xml:space="preserve">‘Other’ </w:t>
      </w:r>
      <w:r w:rsidR="00245D6C">
        <w:rPr>
          <w:rFonts w:ascii="Arial" w:hAnsi="Arial" w:cs="Arial"/>
        </w:rPr>
        <w:t xml:space="preserve">and what diagnostic groups this included. </w:t>
      </w:r>
      <w:r w:rsidR="00E376E1">
        <w:rPr>
          <w:rFonts w:ascii="Arial" w:hAnsi="Arial" w:cs="Arial"/>
        </w:rPr>
        <w:t xml:space="preserve">It was agreed that it will be difficult to make a decision around unmet need without understanding what makes up the ‘Other’ group. </w:t>
      </w:r>
      <w:r w:rsidR="00245D6C">
        <w:rPr>
          <w:rFonts w:ascii="Arial" w:hAnsi="Arial" w:cs="Arial"/>
        </w:rPr>
        <w:t xml:space="preserve"> </w:t>
      </w:r>
      <w:r w:rsidR="00351EB9">
        <w:rPr>
          <w:rFonts w:ascii="Arial" w:hAnsi="Arial" w:cs="Arial"/>
        </w:rPr>
        <w:t xml:space="preserve">A table was </w:t>
      </w:r>
      <w:r w:rsidR="000B5499">
        <w:rPr>
          <w:rFonts w:ascii="Arial" w:hAnsi="Arial" w:cs="Arial"/>
        </w:rPr>
        <w:t xml:space="preserve">shown illustrating </w:t>
      </w:r>
      <w:r w:rsidR="004B0511">
        <w:rPr>
          <w:rFonts w:ascii="Arial" w:hAnsi="Arial" w:cs="Arial"/>
        </w:rPr>
        <w:t>the ICD10 codes included</w:t>
      </w:r>
      <w:r w:rsidR="00351EB9">
        <w:rPr>
          <w:rFonts w:ascii="Arial" w:hAnsi="Arial" w:cs="Arial"/>
        </w:rPr>
        <w:t xml:space="preserve"> (see Appendix).</w:t>
      </w:r>
      <w:r w:rsidR="000B5499">
        <w:rPr>
          <w:rFonts w:ascii="Arial" w:hAnsi="Arial" w:cs="Arial"/>
        </w:rPr>
        <w:t xml:space="preserve">  </w:t>
      </w:r>
      <w:r w:rsidR="00BB523E">
        <w:rPr>
          <w:rFonts w:ascii="Arial" w:hAnsi="Arial" w:cs="Arial"/>
        </w:rPr>
        <w:t>‘Other’</w:t>
      </w:r>
      <w:r w:rsidR="00805B97">
        <w:rPr>
          <w:rFonts w:ascii="Arial" w:hAnsi="Arial" w:cs="Arial"/>
        </w:rPr>
        <w:t xml:space="preserve"> is a </w:t>
      </w:r>
      <w:r w:rsidR="00805B97" w:rsidRPr="00805B97">
        <w:rPr>
          <w:rFonts w:ascii="Arial" w:hAnsi="Arial" w:cs="Arial"/>
        </w:rPr>
        <w:t>mixture of ICD10 coding groups, some of which are non-specific (e.g. the largest group is made up of ‘</w:t>
      </w:r>
      <w:r w:rsidR="00805B97" w:rsidRPr="00805B97">
        <w:rPr>
          <w:rFonts w:ascii="Arial" w:eastAsia="Times New Roman" w:hAnsi="Arial" w:cs="Arial"/>
          <w:color w:val="000000"/>
          <w:lang w:eastAsia="en-GB"/>
        </w:rPr>
        <w:t>Symptoms, signs and abnormal clinical and laboratory findings, not elsewhere classified’</w:t>
      </w:r>
      <w:r w:rsidR="00805B97">
        <w:rPr>
          <w:rFonts w:ascii="Arial" w:eastAsia="Times New Roman" w:hAnsi="Arial" w:cs="Arial"/>
          <w:color w:val="000000"/>
          <w:lang w:eastAsia="en-GB"/>
        </w:rPr>
        <w:t>)</w:t>
      </w:r>
      <w:r w:rsidR="00BB523E">
        <w:rPr>
          <w:rFonts w:ascii="Arial" w:eastAsia="Times New Roman" w:hAnsi="Arial" w:cs="Arial"/>
          <w:color w:val="000000"/>
          <w:lang w:eastAsia="en-GB"/>
        </w:rPr>
        <w:t xml:space="preserve">, </w:t>
      </w:r>
    </w:p>
    <w:p w:rsidR="00EF7FE7" w:rsidRDefault="000B5499" w:rsidP="00DE0160">
      <w:pPr>
        <w:spacing w:after="200"/>
        <w:rPr>
          <w:rFonts w:ascii="Arial" w:hAnsi="Arial" w:cs="Arial"/>
        </w:rPr>
      </w:pPr>
      <w:r>
        <w:rPr>
          <w:rFonts w:ascii="Arial" w:hAnsi="Arial" w:cs="Arial"/>
        </w:rPr>
        <w:t>It was agreed that</w:t>
      </w:r>
      <w:r w:rsidR="008073F0">
        <w:rPr>
          <w:rFonts w:ascii="Arial" w:hAnsi="Arial" w:cs="Arial"/>
        </w:rPr>
        <w:t xml:space="preserve"> some further work was required on</w:t>
      </w:r>
      <w:r>
        <w:rPr>
          <w:rFonts w:ascii="Arial" w:hAnsi="Arial" w:cs="Arial"/>
        </w:rPr>
        <w:t xml:space="preserve"> the Other </w:t>
      </w:r>
      <w:r w:rsidR="008073F0">
        <w:rPr>
          <w:rFonts w:ascii="Arial" w:hAnsi="Arial" w:cs="Arial"/>
        </w:rPr>
        <w:t>diagnostic group</w:t>
      </w:r>
      <w:r w:rsidR="002B099C">
        <w:rPr>
          <w:rFonts w:ascii="Arial" w:hAnsi="Arial" w:cs="Arial"/>
        </w:rPr>
        <w:t xml:space="preserve">, to investigate the </w:t>
      </w:r>
      <w:r w:rsidR="00B66DEF">
        <w:rPr>
          <w:rFonts w:ascii="Arial" w:hAnsi="Arial" w:cs="Arial"/>
        </w:rPr>
        <w:t>regression fit in</w:t>
      </w:r>
      <w:r w:rsidR="002B099C">
        <w:rPr>
          <w:rFonts w:ascii="Arial" w:hAnsi="Arial" w:cs="Arial"/>
        </w:rPr>
        <w:t xml:space="preserve"> figure 4 of TAMLC55 and also to examine the list of diagnostic codes included in ‘Other’ to inform the decision on whether unmet need should be accounted for in this diagnostic group.</w:t>
      </w:r>
    </w:p>
    <w:p w:rsidR="005B1918" w:rsidRPr="00C97A49" w:rsidRDefault="005B1918" w:rsidP="005B1918">
      <w:pPr>
        <w:spacing w:after="200"/>
        <w:rPr>
          <w:rFonts w:ascii="Arial" w:hAnsi="Arial" w:cs="Arial"/>
          <w:b/>
        </w:rPr>
      </w:pPr>
      <w:r w:rsidRPr="00C97A49">
        <w:rPr>
          <w:rFonts w:ascii="Arial" w:hAnsi="Arial" w:cs="Arial"/>
          <w:b/>
        </w:rPr>
        <w:t xml:space="preserve">It was agreed to keep the unmet need adjustment in the Heart diagnostic group, with a cut off point of 30% of the data zones with the highest values of the Acute needs index.  </w:t>
      </w:r>
      <w:r>
        <w:rPr>
          <w:rFonts w:ascii="Arial" w:hAnsi="Arial" w:cs="Arial"/>
          <w:b/>
        </w:rPr>
        <w:t xml:space="preserve">Unmet need in the </w:t>
      </w:r>
      <w:proofErr w:type="gramStart"/>
      <w:r>
        <w:rPr>
          <w:rFonts w:ascii="Arial" w:hAnsi="Arial" w:cs="Arial"/>
          <w:b/>
        </w:rPr>
        <w:t>Other</w:t>
      </w:r>
      <w:proofErr w:type="gramEnd"/>
      <w:r>
        <w:rPr>
          <w:rFonts w:ascii="Arial" w:hAnsi="Arial" w:cs="Arial"/>
          <w:b/>
        </w:rPr>
        <w:t xml:space="preserve"> diagnostic group will be examined further.</w:t>
      </w:r>
    </w:p>
    <w:p w:rsidR="002B099C" w:rsidRPr="0048348C" w:rsidRDefault="002B099C" w:rsidP="00DE0160">
      <w:pPr>
        <w:spacing w:after="200"/>
        <w:rPr>
          <w:rFonts w:ascii="Arial" w:hAnsi="Arial" w:cs="Arial"/>
          <w:b/>
        </w:rPr>
      </w:pPr>
      <w:r w:rsidRPr="0048348C">
        <w:rPr>
          <w:rFonts w:ascii="Arial" w:hAnsi="Arial" w:cs="Arial"/>
          <w:b/>
        </w:rPr>
        <w:t xml:space="preserve">Action: ISD to produce a further paper </w:t>
      </w:r>
      <w:r w:rsidR="00D8659F" w:rsidRPr="0048348C">
        <w:rPr>
          <w:rFonts w:ascii="Arial" w:hAnsi="Arial" w:cs="Arial"/>
          <w:b/>
        </w:rPr>
        <w:t>clarifying the unmet need analysis in the other diagnostic group and detailing the ICD10 groups this includes.</w:t>
      </w:r>
    </w:p>
    <w:p w:rsidR="005F4973" w:rsidRDefault="005F4973" w:rsidP="00DE0160">
      <w:pPr>
        <w:spacing w:after="200"/>
        <w:rPr>
          <w:rFonts w:ascii="Arial" w:hAnsi="Arial" w:cs="Arial"/>
        </w:rPr>
      </w:pPr>
    </w:p>
    <w:p w:rsidR="00DE0160" w:rsidRPr="00DE0160" w:rsidRDefault="00DE0160" w:rsidP="00DE0160">
      <w:pPr>
        <w:pStyle w:val="ListParagraph"/>
        <w:numPr>
          <w:ilvl w:val="0"/>
          <w:numId w:val="8"/>
        </w:numPr>
        <w:spacing w:after="200"/>
        <w:rPr>
          <w:rFonts w:ascii="Arial" w:hAnsi="Arial" w:cs="Arial"/>
        </w:rPr>
      </w:pPr>
      <w:r>
        <w:rPr>
          <w:rFonts w:ascii="Arial" w:hAnsi="Arial" w:cs="Arial"/>
          <w:b/>
        </w:rPr>
        <w:t>Unmet need relating to ethnicity</w:t>
      </w:r>
    </w:p>
    <w:p w:rsidR="00DE0160" w:rsidRDefault="00EF7FE7" w:rsidP="00DE0160">
      <w:pPr>
        <w:pStyle w:val="ListParagraph"/>
        <w:spacing w:after="200"/>
        <w:ind w:left="0"/>
        <w:rPr>
          <w:rFonts w:ascii="Arial" w:hAnsi="Arial" w:cs="Arial"/>
        </w:rPr>
      </w:pPr>
      <w:r>
        <w:rPr>
          <w:rFonts w:ascii="Arial" w:hAnsi="Arial" w:cs="Arial"/>
        </w:rPr>
        <w:t xml:space="preserve">The analysis examined unmet need in </w:t>
      </w:r>
      <w:proofErr w:type="spellStart"/>
      <w:r>
        <w:rPr>
          <w:rFonts w:ascii="Arial" w:hAnsi="Arial" w:cs="Arial"/>
        </w:rPr>
        <w:t>datazones</w:t>
      </w:r>
      <w:proofErr w:type="spellEnd"/>
      <w:r>
        <w:rPr>
          <w:rFonts w:ascii="Arial" w:hAnsi="Arial" w:cs="Arial"/>
        </w:rPr>
        <w:t xml:space="preserve"> with higher percentages of Pakistani &amp; Gypsy/Traveller ethnic groups in the population.  These groups were chosen because they were identified as </w:t>
      </w:r>
      <w:r w:rsidR="00C13384">
        <w:rPr>
          <w:rFonts w:ascii="Arial" w:hAnsi="Arial" w:cs="Arial"/>
        </w:rPr>
        <w:t xml:space="preserve">having worse than average health outcomes in the </w:t>
      </w:r>
      <w:proofErr w:type="spellStart"/>
      <w:r w:rsidR="00C13384">
        <w:rPr>
          <w:rFonts w:ascii="Arial" w:hAnsi="Arial" w:cs="Arial"/>
        </w:rPr>
        <w:t>ScotStat</w:t>
      </w:r>
      <w:proofErr w:type="spellEnd"/>
      <w:r w:rsidR="00C13384">
        <w:rPr>
          <w:rFonts w:ascii="Arial" w:hAnsi="Arial" w:cs="Arial"/>
        </w:rPr>
        <w:t xml:space="preserve"> report</w:t>
      </w:r>
      <w:r w:rsidR="00C13384">
        <w:rPr>
          <w:rStyle w:val="FootnoteReference"/>
          <w:rFonts w:ascii="Arial" w:hAnsi="Arial" w:cs="Arial"/>
        </w:rPr>
        <w:footnoteReference w:id="1"/>
      </w:r>
      <w:r w:rsidR="00C13384">
        <w:rPr>
          <w:rFonts w:ascii="Arial" w:hAnsi="Arial" w:cs="Arial"/>
        </w:rPr>
        <w:t xml:space="preserve">. </w:t>
      </w:r>
      <w:r w:rsidR="00570E82">
        <w:rPr>
          <w:rFonts w:ascii="Arial" w:hAnsi="Arial" w:cs="Arial"/>
        </w:rPr>
        <w:t>No evidence w</w:t>
      </w:r>
      <w:r w:rsidR="006E575B" w:rsidRPr="006E575B">
        <w:rPr>
          <w:rFonts w:ascii="Arial" w:hAnsi="Arial" w:cs="Arial"/>
        </w:rPr>
        <w:t>as found of unmet need relating</w:t>
      </w:r>
      <w:r w:rsidR="006E575B">
        <w:rPr>
          <w:rFonts w:ascii="Arial" w:hAnsi="Arial" w:cs="Arial"/>
        </w:rPr>
        <w:t xml:space="preserve"> to ethnicity.  This does not </w:t>
      </w:r>
      <w:r w:rsidR="00570E82">
        <w:rPr>
          <w:rFonts w:ascii="Arial" w:hAnsi="Arial" w:cs="Arial"/>
        </w:rPr>
        <w:t>necessarily</w:t>
      </w:r>
      <w:r w:rsidR="006E575B">
        <w:rPr>
          <w:rFonts w:ascii="Arial" w:hAnsi="Arial" w:cs="Arial"/>
        </w:rPr>
        <w:t xml:space="preserve"> mean that unmet need does not exist in </w:t>
      </w:r>
      <w:r w:rsidR="00B75304">
        <w:rPr>
          <w:rFonts w:ascii="Arial" w:hAnsi="Arial" w:cs="Arial"/>
        </w:rPr>
        <w:t xml:space="preserve">these </w:t>
      </w:r>
      <w:r w:rsidR="006E575B">
        <w:rPr>
          <w:rFonts w:ascii="Arial" w:hAnsi="Arial" w:cs="Arial"/>
        </w:rPr>
        <w:t>populations,</w:t>
      </w:r>
      <w:r w:rsidR="00021A3E">
        <w:rPr>
          <w:rFonts w:ascii="Arial" w:hAnsi="Arial" w:cs="Arial"/>
        </w:rPr>
        <w:t xml:space="preserve"> just that</w:t>
      </w:r>
      <w:r w:rsidR="006E575B">
        <w:rPr>
          <w:rFonts w:ascii="Arial" w:hAnsi="Arial" w:cs="Arial"/>
        </w:rPr>
        <w:t xml:space="preserve"> it cannot be identified using the available data.</w:t>
      </w:r>
    </w:p>
    <w:p w:rsidR="00F706B4" w:rsidRDefault="00F706B4" w:rsidP="00DE0160">
      <w:pPr>
        <w:pStyle w:val="ListParagraph"/>
        <w:spacing w:after="200"/>
        <w:ind w:left="0"/>
        <w:rPr>
          <w:rFonts w:ascii="Arial" w:hAnsi="Arial" w:cs="Arial"/>
        </w:rPr>
      </w:pPr>
    </w:p>
    <w:p w:rsidR="00F706B4" w:rsidRPr="00F706B4" w:rsidRDefault="00F706B4" w:rsidP="00DE0160">
      <w:pPr>
        <w:pStyle w:val="ListParagraph"/>
        <w:spacing w:after="200"/>
        <w:ind w:left="0"/>
        <w:rPr>
          <w:rFonts w:ascii="Arial" w:hAnsi="Arial" w:cs="Arial"/>
          <w:b/>
        </w:rPr>
      </w:pPr>
      <w:r>
        <w:rPr>
          <w:rFonts w:ascii="Arial" w:hAnsi="Arial" w:cs="Arial"/>
          <w:b/>
        </w:rPr>
        <w:t xml:space="preserve">The subgroup agreed not to include an adjustment for unmet </w:t>
      </w:r>
      <w:r w:rsidR="00B66DEF">
        <w:rPr>
          <w:rFonts w:ascii="Arial" w:hAnsi="Arial" w:cs="Arial"/>
          <w:b/>
        </w:rPr>
        <w:t xml:space="preserve">based on the </w:t>
      </w:r>
      <w:r w:rsidR="00586038">
        <w:rPr>
          <w:rFonts w:ascii="Arial" w:hAnsi="Arial" w:cs="Arial"/>
          <w:b/>
        </w:rPr>
        <w:t>census ethnicity</w:t>
      </w:r>
      <w:r w:rsidR="00B66DEF">
        <w:rPr>
          <w:rFonts w:ascii="Arial" w:hAnsi="Arial" w:cs="Arial"/>
          <w:b/>
        </w:rPr>
        <w:t xml:space="preserve"> data</w:t>
      </w:r>
      <w:r>
        <w:rPr>
          <w:rFonts w:ascii="Arial" w:hAnsi="Arial" w:cs="Arial"/>
          <w:b/>
        </w:rPr>
        <w:t xml:space="preserve">.  </w:t>
      </w:r>
    </w:p>
    <w:p w:rsidR="00EF7FE7" w:rsidRDefault="00EF7FE7" w:rsidP="00DE0160">
      <w:pPr>
        <w:pStyle w:val="ListParagraph"/>
        <w:spacing w:after="200"/>
        <w:ind w:left="0"/>
        <w:rPr>
          <w:rFonts w:ascii="Arial" w:hAnsi="Arial" w:cs="Arial"/>
        </w:rPr>
      </w:pPr>
    </w:p>
    <w:p w:rsidR="00EF7FE7" w:rsidRPr="00EF7FE7" w:rsidRDefault="00EF7FE7" w:rsidP="00EF7FE7">
      <w:pPr>
        <w:pStyle w:val="ListParagraph"/>
        <w:numPr>
          <w:ilvl w:val="0"/>
          <w:numId w:val="8"/>
        </w:numPr>
        <w:spacing w:after="200"/>
        <w:rPr>
          <w:rFonts w:ascii="Arial" w:hAnsi="Arial" w:cs="Arial"/>
          <w:b/>
        </w:rPr>
      </w:pPr>
      <w:r w:rsidRPr="00EF7FE7">
        <w:rPr>
          <w:rFonts w:ascii="Arial" w:hAnsi="Arial" w:cs="Arial"/>
          <w:b/>
        </w:rPr>
        <w:t>Unmet need relating to rurality.</w:t>
      </w:r>
    </w:p>
    <w:p w:rsidR="00DE0160" w:rsidRDefault="004C2C6B" w:rsidP="00DE0160">
      <w:pPr>
        <w:spacing w:after="200"/>
        <w:jc w:val="both"/>
        <w:rPr>
          <w:rFonts w:ascii="Arial" w:hAnsi="Arial" w:cs="Arial"/>
        </w:rPr>
      </w:pPr>
      <w:r>
        <w:rPr>
          <w:rFonts w:ascii="Arial" w:hAnsi="Arial" w:cs="Arial"/>
        </w:rPr>
        <w:t xml:space="preserve">It is not clear which, if any, end of the urban-rural spectrum would show more unmet need so the analysis was carried out to examine evidence of unmet need at both ends.  No evidence of unmet need was found in either </w:t>
      </w:r>
      <w:r w:rsidR="00FE7645">
        <w:rPr>
          <w:rFonts w:ascii="Arial" w:hAnsi="Arial" w:cs="Arial"/>
        </w:rPr>
        <w:t xml:space="preserve">urban or rural </w:t>
      </w:r>
      <w:proofErr w:type="spellStart"/>
      <w:r w:rsidR="00FE7645">
        <w:rPr>
          <w:rFonts w:ascii="Arial" w:hAnsi="Arial" w:cs="Arial"/>
        </w:rPr>
        <w:t>datazones</w:t>
      </w:r>
      <w:proofErr w:type="spellEnd"/>
      <w:r w:rsidR="00FE7645">
        <w:rPr>
          <w:rFonts w:ascii="Arial" w:hAnsi="Arial" w:cs="Arial"/>
        </w:rPr>
        <w:t>.</w:t>
      </w:r>
    </w:p>
    <w:p w:rsidR="003325FE" w:rsidRPr="003325FE" w:rsidRDefault="003325FE" w:rsidP="00DE0160">
      <w:pPr>
        <w:spacing w:after="200"/>
        <w:jc w:val="both"/>
        <w:rPr>
          <w:rFonts w:ascii="Arial" w:hAnsi="Arial" w:cs="Arial"/>
          <w:b/>
        </w:rPr>
      </w:pPr>
      <w:r>
        <w:rPr>
          <w:rFonts w:ascii="Arial" w:hAnsi="Arial" w:cs="Arial"/>
          <w:b/>
        </w:rPr>
        <w:t>The subgroup agreed not to inc</w:t>
      </w:r>
      <w:r w:rsidR="00F706B4">
        <w:rPr>
          <w:rFonts w:ascii="Arial" w:hAnsi="Arial" w:cs="Arial"/>
          <w:b/>
        </w:rPr>
        <w:t>l</w:t>
      </w:r>
      <w:r>
        <w:rPr>
          <w:rFonts w:ascii="Arial" w:hAnsi="Arial" w:cs="Arial"/>
          <w:b/>
        </w:rPr>
        <w:t>ude an adjustment for unmet need due to rurality.</w:t>
      </w:r>
    </w:p>
    <w:p w:rsidR="00EF5BBF" w:rsidRDefault="00302930" w:rsidP="00302930">
      <w:pPr>
        <w:pStyle w:val="ListParagraph"/>
        <w:numPr>
          <w:ilvl w:val="0"/>
          <w:numId w:val="9"/>
        </w:numPr>
        <w:spacing w:after="200"/>
        <w:jc w:val="both"/>
        <w:rPr>
          <w:rFonts w:ascii="Arial" w:hAnsi="Arial" w:cs="Arial"/>
          <w:b/>
        </w:rPr>
      </w:pPr>
      <w:r w:rsidRPr="00302930">
        <w:rPr>
          <w:rFonts w:ascii="Arial" w:hAnsi="Arial" w:cs="Arial"/>
          <w:b/>
        </w:rPr>
        <w:t>SIMD2016</w:t>
      </w:r>
    </w:p>
    <w:p w:rsidR="00302930" w:rsidRDefault="00236FCB" w:rsidP="00236FCB">
      <w:pPr>
        <w:spacing w:after="200"/>
        <w:jc w:val="both"/>
        <w:rPr>
          <w:rFonts w:ascii="Arial" w:hAnsi="Arial" w:cs="Arial"/>
        </w:rPr>
      </w:pPr>
      <w:r w:rsidRPr="00236FCB">
        <w:rPr>
          <w:rFonts w:ascii="Arial" w:hAnsi="Arial" w:cs="Arial"/>
        </w:rPr>
        <w:t xml:space="preserve">LJ presented </w:t>
      </w:r>
      <w:r w:rsidR="00FC11DF">
        <w:rPr>
          <w:rFonts w:ascii="Arial" w:hAnsi="Arial" w:cs="Arial"/>
        </w:rPr>
        <w:t>a paper outlining options for using SIMD 2</w:t>
      </w:r>
      <w:r w:rsidR="00941B51">
        <w:rPr>
          <w:rFonts w:ascii="Arial" w:hAnsi="Arial" w:cs="Arial"/>
        </w:rPr>
        <w:t>016</w:t>
      </w:r>
      <w:r w:rsidR="00B66DEF">
        <w:rPr>
          <w:rFonts w:ascii="Arial" w:hAnsi="Arial" w:cs="Arial"/>
        </w:rPr>
        <w:t xml:space="preserve"> to assess </w:t>
      </w:r>
      <w:r w:rsidR="00941B51">
        <w:rPr>
          <w:rFonts w:ascii="Arial" w:hAnsi="Arial" w:cs="Arial"/>
        </w:rPr>
        <w:t xml:space="preserve">unmet need </w:t>
      </w:r>
      <w:r w:rsidR="00B66DEF">
        <w:rPr>
          <w:rFonts w:ascii="Arial" w:hAnsi="Arial" w:cs="Arial"/>
        </w:rPr>
        <w:t>due to deprivation</w:t>
      </w:r>
      <w:r w:rsidR="00941B51">
        <w:rPr>
          <w:rFonts w:ascii="Arial" w:hAnsi="Arial" w:cs="Arial"/>
        </w:rPr>
        <w:t>, as had been discussed at AST the week before.  The group agreed that it would be worth waiting</w:t>
      </w:r>
      <w:r w:rsidR="0030065C">
        <w:rPr>
          <w:rFonts w:ascii="Arial" w:hAnsi="Arial" w:cs="Arial"/>
        </w:rPr>
        <w:t xml:space="preserve"> for the SIMD2016 </w:t>
      </w:r>
      <w:r w:rsidR="00B66DEF">
        <w:rPr>
          <w:rFonts w:ascii="Arial" w:hAnsi="Arial" w:cs="Arial"/>
        </w:rPr>
        <w:t xml:space="preserve">data that are due to be released </w:t>
      </w:r>
      <w:r w:rsidR="0030065C">
        <w:rPr>
          <w:rFonts w:ascii="Arial" w:hAnsi="Arial" w:cs="Arial"/>
        </w:rPr>
        <w:t xml:space="preserve">in August and that </w:t>
      </w:r>
      <w:r w:rsidR="00B66DEF">
        <w:rPr>
          <w:rFonts w:ascii="Arial" w:hAnsi="Arial" w:cs="Arial"/>
        </w:rPr>
        <w:t xml:space="preserve">it </w:t>
      </w:r>
      <w:r w:rsidR="0030065C">
        <w:rPr>
          <w:rFonts w:ascii="Arial" w:hAnsi="Arial" w:cs="Arial"/>
        </w:rPr>
        <w:t>would be remiss to not consider it.</w:t>
      </w:r>
      <w:r w:rsidR="00FC11DF">
        <w:rPr>
          <w:rFonts w:ascii="Arial" w:hAnsi="Arial" w:cs="Arial"/>
        </w:rPr>
        <w:t xml:space="preserve"> It was agreed </w:t>
      </w:r>
      <w:r w:rsidR="00B66DEF">
        <w:rPr>
          <w:rFonts w:ascii="Arial" w:hAnsi="Arial" w:cs="Arial"/>
        </w:rPr>
        <w:t xml:space="preserve">that the subgroup should ask TAGRA if they could </w:t>
      </w:r>
      <w:r w:rsidR="00FC11DF">
        <w:rPr>
          <w:rFonts w:ascii="Arial" w:hAnsi="Arial" w:cs="Arial"/>
        </w:rPr>
        <w:t xml:space="preserve">present the final report to TAGRA </w:t>
      </w:r>
      <w:r w:rsidR="00941B51">
        <w:rPr>
          <w:rFonts w:ascii="Arial" w:hAnsi="Arial" w:cs="Arial"/>
        </w:rPr>
        <w:t xml:space="preserve">in August as already planned, </w:t>
      </w:r>
      <w:r w:rsidR="00B66DEF">
        <w:rPr>
          <w:rFonts w:ascii="Arial" w:hAnsi="Arial" w:cs="Arial"/>
        </w:rPr>
        <w:t xml:space="preserve">but </w:t>
      </w:r>
      <w:r w:rsidR="00FC11DF">
        <w:rPr>
          <w:rFonts w:ascii="Arial" w:hAnsi="Arial" w:cs="Arial"/>
        </w:rPr>
        <w:t xml:space="preserve">with </w:t>
      </w:r>
      <w:r w:rsidR="007A69FE">
        <w:rPr>
          <w:rFonts w:ascii="Arial" w:hAnsi="Arial" w:cs="Arial"/>
        </w:rPr>
        <w:t>an</w:t>
      </w:r>
      <w:r w:rsidR="00B66DEF">
        <w:rPr>
          <w:rFonts w:ascii="Arial" w:hAnsi="Arial" w:cs="Arial"/>
        </w:rPr>
        <w:t xml:space="preserve"> </w:t>
      </w:r>
      <w:r w:rsidR="00FC11DF">
        <w:rPr>
          <w:rFonts w:ascii="Arial" w:hAnsi="Arial" w:cs="Arial"/>
        </w:rPr>
        <w:lastRenderedPageBreak/>
        <w:t xml:space="preserve">additional analysis of unmet need relating to SIMD2016 </w:t>
      </w:r>
      <w:r w:rsidR="00B66DEF">
        <w:rPr>
          <w:rFonts w:ascii="Arial" w:hAnsi="Arial" w:cs="Arial"/>
        </w:rPr>
        <w:t xml:space="preserve">to </w:t>
      </w:r>
      <w:r w:rsidR="007F04E9">
        <w:rPr>
          <w:rFonts w:ascii="Arial" w:hAnsi="Arial" w:cs="Arial"/>
        </w:rPr>
        <w:t>be reported to TAGRA in December 2016.</w:t>
      </w:r>
      <w:r w:rsidR="00B66DEF">
        <w:rPr>
          <w:rFonts w:ascii="Arial" w:hAnsi="Arial" w:cs="Arial"/>
        </w:rPr>
        <w:t xml:space="preserve"> This would then delay the assessment of the impact of the formula changes on health boards until April 2017, but this would still be in time for the formula run in the summer of 2017.</w:t>
      </w:r>
    </w:p>
    <w:p w:rsidR="00FC11DF" w:rsidRDefault="00FC11DF" w:rsidP="00236FCB">
      <w:pPr>
        <w:spacing w:after="200"/>
        <w:jc w:val="both"/>
        <w:rPr>
          <w:rFonts w:ascii="Arial" w:hAnsi="Arial" w:cs="Arial"/>
          <w:b/>
        </w:rPr>
      </w:pPr>
      <w:r w:rsidRPr="00FC11DF">
        <w:rPr>
          <w:rFonts w:ascii="Arial" w:hAnsi="Arial" w:cs="Arial"/>
          <w:b/>
        </w:rPr>
        <w:t>Action: ISD to produce a paper</w:t>
      </w:r>
      <w:r w:rsidR="00FA2EAC">
        <w:rPr>
          <w:rFonts w:ascii="Arial" w:hAnsi="Arial" w:cs="Arial"/>
          <w:b/>
        </w:rPr>
        <w:t xml:space="preserve"> for </w:t>
      </w:r>
      <w:r w:rsidR="0014721C">
        <w:rPr>
          <w:rFonts w:ascii="Arial" w:hAnsi="Arial" w:cs="Arial"/>
          <w:b/>
        </w:rPr>
        <w:t xml:space="preserve">the </w:t>
      </w:r>
      <w:r w:rsidR="00FA2EAC">
        <w:rPr>
          <w:rFonts w:ascii="Arial" w:hAnsi="Arial" w:cs="Arial"/>
          <w:b/>
        </w:rPr>
        <w:t xml:space="preserve">July meeting outlining the work required to examine unmet need due to deprivation, using SIMD2016.  </w:t>
      </w:r>
    </w:p>
    <w:p w:rsidR="00A80512" w:rsidRDefault="00A80512" w:rsidP="00A80512">
      <w:pPr>
        <w:spacing w:after="200"/>
      </w:pPr>
      <w:r>
        <w:rPr>
          <w:rFonts w:ascii="Arial" w:hAnsi="Arial" w:cs="Arial"/>
          <w:b/>
        </w:rPr>
        <w:t>Action: Angela Campbell to discuss th</w:t>
      </w:r>
      <w:r w:rsidR="00B66DEF">
        <w:rPr>
          <w:rFonts w:ascii="Arial" w:hAnsi="Arial" w:cs="Arial"/>
          <w:b/>
        </w:rPr>
        <w:t xml:space="preserve">e potential report addendum on unmet need and delayed impact analysis </w:t>
      </w:r>
      <w:r>
        <w:rPr>
          <w:rFonts w:ascii="Arial" w:hAnsi="Arial" w:cs="Arial"/>
          <w:b/>
        </w:rPr>
        <w:t xml:space="preserve">with Christine </w:t>
      </w:r>
      <w:r w:rsidRPr="00A80512">
        <w:rPr>
          <w:rFonts w:ascii="Arial" w:hAnsi="Arial" w:cs="Arial"/>
          <w:b/>
        </w:rPr>
        <w:t>McLaughlin</w:t>
      </w:r>
      <w:r>
        <w:t>.</w:t>
      </w:r>
    </w:p>
    <w:p w:rsidR="00302930" w:rsidRPr="00302930" w:rsidRDefault="00302930" w:rsidP="00302930">
      <w:pPr>
        <w:pStyle w:val="ListParagraph"/>
        <w:spacing w:after="200"/>
        <w:ind w:left="360"/>
        <w:jc w:val="both"/>
        <w:rPr>
          <w:rFonts w:ascii="Arial" w:hAnsi="Arial" w:cs="Arial"/>
        </w:rPr>
      </w:pPr>
    </w:p>
    <w:p w:rsidR="00EF5BBF" w:rsidRPr="00EF5BBF" w:rsidRDefault="00EF5BBF" w:rsidP="00EF5BBF">
      <w:pPr>
        <w:pStyle w:val="ListParagraph"/>
        <w:numPr>
          <w:ilvl w:val="0"/>
          <w:numId w:val="9"/>
        </w:numPr>
        <w:spacing w:after="200"/>
        <w:jc w:val="both"/>
        <w:rPr>
          <w:rFonts w:ascii="Arial" w:hAnsi="Arial" w:cs="Arial"/>
          <w:b/>
        </w:rPr>
      </w:pPr>
      <w:r w:rsidRPr="00EF5BBF">
        <w:rPr>
          <w:rFonts w:ascii="Arial" w:hAnsi="Arial" w:cs="Arial"/>
          <w:b/>
        </w:rPr>
        <w:t xml:space="preserve">Draft report to TAGRA </w:t>
      </w:r>
    </w:p>
    <w:p w:rsidR="00302930" w:rsidRDefault="00302930" w:rsidP="00302930">
      <w:pPr>
        <w:pStyle w:val="ListParagraph"/>
        <w:spacing w:after="200"/>
        <w:ind w:left="0"/>
        <w:jc w:val="both"/>
        <w:rPr>
          <w:rFonts w:ascii="Arial" w:hAnsi="Arial" w:cs="Arial"/>
        </w:rPr>
      </w:pPr>
    </w:p>
    <w:p w:rsidR="008D0840" w:rsidRDefault="008D0840" w:rsidP="00302930">
      <w:pPr>
        <w:pStyle w:val="ListParagraph"/>
        <w:spacing w:after="200"/>
        <w:ind w:left="0"/>
        <w:jc w:val="both"/>
        <w:rPr>
          <w:rFonts w:ascii="Arial" w:hAnsi="Arial" w:cs="Arial"/>
        </w:rPr>
      </w:pPr>
      <w:r>
        <w:rPr>
          <w:rFonts w:ascii="Arial" w:hAnsi="Arial" w:cs="Arial"/>
        </w:rPr>
        <w:t>The report</w:t>
      </w:r>
      <w:r w:rsidR="004164C1">
        <w:rPr>
          <w:rFonts w:ascii="Arial" w:hAnsi="Arial" w:cs="Arial"/>
        </w:rPr>
        <w:t xml:space="preserve"> is almost complete and the sub</w:t>
      </w:r>
      <w:r>
        <w:rPr>
          <w:rFonts w:ascii="Arial" w:hAnsi="Arial" w:cs="Arial"/>
        </w:rPr>
        <w:t xml:space="preserve">group were asked to read it and </w:t>
      </w:r>
      <w:r w:rsidR="00CF5871">
        <w:rPr>
          <w:rFonts w:ascii="Arial" w:hAnsi="Arial" w:cs="Arial"/>
        </w:rPr>
        <w:t>submit any comments to Lynne Jarvis by 20</w:t>
      </w:r>
      <w:r w:rsidR="00CF5871" w:rsidRPr="00CF5871">
        <w:rPr>
          <w:rFonts w:ascii="Arial" w:hAnsi="Arial" w:cs="Arial"/>
          <w:vertAlign w:val="superscript"/>
        </w:rPr>
        <w:t>th</w:t>
      </w:r>
      <w:r w:rsidR="00CF5871">
        <w:rPr>
          <w:rFonts w:ascii="Arial" w:hAnsi="Arial" w:cs="Arial"/>
        </w:rPr>
        <w:t xml:space="preserve"> June</w:t>
      </w:r>
      <w:r>
        <w:rPr>
          <w:rFonts w:ascii="Arial" w:hAnsi="Arial" w:cs="Arial"/>
        </w:rPr>
        <w:t>.</w:t>
      </w:r>
      <w:r w:rsidR="00070D35">
        <w:rPr>
          <w:rFonts w:ascii="Arial" w:hAnsi="Arial" w:cs="Arial"/>
        </w:rPr>
        <w:t xml:space="preserve"> </w:t>
      </w:r>
      <w:r w:rsidR="00F208B3">
        <w:rPr>
          <w:rFonts w:ascii="Arial" w:hAnsi="Arial" w:cs="Arial"/>
        </w:rPr>
        <w:t xml:space="preserve"> In particular, KF asked the group to consider data issues to include in Chapter 10.</w:t>
      </w:r>
      <w:r w:rsidR="00070D35">
        <w:rPr>
          <w:rFonts w:ascii="Arial" w:hAnsi="Arial" w:cs="Arial"/>
        </w:rPr>
        <w:t xml:space="preserve"> </w:t>
      </w:r>
      <w:r w:rsidR="00E433D5">
        <w:rPr>
          <w:rFonts w:ascii="Arial" w:hAnsi="Arial" w:cs="Arial"/>
        </w:rPr>
        <w:t>Pauline Craig</w:t>
      </w:r>
      <w:r w:rsidR="00640EF7">
        <w:rPr>
          <w:rFonts w:ascii="Arial" w:hAnsi="Arial" w:cs="Arial"/>
        </w:rPr>
        <w:t xml:space="preserve"> is working on the HIIA chapter</w:t>
      </w:r>
      <w:r w:rsidR="007C1DC2">
        <w:rPr>
          <w:rFonts w:ascii="Arial" w:hAnsi="Arial" w:cs="Arial"/>
        </w:rPr>
        <w:t>.</w:t>
      </w:r>
    </w:p>
    <w:p w:rsidR="008D0840" w:rsidRDefault="008D0840" w:rsidP="00302930">
      <w:pPr>
        <w:pStyle w:val="ListParagraph"/>
        <w:spacing w:after="200"/>
        <w:ind w:left="0"/>
        <w:jc w:val="both"/>
        <w:rPr>
          <w:rFonts w:ascii="Arial" w:hAnsi="Arial" w:cs="Arial"/>
        </w:rPr>
      </w:pPr>
    </w:p>
    <w:p w:rsidR="008D0840" w:rsidRDefault="008D0840" w:rsidP="00302930">
      <w:pPr>
        <w:pStyle w:val="ListParagraph"/>
        <w:spacing w:after="200"/>
        <w:ind w:left="0"/>
        <w:jc w:val="both"/>
        <w:rPr>
          <w:rFonts w:ascii="Arial" w:hAnsi="Arial" w:cs="Arial"/>
          <w:b/>
        </w:rPr>
      </w:pPr>
      <w:r w:rsidRPr="008D0840">
        <w:rPr>
          <w:rFonts w:ascii="Arial" w:hAnsi="Arial" w:cs="Arial"/>
          <w:b/>
        </w:rPr>
        <w:t>Action:</w:t>
      </w:r>
      <w:r>
        <w:rPr>
          <w:rFonts w:ascii="Arial" w:hAnsi="Arial" w:cs="Arial"/>
          <w:b/>
        </w:rPr>
        <w:t xml:space="preserve"> Subgroup to feed back comments on the draft report to </w:t>
      </w:r>
      <w:r w:rsidR="00E433D5">
        <w:rPr>
          <w:rFonts w:ascii="Arial" w:hAnsi="Arial" w:cs="Arial"/>
          <w:b/>
        </w:rPr>
        <w:t>LJ</w:t>
      </w:r>
      <w:r>
        <w:rPr>
          <w:rFonts w:ascii="Arial" w:hAnsi="Arial" w:cs="Arial"/>
          <w:b/>
        </w:rPr>
        <w:t xml:space="preserve"> by 20</w:t>
      </w:r>
      <w:r w:rsidRPr="008D0840">
        <w:rPr>
          <w:rFonts w:ascii="Arial" w:hAnsi="Arial" w:cs="Arial"/>
          <w:b/>
          <w:vertAlign w:val="superscript"/>
        </w:rPr>
        <w:t>th</w:t>
      </w:r>
      <w:r>
        <w:rPr>
          <w:rFonts w:ascii="Arial" w:hAnsi="Arial" w:cs="Arial"/>
          <w:b/>
        </w:rPr>
        <w:t xml:space="preserve"> June.</w:t>
      </w:r>
    </w:p>
    <w:p w:rsidR="00E433D5" w:rsidRPr="008D0840" w:rsidRDefault="00E433D5" w:rsidP="00302930">
      <w:pPr>
        <w:pStyle w:val="ListParagraph"/>
        <w:spacing w:after="200"/>
        <w:ind w:left="0"/>
        <w:jc w:val="both"/>
        <w:rPr>
          <w:rFonts w:ascii="Arial" w:hAnsi="Arial" w:cs="Arial"/>
          <w:b/>
        </w:rPr>
      </w:pPr>
      <w:r>
        <w:rPr>
          <w:rFonts w:ascii="Arial" w:hAnsi="Arial" w:cs="Arial"/>
          <w:b/>
        </w:rPr>
        <w:t>Action: PC will send LJ a draft of the HIIA chapter.</w:t>
      </w:r>
    </w:p>
    <w:p w:rsidR="00EF5BBF" w:rsidRPr="00EF5BBF" w:rsidRDefault="00EF5BBF" w:rsidP="00EF5BBF">
      <w:pPr>
        <w:pStyle w:val="ListParagraph"/>
        <w:spacing w:after="200"/>
        <w:ind w:left="360"/>
        <w:jc w:val="both"/>
        <w:rPr>
          <w:rFonts w:ascii="Arial" w:hAnsi="Arial" w:cs="Arial"/>
        </w:rPr>
      </w:pPr>
    </w:p>
    <w:p w:rsidR="00DE0160" w:rsidRPr="006843BD" w:rsidRDefault="00EF5BBF" w:rsidP="00EF5BBF">
      <w:pPr>
        <w:pStyle w:val="ListParagraph"/>
        <w:numPr>
          <w:ilvl w:val="0"/>
          <w:numId w:val="9"/>
        </w:numPr>
        <w:spacing w:after="200"/>
        <w:jc w:val="both"/>
        <w:rPr>
          <w:rFonts w:ascii="Arial" w:hAnsi="Arial" w:cs="Arial"/>
          <w:b/>
        </w:rPr>
      </w:pPr>
      <w:r w:rsidRPr="006843BD">
        <w:rPr>
          <w:rFonts w:ascii="Arial" w:hAnsi="Arial" w:cs="Arial"/>
          <w:b/>
        </w:rPr>
        <w:t>Work plan</w:t>
      </w:r>
    </w:p>
    <w:p w:rsidR="00CB1BB3" w:rsidRDefault="006843BD" w:rsidP="00783AE3">
      <w:pPr>
        <w:pStyle w:val="ListParagraph"/>
        <w:spacing w:after="240"/>
        <w:ind w:left="0"/>
        <w:jc w:val="both"/>
        <w:rPr>
          <w:rFonts w:ascii="Arial" w:hAnsi="Arial" w:cs="Arial"/>
        </w:rPr>
      </w:pPr>
      <w:r>
        <w:rPr>
          <w:rFonts w:ascii="Arial" w:hAnsi="Arial" w:cs="Arial"/>
        </w:rPr>
        <w:t xml:space="preserve">LJ presented the work plan.  It was agreed to discuss the further unmet need analysis (including plans for the inclusion of SIMD2016) and </w:t>
      </w:r>
      <w:r w:rsidR="00664F8F">
        <w:rPr>
          <w:rFonts w:ascii="Arial" w:hAnsi="Arial" w:cs="Arial"/>
        </w:rPr>
        <w:t>the draft report at the next meeting in July.  An August meeting will be planned to finalise the report to TAGRA.</w:t>
      </w:r>
      <w:r w:rsidR="00DB5DBA">
        <w:rPr>
          <w:rFonts w:ascii="Arial" w:hAnsi="Arial" w:cs="Arial"/>
        </w:rPr>
        <w:t xml:space="preserve"> If the additional unmet need analysis is approved by TAGRA, an additional subgroup meeting will be required in the autumn.</w:t>
      </w:r>
    </w:p>
    <w:p w:rsidR="00DB5DBA" w:rsidRDefault="00DB5DBA" w:rsidP="00783AE3">
      <w:pPr>
        <w:pStyle w:val="ListParagraph"/>
        <w:spacing w:after="240"/>
        <w:ind w:left="0"/>
        <w:jc w:val="both"/>
        <w:rPr>
          <w:rFonts w:ascii="Arial" w:hAnsi="Arial" w:cs="Arial"/>
        </w:rPr>
      </w:pPr>
    </w:p>
    <w:p w:rsidR="00DB5DBA" w:rsidRPr="00DB5DBA" w:rsidRDefault="00DB5DBA" w:rsidP="00783AE3">
      <w:pPr>
        <w:pStyle w:val="ListParagraph"/>
        <w:spacing w:after="240"/>
        <w:ind w:left="0"/>
        <w:jc w:val="both"/>
        <w:rPr>
          <w:rFonts w:ascii="Arial" w:hAnsi="Arial" w:cs="Arial"/>
          <w:b/>
        </w:rPr>
      </w:pPr>
      <w:r>
        <w:rPr>
          <w:rFonts w:ascii="Arial" w:hAnsi="Arial" w:cs="Arial"/>
          <w:b/>
        </w:rPr>
        <w:t>Action: Organise autumn meetings, if needed.</w:t>
      </w:r>
    </w:p>
    <w:p w:rsidR="006843BD" w:rsidRPr="00783AE3" w:rsidRDefault="006843BD" w:rsidP="00783AE3">
      <w:pPr>
        <w:pStyle w:val="ListParagraph"/>
        <w:spacing w:after="240"/>
        <w:ind w:left="0"/>
        <w:jc w:val="both"/>
        <w:rPr>
          <w:rFonts w:ascii="Arial" w:hAnsi="Arial" w:cs="Arial"/>
        </w:rPr>
      </w:pPr>
    </w:p>
    <w:p w:rsidR="00914624" w:rsidRPr="00EF5BBF" w:rsidRDefault="00783AE3" w:rsidP="00EF5BBF">
      <w:pPr>
        <w:pStyle w:val="ListParagraph"/>
        <w:numPr>
          <w:ilvl w:val="0"/>
          <w:numId w:val="9"/>
        </w:numPr>
        <w:spacing w:after="240"/>
        <w:jc w:val="both"/>
        <w:rPr>
          <w:rFonts w:ascii="Arial" w:hAnsi="Arial" w:cs="Arial"/>
          <w:b/>
        </w:rPr>
      </w:pPr>
      <w:r w:rsidRPr="00EF5BBF">
        <w:rPr>
          <w:rFonts w:ascii="Arial" w:hAnsi="Arial" w:cs="Arial"/>
          <w:b/>
        </w:rPr>
        <w:t>AOB</w:t>
      </w:r>
    </w:p>
    <w:p w:rsidR="00CB1BB3" w:rsidRPr="00CB1BB3" w:rsidRDefault="00CB1BB3" w:rsidP="00CB1BB3">
      <w:pPr>
        <w:pStyle w:val="ListParagraph"/>
        <w:spacing w:after="240"/>
        <w:ind w:left="360"/>
        <w:jc w:val="both"/>
        <w:rPr>
          <w:rFonts w:ascii="Arial" w:hAnsi="Arial" w:cs="Arial"/>
          <w:b/>
        </w:rPr>
      </w:pPr>
    </w:p>
    <w:p w:rsidR="00C93D80" w:rsidRDefault="001A2B55" w:rsidP="00BD221C">
      <w:pPr>
        <w:pStyle w:val="ListParagraph"/>
        <w:spacing w:after="240"/>
        <w:ind w:left="0"/>
        <w:contextualSpacing w:val="0"/>
        <w:jc w:val="both"/>
        <w:rPr>
          <w:rFonts w:ascii="Arial" w:hAnsi="Arial" w:cs="Arial"/>
          <w:b/>
        </w:rPr>
      </w:pPr>
      <w:r>
        <w:rPr>
          <w:rFonts w:ascii="Arial" w:hAnsi="Arial" w:cs="Arial"/>
        </w:rPr>
        <w:t xml:space="preserve">LJ </w:t>
      </w:r>
      <w:r w:rsidR="0049633E">
        <w:rPr>
          <w:rFonts w:ascii="Arial" w:hAnsi="Arial" w:cs="Arial"/>
        </w:rPr>
        <w:t>informed</w:t>
      </w:r>
      <w:r w:rsidR="006843BD">
        <w:rPr>
          <w:rFonts w:ascii="Arial" w:hAnsi="Arial" w:cs="Arial"/>
        </w:rPr>
        <w:t xml:space="preserve"> the sub group of the </w:t>
      </w:r>
      <w:r w:rsidR="0049633E">
        <w:rPr>
          <w:rFonts w:ascii="Arial" w:hAnsi="Arial" w:cs="Arial"/>
        </w:rPr>
        <w:t xml:space="preserve">new model analysis paper (TAMLC51), which </w:t>
      </w:r>
      <w:r w:rsidR="00DB5DBA">
        <w:rPr>
          <w:rFonts w:ascii="Arial" w:hAnsi="Arial" w:cs="Arial"/>
        </w:rPr>
        <w:t>checked the age and urban-rural splits</w:t>
      </w:r>
      <w:r w:rsidR="003E1ED0">
        <w:rPr>
          <w:rFonts w:ascii="Arial" w:hAnsi="Arial" w:cs="Arial"/>
        </w:rPr>
        <w:t>,</w:t>
      </w:r>
      <w:r w:rsidR="00DB5DBA">
        <w:rPr>
          <w:rFonts w:ascii="Arial" w:hAnsi="Arial" w:cs="Arial"/>
        </w:rPr>
        <w:t xml:space="preserve"> </w:t>
      </w:r>
      <w:r w:rsidR="0049633E">
        <w:rPr>
          <w:rFonts w:ascii="Arial" w:hAnsi="Arial" w:cs="Arial"/>
        </w:rPr>
        <w:t xml:space="preserve">was rewritten following the final agreement about the Acute needs index. </w:t>
      </w:r>
      <w:r w:rsidR="00F42E86">
        <w:rPr>
          <w:rFonts w:ascii="Arial" w:hAnsi="Arial" w:cs="Arial"/>
        </w:rPr>
        <w:t xml:space="preserve">The conclusions did not change from the previous version. </w:t>
      </w:r>
      <w:r w:rsidR="0049633E">
        <w:rPr>
          <w:rFonts w:ascii="Arial" w:hAnsi="Arial" w:cs="Arial"/>
        </w:rPr>
        <w:t xml:space="preserve">The group </w:t>
      </w:r>
      <w:r w:rsidR="00DB5DBA">
        <w:rPr>
          <w:rFonts w:ascii="Arial" w:hAnsi="Arial" w:cs="Arial"/>
        </w:rPr>
        <w:t>was</w:t>
      </w:r>
      <w:r w:rsidR="0049633E">
        <w:rPr>
          <w:rFonts w:ascii="Arial" w:hAnsi="Arial" w:cs="Arial"/>
        </w:rPr>
        <w:t xml:space="preserve"> happy for this to be put on the TAGRA website.</w:t>
      </w:r>
    </w:p>
    <w:p w:rsidR="00C93D80" w:rsidRPr="00C93D80" w:rsidRDefault="00646C79" w:rsidP="00BD221C">
      <w:pPr>
        <w:pStyle w:val="ListParagraph"/>
        <w:spacing w:after="240"/>
        <w:ind w:left="0"/>
        <w:contextualSpacing w:val="0"/>
        <w:jc w:val="both"/>
        <w:rPr>
          <w:rFonts w:ascii="Arial" w:hAnsi="Arial" w:cs="Arial"/>
          <w:b/>
        </w:rPr>
      </w:pPr>
      <w:r>
        <w:rPr>
          <w:rFonts w:ascii="Arial" w:hAnsi="Arial" w:cs="Arial"/>
          <w:b/>
        </w:rPr>
        <w:t xml:space="preserve">Date of next meeting: </w:t>
      </w:r>
      <w:r w:rsidR="004B0281">
        <w:rPr>
          <w:rFonts w:ascii="Arial" w:hAnsi="Arial" w:cs="Arial"/>
          <w:b/>
        </w:rPr>
        <w:t>21</w:t>
      </w:r>
      <w:r w:rsidR="004B0281" w:rsidRPr="004B0281">
        <w:rPr>
          <w:rFonts w:ascii="Arial" w:hAnsi="Arial" w:cs="Arial"/>
          <w:b/>
          <w:vertAlign w:val="superscript"/>
        </w:rPr>
        <w:t>st</w:t>
      </w:r>
      <w:r w:rsidR="004B0281">
        <w:rPr>
          <w:rFonts w:ascii="Arial" w:hAnsi="Arial" w:cs="Arial"/>
          <w:b/>
        </w:rPr>
        <w:t xml:space="preserve"> July</w:t>
      </w:r>
      <w:r w:rsidR="003B63B1">
        <w:rPr>
          <w:rFonts w:ascii="Arial" w:hAnsi="Arial" w:cs="Arial"/>
          <w:b/>
        </w:rPr>
        <w:t>,</w:t>
      </w:r>
      <w:r w:rsidR="00DC5477">
        <w:rPr>
          <w:rFonts w:ascii="Arial" w:hAnsi="Arial" w:cs="Arial"/>
          <w:b/>
        </w:rPr>
        <w:t xml:space="preserve"> 1pm - 3</w:t>
      </w:r>
      <w:r w:rsidR="00536134">
        <w:rPr>
          <w:rFonts w:ascii="Arial" w:hAnsi="Arial" w:cs="Arial"/>
          <w:b/>
        </w:rPr>
        <w:t>pm</w:t>
      </w:r>
      <w:r w:rsidR="00C93D80">
        <w:rPr>
          <w:rFonts w:ascii="Arial" w:hAnsi="Arial" w:cs="Arial"/>
          <w:b/>
        </w:rPr>
        <w:t xml:space="preserve">, </w:t>
      </w:r>
      <w:r w:rsidR="004B0281">
        <w:rPr>
          <w:rFonts w:ascii="Arial" w:hAnsi="Arial" w:cs="Arial"/>
          <w:b/>
        </w:rPr>
        <w:t>Meridian Court, Glasgow.</w:t>
      </w:r>
    </w:p>
    <w:p w:rsidR="00007D6B" w:rsidRPr="00BD221C" w:rsidRDefault="00007D6B" w:rsidP="00BD221C">
      <w:pPr>
        <w:pStyle w:val="ListParagraph"/>
        <w:spacing w:after="240"/>
        <w:ind w:left="0"/>
        <w:contextualSpacing w:val="0"/>
        <w:jc w:val="both"/>
        <w:rPr>
          <w:rFonts w:ascii="Arial" w:hAnsi="Arial" w:cs="Arial"/>
        </w:rPr>
      </w:pPr>
    </w:p>
    <w:p w:rsidR="003A2AF8" w:rsidRDefault="003A2AF8" w:rsidP="00CE7C86">
      <w:pPr>
        <w:pStyle w:val="ListParagraph"/>
        <w:spacing w:after="240"/>
        <w:ind w:left="0"/>
        <w:contextualSpacing w:val="0"/>
        <w:jc w:val="both"/>
        <w:rPr>
          <w:rFonts w:ascii="Arial" w:hAnsi="Arial" w:cs="Arial"/>
        </w:rPr>
      </w:pPr>
    </w:p>
    <w:p w:rsidR="004B0281" w:rsidRDefault="004B0281" w:rsidP="00CE7C86">
      <w:pPr>
        <w:pStyle w:val="ListParagraph"/>
        <w:spacing w:after="240"/>
        <w:ind w:left="0"/>
        <w:contextualSpacing w:val="0"/>
        <w:jc w:val="both"/>
        <w:rPr>
          <w:rFonts w:ascii="Arial" w:hAnsi="Arial" w:cs="Arial"/>
          <w:b/>
        </w:rPr>
      </w:pPr>
    </w:p>
    <w:p w:rsidR="004B0281" w:rsidRDefault="004B0281" w:rsidP="00CE7C86">
      <w:pPr>
        <w:pStyle w:val="ListParagraph"/>
        <w:spacing w:after="240"/>
        <w:ind w:left="0"/>
        <w:contextualSpacing w:val="0"/>
        <w:jc w:val="both"/>
        <w:rPr>
          <w:rFonts w:ascii="Arial" w:hAnsi="Arial" w:cs="Arial"/>
          <w:b/>
        </w:rPr>
      </w:pPr>
    </w:p>
    <w:p w:rsidR="004B0281" w:rsidRDefault="004B0281" w:rsidP="00CE7C86">
      <w:pPr>
        <w:pStyle w:val="ListParagraph"/>
        <w:spacing w:after="240"/>
        <w:ind w:left="0"/>
        <w:contextualSpacing w:val="0"/>
        <w:jc w:val="both"/>
        <w:rPr>
          <w:rFonts w:ascii="Arial" w:hAnsi="Arial" w:cs="Arial"/>
          <w:b/>
        </w:rPr>
      </w:pPr>
    </w:p>
    <w:p w:rsidR="004B0281" w:rsidRDefault="004B0281" w:rsidP="00CE7C86">
      <w:pPr>
        <w:pStyle w:val="ListParagraph"/>
        <w:spacing w:after="240"/>
        <w:ind w:left="0"/>
        <w:contextualSpacing w:val="0"/>
        <w:jc w:val="both"/>
        <w:rPr>
          <w:rFonts w:ascii="Arial" w:hAnsi="Arial" w:cs="Arial"/>
          <w:b/>
        </w:rPr>
      </w:pPr>
    </w:p>
    <w:p w:rsidR="003A2AF8" w:rsidRPr="009E52CF" w:rsidRDefault="00351EB9" w:rsidP="00CE7C86">
      <w:pPr>
        <w:pStyle w:val="ListParagraph"/>
        <w:spacing w:after="240"/>
        <w:ind w:left="0"/>
        <w:contextualSpacing w:val="0"/>
        <w:jc w:val="both"/>
        <w:rPr>
          <w:rFonts w:ascii="Arial" w:hAnsi="Arial" w:cs="Arial"/>
          <w:b/>
        </w:rPr>
      </w:pPr>
      <w:r w:rsidRPr="009E52CF">
        <w:rPr>
          <w:rFonts w:ascii="Arial" w:hAnsi="Arial" w:cs="Arial"/>
          <w:b/>
        </w:rPr>
        <w:lastRenderedPageBreak/>
        <w:t xml:space="preserve">Appendix: </w:t>
      </w:r>
    </w:p>
    <w:p w:rsidR="00351EB9" w:rsidRPr="00CD5569" w:rsidRDefault="00351EB9" w:rsidP="00351EB9">
      <w:pPr>
        <w:rPr>
          <w:rFonts w:ascii="Arial" w:hAnsi="Arial" w:cs="Arial"/>
          <w:b/>
        </w:rPr>
      </w:pPr>
      <w:r w:rsidRPr="00180CFC">
        <w:rPr>
          <w:rFonts w:ascii="Arial" w:hAnsi="Arial" w:cs="Arial"/>
          <w:i/>
        </w:rPr>
        <w:t xml:space="preserve">Table </w:t>
      </w:r>
      <w:r>
        <w:rPr>
          <w:rFonts w:ascii="Arial" w:hAnsi="Arial" w:cs="Arial"/>
          <w:i/>
        </w:rPr>
        <w:t>1</w:t>
      </w:r>
      <w:r w:rsidRPr="00180CFC">
        <w:rPr>
          <w:rFonts w:ascii="Arial" w:hAnsi="Arial" w:cs="Arial"/>
          <w:i/>
        </w:rPr>
        <w:t xml:space="preserve">. </w:t>
      </w:r>
      <w:r>
        <w:rPr>
          <w:rFonts w:ascii="Arial" w:hAnsi="Arial" w:cs="Arial"/>
          <w:i/>
        </w:rPr>
        <w:t>Acute expenditure and activity by high-level ICD10 classification (with Outpatients included as a whole group).  The figures in blue are those included in the ‘Other’ diagnostic group.</w:t>
      </w:r>
    </w:p>
    <w:tbl>
      <w:tblPr>
        <w:tblW w:w="8946" w:type="dxa"/>
        <w:tblInd w:w="93" w:type="dxa"/>
        <w:tblLook w:val="04A0"/>
      </w:tblPr>
      <w:tblGrid>
        <w:gridCol w:w="5827"/>
        <w:gridCol w:w="1701"/>
        <w:gridCol w:w="1418"/>
      </w:tblGrid>
      <w:tr w:rsidR="00260168" w:rsidRPr="00E704A8" w:rsidTr="00260168">
        <w:trPr>
          <w:trHeight w:val="83"/>
        </w:trPr>
        <w:tc>
          <w:tcPr>
            <w:tcW w:w="5827" w:type="dxa"/>
            <w:tcBorders>
              <w:top w:val="single" w:sz="12" w:space="0" w:color="auto"/>
              <w:left w:val="single" w:sz="12" w:space="0" w:color="auto"/>
              <w:bottom w:val="single" w:sz="12" w:space="0" w:color="auto"/>
              <w:right w:val="single" w:sz="12" w:space="0" w:color="auto"/>
            </w:tcBorders>
            <w:shd w:val="clear" w:color="auto" w:fill="auto"/>
            <w:noWrap/>
            <w:hideMark/>
          </w:tcPr>
          <w:p w:rsidR="00260168" w:rsidRPr="00E704A8" w:rsidRDefault="00260168" w:rsidP="005F4973">
            <w:pPr>
              <w:spacing w:line="240" w:lineRule="auto"/>
              <w:jc w:val="center"/>
              <w:rPr>
                <w:rFonts w:ascii="Arial" w:hAnsi="Arial" w:cs="Arial"/>
                <w:b/>
                <w:color w:val="000000"/>
                <w:sz w:val="20"/>
                <w:szCs w:val="20"/>
              </w:rPr>
            </w:pPr>
            <w:r w:rsidRPr="00E704A8">
              <w:rPr>
                <w:rFonts w:ascii="Arial" w:hAnsi="Arial" w:cs="Arial"/>
                <w:b/>
                <w:color w:val="000000"/>
                <w:sz w:val="20"/>
                <w:szCs w:val="20"/>
              </w:rPr>
              <w:t>Diagnostic</w:t>
            </w:r>
          </w:p>
          <w:p w:rsidR="00260168" w:rsidRPr="00E704A8" w:rsidRDefault="00260168" w:rsidP="005F4973">
            <w:pPr>
              <w:spacing w:line="240" w:lineRule="auto"/>
              <w:jc w:val="center"/>
              <w:rPr>
                <w:rFonts w:ascii="Arial" w:hAnsi="Arial" w:cs="Arial"/>
                <w:b/>
                <w:color w:val="000000"/>
                <w:sz w:val="20"/>
                <w:szCs w:val="20"/>
              </w:rPr>
            </w:pPr>
            <w:r w:rsidRPr="00E704A8">
              <w:rPr>
                <w:rFonts w:ascii="Arial" w:hAnsi="Arial" w:cs="Arial"/>
                <w:b/>
                <w:color w:val="000000"/>
                <w:sz w:val="20"/>
                <w:szCs w:val="20"/>
              </w:rPr>
              <w:t>Group</w:t>
            </w:r>
          </w:p>
          <w:p w:rsidR="00260168" w:rsidRPr="00E704A8" w:rsidRDefault="00260168" w:rsidP="005F4973">
            <w:pPr>
              <w:spacing w:line="240" w:lineRule="auto"/>
              <w:jc w:val="center"/>
              <w:rPr>
                <w:rFonts w:ascii="Arial" w:hAnsi="Arial" w:cs="Arial"/>
                <w:b/>
                <w:color w:val="000000"/>
                <w:sz w:val="20"/>
                <w:szCs w:val="20"/>
              </w:rPr>
            </w:pPr>
            <w:r w:rsidRPr="00E704A8">
              <w:rPr>
                <w:rFonts w:ascii="Arial" w:hAnsi="Arial" w:cs="Arial"/>
                <w:b/>
                <w:color w:val="000000"/>
                <w:sz w:val="20"/>
                <w:szCs w:val="20"/>
              </w:rPr>
              <w:t>Symbol</w:t>
            </w:r>
          </w:p>
        </w:tc>
        <w:tc>
          <w:tcPr>
            <w:tcW w:w="1701" w:type="dxa"/>
            <w:tcBorders>
              <w:top w:val="single" w:sz="12" w:space="0" w:color="auto"/>
              <w:left w:val="nil"/>
              <w:bottom w:val="single" w:sz="12" w:space="0" w:color="auto"/>
              <w:right w:val="single" w:sz="12" w:space="0" w:color="auto"/>
            </w:tcBorders>
            <w:shd w:val="clear" w:color="auto" w:fill="auto"/>
            <w:noWrap/>
            <w:hideMark/>
          </w:tcPr>
          <w:p w:rsidR="00260168" w:rsidRDefault="00260168" w:rsidP="005F4973">
            <w:pPr>
              <w:spacing w:line="240" w:lineRule="auto"/>
              <w:jc w:val="center"/>
              <w:rPr>
                <w:rFonts w:ascii="Arial" w:hAnsi="Arial" w:cs="Arial"/>
                <w:b/>
                <w:color w:val="000000"/>
                <w:sz w:val="20"/>
                <w:szCs w:val="20"/>
              </w:rPr>
            </w:pPr>
            <w:r w:rsidRPr="00E704A8">
              <w:rPr>
                <w:rFonts w:ascii="Arial" w:hAnsi="Arial" w:cs="Arial"/>
                <w:b/>
                <w:color w:val="000000"/>
                <w:sz w:val="20"/>
                <w:szCs w:val="20"/>
              </w:rPr>
              <w:t>2014 Actual spend in millions</w:t>
            </w:r>
          </w:p>
          <w:p w:rsidR="00260168" w:rsidRPr="00E704A8" w:rsidRDefault="00260168" w:rsidP="005F4973">
            <w:pPr>
              <w:spacing w:line="240" w:lineRule="auto"/>
              <w:jc w:val="center"/>
              <w:rPr>
                <w:rFonts w:ascii="Arial" w:hAnsi="Arial" w:cs="Arial"/>
                <w:b/>
                <w:color w:val="000000"/>
                <w:sz w:val="20"/>
                <w:szCs w:val="20"/>
              </w:rPr>
            </w:pPr>
            <w:r>
              <w:rPr>
                <w:rFonts w:ascii="Arial" w:hAnsi="Arial" w:cs="Arial"/>
                <w:b/>
                <w:color w:val="000000"/>
                <w:sz w:val="20"/>
                <w:szCs w:val="20"/>
              </w:rPr>
              <w:t>£</w:t>
            </w:r>
          </w:p>
        </w:tc>
        <w:tc>
          <w:tcPr>
            <w:tcW w:w="1418" w:type="dxa"/>
            <w:tcBorders>
              <w:top w:val="single" w:sz="12" w:space="0" w:color="auto"/>
              <w:left w:val="nil"/>
              <w:bottom w:val="single" w:sz="12" w:space="0" w:color="auto"/>
              <w:right w:val="single" w:sz="12" w:space="0" w:color="auto"/>
            </w:tcBorders>
            <w:shd w:val="clear" w:color="auto" w:fill="auto"/>
            <w:noWrap/>
            <w:hideMark/>
          </w:tcPr>
          <w:p w:rsidR="00260168" w:rsidRPr="00E704A8" w:rsidRDefault="00260168" w:rsidP="005F4973">
            <w:pPr>
              <w:spacing w:line="240" w:lineRule="auto"/>
              <w:jc w:val="center"/>
              <w:rPr>
                <w:rFonts w:ascii="Arial" w:hAnsi="Arial" w:cs="Arial"/>
                <w:b/>
                <w:color w:val="000000"/>
                <w:sz w:val="20"/>
                <w:szCs w:val="20"/>
              </w:rPr>
            </w:pPr>
            <w:r w:rsidRPr="00E704A8">
              <w:rPr>
                <w:rFonts w:ascii="Arial" w:hAnsi="Arial" w:cs="Arial"/>
                <w:b/>
                <w:color w:val="000000"/>
                <w:sz w:val="20"/>
                <w:szCs w:val="20"/>
              </w:rPr>
              <w:t>2014 Number of episodes</w:t>
            </w:r>
          </w:p>
        </w:tc>
      </w:tr>
      <w:tr w:rsidR="00260168" w:rsidRPr="00E704A8" w:rsidTr="00260168">
        <w:trPr>
          <w:trHeight w:val="83"/>
        </w:trPr>
        <w:tc>
          <w:tcPr>
            <w:tcW w:w="5827" w:type="dxa"/>
            <w:tcBorders>
              <w:top w:val="nil"/>
              <w:left w:val="single" w:sz="12" w:space="0" w:color="auto"/>
              <w:bottom w:val="single" w:sz="12" w:space="0" w:color="auto"/>
              <w:right w:val="single" w:sz="12" w:space="0" w:color="auto"/>
            </w:tcBorders>
            <w:shd w:val="clear" w:color="auto" w:fill="auto"/>
            <w:noWrap/>
            <w:vAlign w:val="bottom"/>
            <w:hideMark/>
          </w:tcPr>
          <w:p w:rsidR="00260168" w:rsidRPr="003E5119" w:rsidRDefault="00260168" w:rsidP="005F4973">
            <w:pPr>
              <w:spacing w:line="240" w:lineRule="auto"/>
              <w:contextualSpacing/>
              <w:rPr>
                <w:rFonts w:ascii="Arial" w:hAnsi="Arial" w:cs="Arial"/>
                <w:b/>
                <w:color w:val="000000"/>
                <w:sz w:val="20"/>
                <w:szCs w:val="20"/>
              </w:rPr>
            </w:pPr>
            <w:r w:rsidRPr="003E5119">
              <w:rPr>
                <w:rFonts w:ascii="Arial" w:eastAsia="Times New Roman" w:hAnsi="Arial" w:cs="Arial"/>
                <w:b/>
                <w:color w:val="000000"/>
                <w:sz w:val="20"/>
                <w:szCs w:val="20"/>
                <w:lang w:eastAsia="en-GB"/>
              </w:rPr>
              <w:t>Acute Outpatients</w:t>
            </w:r>
            <w:r w:rsidRPr="003E5119" w:rsidDel="003E5119">
              <w:rPr>
                <w:rFonts w:ascii="Arial" w:hAnsi="Arial" w:cs="Arial"/>
                <w:b/>
                <w:color w:val="000000"/>
                <w:sz w:val="20"/>
                <w:szCs w:val="20"/>
              </w:rPr>
              <w:t xml:space="preserve"> </w:t>
            </w:r>
          </w:p>
        </w:tc>
        <w:tc>
          <w:tcPr>
            <w:tcW w:w="1701" w:type="dxa"/>
            <w:tcBorders>
              <w:top w:val="nil"/>
              <w:left w:val="nil"/>
              <w:bottom w:val="single" w:sz="12" w:space="0" w:color="auto"/>
              <w:right w:val="single" w:sz="12" w:space="0" w:color="auto"/>
            </w:tcBorders>
            <w:shd w:val="clear" w:color="auto" w:fill="auto"/>
            <w:noWrap/>
            <w:vAlign w:val="bottom"/>
            <w:hideMark/>
          </w:tcPr>
          <w:p w:rsidR="00260168" w:rsidRPr="00E704A8" w:rsidRDefault="00260168" w:rsidP="005F4973">
            <w:pPr>
              <w:spacing w:line="240" w:lineRule="auto"/>
              <w:contextualSpacing/>
              <w:jc w:val="right"/>
              <w:rPr>
                <w:rFonts w:ascii="Arial" w:hAnsi="Arial" w:cs="Arial"/>
                <w:color w:val="000000"/>
                <w:sz w:val="20"/>
                <w:szCs w:val="20"/>
              </w:rPr>
            </w:pPr>
            <w:r w:rsidRPr="00E704A8">
              <w:rPr>
                <w:rFonts w:ascii="Arial" w:hAnsi="Arial" w:cs="Arial"/>
                <w:color w:val="000000"/>
                <w:sz w:val="20"/>
                <w:szCs w:val="20"/>
              </w:rPr>
              <w:t>769</w:t>
            </w:r>
          </w:p>
        </w:tc>
        <w:tc>
          <w:tcPr>
            <w:tcW w:w="1418" w:type="dxa"/>
            <w:tcBorders>
              <w:top w:val="nil"/>
              <w:left w:val="nil"/>
              <w:bottom w:val="single" w:sz="12" w:space="0" w:color="auto"/>
              <w:right w:val="single" w:sz="12" w:space="0" w:color="auto"/>
            </w:tcBorders>
            <w:shd w:val="clear" w:color="auto" w:fill="auto"/>
            <w:noWrap/>
            <w:vAlign w:val="bottom"/>
            <w:hideMark/>
          </w:tcPr>
          <w:p w:rsidR="00260168" w:rsidRPr="00E704A8" w:rsidRDefault="00260168" w:rsidP="005F4973">
            <w:pPr>
              <w:spacing w:line="240" w:lineRule="auto"/>
              <w:contextualSpacing/>
              <w:jc w:val="right"/>
              <w:rPr>
                <w:rFonts w:ascii="Arial" w:hAnsi="Arial" w:cs="Arial"/>
                <w:color w:val="000000"/>
                <w:sz w:val="20"/>
                <w:szCs w:val="20"/>
              </w:rPr>
            </w:pPr>
            <w:r w:rsidRPr="00E704A8">
              <w:rPr>
                <w:rFonts w:ascii="Arial" w:hAnsi="Arial" w:cs="Arial"/>
                <w:color w:val="000000"/>
                <w:sz w:val="20"/>
                <w:szCs w:val="20"/>
              </w:rPr>
              <w:t>1,466,760</w:t>
            </w:r>
          </w:p>
        </w:tc>
      </w:tr>
      <w:tr w:rsidR="00260168" w:rsidRPr="00E704A8" w:rsidTr="00260168">
        <w:trPr>
          <w:trHeight w:val="83"/>
        </w:trPr>
        <w:tc>
          <w:tcPr>
            <w:tcW w:w="5827" w:type="dxa"/>
            <w:tcBorders>
              <w:top w:val="nil"/>
              <w:left w:val="single" w:sz="12" w:space="0" w:color="auto"/>
              <w:bottom w:val="single" w:sz="12" w:space="0" w:color="auto"/>
              <w:right w:val="single" w:sz="12" w:space="0" w:color="auto"/>
            </w:tcBorders>
            <w:shd w:val="clear" w:color="auto" w:fill="auto"/>
            <w:noWrap/>
            <w:vAlign w:val="bottom"/>
            <w:hideMark/>
          </w:tcPr>
          <w:p w:rsidR="00260168" w:rsidRPr="00E704A8" w:rsidRDefault="00260168" w:rsidP="005F4973">
            <w:pPr>
              <w:spacing w:line="240" w:lineRule="auto"/>
              <w:contextualSpacing/>
              <w:rPr>
                <w:rFonts w:ascii="Arial" w:hAnsi="Arial" w:cs="Arial"/>
                <w:b/>
                <w:color w:val="000000"/>
                <w:sz w:val="20"/>
                <w:szCs w:val="20"/>
              </w:rPr>
            </w:pPr>
            <w:r w:rsidRPr="00E704A8">
              <w:rPr>
                <w:rFonts w:ascii="Arial" w:hAnsi="Arial" w:cs="Arial"/>
                <w:b/>
                <w:color w:val="000000"/>
                <w:sz w:val="20"/>
                <w:szCs w:val="20"/>
              </w:rPr>
              <w:t>C</w:t>
            </w:r>
            <w:r>
              <w:rPr>
                <w:rFonts w:ascii="Arial" w:hAnsi="Arial" w:cs="Arial"/>
                <w:b/>
                <w:color w:val="000000"/>
                <w:sz w:val="20"/>
                <w:szCs w:val="20"/>
              </w:rPr>
              <w:t>ancer</w:t>
            </w:r>
          </w:p>
        </w:tc>
        <w:tc>
          <w:tcPr>
            <w:tcW w:w="1701" w:type="dxa"/>
            <w:tcBorders>
              <w:top w:val="nil"/>
              <w:left w:val="nil"/>
              <w:bottom w:val="single" w:sz="12" w:space="0" w:color="auto"/>
              <w:right w:val="single" w:sz="12" w:space="0" w:color="auto"/>
            </w:tcBorders>
            <w:shd w:val="clear" w:color="auto" w:fill="auto"/>
            <w:noWrap/>
            <w:vAlign w:val="bottom"/>
            <w:hideMark/>
          </w:tcPr>
          <w:p w:rsidR="00260168" w:rsidRPr="00E704A8" w:rsidRDefault="00260168" w:rsidP="005F4973">
            <w:pPr>
              <w:spacing w:line="240" w:lineRule="auto"/>
              <w:contextualSpacing/>
              <w:jc w:val="right"/>
              <w:rPr>
                <w:rFonts w:ascii="Arial" w:hAnsi="Arial" w:cs="Arial"/>
                <w:color w:val="000000"/>
                <w:sz w:val="20"/>
                <w:szCs w:val="20"/>
              </w:rPr>
            </w:pPr>
            <w:r w:rsidRPr="00E704A8">
              <w:rPr>
                <w:rFonts w:ascii="Arial" w:hAnsi="Arial" w:cs="Arial"/>
                <w:color w:val="000000"/>
                <w:sz w:val="20"/>
                <w:szCs w:val="20"/>
              </w:rPr>
              <w:t>414</w:t>
            </w:r>
          </w:p>
        </w:tc>
        <w:tc>
          <w:tcPr>
            <w:tcW w:w="1418" w:type="dxa"/>
            <w:tcBorders>
              <w:top w:val="nil"/>
              <w:left w:val="nil"/>
              <w:bottom w:val="single" w:sz="12" w:space="0" w:color="auto"/>
              <w:right w:val="single" w:sz="12" w:space="0" w:color="auto"/>
            </w:tcBorders>
            <w:shd w:val="clear" w:color="auto" w:fill="auto"/>
            <w:noWrap/>
            <w:vAlign w:val="bottom"/>
            <w:hideMark/>
          </w:tcPr>
          <w:p w:rsidR="00260168" w:rsidRPr="00E704A8" w:rsidRDefault="00260168" w:rsidP="005F4973">
            <w:pPr>
              <w:spacing w:line="240" w:lineRule="auto"/>
              <w:contextualSpacing/>
              <w:jc w:val="right"/>
              <w:rPr>
                <w:rFonts w:ascii="Arial" w:hAnsi="Arial" w:cs="Arial"/>
                <w:color w:val="000000"/>
                <w:sz w:val="20"/>
                <w:szCs w:val="20"/>
              </w:rPr>
            </w:pPr>
            <w:r w:rsidRPr="00E704A8">
              <w:rPr>
                <w:rFonts w:ascii="Arial" w:hAnsi="Arial" w:cs="Arial"/>
                <w:color w:val="000000"/>
                <w:sz w:val="20"/>
                <w:szCs w:val="20"/>
              </w:rPr>
              <w:t xml:space="preserve">        199,940 </w:t>
            </w:r>
          </w:p>
        </w:tc>
      </w:tr>
      <w:tr w:rsidR="00260168" w:rsidRPr="00E704A8" w:rsidTr="00260168">
        <w:trPr>
          <w:trHeight w:val="83"/>
        </w:trPr>
        <w:tc>
          <w:tcPr>
            <w:tcW w:w="5827" w:type="dxa"/>
            <w:tcBorders>
              <w:top w:val="nil"/>
              <w:left w:val="single" w:sz="12" w:space="0" w:color="auto"/>
              <w:bottom w:val="single" w:sz="12" w:space="0" w:color="auto"/>
              <w:right w:val="single" w:sz="12" w:space="0" w:color="auto"/>
            </w:tcBorders>
            <w:shd w:val="clear" w:color="auto" w:fill="auto"/>
            <w:noWrap/>
            <w:vAlign w:val="bottom"/>
            <w:hideMark/>
          </w:tcPr>
          <w:p w:rsidR="00260168" w:rsidRPr="00E704A8" w:rsidRDefault="00260168" w:rsidP="005F4973">
            <w:pPr>
              <w:spacing w:line="240" w:lineRule="auto"/>
              <w:contextualSpacing/>
              <w:rPr>
                <w:rFonts w:ascii="Arial" w:hAnsi="Arial" w:cs="Arial"/>
                <w:b/>
                <w:color w:val="000000"/>
                <w:sz w:val="20"/>
                <w:szCs w:val="20"/>
              </w:rPr>
            </w:pPr>
            <w:r w:rsidRPr="00E704A8">
              <w:rPr>
                <w:rFonts w:ascii="Arial" w:hAnsi="Arial" w:cs="Arial"/>
                <w:b/>
                <w:color w:val="000000"/>
                <w:sz w:val="20"/>
                <w:szCs w:val="20"/>
              </w:rPr>
              <w:t>I</w:t>
            </w:r>
            <w:r>
              <w:rPr>
                <w:rFonts w:ascii="Arial" w:hAnsi="Arial" w:cs="Arial"/>
                <w:b/>
                <w:color w:val="000000"/>
                <w:sz w:val="20"/>
                <w:szCs w:val="20"/>
              </w:rPr>
              <w:t>njury</w:t>
            </w:r>
          </w:p>
        </w:tc>
        <w:tc>
          <w:tcPr>
            <w:tcW w:w="1701" w:type="dxa"/>
            <w:tcBorders>
              <w:top w:val="nil"/>
              <w:left w:val="nil"/>
              <w:bottom w:val="single" w:sz="12" w:space="0" w:color="auto"/>
              <w:right w:val="single" w:sz="12" w:space="0" w:color="auto"/>
            </w:tcBorders>
            <w:shd w:val="clear" w:color="auto" w:fill="auto"/>
            <w:noWrap/>
            <w:vAlign w:val="bottom"/>
            <w:hideMark/>
          </w:tcPr>
          <w:p w:rsidR="00260168" w:rsidRPr="00E704A8" w:rsidRDefault="00260168" w:rsidP="005F4973">
            <w:pPr>
              <w:spacing w:line="240" w:lineRule="auto"/>
              <w:contextualSpacing/>
              <w:jc w:val="right"/>
              <w:rPr>
                <w:rFonts w:ascii="Arial" w:hAnsi="Arial" w:cs="Arial"/>
                <w:color w:val="000000"/>
                <w:sz w:val="20"/>
                <w:szCs w:val="20"/>
              </w:rPr>
            </w:pPr>
            <w:r w:rsidRPr="00E704A8">
              <w:rPr>
                <w:rFonts w:ascii="Arial" w:hAnsi="Arial" w:cs="Arial"/>
                <w:color w:val="000000"/>
                <w:sz w:val="20"/>
                <w:szCs w:val="20"/>
              </w:rPr>
              <w:t>407</w:t>
            </w:r>
          </w:p>
        </w:tc>
        <w:tc>
          <w:tcPr>
            <w:tcW w:w="1418" w:type="dxa"/>
            <w:tcBorders>
              <w:top w:val="nil"/>
              <w:left w:val="nil"/>
              <w:bottom w:val="single" w:sz="12" w:space="0" w:color="auto"/>
              <w:right w:val="single" w:sz="12" w:space="0" w:color="auto"/>
            </w:tcBorders>
            <w:shd w:val="clear" w:color="auto" w:fill="auto"/>
            <w:noWrap/>
            <w:vAlign w:val="bottom"/>
            <w:hideMark/>
          </w:tcPr>
          <w:p w:rsidR="00260168" w:rsidRPr="00E704A8" w:rsidRDefault="00260168" w:rsidP="005F4973">
            <w:pPr>
              <w:spacing w:line="240" w:lineRule="auto"/>
              <w:contextualSpacing/>
              <w:jc w:val="right"/>
              <w:rPr>
                <w:rFonts w:ascii="Arial" w:hAnsi="Arial" w:cs="Arial"/>
                <w:color w:val="000000"/>
                <w:sz w:val="20"/>
                <w:szCs w:val="20"/>
              </w:rPr>
            </w:pPr>
            <w:r w:rsidRPr="00E704A8">
              <w:rPr>
                <w:rFonts w:ascii="Arial" w:hAnsi="Arial" w:cs="Arial"/>
                <w:color w:val="000000"/>
                <w:sz w:val="20"/>
                <w:szCs w:val="20"/>
              </w:rPr>
              <w:t xml:space="preserve">        124,769 </w:t>
            </w:r>
          </w:p>
        </w:tc>
      </w:tr>
      <w:tr w:rsidR="00260168" w:rsidRPr="00E704A8" w:rsidTr="00260168">
        <w:trPr>
          <w:trHeight w:val="83"/>
        </w:trPr>
        <w:tc>
          <w:tcPr>
            <w:tcW w:w="5827" w:type="dxa"/>
            <w:tcBorders>
              <w:top w:val="nil"/>
              <w:left w:val="single" w:sz="12" w:space="0" w:color="auto"/>
              <w:bottom w:val="single" w:sz="12" w:space="0" w:color="auto"/>
              <w:right w:val="single" w:sz="12" w:space="0" w:color="auto"/>
            </w:tcBorders>
            <w:shd w:val="clear" w:color="auto" w:fill="auto"/>
            <w:noWrap/>
            <w:vAlign w:val="bottom"/>
            <w:hideMark/>
          </w:tcPr>
          <w:p w:rsidR="00260168" w:rsidRPr="00E704A8" w:rsidRDefault="00260168" w:rsidP="005F4973">
            <w:pPr>
              <w:spacing w:line="240" w:lineRule="auto"/>
              <w:contextualSpacing/>
              <w:rPr>
                <w:rFonts w:ascii="Arial" w:hAnsi="Arial" w:cs="Arial"/>
                <w:b/>
                <w:color w:val="000000"/>
                <w:sz w:val="20"/>
                <w:szCs w:val="20"/>
              </w:rPr>
            </w:pPr>
            <w:r w:rsidRPr="00E704A8">
              <w:rPr>
                <w:rFonts w:ascii="Arial" w:hAnsi="Arial" w:cs="Arial"/>
                <w:b/>
                <w:color w:val="000000"/>
                <w:sz w:val="20"/>
                <w:szCs w:val="20"/>
              </w:rPr>
              <w:t>H</w:t>
            </w:r>
            <w:r>
              <w:rPr>
                <w:rFonts w:ascii="Arial" w:hAnsi="Arial" w:cs="Arial"/>
                <w:b/>
                <w:color w:val="000000"/>
                <w:sz w:val="20"/>
                <w:szCs w:val="20"/>
              </w:rPr>
              <w:t>eart</w:t>
            </w:r>
          </w:p>
        </w:tc>
        <w:tc>
          <w:tcPr>
            <w:tcW w:w="1701" w:type="dxa"/>
            <w:tcBorders>
              <w:top w:val="nil"/>
              <w:left w:val="nil"/>
              <w:bottom w:val="single" w:sz="12" w:space="0" w:color="auto"/>
              <w:right w:val="single" w:sz="12" w:space="0" w:color="auto"/>
            </w:tcBorders>
            <w:shd w:val="clear" w:color="auto" w:fill="auto"/>
            <w:noWrap/>
            <w:vAlign w:val="bottom"/>
            <w:hideMark/>
          </w:tcPr>
          <w:p w:rsidR="00260168" w:rsidRPr="00E704A8" w:rsidRDefault="00260168" w:rsidP="005F4973">
            <w:pPr>
              <w:spacing w:line="240" w:lineRule="auto"/>
              <w:contextualSpacing/>
              <w:jc w:val="right"/>
              <w:rPr>
                <w:rFonts w:ascii="Arial" w:hAnsi="Arial" w:cs="Arial"/>
                <w:color w:val="000000"/>
                <w:sz w:val="20"/>
                <w:szCs w:val="20"/>
              </w:rPr>
            </w:pPr>
            <w:r w:rsidRPr="00E704A8">
              <w:rPr>
                <w:rFonts w:ascii="Arial" w:hAnsi="Arial" w:cs="Arial"/>
                <w:color w:val="000000"/>
                <w:sz w:val="20"/>
                <w:szCs w:val="20"/>
              </w:rPr>
              <w:t>404</w:t>
            </w:r>
          </w:p>
        </w:tc>
        <w:tc>
          <w:tcPr>
            <w:tcW w:w="1418" w:type="dxa"/>
            <w:tcBorders>
              <w:top w:val="nil"/>
              <w:left w:val="nil"/>
              <w:bottom w:val="single" w:sz="12" w:space="0" w:color="auto"/>
              <w:right w:val="single" w:sz="12" w:space="0" w:color="auto"/>
            </w:tcBorders>
            <w:shd w:val="clear" w:color="auto" w:fill="auto"/>
            <w:noWrap/>
            <w:vAlign w:val="bottom"/>
            <w:hideMark/>
          </w:tcPr>
          <w:p w:rsidR="00260168" w:rsidRPr="00E704A8" w:rsidRDefault="00260168" w:rsidP="005F4973">
            <w:pPr>
              <w:spacing w:line="240" w:lineRule="auto"/>
              <w:contextualSpacing/>
              <w:jc w:val="right"/>
              <w:rPr>
                <w:rFonts w:ascii="Arial" w:hAnsi="Arial" w:cs="Arial"/>
                <w:color w:val="000000"/>
                <w:sz w:val="20"/>
                <w:szCs w:val="20"/>
              </w:rPr>
            </w:pPr>
            <w:r w:rsidRPr="00E704A8">
              <w:rPr>
                <w:rFonts w:ascii="Arial" w:hAnsi="Arial" w:cs="Arial"/>
                <w:color w:val="000000"/>
                <w:sz w:val="20"/>
                <w:szCs w:val="20"/>
              </w:rPr>
              <w:t xml:space="preserve">        157,121 </w:t>
            </w:r>
          </w:p>
        </w:tc>
      </w:tr>
      <w:tr w:rsidR="00260168" w:rsidRPr="00E704A8" w:rsidTr="00260168">
        <w:trPr>
          <w:trHeight w:val="83"/>
        </w:trPr>
        <w:tc>
          <w:tcPr>
            <w:tcW w:w="5827" w:type="dxa"/>
            <w:tcBorders>
              <w:top w:val="nil"/>
              <w:left w:val="single" w:sz="12" w:space="0" w:color="auto"/>
              <w:bottom w:val="single" w:sz="12" w:space="0" w:color="auto"/>
              <w:right w:val="single" w:sz="12" w:space="0" w:color="auto"/>
            </w:tcBorders>
            <w:shd w:val="clear" w:color="auto" w:fill="auto"/>
            <w:noWrap/>
            <w:vAlign w:val="bottom"/>
            <w:hideMark/>
          </w:tcPr>
          <w:p w:rsidR="00260168" w:rsidRPr="00E704A8" w:rsidRDefault="00260168" w:rsidP="005F4973">
            <w:pPr>
              <w:spacing w:line="240" w:lineRule="auto"/>
              <w:contextualSpacing/>
              <w:rPr>
                <w:rFonts w:ascii="Arial" w:hAnsi="Arial" w:cs="Arial"/>
                <w:b/>
                <w:color w:val="000000"/>
                <w:sz w:val="20"/>
                <w:szCs w:val="20"/>
              </w:rPr>
            </w:pPr>
            <w:r w:rsidRPr="00E704A8">
              <w:rPr>
                <w:rFonts w:ascii="Arial" w:hAnsi="Arial" w:cs="Arial"/>
                <w:b/>
                <w:color w:val="000000"/>
                <w:sz w:val="20"/>
                <w:szCs w:val="20"/>
              </w:rPr>
              <w:t>D</w:t>
            </w:r>
            <w:r>
              <w:rPr>
                <w:rFonts w:ascii="Arial" w:hAnsi="Arial" w:cs="Arial"/>
                <w:b/>
                <w:color w:val="000000"/>
                <w:sz w:val="20"/>
                <w:szCs w:val="20"/>
              </w:rPr>
              <w:t>igestive</w:t>
            </w:r>
          </w:p>
        </w:tc>
        <w:tc>
          <w:tcPr>
            <w:tcW w:w="1701" w:type="dxa"/>
            <w:tcBorders>
              <w:top w:val="nil"/>
              <w:left w:val="nil"/>
              <w:bottom w:val="single" w:sz="12" w:space="0" w:color="auto"/>
              <w:right w:val="single" w:sz="12" w:space="0" w:color="auto"/>
            </w:tcBorders>
            <w:shd w:val="clear" w:color="auto" w:fill="auto"/>
            <w:noWrap/>
            <w:vAlign w:val="bottom"/>
            <w:hideMark/>
          </w:tcPr>
          <w:p w:rsidR="00260168" w:rsidRPr="00E704A8" w:rsidRDefault="00260168" w:rsidP="005F4973">
            <w:pPr>
              <w:spacing w:line="240" w:lineRule="auto"/>
              <w:contextualSpacing/>
              <w:jc w:val="right"/>
              <w:rPr>
                <w:rFonts w:ascii="Arial" w:hAnsi="Arial" w:cs="Arial"/>
                <w:color w:val="000000"/>
                <w:sz w:val="20"/>
                <w:szCs w:val="20"/>
              </w:rPr>
            </w:pPr>
            <w:r w:rsidRPr="00E704A8">
              <w:rPr>
                <w:rFonts w:ascii="Arial" w:hAnsi="Arial" w:cs="Arial"/>
                <w:color w:val="000000"/>
                <w:sz w:val="20"/>
                <w:szCs w:val="20"/>
              </w:rPr>
              <w:t>343</w:t>
            </w:r>
          </w:p>
        </w:tc>
        <w:tc>
          <w:tcPr>
            <w:tcW w:w="1418" w:type="dxa"/>
            <w:tcBorders>
              <w:top w:val="nil"/>
              <w:left w:val="nil"/>
              <w:bottom w:val="single" w:sz="12" w:space="0" w:color="auto"/>
              <w:right w:val="single" w:sz="12" w:space="0" w:color="auto"/>
            </w:tcBorders>
            <w:shd w:val="clear" w:color="auto" w:fill="auto"/>
            <w:noWrap/>
            <w:vAlign w:val="bottom"/>
            <w:hideMark/>
          </w:tcPr>
          <w:p w:rsidR="00260168" w:rsidRPr="00E704A8" w:rsidRDefault="00260168" w:rsidP="005F4973">
            <w:pPr>
              <w:spacing w:line="240" w:lineRule="auto"/>
              <w:contextualSpacing/>
              <w:jc w:val="right"/>
              <w:rPr>
                <w:rFonts w:ascii="Arial" w:hAnsi="Arial" w:cs="Arial"/>
                <w:color w:val="000000"/>
                <w:sz w:val="20"/>
                <w:szCs w:val="20"/>
              </w:rPr>
            </w:pPr>
            <w:r w:rsidRPr="00E704A8">
              <w:rPr>
                <w:rFonts w:ascii="Arial" w:hAnsi="Arial" w:cs="Arial"/>
                <w:color w:val="000000"/>
                <w:sz w:val="20"/>
                <w:szCs w:val="20"/>
              </w:rPr>
              <w:t xml:space="preserve">        189,768 </w:t>
            </w:r>
          </w:p>
        </w:tc>
      </w:tr>
      <w:tr w:rsidR="00260168" w:rsidRPr="00147B2E" w:rsidTr="00260168">
        <w:trPr>
          <w:trHeight w:val="83"/>
        </w:trPr>
        <w:tc>
          <w:tcPr>
            <w:tcW w:w="5827" w:type="dxa"/>
            <w:tcBorders>
              <w:top w:val="nil"/>
              <w:left w:val="single" w:sz="12" w:space="0" w:color="auto"/>
              <w:bottom w:val="single" w:sz="12" w:space="0" w:color="auto"/>
              <w:right w:val="single" w:sz="12" w:space="0" w:color="auto"/>
            </w:tcBorders>
            <w:shd w:val="clear" w:color="auto" w:fill="auto"/>
            <w:noWrap/>
            <w:vAlign w:val="bottom"/>
            <w:hideMark/>
          </w:tcPr>
          <w:p w:rsidR="00260168" w:rsidRPr="00260168" w:rsidRDefault="00260168" w:rsidP="005F4973">
            <w:pPr>
              <w:spacing w:line="240" w:lineRule="auto"/>
              <w:contextualSpacing/>
              <w:rPr>
                <w:rFonts w:ascii="Arial" w:hAnsi="Arial" w:cs="Arial"/>
                <w:b/>
                <w:color w:val="0070C0"/>
                <w:sz w:val="20"/>
                <w:szCs w:val="20"/>
              </w:rPr>
            </w:pPr>
            <w:r w:rsidRPr="00260168">
              <w:rPr>
                <w:rFonts w:ascii="Arial" w:eastAsia="Times New Roman" w:hAnsi="Arial" w:cs="Arial"/>
                <w:b/>
                <w:color w:val="0070C0"/>
                <w:sz w:val="20"/>
                <w:szCs w:val="20"/>
                <w:lang w:eastAsia="en-GB"/>
              </w:rPr>
              <w:t>Symptoms, signs and abnormal clinical and laboratory findings, not elsewhere classified</w:t>
            </w:r>
          </w:p>
        </w:tc>
        <w:tc>
          <w:tcPr>
            <w:tcW w:w="1701" w:type="dxa"/>
            <w:tcBorders>
              <w:top w:val="nil"/>
              <w:left w:val="nil"/>
              <w:bottom w:val="single" w:sz="12" w:space="0" w:color="auto"/>
              <w:right w:val="single" w:sz="12" w:space="0" w:color="auto"/>
            </w:tcBorders>
            <w:shd w:val="clear" w:color="auto" w:fill="auto"/>
            <w:noWrap/>
            <w:vAlign w:val="bottom"/>
            <w:hideMark/>
          </w:tcPr>
          <w:p w:rsidR="00260168" w:rsidRPr="00147B2E" w:rsidRDefault="00260168" w:rsidP="005F4973">
            <w:pPr>
              <w:spacing w:line="240" w:lineRule="auto"/>
              <w:contextualSpacing/>
              <w:jc w:val="right"/>
              <w:rPr>
                <w:rFonts w:ascii="Arial" w:hAnsi="Arial" w:cs="Arial"/>
                <w:color w:val="0070C0"/>
                <w:sz w:val="20"/>
                <w:szCs w:val="20"/>
              </w:rPr>
            </w:pPr>
            <w:r w:rsidRPr="00147B2E">
              <w:rPr>
                <w:rFonts w:ascii="Arial" w:hAnsi="Arial" w:cs="Arial"/>
                <w:color w:val="0070C0"/>
                <w:sz w:val="20"/>
                <w:szCs w:val="20"/>
              </w:rPr>
              <w:t>319</w:t>
            </w:r>
          </w:p>
        </w:tc>
        <w:tc>
          <w:tcPr>
            <w:tcW w:w="1418" w:type="dxa"/>
            <w:tcBorders>
              <w:top w:val="nil"/>
              <w:left w:val="nil"/>
              <w:bottom w:val="single" w:sz="12" w:space="0" w:color="auto"/>
              <w:right w:val="single" w:sz="12" w:space="0" w:color="auto"/>
            </w:tcBorders>
            <w:shd w:val="clear" w:color="auto" w:fill="auto"/>
            <w:noWrap/>
            <w:vAlign w:val="bottom"/>
            <w:hideMark/>
          </w:tcPr>
          <w:p w:rsidR="00260168" w:rsidRPr="00147B2E" w:rsidRDefault="00260168" w:rsidP="005F4973">
            <w:pPr>
              <w:spacing w:line="240" w:lineRule="auto"/>
              <w:contextualSpacing/>
              <w:jc w:val="right"/>
              <w:rPr>
                <w:rFonts w:ascii="Arial" w:hAnsi="Arial" w:cs="Arial"/>
                <w:color w:val="0070C0"/>
                <w:sz w:val="20"/>
                <w:szCs w:val="20"/>
              </w:rPr>
            </w:pPr>
            <w:r w:rsidRPr="00147B2E">
              <w:rPr>
                <w:rFonts w:ascii="Arial" w:hAnsi="Arial" w:cs="Arial"/>
                <w:color w:val="0070C0"/>
                <w:sz w:val="20"/>
                <w:szCs w:val="20"/>
              </w:rPr>
              <w:t xml:space="preserve">        204,912 </w:t>
            </w:r>
          </w:p>
        </w:tc>
      </w:tr>
      <w:tr w:rsidR="00260168" w:rsidRPr="00E704A8" w:rsidTr="00260168">
        <w:trPr>
          <w:trHeight w:val="83"/>
        </w:trPr>
        <w:tc>
          <w:tcPr>
            <w:tcW w:w="5827" w:type="dxa"/>
            <w:tcBorders>
              <w:top w:val="nil"/>
              <w:left w:val="single" w:sz="12" w:space="0" w:color="auto"/>
              <w:bottom w:val="single" w:sz="12" w:space="0" w:color="auto"/>
              <w:right w:val="single" w:sz="12" w:space="0" w:color="auto"/>
            </w:tcBorders>
            <w:shd w:val="clear" w:color="auto" w:fill="auto"/>
            <w:noWrap/>
            <w:vAlign w:val="bottom"/>
            <w:hideMark/>
          </w:tcPr>
          <w:p w:rsidR="00260168" w:rsidRPr="00423C0E" w:rsidRDefault="00260168" w:rsidP="005F4973">
            <w:pPr>
              <w:spacing w:line="240" w:lineRule="auto"/>
              <w:contextualSpacing/>
              <w:rPr>
                <w:rFonts w:ascii="Arial" w:hAnsi="Arial" w:cs="Arial"/>
                <w:b/>
                <w:sz w:val="20"/>
                <w:szCs w:val="20"/>
              </w:rPr>
            </w:pPr>
            <w:r w:rsidRPr="00423C0E">
              <w:rPr>
                <w:rFonts w:ascii="Arial" w:hAnsi="Arial" w:cs="Arial"/>
                <w:b/>
                <w:sz w:val="20"/>
                <w:szCs w:val="20"/>
              </w:rPr>
              <w:t>Respiratory</w:t>
            </w:r>
          </w:p>
        </w:tc>
        <w:tc>
          <w:tcPr>
            <w:tcW w:w="1701" w:type="dxa"/>
            <w:tcBorders>
              <w:top w:val="nil"/>
              <w:left w:val="nil"/>
              <w:bottom w:val="single" w:sz="12" w:space="0" w:color="auto"/>
              <w:right w:val="single" w:sz="12" w:space="0" w:color="auto"/>
            </w:tcBorders>
            <w:shd w:val="clear" w:color="auto" w:fill="auto"/>
            <w:noWrap/>
            <w:vAlign w:val="bottom"/>
            <w:hideMark/>
          </w:tcPr>
          <w:p w:rsidR="00260168" w:rsidRPr="00E704A8" w:rsidRDefault="00260168" w:rsidP="005F4973">
            <w:pPr>
              <w:spacing w:line="240" w:lineRule="auto"/>
              <w:contextualSpacing/>
              <w:jc w:val="right"/>
              <w:rPr>
                <w:rFonts w:ascii="Arial" w:hAnsi="Arial" w:cs="Arial"/>
                <w:color w:val="000000"/>
                <w:sz w:val="20"/>
                <w:szCs w:val="20"/>
              </w:rPr>
            </w:pPr>
            <w:r w:rsidRPr="00E704A8">
              <w:rPr>
                <w:rFonts w:ascii="Arial" w:hAnsi="Arial" w:cs="Arial"/>
                <w:color w:val="000000"/>
                <w:sz w:val="20"/>
                <w:szCs w:val="20"/>
              </w:rPr>
              <w:t>291</w:t>
            </w:r>
          </w:p>
        </w:tc>
        <w:tc>
          <w:tcPr>
            <w:tcW w:w="1418" w:type="dxa"/>
            <w:tcBorders>
              <w:top w:val="nil"/>
              <w:left w:val="nil"/>
              <w:bottom w:val="single" w:sz="12" w:space="0" w:color="auto"/>
              <w:right w:val="single" w:sz="12" w:space="0" w:color="auto"/>
            </w:tcBorders>
            <w:shd w:val="clear" w:color="auto" w:fill="auto"/>
            <w:noWrap/>
            <w:vAlign w:val="bottom"/>
            <w:hideMark/>
          </w:tcPr>
          <w:p w:rsidR="00260168" w:rsidRPr="00E704A8" w:rsidRDefault="00260168" w:rsidP="005F4973">
            <w:pPr>
              <w:spacing w:line="240" w:lineRule="auto"/>
              <w:contextualSpacing/>
              <w:jc w:val="right"/>
              <w:rPr>
                <w:rFonts w:ascii="Arial" w:hAnsi="Arial" w:cs="Arial"/>
                <w:color w:val="000000"/>
                <w:sz w:val="20"/>
                <w:szCs w:val="20"/>
              </w:rPr>
            </w:pPr>
            <w:r w:rsidRPr="00E704A8">
              <w:rPr>
                <w:rFonts w:ascii="Arial" w:hAnsi="Arial" w:cs="Arial"/>
                <w:color w:val="000000"/>
                <w:sz w:val="20"/>
                <w:szCs w:val="20"/>
              </w:rPr>
              <w:t xml:space="preserve">        135,354 </w:t>
            </w:r>
          </w:p>
        </w:tc>
      </w:tr>
      <w:tr w:rsidR="00260168" w:rsidRPr="00147B2E" w:rsidTr="00260168">
        <w:trPr>
          <w:trHeight w:val="83"/>
        </w:trPr>
        <w:tc>
          <w:tcPr>
            <w:tcW w:w="5827" w:type="dxa"/>
            <w:tcBorders>
              <w:top w:val="nil"/>
              <w:left w:val="single" w:sz="12" w:space="0" w:color="auto"/>
              <w:bottom w:val="single" w:sz="12" w:space="0" w:color="auto"/>
              <w:right w:val="single" w:sz="12" w:space="0" w:color="auto"/>
            </w:tcBorders>
            <w:shd w:val="clear" w:color="auto" w:fill="auto"/>
            <w:noWrap/>
            <w:vAlign w:val="bottom"/>
            <w:hideMark/>
          </w:tcPr>
          <w:p w:rsidR="00260168" w:rsidRPr="00260168" w:rsidRDefault="00260168" w:rsidP="005F4973">
            <w:pPr>
              <w:spacing w:line="240" w:lineRule="auto"/>
              <w:contextualSpacing/>
              <w:rPr>
                <w:rFonts w:ascii="Arial" w:hAnsi="Arial" w:cs="Arial"/>
                <w:b/>
                <w:color w:val="0070C0"/>
                <w:sz w:val="20"/>
                <w:szCs w:val="20"/>
              </w:rPr>
            </w:pPr>
            <w:r w:rsidRPr="00260168">
              <w:rPr>
                <w:rFonts w:ascii="Arial" w:eastAsia="Times New Roman" w:hAnsi="Arial" w:cs="Arial"/>
                <w:b/>
                <w:color w:val="0070C0"/>
                <w:sz w:val="20"/>
                <w:szCs w:val="20"/>
                <w:lang w:eastAsia="en-GB"/>
              </w:rPr>
              <w:t>Diseases of the musculoskeletal system and connective tissue</w:t>
            </w:r>
          </w:p>
        </w:tc>
        <w:tc>
          <w:tcPr>
            <w:tcW w:w="1701" w:type="dxa"/>
            <w:tcBorders>
              <w:top w:val="nil"/>
              <w:left w:val="nil"/>
              <w:bottom w:val="single" w:sz="12" w:space="0" w:color="auto"/>
              <w:right w:val="single" w:sz="12" w:space="0" w:color="auto"/>
            </w:tcBorders>
            <w:shd w:val="clear" w:color="auto" w:fill="auto"/>
            <w:noWrap/>
            <w:vAlign w:val="bottom"/>
            <w:hideMark/>
          </w:tcPr>
          <w:p w:rsidR="00260168" w:rsidRPr="00147B2E" w:rsidRDefault="00260168" w:rsidP="005F4973">
            <w:pPr>
              <w:spacing w:line="240" w:lineRule="auto"/>
              <w:contextualSpacing/>
              <w:jc w:val="right"/>
              <w:rPr>
                <w:rFonts w:ascii="Arial" w:hAnsi="Arial" w:cs="Arial"/>
                <w:color w:val="0070C0"/>
                <w:sz w:val="20"/>
                <w:szCs w:val="20"/>
              </w:rPr>
            </w:pPr>
            <w:r w:rsidRPr="00147B2E">
              <w:rPr>
                <w:rFonts w:ascii="Arial" w:hAnsi="Arial" w:cs="Arial"/>
                <w:color w:val="0070C0"/>
                <w:sz w:val="20"/>
                <w:szCs w:val="20"/>
              </w:rPr>
              <w:t>221</w:t>
            </w:r>
          </w:p>
        </w:tc>
        <w:tc>
          <w:tcPr>
            <w:tcW w:w="1418" w:type="dxa"/>
            <w:tcBorders>
              <w:top w:val="nil"/>
              <w:left w:val="nil"/>
              <w:bottom w:val="single" w:sz="12" w:space="0" w:color="auto"/>
              <w:right w:val="single" w:sz="12" w:space="0" w:color="auto"/>
            </w:tcBorders>
            <w:shd w:val="clear" w:color="auto" w:fill="auto"/>
            <w:noWrap/>
            <w:vAlign w:val="bottom"/>
            <w:hideMark/>
          </w:tcPr>
          <w:p w:rsidR="00260168" w:rsidRPr="00147B2E" w:rsidRDefault="00260168" w:rsidP="005F4973">
            <w:pPr>
              <w:spacing w:line="240" w:lineRule="auto"/>
              <w:contextualSpacing/>
              <w:jc w:val="right"/>
              <w:rPr>
                <w:rFonts w:ascii="Arial" w:hAnsi="Arial" w:cs="Arial"/>
                <w:color w:val="0070C0"/>
                <w:sz w:val="20"/>
                <w:szCs w:val="20"/>
              </w:rPr>
            </w:pPr>
            <w:r w:rsidRPr="00147B2E">
              <w:rPr>
                <w:rFonts w:ascii="Arial" w:hAnsi="Arial" w:cs="Arial"/>
                <w:color w:val="0070C0"/>
                <w:sz w:val="20"/>
                <w:szCs w:val="20"/>
              </w:rPr>
              <w:t xml:space="preserve">          92,259 </w:t>
            </w:r>
          </w:p>
        </w:tc>
      </w:tr>
      <w:tr w:rsidR="00260168" w:rsidRPr="00147B2E" w:rsidTr="00260168">
        <w:trPr>
          <w:trHeight w:val="83"/>
        </w:trPr>
        <w:tc>
          <w:tcPr>
            <w:tcW w:w="5827" w:type="dxa"/>
            <w:tcBorders>
              <w:top w:val="nil"/>
              <w:left w:val="single" w:sz="12" w:space="0" w:color="auto"/>
              <w:bottom w:val="single" w:sz="12" w:space="0" w:color="auto"/>
              <w:right w:val="single" w:sz="12" w:space="0" w:color="auto"/>
            </w:tcBorders>
            <w:shd w:val="clear" w:color="auto" w:fill="auto"/>
            <w:noWrap/>
            <w:vAlign w:val="bottom"/>
            <w:hideMark/>
          </w:tcPr>
          <w:p w:rsidR="00260168" w:rsidRPr="00260168" w:rsidRDefault="00260168" w:rsidP="005F4973">
            <w:pPr>
              <w:spacing w:line="240" w:lineRule="auto"/>
              <w:contextualSpacing/>
              <w:rPr>
                <w:rFonts w:ascii="Arial" w:hAnsi="Arial" w:cs="Arial"/>
                <w:b/>
                <w:color w:val="0070C0"/>
                <w:sz w:val="20"/>
                <w:szCs w:val="20"/>
              </w:rPr>
            </w:pPr>
            <w:r w:rsidRPr="00260168">
              <w:rPr>
                <w:rFonts w:ascii="Arial" w:eastAsia="Times New Roman" w:hAnsi="Arial" w:cs="Arial"/>
                <w:b/>
                <w:color w:val="0070C0"/>
                <w:sz w:val="20"/>
                <w:szCs w:val="20"/>
                <w:lang w:eastAsia="en-GB"/>
              </w:rPr>
              <w:t>Diseases of the genitor-urinary system</w:t>
            </w:r>
          </w:p>
        </w:tc>
        <w:tc>
          <w:tcPr>
            <w:tcW w:w="1701" w:type="dxa"/>
            <w:tcBorders>
              <w:top w:val="nil"/>
              <w:left w:val="nil"/>
              <w:bottom w:val="single" w:sz="12" w:space="0" w:color="auto"/>
              <w:right w:val="single" w:sz="12" w:space="0" w:color="auto"/>
            </w:tcBorders>
            <w:shd w:val="clear" w:color="auto" w:fill="auto"/>
            <w:noWrap/>
            <w:vAlign w:val="bottom"/>
            <w:hideMark/>
          </w:tcPr>
          <w:p w:rsidR="00260168" w:rsidRPr="00147B2E" w:rsidRDefault="00260168" w:rsidP="005F4973">
            <w:pPr>
              <w:spacing w:line="240" w:lineRule="auto"/>
              <w:contextualSpacing/>
              <w:jc w:val="right"/>
              <w:rPr>
                <w:rFonts w:ascii="Arial" w:hAnsi="Arial" w:cs="Arial"/>
                <w:color w:val="0070C0"/>
                <w:sz w:val="20"/>
                <w:szCs w:val="20"/>
              </w:rPr>
            </w:pPr>
            <w:r w:rsidRPr="00147B2E">
              <w:rPr>
                <w:rFonts w:ascii="Arial" w:hAnsi="Arial" w:cs="Arial"/>
                <w:color w:val="0070C0"/>
                <w:sz w:val="20"/>
                <w:szCs w:val="20"/>
              </w:rPr>
              <w:t>198</w:t>
            </w:r>
          </w:p>
        </w:tc>
        <w:tc>
          <w:tcPr>
            <w:tcW w:w="1418" w:type="dxa"/>
            <w:tcBorders>
              <w:top w:val="nil"/>
              <w:left w:val="nil"/>
              <w:bottom w:val="single" w:sz="12" w:space="0" w:color="auto"/>
              <w:right w:val="single" w:sz="12" w:space="0" w:color="auto"/>
            </w:tcBorders>
            <w:shd w:val="clear" w:color="auto" w:fill="auto"/>
            <w:noWrap/>
            <w:vAlign w:val="bottom"/>
            <w:hideMark/>
          </w:tcPr>
          <w:p w:rsidR="00260168" w:rsidRPr="00147B2E" w:rsidRDefault="00260168" w:rsidP="005F4973">
            <w:pPr>
              <w:spacing w:line="240" w:lineRule="auto"/>
              <w:contextualSpacing/>
              <w:jc w:val="right"/>
              <w:rPr>
                <w:rFonts w:ascii="Arial" w:hAnsi="Arial" w:cs="Arial"/>
                <w:color w:val="0070C0"/>
                <w:sz w:val="20"/>
                <w:szCs w:val="20"/>
              </w:rPr>
            </w:pPr>
            <w:r w:rsidRPr="00147B2E">
              <w:rPr>
                <w:rFonts w:ascii="Arial" w:hAnsi="Arial" w:cs="Arial"/>
                <w:color w:val="0070C0"/>
                <w:sz w:val="20"/>
                <w:szCs w:val="20"/>
              </w:rPr>
              <w:t xml:space="preserve">        101,434 </w:t>
            </w:r>
          </w:p>
        </w:tc>
      </w:tr>
      <w:tr w:rsidR="00260168" w:rsidRPr="00147B2E" w:rsidTr="00260168">
        <w:trPr>
          <w:trHeight w:val="83"/>
        </w:trPr>
        <w:tc>
          <w:tcPr>
            <w:tcW w:w="5827" w:type="dxa"/>
            <w:tcBorders>
              <w:top w:val="nil"/>
              <w:left w:val="single" w:sz="12" w:space="0" w:color="auto"/>
              <w:bottom w:val="single" w:sz="12" w:space="0" w:color="auto"/>
              <w:right w:val="single" w:sz="12" w:space="0" w:color="auto"/>
            </w:tcBorders>
            <w:shd w:val="clear" w:color="auto" w:fill="auto"/>
            <w:noWrap/>
            <w:vAlign w:val="bottom"/>
            <w:hideMark/>
          </w:tcPr>
          <w:p w:rsidR="00260168" w:rsidRPr="00260168" w:rsidRDefault="00260168" w:rsidP="005F4973">
            <w:pPr>
              <w:spacing w:line="240" w:lineRule="auto"/>
              <w:contextualSpacing/>
              <w:rPr>
                <w:rFonts w:ascii="Arial" w:hAnsi="Arial" w:cs="Arial"/>
                <w:b/>
                <w:color w:val="0070C0"/>
                <w:sz w:val="20"/>
                <w:szCs w:val="20"/>
              </w:rPr>
            </w:pPr>
            <w:r w:rsidRPr="00260168">
              <w:rPr>
                <w:rFonts w:ascii="Arial" w:eastAsia="Times New Roman" w:hAnsi="Arial" w:cs="Arial"/>
                <w:b/>
                <w:color w:val="0070C0"/>
                <w:sz w:val="20"/>
                <w:szCs w:val="20"/>
                <w:lang w:eastAsia="en-GB"/>
              </w:rPr>
              <w:t>Diseases of the nervous system</w:t>
            </w:r>
          </w:p>
        </w:tc>
        <w:tc>
          <w:tcPr>
            <w:tcW w:w="1701" w:type="dxa"/>
            <w:tcBorders>
              <w:top w:val="nil"/>
              <w:left w:val="nil"/>
              <w:bottom w:val="single" w:sz="12" w:space="0" w:color="auto"/>
              <w:right w:val="single" w:sz="12" w:space="0" w:color="auto"/>
            </w:tcBorders>
            <w:shd w:val="clear" w:color="auto" w:fill="auto"/>
            <w:noWrap/>
            <w:vAlign w:val="bottom"/>
            <w:hideMark/>
          </w:tcPr>
          <w:p w:rsidR="00260168" w:rsidRPr="00147B2E" w:rsidRDefault="00260168" w:rsidP="005F4973">
            <w:pPr>
              <w:spacing w:line="240" w:lineRule="auto"/>
              <w:contextualSpacing/>
              <w:jc w:val="right"/>
              <w:rPr>
                <w:rFonts w:ascii="Arial" w:hAnsi="Arial" w:cs="Arial"/>
                <w:color w:val="0070C0"/>
                <w:sz w:val="20"/>
                <w:szCs w:val="20"/>
              </w:rPr>
            </w:pPr>
            <w:r w:rsidRPr="00147B2E">
              <w:rPr>
                <w:rFonts w:ascii="Arial" w:hAnsi="Arial" w:cs="Arial"/>
                <w:color w:val="0070C0"/>
                <w:sz w:val="20"/>
                <w:szCs w:val="20"/>
              </w:rPr>
              <w:t>92</w:t>
            </w:r>
          </w:p>
        </w:tc>
        <w:tc>
          <w:tcPr>
            <w:tcW w:w="1418" w:type="dxa"/>
            <w:tcBorders>
              <w:top w:val="nil"/>
              <w:left w:val="nil"/>
              <w:bottom w:val="single" w:sz="12" w:space="0" w:color="auto"/>
              <w:right w:val="single" w:sz="12" w:space="0" w:color="auto"/>
            </w:tcBorders>
            <w:shd w:val="clear" w:color="auto" w:fill="auto"/>
            <w:noWrap/>
            <w:vAlign w:val="bottom"/>
            <w:hideMark/>
          </w:tcPr>
          <w:p w:rsidR="00260168" w:rsidRPr="00147B2E" w:rsidRDefault="00260168" w:rsidP="005F4973">
            <w:pPr>
              <w:spacing w:line="240" w:lineRule="auto"/>
              <w:contextualSpacing/>
              <w:jc w:val="right"/>
              <w:rPr>
                <w:rFonts w:ascii="Arial" w:hAnsi="Arial" w:cs="Arial"/>
                <w:color w:val="0070C0"/>
                <w:sz w:val="20"/>
                <w:szCs w:val="20"/>
              </w:rPr>
            </w:pPr>
            <w:r w:rsidRPr="00147B2E">
              <w:rPr>
                <w:rFonts w:ascii="Arial" w:hAnsi="Arial" w:cs="Arial"/>
                <w:color w:val="0070C0"/>
                <w:sz w:val="20"/>
                <w:szCs w:val="20"/>
              </w:rPr>
              <w:t xml:space="preserve">          38,272 </w:t>
            </w:r>
          </w:p>
        </w:tc>
      </w:tr>
      <w:tr w:rsidR="00260168" w:rsidRPr="00147B2E" w:rsidTr="00260168">
        <w:trPr>
          <w:trHeight w:val="83"/>
        </w:trPr>
        <w:tc>
          <w:tcPr>
            <w:tcW w:w="5827" w:type="dxa"/>
            <w:tcBorders>
              <w:top w:val="nil"/>
              <w:left w:val="single" w:sz="12" w:space="0" w:color="auto"/>
              <w:bottom w:val="single" w:sz="12" w:space="0" w:color="auto"/>
              <w:right w:val="single" w:sz="12" w:space="0" w:color="auto"/>
            </w:tcBorders>
            <w:shd w:val="clear" w:color="auto" w:fill="auto"/>
            <w:noWrap/>
            <w:vAlign w:val="bottom"/>
            <w:hideMark/>
          </w:tcPr>
          <w:p w:rsidR="00260168" w:rsidRPr="00260168" w:rsidRDefault="00260168" w:rsidP="005F4973">
            <w:pPr>
              <w:spacing w:line="240" w:lineRule="auto"/>
              <w:contextualSpacing/>
              <w:rPr>
                <w:rFonts w:ascii="Arial" w:hAnsi="Arial" w:cs="Arial"/>
                <w:b/>
                <w:color w:val="0070C0"/>
                <w:sz w:val="20"/>
                <w:szCs w:val="20"/>
              </w:rPr>
            </w:pPr>
            <w:r w:rsidRPr="00260168">
              <w:rPr>
                <w:rFonts w:ascii="Arial" w:eastAsia="Times New Roman" w:hAnsi="Arial" w:cs="Arial"/>
                <w:b/>
                <w:color w:val="0070C0"/>
                <w:sz w:val="20"/>
                <w:szCs w:val="20"/>
                <w:lang w:eastAsia="en-GB"/>
              </w:rPr>
              <w:t>Certain infectious and parasitic diseases</w:t>
            </w:r>
          </w:p>
        </w:tc>
        <w:tc>
          <w:tcPr>
            <w:tcW w:w="1701" w:type="dxa"/>
            <w:tcBorders>
              <w:top w:val="nil"/>
              <w:left w:val="nil"/>
              <w:bottom w:val="single" w:sz="12" w:space="0" w:color="auto"/>
              <w:right w:val="single" w:sz="12" w:space="0" w:color="auto"/>
            </w:tcBorders>
            <w:shd w:val="clear" w:color="auto" w:fill="auto"/>
            <w:noWrap/>
            <w:vAlign w:val="bottom"/>
            <w:hideMark/>
          </w:tcPr>
          <w:p w:rsidR="00260168" w:rsidRPr="00147B2E" w:rsidRDefault="00260168" w:rsidP="005F4973">
            <w:pPr>
              <w:spacing w:line="240" w:lineRule="auto"/>
              <w:contextualSpacing/>
              <w:jc w:val="right"/>
              <w:rPr>
                <w:rFonts w:ascii="Arial" w:hAnsi="Arial" w:cs="Arial"/>
                <w:color w:val="0070C0"/>
                <w:sz w:val="20"/>
                <w:szCs w:val="20"/>
              </w:rPr>
            </w:pPr>
            <w:r w:rsidRPr="00147B2E">
              <w:rPr>
                <w:rFonts w:ascii="Arial" w:hAnsi="Arial" w:cs="Arial"/>
                <w:color w:val="0070C0"/>
                <w:sz w:val="20"/>
                <w:szCs w:val="20"/>
              </w:rPr>
              <w:t>87</w:t>
            </w:r>
          </w:p>
        </w:tc>
        <w:tc>
          <w:tcPr>
            <w:tcW w:w="1418" w:type="dxa"/>
            <w:tcBorders>
              <w:top w:val="nil"/>
              <w:left w:val="nil"/>
              <w:bottom w:val="single" w:sz="12" w:space="0" w:color="auto"/>
              <w:right w:val="single" w:sz="12" w:space="0" w:color="auto"/>
            </w:tcBorders>
            <w:shd w:val="clear" w:color="auto" w:fill="auto"/>
            <w:noWrap/>
            <w:vAlign w:val="bottom"/>
            <w:hideMark/>
          </w:tcPr>
          <w:p w:rsidR="00260168" w:rsidRPr="00147B2E" w:rsidRDefault="00260168" w:rsidP="005F4973">
            <w:pPr>
              <w:spacing w:line="240" w:lineRule="auto"/>
              <w:contextualSpacing/>
              <w:jc w:val="right"/>
              <w:rPr>
                <w:rFonts w:ascii="Arial" w:hAnsi="Arial" w:cs="Arial"/>
                <w:color w:val="0070C0"/>
                <w:sz w:val="20"/>
                <w:szCs w:val="20"/>
              </w:rPr>
            </w:pPr>
            <w:r w:rsidRPr="00147B2E">
              <w:rPr>
                <w:rFonts w:ascii="Arial" w:hAnsi="Arial" w:cs="Arial"/>
                <w:color w:val="0070C0"/>
                <w:sz w:val="20"/>
                <w:szCs w:val="20"/>
              </w:rPr>
              <w:t xml:space="preserve">          40,811 </w:t>
            </w:r>
          </w:p>
        </w:tc>
      </w:tr>
      <w:tr w:rsidR="00260168" w:rsidRPr="00147B2E" w:rsidTr="00260168">
        <w:trPr>
          <w:trHeight w:val="83"/>
        </w:trPr>
        <w:tc>
          <w:tcPr>
            <w:tcW w:w="5827" w:type="dxa"/>
            <w:tcBorders>
              <w:top w:val="nil"/>
              <w:left w:val="single" w:sz="12" w:space="0" w:color="auto"/>
              <w:bottom w:val="single" w:sz="12" w:space="0" w:color="auto"/>
              <w:right w:val="single" w:sz="12" w:space="0" w:color="auto"/>
            </w:tcBorders>
            <w:shd w:val="clear" w:color="auto" w:fill="auto"/>
            <w:noWrap/>
            <w:vAlign w:val="bottom"/>
            <w:hideMark/>
          </w:tcPr>
          <w:p w:rsidR="00260168" w:rsidRPr="00260168" w:rsidRDefault="00260168" w:rsidP="005F4973">
            <w:pPr>
              <w:spacing w:line="240" w:lineRule="auto"/>
              <w:contextualSpacing/>
              <w:rPr>
                <w:rFonts w:ascii="Arial" w:hAnsi="Arial" w:cs="Arial"/>
                <w:b/>
                <w:color w:val="0070C0"/>
                <w:sz w:val="20"/>
                <w:szCs w:val="20"/>
              </w:rPr>
            </w:pPr>
            <w:r w:rsidRPr="00260168">
              <w:rPr>
                <w:rFonts w:ascii="Arial" w:eastAsia="Times New Roman" w:hAnsi="Arial" w:cs="Arial"/>
                <w:b/>
                <w:color w:val="0070C0"/>
                <w:sz w:val="20"/>
                <w:szCs w:val="20"/>
                <w:lang w:eastAsia="en-GB"/>
              </w:rPr>
              <w:t>Factors influencing health status and contact with health services</w:t>
            </w:r>
          </w:p>
        </w:tc>
        <w:tc>
          <w:tcPr>
            <w:tcW w:w="1701" w:type="dxa"/>
            <w:tcBorders>
              <w:top w:val="nil"/>
              <w:left w:val="nil"/>
              <w:bottom w:val="single" w:sz="12" w:space="0" w:color="auto"/>
              <w:right w:val="single" w:sz="12" w:space="0" w:color="auto"/>
            </w:tcBorders>
            <w:shd w:val="clear" w:color="auto" w:fill="auto"/>
            <w:noWrap/>
            <w:vAlign w:val="bottom"/>
            <w:hideMark/>
          </w:tcPr>
          <w:p w:rsidR="00260168" w:rsidRPr="00147B2E" w:rsidRDefault="00260168" w:rsidP="005F4973">
            <w:pPr>
              <w:spacing w:line="240" w:lineRule="auto"/>
              <w:contextualSpacing/>
              <w:jc w:val="right"/>
              <w:rPr>
                <w:rFonts w:ascii="Arial" w:hAnsi="Arial" w:cs="Arial"/>
                <w:color w:val="0070C0"/>
                <w:sz w:val="20"/>
                <w:szCs w:val="20"/>
              </w:rPr>
            </w:pPr>
            <w:r w:rsidRPr="00147B2E">
              <w:rPr>
                <w:rFonts w:ascii="Arial" w:hAnsi="Arial" w:cs="Arial"/>
                <w:color w:val="0070C0"/>
                <w:sz w:val="20"/>
                <w:szCs w:val="20"/>
              </w:rPr>
              <w:t>81</w:t>
            </w:r>
          </w:p>
        </w:tc>
        <w:tc>
          <w:tcPr>
            <w:tcW w:w="1418" w:type="dxa"/>
            <w:tcBorders>
              <w:top w:val="nil"/>
              <w:left w:val="nil"/>
              <w:bottom w:val="single" w:sz="12" w:space="0" w:color="auto"/>
              <w:right w:val="single" w:sz="12" w:space="0" w:color="auto"/>
            </w:tcBorders>
            <w:shd w:val="clear" w:color="auto" w:fill="auto"/>
            <w:noWrap/>
            <w:vAlign w:val="bottom"/>
            <w:hideMark/>
          </w:tcPr>
          <w:p w:rsidR="00260168" w:rsidRPr="00147B2E" w:rsidRDefault="00260168" w:rsidP="005F4973">
            <w:pPr>
              <w:spacing w:line="240" w:lineRule="auto"/>
              <w:contextualSpacing/>
              <w:jc w:val="right"/>
              <w:rPr>
                <w:rFonts w:ascii="Arial" w:hAnsi="Arial" w:cs="Arial"/>
                <w:color w:val="0070C0"/>
                <w:sz w:val="20"/>
                <w:szCs w:val="20"/>
              </w:rPr>
            </w:pPr>
            <w:r w:rsidRPr="00147B2E">
              <w:rPr>
                <w:rFonts w:ascii="Arial" w:hAnsi="Arial" w:cs="Arial"/>
                <w:color w:val="0070C0"/>
                <w:sz w:val="20"/>
                <w:szCs w:val="20"/>
              </w:rPr>
              <w:t xml:space="preserve">          57,698 </w:t>
            </w:r>
          </w:p>
        </w:tc>
      </w:tr>
      <w:tr w:rsidR="00260168" w:rsidRPr="00147B2E" w:rsidTr="00260168">
        <w:trPr>
          <w:trHeight w:val="83"/>
        </w:trPr>
        <w:tc>
          <w:tcPr>
            <w:tcW w:w="5827" w:type="dxa"/>
            <w:tcBorders>
              <w:top w:val="nil"/>
              <w:left w:val="single" w:sz="12" w:space="0" w:color="auto"/>
              <w:bottom w:val="single" w:sz="12" w:space="0" w:color="auto"/>
              <w:right w:val="single" w:sz="12" w:space="0" w:color="auto"/>
            </w:tcBorders>
            <w:shd w:val="clear" w:color="auto" w:fill="auto"/>
            <w:noWrap/>
            <w:vAlign w:val="bottom"/>
            <w:hideMark/>
          </w:tcPr>
          <w:p w:rsidR="00260168" w:rsidRPr="00260168" w:rsidRDefault="00260168" w:rsidP="005F4973">
            <w:pPr>
              <w:spacing w:line="240" w:lineRule="auto"/>
              <w:contextualSpacing/>
              <w:rPr>
                <w:rFonts w:ascii="Arial" w:hAnsi="Arial" w:cs="Arial"/>
                <w:b/>
                <w:color w:val="0070C0"/>
                <w:sz w:val="20"/>
                <w:szCs w:val="20"/>
              </w:rPr>
            </w:pPr>
            <w:r w:rsidRPr="00260168">
              <w:rPr>
                <w:rFonts w:ascii="Arial" w:eastAsia="Times New Roman" w:hAnsi="Arial" w:cs="Arial"/>
                <w:b/>
                <w:color w:val="0070C0"/>
                <w:sz w:val="20"/>
                <w:szCs w:val="20"/>
                <w:lang w:eastAsia="en-GB"/>
              </w:rPr>
              <w:t>Diseases of the skin and subcutaneous tissue</w:t>
            </w:r>
          </w:p>
        </w:tc>
        <w:tc>
          <w:tcPr>
            <w:tcW w:w="1701" w:type="dxa"/>
            <w:tcBorders>
              <w:top w:val="nil"/>
              <w:left w:val="nil"/>
              <w:bottom w:val="single" w:sz="12" w:space="0" w:color="auto"/>
              <w:right w:val="single" w:sz="12" w:space="0" w:color="auto"/>
            </w:tcBorders>
            <w:shd w:val="clear" w:color="auto" w:fill="auto"/>
            <w:noWrap/>
            <w:vAlign w:val="bottom"/>
            <w:hideMark/>
          </w:tcPr>
          <w:p w:rsidR="00260168" w:rsidRPr="00147B2E" w:rsidRDefault="00260168" w:rsidP="005F4973">
            <w:pPr>
              <w:spacing w:line="240" w:lineRule="auto"/>
              <w:contextualSpacing/>
              <w:jc w:val="right"/>
              <w:rPr>
                <w:rFonts w:ascii="Arial" w:hAnsi="Arial" w:cs="Arial"/>
                <w:color w:val="0070C0"/>
                <w:sz w:val="20"/>
                <w:szCs w:val="20"/>
              </w:rPr>
            </w:pPr>
            <w:r w:rsidRPr="00147B2E">
              <w:rPr>
                <w:rFonts w:ascii="Arial" w:hAnsi="Arial" w:cs="Arial"/>
                <w:color w:val="0070C0"/>
                <w:sz w:val="20"/>
                <w:szCs w:val="20"/>
              </w:rPr>
              <w:t>71</w:t>
            </w:r>
          </w:p>
        </w:tc>
        <w:tc>
          <w:tcPr>
            <w:tcW w:w="1418" w:type="dxa"/>
            <w:tcBorders>
              <w:top w:val="nil"/>
              <w:left w:val="nil"/>
              <w:bottom w:val="single" w:sz="12" w:space="0" w:color="auto"/>
              <w:right w:val="single" w:sz="12" w:space="0" w:color="auto"/>
            </w:tcBorders>
            <w:shd w:val="clear" w:color="auto" w:fill="auto"/>
            <w:noWrap/>
            <w:vAlign w:val="bottom"/>
            <w:hideMark/>
          </w:tcPr>
          <w:p w:rsidR="00260168" w:rsidRPr="00147B2E" w:rsidRDefault="00260168" w:rsidP="005F4973">
            <w:pPr>
              <w:spacing w:line="240" w:lineRule="auto"/>
              <w:contextualSpacing/>
              <w:jc w:val="right"/>
              <w:rPr>
                <w:rFonts w:ascii="Arial" w:hAnsi="Arial" w:cs="Arial"/>
                <w:color w:val="0070C0"/>
                <w:sz w:val="20"/>
                <w:szCs w:val="20"/>
              </w:rPr>
            </w:pPr>
            <w:r w:rsidRPr="00147B2E">
              <w:rPr>
                <w:rFonts w:ascii="Arial" w:hAnsi="Arial" w:cs="Arial"/>
                <w:color w:val="0070C0"/>
                <w:sz w:val="20"/>
                <w:szCs w:val="20"/>
              </w:rPr>
              <w:t xml:space="preserve">          32,433 </w:t>
            </w:r>
          </w:p>
        </w:tc>
      </w:tr>
      <w:tr w:rsidR="00260168" w:rsidRPr="00147B2E" w:rsidTr="00260168">
        <w:trPr>
          <w:trHeight w:val="83"/>
        </w:trPr>
        <w:tc>
          <w:tcPr>
            <w:tcW w:w="5827" w:type="dxa"/>
            <w:tcBorders>
              <w:top w:val="nil"/>
              <w:left w:val="single" w:sz="12" w:space="0" w:color="auto"/>
              <w:bottom w:val="single" w:sz="12" w:space="0" w:color="auto"/>
              <w:right w:val="single" w:sz="12" w:space="0" w:color="auto"/>
            </w:tcBorders>
            <w:shd w:val="clear" w:color="auto" w:fill="auto"/>
            <w:noWrap/>
            <w:vAlign w:val="bottom"/>
            <w:hideMark/>
          </w:tcPr>
          <w:p w:rsidR="00260168" w:rsidRPr="00260168" w:rsidRDefault="00260168" w:rsidP="005F4973">
            <w:pPr>
              <w:spacing w:line="240" w:lineRule="auto"/>
              <w:contextualSpacing/>
              <w:rPr>
                <w:rFonts w:ascii="Arial" w:hAnsi="Arial" w:cs="Arial"/>
                <w:b/>
                <w:color w:val="0070C0"/>
                <w:sz w:val="20"/>
                <w:szCs w:val="20"/>
              </w:rPr>
            </w:pPr>
            <w:r w:rsidRPr="00260168">
              <w:rPr>
                <w:rFonts w:ascii="Arial" w:hAnsi="Arial" w:cs="Arial"/>
                <w:b/>
                <w:color w:val="0070C0"/>
                <w:sz w:val="20"/>
                <w:szCs w:val="20"/>
              </w:rPr>
              <w:t>(missing)</w:t>
            </w:r>
          </w:p>
        </w:tc>
        <w:tc>
          <w:tcPr>
            <w:tcW w:w="1701" w:type="dxa"/>
            <w:tcBorders>
              <w:top w:val="nil"/>
              <w:left w:val="nil"/>
              <w:bottom w:val="single" w:sz="12" w:space="0" w:color="auto"/>
              <w:right w:val="single" w:sz="12" w:space="0" w:color="auto"/>
            </w:tcBorders>
            <w:shd w:val="clear" w:color="auto" w:fill="auto"/>
            <w:noWrap/>
            <w:vAlign w:val="bottom"/>
            <w:hideMark/>
          </w:tcPr>
          <w:p w:rsidR="00260168" w:rsidRPr="00147B2E" w:rsidRDefault="00260168" w:rsidP="005F4973">
            <w:pPr>
              <w:spacing w:line="240" w:lineRule="auto"/>
              <w:contextualSpacing/>
              <w:jc w:val="right"/>
              <w:rPr>
                <w:rFonts w:ascii="Arial" w:hAnsi="Arial" w:cs="Arial"/>
                <w:color w:val="0070C0"/>
                <w:sz w:val="20"/>
                <w:szCs w:val="20"/>
              </w:rPr>
            </w:pPr>
            <w:r w:rsidRPr="00147B2E">
              <w:rPr>
                <w:rFonts w:ascii="Arial" w:hAnsi="Arial" w:cs="Arial"/>
                <w:color w:val="0070C0"/>
                <w:sz w:val="20"/>
                <w:szCs w:val="20"/>
              </w:rPr>
              <w:t>70</w:t>
            </w:r>
          </w:p>
        </w:tc>
        <w:tc>
          <w:tcPr>
            <w:tcW w:w="1418" w:type="dxa"/>
            <w:tcBorders>
              <w:top w:val="nil"/>
              <w:left w:val="nil"/>
              <w:bottom w:val="single" w:sz="12" w:space="0" w:color="auto"/>
              <w:right w:val="single" w:sz="12" w:space="0" w:color="auto"/>
            </w:tcBorders>
            <w:shd w:val="clear" w:color="auto" w:fill="auto"/>
            <w:noWrap/>
            <w:vAlign w:val="bottom"/>
            <w:hideMark/>
          </w:tcPr>
          <w:p w:rsidR="00260168" w:rsidRPr="00147B2E" w:rsidRDefault="00260168" w:rsidP="005F4973">
            <w:pPr>
              <w:spacing w:line="240" w:lineRule="auto"/>
              <w:contextualSpacing/>
              <w:jc w:val="right"/>
              <w:rPr>
                <w:rFonts w:ascii="Arial" w:hAnsi="Arial" w:cs="Arial"/>
                <w:color w:val="0070C0"/>
                <w:sz w:val="20"/>
                <w:szCs w:val="20"/>
              </w:rPr>
            </w:pPr>
            <w:r w:rsidRPr="00147B2E">
              <w:rPr>
                <w:rFonts w:ascii="Arial" w:hAnsi="Arial" w:cs="Arial"/>
                <w:color w:val="0070C0"/>
                <w:sz w:val="20"/>
                <w:szCs w:val="20"/>
              </w:rPr>
              <w:t xml:space="preserve">          25,176 </w:t>
            </w:r>
          </w:p>
        </w:tc>
      </w:tr>
      <w:tr w:rsidR="00260168" w:rsidRPr="00147B2E" w:rsidTr="00260168">
        <w:trPr>
          <w:trHeight w:val="83"/>
        </w:trPr>
        <w:tc>
          <w:tcPr>
            <w:tcW w:w="5827" w:type="dxa"/>
            <w:tcBorders>
              <w:top w:val="nil"/>
              <w:left w:val="single" w:sz="12" w:space="0" w:color="auto"/>
              <w:bottom w:val="single" w:sz="12" w:space="0" w:color="auto"/>
              <w:right w:val="single" w:sz="12" w:space="0" w:color="auto"/>
            </w:tcBorders>
            <w:shd w:val="clear" w:color="auto" w:fill="auto"/>
            <w:noWrap/>
            <w:vAlign w:val="bottom"/>
            <w:hideMark/>
          </w:tcPr>
          <w:p w:rsidR="00260168" w:rsidRPr="00260168" w:rsidRDefault="00260168" w:rsidP="005F4973">
            <w:pPr>
              <w:spacing w:line="240" w:lineRule="auto"/>
              <w:contextualSpacing/>
              <w:rPr>
                <w:rFonts w:ascii="Arial" w:hAnsi="Arial" w:cs="Arial"/>
                <w:b/>
                <w:color w:val="0070C0"/>
                <w:sz w:val="20"/>
                <w:szCs w:val="20"/>
              </w:rPr>
            </w:pPr>
            <w:r w:rsidRPr="00260168">
              <w:rPr>
                <w:rFonts w:ascii="Arial" w:eastAsia="Times New Roman" w:hAnsi="Arial" w:cs="Arial"/>
                <w:b/>
                <w:color w:val="0070C0"/>
                <w:sz w:val="20"/>
                <w:szCs w:val="20"/>
                <w:lang w:eastAsia="en-GB"/>
              </w:rPr>
              <w:t>Diseases of the eye and adnexa</w:t>
            </w:r>
          </w:p>
        </w:tc>
        <w:tc>
          <w:tcPr>
            <w:tcW w:w="1701" w:type="dxa"/>
            <w:tcBorders>
              <w:top w:val="nil"/>
              <w:left w:val="nil"/>
              <w:bottom w:val="single" w:sz="12" w:space="0" w:color="auto"/>
              <w:right w:val="single" w:sz="12" w:space="0" w:color="auto"/>
            </w:tcBorders>
            <w:shd w:val="clear" w:color="auto" w:fill="auto"/>
            <w:noWrap/>
            <w:vAlign w:val="bottom"/>
            <w:hideMark/>
          </w:tcPr>
          <w:p w:rsidR="00260168" w:rsidRPr="00147B2E" w:rsidRDefault="00260168" w:rsidP="005F4973">
            <w:pPr>
              <w:spacing w:line="240" w:lineRule="auto"/>
              <w:contextualSpacing/>
              <w:jc w:val="right"/>
              <w:rPr>
                <w:rFonts w:ascii="Arial" w:hAnsi="Arial" w:cs="Arial"/>
                <w:color w:val="0070C0"/>
                <w:sz w:val="20"/>
                <w:szCs w:val="20"/>
              </w:rPr>
            </w:pPr>
            <w:r w:rsidRPr="00147B2E">
              <w:rPr>
                <w:rFonts w:ascii="Arial" w:hAnsi="Arial" w:cs="Arial"/>
                <w:color w:val="0070C0"/>
                <w:sz w:val="20"/>
                <w:szCs w:val="20"/>
              </w:rPr>
              <w:t>70</w:t>
            </w:r>
          </w:p>
        </w:tc>
        <w:tc>
          <w:tcPr>
            <w:tcW w:w="1418" w:type="dxa"/>
            <w:tcBorders>
              <w:top w:val="nil"/>
              <w:left w:val="nil"/>
              <w:bottom w:val="single" w:sz="12" w:space="0" w:color="auto"/>
              <w:right w:val="single" w:sz="12" w:space="0" w:color="auto"/>
            </w:tcBorders>
            <w:shd w:val="clear" w:color="auto" w:fill="auto"/>
            <w:noWrap/>
            <w:vAlign w:val="bottom"/>
            <w:hideMark/>
          </w:tcPr>
          <w:p w:rsidR="00260168" w:rsidRPr="00147B2E" w:rsidRDefault="00260168" w:rsidP="005F4973">
            <w:pPr>
              <w:spacing w:line="240" w:lineRule="auto"/>
              <w:contextualSpacing/>
              <w:jc w:val="right"/>
              <w:rPr>
                <w:rFonts w:ascii="Arial" w:hAnsi="Arial" w:cs="Arial"/>
                <w:color w:val="0070C0"/>
                <w:sz w:val="20"/>
                <w:szCs w:val="20"/>
              </w:rPr>
            </w:pPr>
            <w:r w:rsidRPr="00147B2E">
              <w:rPr>
                <w:rFonts w:ascii="Arial" w:hAnsi="Arial" w:cs="Arial"/>
                <w:color w:val="0070C0"/>
                <w:sz w:val="20"/>
                <w:szCs w:val="20"/>
              </w:rPr>
              <w:t xml:space="preserve">          50,347 </w:t>
            </w:r>
          </w:p>
        </w:tc>
      </w:tr>
      <w:tr w:rsidR="00260168" w:rsidRPr="00147B2E" w:rsidTr="00260168">
        <w:trPr>
          <w:trHeight w:val="83"/>
        </w:trPr>
        <w:tc>
          <w:tcPr>
            <w:tcW w:w="5827" w:type="dxa"/>
            <w:tcBorders>
              <w:top w:val="nil"/>
              <w:left w:val="single" w:sz="12" w:space="0" w:color="auto"/>
              <w:bottom w:val="single" w:sz="12" w:space="0" w:color="auto"/>
              <w:right w:val="single" w:sz="12" w:space="0" w:color="auto"/>
            </w:tcBorders>
            <w:shd w:val="clear" w:color="auto" w:fill="auto"/>
            <w:noWrap/>
            <w:vAlign w:val="bottom"/>
            <w:hideMark/>
          </w:tcPr>
          <w:p w:rsidR="00260168" w:rsidRPr="00260168" w:rsidRDefault="00260168" w:rsidP="005F4973">
            <w:pPr>
              <w:spacing w:line="240" w:lineRule="auto"/>
              <w:contextualSpacing/>
              <w:rPr>
                <w:rFonts w:ascii="Arial" w:hAnsi="Arial" w:cs="Arial"/>
                <w:b/>
                <w:color w:val="0070C0"/>
                <w:sz w:val="20"/>
                <w:szCs w:val="20"/>
              </w:rPr>
            </w:pPr>
            <w:r w:rsidRPr="00260168">
              <w:rPr>
                <w:rFonts w:ascii="Arial" w:eastAsia="Times New Roman" w:hAnsi="Arial" w:cs="Arial"/>
                <w:b/>
                <w:color w:val="0070C0"/>
                <w:sz w:val="20"/>
                <w:szCs w:val="20"/>
                <w:lang w:eastAsia="en-GB"/>
              </w:rPr>
              <w:t>Endocrine, nutritional and metabolic diseases</w:t>
            </w:r>
          </w:p>
        </w:tc>
        <w:tc>
          <w:tcPr>
            <w:tcW w:w="1701" w:type="dxa"/>
            <w:tcBorders>
              <w:top w:val="nil"/>
              <w:left w:val="nil"/>
              <w:bottom w:val="single" w:sz="12" w:space="0" w:color="auto"/>
              <w:right w:val="single" w:sz="12" w:space="0" w:color="auto"/>
            </w:tcBorders>
            <w:shd w:val="clear" w:color="auto" w:fill="auto"/>
            <w:noWrap/>
            <w:vAlign w:val="bottom"/>
            <w:hideMark/>
          </w:tcPr>
          <w:p w:rsidR="00260168" w:rsidRPr="00147B2E" w:rsidRDefault="00260168" w:rsidP="005F4973">
            <w:pPr>
              <w:spacing w:line="240" w:lineRule="auto"/>
              <w:contextualSpacing/>
              <w:jc w:val="right"/>
              <w:rPr>
                <w:rFonts w:ascii="Arial" w:hAnsi="Arial" w:cs="Arial"/>
                <w:color w:val="0070C0"/>
                <w:sz w:val="20"/>
                <w:szCs w:val="20"/>
              </w:rPr>
            </w:pPr>
            <w:r w:rsidRPr="00147B2E">
              <w:rPr>
                <w:rFonts w:ascii="Arial" w:hAnsi="Arial" w:cs="Arial"/>
                <w:color w:val="0070C0"/>
                <w:sz w:val="20"/>
                <w:szCs w:val="20"/>
              </w:rPr>
              <w:t>51</w:t>
            </w:r>
          </w:p>
        </w:tc>
        <w:tc>
          <w:tcPr>
            <w:tcW w:w="1418" w:type="dxa"/>
            <w:tcBorders>
              <w:top w:val="nil"/>
              <w:left w:val="nil"/>
              <w:bottom w:val="single" w:sz="12" w:space="0" w:color="auto"/>
              <w:right w:val="single" w:sz="12" w:space="0" w:color="auto"/>
            </w:tcBorders>
            <w:shd w:val="clear" w:color="auto" w:fill="auto"/>
            <w:noWrap/>
            <w:vAlign w:val="bottom"/>
            <w:hideMark/>
          </w:tcPr>
          <w:p w:rsidR="00260168" w:rsidRPr="00147B2E" w:rsidRDefault="00260168" w:rsidP="005F4973">
            <w:pPr>
              <w:spacing w:line="240" w:lineRule="auto"/>
              <w:contextualSpacing/>
              <w:jc w:val="right"/>
              <w:rPr>
                <w:rFonts w:ascii="Arial" w:hAnsi="Arial" w:cs="Arial"/>
                <w:color w:val="0070C0"/>
                <w:sz w:val="20"/>
                <w:szCs w:val="20"/>
              </w:rPr>
            </w:pPr>
            <w:r w:rsidRPr="00147B2E">
              <w:rPr>
                <w:rFonts w:ascii="Arial" w:hAnsi="Arial" w:cs="Arial"/>
                <w:color w:val="0070C0"/>
                <w:sz w:val="20"/>
                <w:szCs w:val="20"/>
              </w:rPr>
              <w:t xml:space="preserve">          28,893 </w:t>
            </w:r>
          </w:p>
        </w:tc>
      </w:tr>
      <w:tr w:rsidR="00260168" w:rsidRPr="00147B2E" w:rsidTr="00260168">
        <w:trPr>
          <w:trHeight w:val="83"/>
        </w:trPr>
        <w:tc>
          <w:tcPr>
            <w:tcW w:w="5827" w:type="dxa"/>
            <w:tcBorders>
              <w:top w:val="nil"/>
              <w:left w:val="single" w:sz="12" w:space="0" w:color="auto"/>
              <w:bottom w:val="single" w:sz="12" w:space="0" w:color="auto"/>
              <w:right w:val="single" w:sz="12" w:space="0" w:color="auto"/>
            </w:tcBorders>
            <w:shd w:val="clear" w:color="auto" w:fill="auto"/>
            <w:noWrap/>
            <w:vAlign w:val="bottom"/>
            <w:hideMark/>
          </w:tcPr>
          <w:p w:rsidR="00260168" w:rsidRPr="00260168" w:rsidRDefault="00260168" w:rsidP="005F4973">
            <w:pPr>
              <w:spacing w:line="240" w:lineRule="auto"/>
              <w:contextualSpacing/>
              <w:rPr>
                <w:rFonts w:ascii="Arial" w:hAnsi="Arial" w:cs="Arial"/>
                <w:b/>
                <w:color w:val="0070C0"/>
                <w:sz w:val="20"/>
                <w:szCs w:val="20"/>
              </w:rPr>
            </w:pPr>
            <w:r w:rsidRPr="00260168">
              <w:rPr>
                <w:rFonts w:ascii="Arial" w:eastAsia="Times New Roman" w:hAnsi="Arial" w:cs="Arial"/>
                <w:b/>
                <w:color w:val="0070C0"/>
                <w:sz w:val="20"/>
                <w:szCs w:val="20"/>
                <w:lang w:eastAsia="en-GB"/>
              </w:rPr>
              <w:t>Mental and behavioural disorders</w:t>
            </w:r>
          </w:p>
        </w:tc>
        <w:tc>
          <w:tcPr>
            <w:tcW w:w="1701" w:type="dxa"/>
            <w:tcBorders>
              <w:top w:val="nil"/>
              <w:left w:val="nil"/>
              <w:bottom w:val="single" w:sz="12" w:space="0" w:color="auto"/>
              <w:right w:val="single" w:sz="12" w:space="0" w:color="auto"/>
            </w:tcBorders>
            <w:shd w:val="clear" w:color="auto" w:fill="auto"/>
            <w:noWrap/>
            <w:vAlign w:val="bottom"/>
            <w:hideMark/>
          </w:tcPr>
          <w:p w:rsidR="00260168" w:rsidRPr="00147B2E" w:rsidRDefault="00260168" w:rsidP="005F4973">
            <w:pPr>
              <w:spacing w:line="240" w:lineRule="auto"/>
              <w:contextualSpacing/>
              <w:jc w:val="right"/>
              <w:rPr>
                <w:rFonts w:ascii="Arial" w:hAnsi="Arial" w:cs="Arial"/>
                <w:color w:val="0070C0"/>
                <w:sz w:val="20"/>
                <w:szCs w:val="20"/>
              </w:rPr>
            </w:pPr>
            <w:r w:rsidRPr="00147B2E">
              <w:rPr>
                <w:rFonts w:ascii="Arial" w:hAnsi="Arial" w:cs="Arial"/>
                <w:color w:val="0070C0"/>
                <w:sz w:val="20"/>
                <w:szCs w:val="20"/>
              </w:rPr>
              <w:t>38</w:t>
            </w:r>
          </w:p>
        </w:tc>
        <w:tc>
          <w:tcPr>
            <w:tcW w:w="1418" w:type="dxa"/>
            <w:tcBorders>
              <w:top w:val="nil"/>
              <w:left w:val="nil"/>
              <w:bottom w:val="single" w:sz="12" w:space="0" w:color="auto"/>
              <w:right w:val="single" w:sz="12" w:space="0" w:color="auto"/>
            </w:tcBorders>
            <w:shd w:val="clear" w:color="auto" w:fill="auto"/>
            <w:noWrap/>
            <w:vAlign w:val="bottom"/>
            <w:hideMark/>
          </w:tcPr>
          <w:p w:rsidR="00260168" w:rsidRPr="00147B2E" w:rsidRDefault="00260168" w:rsidP="005F4973">
            <w:pPr>
              <w:spacing w:line="240" w:lineRule="auto"/>
              <w:contextualSpacing/>
              <w:jc w:val="right"/>
              <w:rPr>
                <w:rFonts w:ascii="Arial" w:hAnsi="Arial" w:cs="Arial"/>
                <w:color w:val="0070C0"/>
                <w:sz w:val="20"/>
                <w:szCs w:val="20"/>
              </w:rPr>
            </w:pPr>
            <w:r w:rsidRPr="00147B2E">
              <w:rPr>
                <w:rFonts w:ascii="Arial" w:hAnsi="Arial" w:cs="Arial"/>
                <w:color w:val="0070C0"/>
                <w:sz w:val="20"/>
                <w:szCs w:val="20"/>
              </w:rPr>
              <w:t xml:space="preserve">          16,406 </w:t>
            </w:r>
          </w:p>
        </w:tc>
      </w:tr>
      <w:tr w:rsidR="00260168" w:rsidRPr="00147B2E" w:rsidTr="00260168">
        <w:trPr>
          <w:trHeight w:val="83"/>
        </w:trPr>
        <w:tc>
          <w:tcPr>
            <w:tcW w:w="5827" w:type="dxa"/>
            <w:tcBorders>
              <w:top w:val="nil"/>
              <w:left w:val="single" w:sz="12" w:space="0" w:color="auto"/>
              <w:bottom w:val="single" w:sz="12" w:space="0" w:color="auto"/>
              <w:right w:val="single" w:sz="12" w:space="0" w:color="auto"/>
            </w:tcBorders>
            <w:shd w:val="clear" w:color="auto" w:fill="auto"/>
            <w:noWrap/>
            <w:vAlign w:val="bottom"/>
            <w:hideMark/>
          </w:tcPr>
          <w:p w:rsidR="00260168" w:rsidRPr="00260168" w:rsidRDefault="00260168" w:rsidP="005F4973">
            <w:pPr>
              <w:spacing w:line="240" w:lineRule="auto"/>
              <w:contextualSpacing/>
              <w:rPr>
                <w:rFonts w:ascii="Arial" w:hAnsi="Arial" w:cs="Arial"/>
                <w:b/>
                <w:color w:val="0070C0"/>
                <w:sz w:val="20"/>
                <w:szCs w:val="20"/>
              </w:rPr>
            </w:pPr>
            <w:r w:rsidRPr="00260168">
              <w:rPr>
                <w:rFonts w:ascii="Arial" w:eastAsia="Times New Roman" w:hAnsi="Arial" w:cs="Arial"/>
                <w:b/>
                <w:color w:val="0070C0"/>
                <w:sz w:val="20"/>
                <w:szCs w:val="20"/>
                <w:lang w:eastAsia="en-GB"/>
              </w:rPr>
              <w:t>Congenital malformations, deformations and chromosomal abnormalities</w:t>
            </w:r>
          </w:p>
        </w:tc>
        <w:tc>
          <w:tcPr>
            <w:tcW w:w="1701" w:type="dxa"/>
            <w:tcBorders>
              <w:top w:val="nil"/>
              <w:left w:val="nil"/>
              <w:bottom w:val="single" w:sz="12" w:space="0" w:color="auto"/>
              <w:right w:val="single" w:sz="12" w:space="0" w:color="auto"/>
            </w:tcBorders>
            <w:shd w:val="clear" w:color="auto" w:fill="auto"/>
            <w:noWrap/>
            <w:vAlign w:val="bottom"/>
            <w:hideMark/>
          </w:tcPr>
          <w:p w:rsidR="00260168" w:rsidRPr="00147B2E" w:rsidRDefault="00260168" w:rsidP="005F4973">
            <w:pPr>
              <w:spacing w:line="240" w:lineRule="auto"/>
              <w:contextualSpacing/>
              <w:jc w:val="right"/>
              <w:rPr>
                <w:rFonts w:ascii="Arial" w:hAnsi="Arial" w:cs="Arial"/>
                <w:color w:val="0070C0"/>
                <w:sz w:val="20"/>
                <w:szCs w:val="20"/>
              </w:rPr>
            </w:pPr>
            <w:r w:rsidRPr="00147B2E">
              <w:rPr>
                <w:rFonts w:ascii="Arial" w:hAnsi="Arial" w:cs="Arial"/>
                <w:color w:val="0070C0"/>
                <w:sz w:val="20"/>
                <w:szCs w:val="20"/>
              </w:rPr>
              <w:t>30</w:t>
            </w:r>
          </w:p>
        </w:tc>
        <w:tc>
          <w:tcPr>
            <w:tcW w:w="1418" w:type="dxa"/>
            <w:tcBorders>
              <w:top w:val="nil"/>
              <w:left w:val="nil"/>
              <w:bottom w:val="single" w:sz="12" w:space="0" w:color="auto"/>
              <w:right w:val="single" w:sz="12" w:space="0" w:color="auto"/>
            </w:tcBorders>
            <w:shd w:val="clear" w:color="auto" w:fill="auto"/>
            <w:noWrap/>
            <w:vAlign w:val="bottom"/>
            <w:hideMark/>
          </w:tcPr>
          <w:p w:rsidR="00260168" w:rsidRPr="00147B2E" w:rsidRDefault="00260168" w:rsidP="005F4973">
            <w:pPr>
              <w:spacing w:line="240" w:lineRule="auto"/>
              <w:contextualSpacing/>
              <w:jc w:val="right"/>
              <w:rPr>
                <w:rFonts w:ascii="Arial" w:hAnsi="Arial" w:cs="Arial"/>
                <w:color w:val="0070C0"/>
                <w:sz w:val="20"/>
                <w:szCs w:val="20"/>
              </w:rPr>
            </w:pPr>
            <w:r w:rsidRPr="00147B2E">
              <w:rPr>
                <w:rFonts w:ascii="Arial" w:hAnsi="Arial" w:cs="Arial"/>
                <w:color w:val="0070C0"/>
                <w:sz w:val="20"/>
                <w:szCs w:val="20"/>
              </w:rPr>
              <w:t xml:space="preserve">            9,669 </w:t>
            </w:r>
          </w:p>
        </w:tc>
      </w:tr>
      <w:tr w:rsidR="00260168" w:rsidRPr="00147B2E" w:rsidTr="00260168">
        <w:trPr>
          <w:trHeight w:val="83"/>
        </w:trPr>
        <w:tc>
          <w:tcPr>
            <w:tcW w:w="5827" w:type="dxa"/>
            <w:tcBorders>
              <w:top w:val="nil"/>
              <w:left w:val="single" w:sz="12" w:space="0" w:color="auto"/>
              <w:bottom w:val="single" w:sz="12" w:space="0" w:color="auto"/>
              <w:right w:val="single" w:sz="12" w:space="0" w:color="auto"/>
            </w:tcBorders>
            <w:shd w:val="clear" w:color="auto" w:fill="auto"/>
            <w:noWrap/>
            <w:vAlign w:val="bottom"/>
            <w:hideMark/>
          </w:tcPr>
          <w:p w:rsidR="00260168" w:rsidRPr="00260168" w:rsidRDefault="00260168" w:rsidP="005F4973">
            <w:pPr>
              <w:spacing w:line="240" w:lineRule="auto"/>
              <w:contextualSpacing/>
              <w:rPr>
                <w:rFonts w:ascii="Arial" w:hAnsi="Arial" w:cs="Arial"/>
                <w:b/>
                <w:color w:val="0070C0"/>
                <w:sz w:val="20"/>
                <w:szCs w:val="20"/>
              </w:rPr>
            </w:pPr>
            <w:r w:rsidRPr="00260168">
              <w:rPr>
                <w:rFonts w:ascii="Arial" w:eastAsia="Times New Roman" w:hAnsi="Arial" w:cs="Arial"/>
                <w:b/>
                <w:color w:val="0070C0"/>
                <w:sz w:val="20"/>
                <w:szCs w:val="20"/>
                <w:lang w:eastAsia="en-GB"/>
              </w:rPr>
              <w:t>Diseases of the blood and blood-forming organs and certain disorders involving the immune mechanism</w:t>
            </w:r>
          </w:p>
        </w:tc>
        <w:tc>
          <w:tcPr>
            <w:tcW w:w="1701" w:type="dxa"/>
            <w:tcBorders>
              <w:top w:val="nil"/>
              <w:left w:val="nil"/>
              <w:bottom w:val="single" w:sz="12" w:space="0" w:color="auto"/>
              <w:right w:val="single" w:sz="12" w:space="0" w:color="auto"/>
            </w:tcBorders>
            <w:shd w:val="clear" w:color="auto" w:fill="auto"/>
            <w:noWrap/>
            <w:vAlign w:val="bottom"/>
            <w:hideMark/>
          </w:tcPr>
          <w:p w:rsidR="00260168" w:rsidRPr="00147B2E" w:rsidRDefault="00260168" w:rsidP="005F4973">
            <w:pPr>
              <w:spacing w:line="240" w:lineRule="auto"/>
              <w:contextualSpacing/>
              <w:jc w:val="right"/>
              <w:rPr>
                <w:rFonts w:ascii="Arial" w:hAnsi="Arial" w:cs="Arial"/>
                <w:color w:val="0070C0"/>
                <w:sz w:val="20"/>
                <w:szCs w:val="20"/>
              </w:rPr>
            </w:pPr>
            <w:r w:rsidRPr="00147B2E">
              <w:rPr>
                <w:rFonts w:ascii="Arial" w:hAnsi="Arial" w:cs="Arial"/>
                <w:color w:val="0070C0"/>
                <w:sz w:val="20"/>
                <w:szCs w:val="20"/>
              </w:rPr>
              <w:t>28</w:t>
            </w:r>
          </w:p>
        </w:tc>
        <w:tc>
          <w:tcPr>
            <w:tcW w:w="1418" w:type="dxa"/>
            <w:tcBorders>
              <w:top w:val="nil"/>
              <w:left w:val="nil"/>
              <w:bottom w:val="single" w:sz="12" w:space="0" w:color="auto"/>
              <w:right w:val="single" w:sz="12" w:space="0" w:color="auto"/>
            </w:tcBorders>
            <w:shd w:val="clear" w:color="auto" w:fill="auto"/>
            <w:noWrap/>
            <w:vAlign w:val="bottom"/>
            <w:hideMark/>
          </w:tcPr>
          <w:p w:rsidR="00260168" w:rsidRPr="00147B2E" w:rsidRDefault="00260168" w:rsidP="005F4973">
            <w:pPr>
              <w:spacing w:line="240" w:lineRule="auto"/>
              <w:contextualSpacing/>
              <w:jc w:val="right"/>
              <w:rPr>
                <w:rFonts w:ascii="Arial" w:hAnsi="Arial" w:cs="Arial"/>
                <w:color w:val="0070C0"/>
                <w:sz w:val="20"/>
                <w:szCs w:val="20"/>
              </w:rPr>
            </w:pPr>
            <w:r w:rsidRPr="00147B2E">
              <w:rPr>
                <w:rFonts w:ascii="Arial" w:hAnsi="Arial" w:cs="Arial"/>
                <w:color w:val="0070C0"/>
                <w:sz w:val="20"/>
                <w:szCs w:val="20"/>
              </w:rPr>
              <w:t xml:space="preserve">          21,625 </w:t>
            </w:r>
          </w:p>
        </w:tc>
      </w:tr>
      <w:tr w:rsidR="00260168" w:rsidRPr="00147B2E" w:rsidTr="00260168">
        <w:trPr>
          <w:trHeight w:val="83"/>
        </w:trPr>
        <w:tc>
          <w:tcPr>
            <w:tcW w:w="5827" w:type="dxa"/>
            <w:tcBorders>
              <w:top w:val="nil"/>
              <w:left w:val="single" w:sz="12" w:space="0" w:color="auto"/>
              <w:bottom w:val="single" w:sz="12" w:space="0" w:color="auto"/>
              <w:right w:val="single" w:sz="12" w:space="0" w:color="auto"/>
            </w:tcBorders>
            <w:shd w:val="clear" w:color="auto" w:fill="auto"/>
            <w:noWrap/>
            <w:vAlign w:val="bottom"/>
            <w:hideMark/>
          </w:tcPr>
          <w:p w:rsidR="00260168" w:rsidRPr="00260168" w:rsidRDefault="00260168" w:rsidP="005F4973">
            <w:pPr>
              <w:spacing w:line="240" w:lineRule="auto"/>
              <w:contextualSpacing/>
              <w:rPr>
                <w:rFonts w:ascii="Arial" w:hAnsi="Arial" w:cs="Arial"/>
                <w:b/>
                <w:color w:val="0070C0"/>
                <w:sz w:val="20"/>
                <w:szCs w:val="20"/>
              </w:rPr>
            </w:pPr>
            <w:r w:rsidRPr="00260168">
              <w:rPr>
                <w:rFonts w:ascii="Arial" w:eastAsia="Times New Roman" w:hAnsi="Arial" w:cs="Arial"/>
                <w:b/>
                <w:color w:val="0070C0"/>
                <w:sz w:val="20"/>
                <w:szCs w:val="20"/>
                <w:lang w:eastAsia="en-GB"/>
              </w:rPr>
              <w:t>Diseases of the ear and mastoid process</w:t>
            </w:r>
          </w:p>
        </w:tc>
        <w:tc>
          <w:tcPr>
            <w:tcW w:w="1701" w:type="dxa"/>
            <w:tcBorders>
              <w:top w:val="nil"/>
              <w:left w:val="nil"/>
              <w:bottom w:val="single" w:sz="12" w:space="0" w:color="auto"/>
              <w:right w:val="single" w:sz="12" w:space="0" w:color="auto"/>
            </w:tcBorders>
            <w:shd w:val="clear" w:color="auto" w:fill="auto"/>
            <w:noWrap/>
            <w:vAlign w:val="bottom"/>
            <w:hideMark/>
          </w:tcPr>
          <w:p w:rsidR="00260168" w:rsidRPr="00147B2E" w:rsidRDefault="00260168" w:rsidP="005F4973">
            <w:pPr>
              <w:spacing w:line="240" w:lineRule="auto"/>
              <w:contextualSpacing/>
              <w:jc w:val="right"/>
              <w:rPr>
                <w:rFonts w:ascii="Arial" w:hAnsi="Arial" w:cs="Arial"/>
                <w:color w:val="0070C0"/>
                <w:sz w:val="20"/>
                <w:szCs w:val="20"/>
              </w:rPr>
            </w:pPr>
            <w:r w:rsidRPr="00147B2E">
              <w:rPr>
                <w:rFonts w:ascii="Arial" w:hAnsi="Arial" w:cs="Arial"/>
                <w:color w:val="0070C0"/>
                <w:sz w:val="20"/>
                <w:szCs w:val="20"/>
              </w:rPr>
              <w:t>9</w:t>
            </w:r>
          </w:p>
        </w:tc>
        <w:tc>
          <w:tcPr>
            <w:tcW w:w="1418" w:type="dxa"/>
            <w:tcBorders>
              <w:top w:val="nil"/>
              <w:left w:val="nil"/>
              <w:bottom w:val="single" w:sz="12" w:space="0" w:color="auto"/>
              <w:right w:val="single" w:sz="12" w:space="0" w:color="auto"/>
            </w:tcBorders>
            <w:shd w:val="clear" w:color="auto" w:fill="auto"/>
            <w:noWrap/>
            <w:vAlign w:val="bottom"/>
            <w:hideMark/>
          </w:tcPr>
          <w:p w:rsidR="00260168" w:rsidRPr="00147B2E" w:rsidRDefault="00260168" w:rsidP="005F4973">
            <w:pPr>
              <w:spacing w:line="240" w:lineRule="auto"/>
              <w:contextualSpacing/>
              <w:jc w:val="right"/>
              <w:rPr>
                <w:rFonts w:ascii="Arial" w:hAnsi="Arial" w:cs="Arial"/>
                <w:color w:val="0070C0"/>
                <w:sz w:val="20"/>
                <w:szCs w:val="20"/>
              </w:rPr>
            </w:pPr>
            <w:r w:rsidRPr="00147B2E">
              <w:rPr>
                <w:rFonts w:ascii="Arial" w:hAnsi="Arial" w:cs="Arial"/>
                <w:color w:val="0070C0"/>
                <w:sz w:val="20"/>
                <w:szCs w:val="20"/>
              </w:rPr>
              <w:t xml:space="preserve">            6,653 </w:t>
            </w:r>
          </w:p>
        </w:tc>
      </w:tr>
      <w:tr w:rsidR="00260168" w:rsidRPr="00147B2E" w:rsidTr="00260168">
        <w:trPr>
          <w:trHeight w:val="83"/>
        </w:trPr>
        <w:tc>
          <w:tcPr>
            <w:tcW w:w="5827" w:type="dxa"/>
            <w:tcBorders>
              <w:top w:val="nil"/>
              <w:left w:val="single" w:sz="12" w:space="0" w:color="auto"/>
              <w:bottom w:val="single" w:sz="12" w:space="0" w:color="auto"/>
              <w:right w:val="single" w:sz="12" w:space="0" w:color="auto"/>
            </w:tcBorders>
            <w:shd w:val="clear" w:color="auto" w:fill="auto"/>
            <w:noWrap/>
            <w:vAlign w:val="bottom"/>
            <w:hideMark/>
          </w:tcPr>
          <w:p w:rsidR="00260168" w:rsidRPr="00260168" w:rsidRDefault="00260168" w:rsidP="005F4973">
            <w:pPr>
              <w:spacing w:line="240" w:lineRule="auto"/>
              <w:contextualSpacing/>
              <w:rPr>
                <w:rFonts w:ascii="Arial" w:hAnsi="Arial" w:cs="Arial"/>
                <w:b/>
                <w:color w:val="0070C0"/>
                <w:sz w:val="20"/>
                <w:szCs w:val="20"/>
              </w:rPr>
            </w:pPr>
            <w:r w:rsidRPr="00260168">
              <w:rPr>
                <w:rFonts w:ascii="Arial" w:eastAsia="Times New Roman" w:hAnsi="Arial" w:cs="Arial"/>
                <w:b/>
                <w:color w:val="0070C0"/>
                <w:sz w:val="20"/>
                <w:szCs w:val="20"/>
                <w:lang w:eastAsia="en-GB"/>
              </w:rPr>
              <w:t>Certain conditions originating in the perinatal period</w:t>
            </w:r>
          </w:p>
        </w:tc>
        <w:tc>
          <w:tcPr>
            <w:tcW w:w="1701" w:type="dxa"/>
            <w:tcBorders>
              <w:top w:val="nil"/>
              <w:left w:val="nil"/>
              <w:bottom w:val="single" w:sz="12" w:space="0" w:color="auto"/>
              <w:right w:val="single" w:sz="12" w:space="0" w:color="auto"/>
            </w:tcBorders>
            <w:shd w:val="clear" w:color="auto" w:fill="auto"/>
            <w:noWrap/>
            <w:vAlign w:val="bottom"/>
            <w:hideMark/>
          </w:tcPr>
          <w:p w:rsidR="00260168" w:rsidRPr="00147B2E" w:rsidRDefault="00260168" w:rsidP="005F4973">
            <w:pPr>
              <w:spacing w:line="240" w:lineRule="auto"/>
              <w:contextualSpacing/>
              <w:jc w:val="right"/>
              <w:rPr>
                <w:rFonts w:ascii="Arial" w:hAnsi="Arial" w:cs="Arial"/>
                <w:color w:val="0070C0"/>
                <w:sz w:val="20"/>
                <w:szCs w:val="20"/>
              </w:rPr>
            </w:pPr>
            <w:r w:rsidRPr="00147B2E">
              <w:rPr>
                <w:rFonts w:ascii="Arial" w:hAnsi="Arial" w:cs="Arial"/>
                <w:color w:val="0070C0"/>
                <w:sz w:val="20"/>
                <w:szCs w:val="20"/>
              </w:rPr>
              <w:t>2</w:t>
            </w:r>
          </w:p>
        </w:tc>
        <w:tc>
          <w:tcPr>
            <w:tcW w:w="1418" w:type="dxa"/>
            <w:tcBorders>
              <w:top w:val="nil"/>
              <w:left w:val="nil"/>
              <w:bottom w:val="single" w:sz="12" w:space="0" w:color="auto"/>
              <w:right w:val="single" w:sz="12" w:space="0" w:color="auto"/>
            </w:tcBorders>
            <w:shd w:val="clear" w:color="auto" w:fill="auto"/>
            <w:noWrap/>
            <w:vAlign w:val="bottom"/>
            <w:hideMark/>
          </w:tcPr>
          <w:p w:rsidR="00260168" w:rsidRPr="00147B2E" w:rsidRDefault="00260168" w:rsidP="005F4973">
            <w:pPr>
              <w:spacing w:line="240" w:lineRule="auto"/>
              <w:contextualSpacing/>
              <w:jc w:val="right"/>
              <w:rPr>
                <w:rFonts w:ascii="Arial" w:hAnsi="Arial" w:cs="Arial"/>
                <w:color w:val="0070C0"/>
                <w:sz w:val="20"/>
                <w:szCs w:val="20"/>
              </w:rPr>
            </w:pPr>
            <w:r w:rsidRPr="00147B2E">
              <w:rPr>
                <w:rFonts w:ascii="Arial" w:hAnsi="Arial" w:cs="Arial"/>
                <w:color w:val="0070C0"/>
                <w:sz w:val="20"/>
                <w:szCs w:val="20"/>
              </w:rPr>
              <w:t xml:space="preserve">            1,281 </w:t>
            </w:r>
          </w:p>
        </w:tc>
      </w:tr>
    </w:tbl>
    <w:p w:rsidR="00C4778B" w:rsidRDefault="00C4778B" w:rsidP="00351EB9">
      <w:pPr>
        <w:rPr>
          <w:rFonts w:ascii="Arial" w:hAnsi="Arial" w:cs="Arial"/>
          <w:b/>
        </w:rPr>
      </w:pPr>
    </w:p>
    <w:p w:rsidR="00C4778B" w:rsidRDefault="00C4778B" w:rsidP="00351EB9">
      <w:pPr>
        <w:rPr>
          <w:rFonts w:ascii="Arial" w:hAnsi="Arial" w:cs="Arial"/>
          <w:b/>
        </w:rPr>
      </w:pPr>
    </w:p>
    <w:p w:rsidR="00C4778B" w:rsidRDefault="00C4778B" w:rsidP="00351EB9">
      <w:pPr>
        <w:rPr>
          <w:rFonts w:ascii="Arial" w:hAnsi="Arial" w:cs="Arial"/>
          <w:b/>
        </w:rPr>
      </w:pPr>
    </w:p>
    <w:p w:rsidR="00C4778B" w:rsidRDefault="00C4778B" w:rsidP="00351EB9">
      <w:pPr>
        <w:rPr>
          <w:rFonts w:ascii="Arial" w:hAnsi="Arial" w:cs="Arial"/>
          <w:b/>
        </w:rPr>
      </w:pPr>
    </w:p>
    <w:p w:rsidR="00C4778B" w:rsidRDefault="00C4778B" w:rsidP="00351EB9">
      <w:pPr>
        <w:rPr>
          <w:rFonts w:ascii="Arial" w:hAnsi="Arial" w:cs="Arial"/>
          <w:b/>
        </w:rPr>
      </w:pPr>
    </w:p>
    <w:p w:rsidR="00C4778B" w:rsidRDefault="00C4778B" w:rsidP="00351EB9">
      <w:pPr>
        <w:rPr>
          <w:rFonts w:ascii="Arial" w:hAnsi="Arial" w:cs="Arial"/>
          <w:b/>
        </w:rPr>
      </w:pPr>
    </w:p>
    <w:p w:rsidR="00C4778B" w:rsidRDefault="00C4778B" w:rsidP="00351EB9">
      <w:pPr>
        <w:rPr>
          <w:rFonts w:ascii="Arial" w:hAnsi="Arial" w:cs="Arial"/>
          <w:b/>
        </w:rPr>
      </w:pPr>
    </w:p>
    <w:p w:rsidR="009E52CF" w:rsidRPr="00147B2E" w:rsidRDefault="009E52CF" w:rsidP="009E52CF">
      <w:pPr>
        <w:rPr>
          <w:rFonts w:ascii="Arial" w:hAnsi="Arial" w:cs="Arial"/>
          <w:i/>
        </w:rPr>
      </w:pPr>
    </w:p>
    <w:p w:rsidR="009E52CF" w:rsidRDefault="009E52CF" w:rsidP="009E52CF">
      <w:pPr>
        <w:rPr>
          <w:rFonts w:ascii="Arial" w:hAnsi="Arial" w:cs="Arial"/>
          <w:b/>
        </w:rPr>
      </w:pPr>
    </w:p>
    <w:p w:rsidR="009E52CF" w:rsidRDefault="009E52CF" w:rsidP="009E52CF">
      <w:pPr>
        <w:rPr>
          <w:rFonts w:ascii="Arial" w:hAnsi="Arial" w:cs="Arial"/>
          <w:b/>
        </w:rPr>
      </w:pPr>
    </w:p>
    <w:p w:rsidR="009E52CF" w:rsidRDefault="009E52CF" w:rsidP="009E52CF">
      <w:pPr>
        <w:rPr>
          <w:rFonts w:ascii="Arial" w:hAnsi="Arial" w:cs="Arial"/>
        </w:rPr>
      </w:pPr>
    </w:p>
    <w:p w:rsidR="009E52CF" w:rsidRDefault="009E52CF" w:rsidP="009E52CF"/>
    <w:p w:rsidR="00351EB9" w:rsidRDefault="00351EB9" w:rsidP="00351EB9">
      <w:pPr>
        <w:rPr>
          <w:rFonts w:ascii="Arial" w:hAnsi="Arial" w:cs="Arial"/>
        </w:rPr>
      </w:pPr>
      <w:r>
        <w:rPr>
          <w:rFonts w:ascii="Arial" w:hAnsi="Arial" w:cs="Arial"/>
        </w:rPr>
        <w:br w:type="page"/>
      </w:r>
    </w:p>
    <w:p w:rsidR="00351EB9" w:rsidRDefault="00351EB9" w:rsidP="00CE7C86">
      <w:pPr>
        <w:pStyle w:val="ListParagraph"/>
        <w:spacing w:after="240"/>
        <w:ind w:left="0"/>
        <w:contextualSpacing w:val="0"/>
        <w:jc w:val="both"/>
        <w:rPr>
          <w:rFonts w:ascii="Arial" w:hAnsi="Arial" w:cs="Arial"/>
        </w:rPr>
      </w:pPr>
    </w:p>
    <w:p w:rsidR="004F45CC" w:rsidRDefault="004F45CC" w:rsidP="00CE7C86">
      <w:pPr>
        <w:pStyle w:val="ListParagraph"/>
        <w:spacing w:after="240"/>
        <w:ind w:left="0"/>
        <w:contextualSpacing w:val="0"/>
        <w:jc w:val="both"/>
        <w:rPr>
          <w:rFonts w:ascii="Arial" w:hAnsi="Arial" w:cs="Arial"/>
        </w:rPr>
      </w:pPr>
    </w:p>
    <w:sectPr w:rsidR="004F45CC" w:rsidSect="000F72F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D7D" w:rsidRDefault="00936D7D" w:rsidP="00C13384">
      <w:pPr>
        <w:spacing w:line="240" w:lineRule="auto"/>
      </w:pPr>
      <w:r>
        <w:separator/>
      </w:r>
    </w:p>
  </w:endnote>
  <w:endnote w:type="continuationSeparator" w:id="0">
    <w:p w:rsidR="00936D7D" w:rsidRDefault="00936D7D" w:rsidP="00C1338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D7D" w:rsidRDefault="00936D7D" w:rsidP="00C13384">
      <w:pPr>
        <w:spacing w:line="240" w:lineRule="auto"/>
      </w:pPr>
      <w:r>
        <w:separator/>
      </w:r>
    </w:p>
  </w:footnote>
  <w:footnote w:type="continuationSeparator" w:id="0">
    <w:p w:rsidR="00936D7D" w:rsidRDefault="00936D7D" w:rsidP="00C13384">
      <w:pPr>
        <w:spacing w:line="240" w:lineRule="auto"/>
      </w:pPr>
      <w:r>
        <w:continuationSeparator/>
      </w:r>
    </w:p>
  </w:footnote>
  <w:footnote w:id="1">
    <w:p w:rsidR="00C13384" w:rsidRPr="00FC11DF" w:rsidRDefault="00C13384" w:rsidP="00C13384">
      <w:pPr>
        <w:spacing w:after="200"/>
        <w:rPr>
          <w:rFonts w:ascii="Arial" w:hAnsi="Arial" w:cs="Arial"/>
          <w:b/>
        </w:rPr>
      </w:pPr>
      <w:r w:rsidRPr="00CC7C2E">
        <w:rPr>
          <w:rStyle w:val="FootnoteReference"/>
          <w:rFonts w:ascii="Arial" w:hAnsi="Arial" w:cs="Arial"/>
        </w:rPr>
        <w:footnoteRef/>
      </w:r>
      <w:r w:rsidRPr="00CC7C2E">
        <w:rPr>
          <w:rFonts w:ascii="Arial" w:hAnsi="Arial" w:cs="Arial"/>
        </w:rPr>
        <w:t xml:space="preserve"> </w:t>
      </w:r>
      <w:hyperlink r:id="rId1" w:history="1">
        <w:r w:rsidRPr="00CC7C2E">
          <w:rPr>
            <w:rStyle w:val="Hyperlink"/>
            <w:rFonts w:ascii="Arial" w:hAnsi="Arial" w:cs="Arial"/>
          </w:rPr>
          <w:t>http://www.gov.scot/Publications/2015/08/7995/downloads</w:t>
        </w:r>
      </w:hyperlink>
    </w:p>
    <w:p w:rsidR="00C13384" w:rsidRDefault="00C13384">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0E1D"/>
    <w:multiLevelType w:val="hybridMultilevel"/>
    <w:tmpl w:val="1930C4BA"/>
    <w:lvl w:ilvl="0" w:tplc="3E2698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246BE0"/>
    <w:multiLevelType w:val="hybridMultilevel"/>
    <w:tmpl w:val="C2E2EAF6"/>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FDA1CEF"/>
    <w:multiLevelType w:val="hybridMultilevel"/>
    <w:tmpl w:val="1688D770"/>
    <w:lvl w:ilvl="0" w:tplc="B926682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1296D3B"/>
    <w:multiLevelType w:val="hybridMultilevel"/>
    <w:tmpl w:val="7B7A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8F5B74"/>
    <w:multiLevelType w:val="hybridMultilevel"/>
    <w:tmpl w:val="D9345640"/>
    <w:lvl w:ilvl="0" w:tplc="85521C8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BDA649F"/>
    <w:multiLevelType w:val="hybridMultilevel"/>
    <w:tmpl w:val="C978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3F7A4F"/>
    <w:multiLevelType w:val="hybridMultilevel"/>
    <w:tmpl w:val="DA6E288C"/>
    <w:lvl w:ilvl="0" w:tplc="CCD6DAB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BAF5F72"/>
    <w:multiLevelType w:val="hybridMultilevel"/>
    <w:tmpl w:val="CB02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31130AF"/>
    <w:multiLevelType w:val="hybridMultilevel"/>
    <w:tmpl w:val="DDEA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3"/>
  </w:num>
  <w:num w:numId="6">
    <w:abstractNumId w:val="8"/>
  </w:num>
  <w:num w:numId="7">
    <w:abstractNumId w:val="0"/>
  </w:num>
  <w:num w:numId="8">
    <w:abstractNumId w:val="2"/>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rdon Elliot">
    <w15:presenceInfo w15:providerId="Windows Live" w15:userId="75e6b0ae6306e72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rsids>
    <w:rsidRoot w:val="004617DE"/>
    <w:rsid w:val="000068E7"/>
    <w:rsid w:val="00007D6B"/>
    <w:rsid w:val="0002060F"/>
    <w:rsid w:val="00021A3E"/>
    <w:rsid w:val="00034DC0"/>
    <w:rsid w:val="00042C77"/>
    <w:rsid w:val="00050D36"/>
    <w:rsid w:val="0005723C"/>
    <w:rsid w:val="0006546C"/>
    <w:rsid w:val="00067673"/>
    <w:rsid w:val="00070D35"/>
    <w:rsid w:val="00071F7E"/>
    <w:rsid w:val="00072433"/>
    <w:rsid w:val="000A3656"/>
    <w:rsid w:val="000A7271"/>
    <w:rsid w:val="000B4BC7"/>
    <w:rsid w:val="000B5499"/>
    <w:rsid w:val="000D61BD"/>
    <w:rsid w:val="000D6A3E"/>
    <w:rsid w:val="000F3D9C"/>
    <w:rsid w:val="000F72F8"/>
    <w:rsid w:val="00122096"/>
    <w:rsid w:val="00124D4E"/>
    <w:rsid w:val="00126032"/>
    <w:rsid w:val="00136793"/>
    <w:rsid w:val="0014721C"/>
    <w:rsid w:val="001506AC"/>
    <w:rsid w:val="00161545"/>
    <w:rsid w:val="00164A2C"/>
    <w:rsid w:val="001712CF"/>
    <w:rsid w:val="0017330D"/>
    <w:rsid w:val="00182E8E"/>
    <w:rsid w:val="001A145E"/>
    <w:rsid w:val="001A2B55"/>
    <w:rsid w:val="001A5BD6"/>
    <w:rsid w:val="001A70A4"/>
    <w:rsid w:val="001B4B4C"/>
    <w:rsid w:val="001B6005"/>
    <w:rsid w:val="001B6E6D"/>
    <w:rsid w:val="001C5CB0"/>
    <w:rsid w:val="00222E28"/>
    <w:rsid w:val="002367FF"/>
    <w:rsid w:val="00236FCB"/>
    <w:rsid w:val="00245D6C"/>
    <w:rsid w:val="002519F6"/>
    <w:rsid w:val="002544A2"/>
    <w:rsid w:val="00260168"/>
    <w:rsid w:val="002610BB"/>
    <w:rsid w:val="00276CA1"/>
    <w:rsid w:val="002A353D"/>
    <w:rsid w:val="002B099C"/>
    <w:rsid w:val="002D7DE2"/>
    <w:rsid w:val="0030065C"/>
    <w:rsid w:val="0030110A"/>
    <w:rsid w:val="00302930"/>
    <w:rsid w:val="003046DB"/>
    <w:rsid w:val="003071F8"/>
    <w:rsid w:val="00312902"/>
    <w:rsid w:val="00315FA1"/>
    <w:rsid w:val="00322335"/>
    <w:rsid w:val="003325FE"/>
    <w:rsid w:val="003412AE"/>
    <w:rsid w:val="00351EB9"/>
    <w:rsid w:val="00360E45"/>
    <w:rsid w:val="00390EBD"/>
    <w:rsid w:val="00393D3E"/>
    <w:rsid w:val="00394DF2"/>
    <w:rsid w:val="00397128"/>
    <w:rsid w:val="003A2AF8"/>
    <w:rsid w:val="003A5F34"/>
    <w:rsid w:val="003B06EB"/>
    <w:rsid w:val="003B4498"/>
    <w:rsid w:val="003B63B1"/>
    <w:rsid w:val="003C0E09"/>
    <w:rsid w:val="003C6912"/>
    <w:rsid w:val="003D20CB"/>
    <w:rsid w:val="003D228F"/>
    <w:rsid w:val="003E1ED0"/>
    <w:rsid w:val="003E5119"/>
    <w:rsid w:val="003F2EB8"/>
    <w:rsid w:val="00412B7B"/>
    <w:rsid w:val="004164C1"/>
    <w:rsid w:val="00423C0E"/>
    <w:rsid w:val="00431B31"/>
    <w:rsid w:val="00431B53"/>
    <w:rsid w:val="0044732D"/>
    <w:rsid w:val="0045390C"/>
    <w:rsid w:val="00460AAE"/>
    <w:rsid w:val="004617DE"/>
    <w:rsid w:val="0046382F"/>
    <w:rsid w:val="004826F0"/>
    <w:rsid w:val="0048348C"/>
    <w:rsid w:val="0049633E"/>
    <w:rsid w:val="004B0281"/>
    <w:rsid w:val="004B0511"/>
    <w:rsid w:val="004B6B97"/>
    <w:rsid w:val="004C2C6B"/>
    <w:rsid w:val="004E2246"/>
    <w:rsid w:val="004E4483"/>
    <w:rsid w:val="004F0C9D"/>
    <w:rsid w:val="004F45CC"/>
    <w:rsid w:val="004F7637"/>
    <w:rsid w:val="00505778"/>
    <w:rsid w:val="0051464B"/>
    <w:rsid w:val="00517DF6"/>
    <w:rsid w:val="00525713"/>
    <w:rsid w:val="005279B6"/>
    <w:rsid w:val="0053007B"/>
    <w:rsid w:val="00536134"/>
    <w:rsid w:val="005361F2"/>
    <w:rsid w:val="00537501"/>
    <w:rsid w:val="00545D51"/>
    <w:rsid w:val="00550421"/>
    <w:rsid w:val="00550EFF"/>
    <w:rsid w:val="00556C25"/>
    <w:rsid w:val="00570E82"/>
    <w:rsid w:val="00586038"/>
    <w:rsid w:val="005A6DF2"/>
    <w:rsid w:val="005B1918"/>
    <w:rsid w:val="005D03DE"/>
    <w:rsid w:val="005D7E45"/>
    <w:rsid w:val="005F4973"/>
    <w:rsid w:val="005F733F"/>
    <w:rsid w:val="005F7742"/>
    <w:rsid w:val="006107D1"/>
    <w:rsid w:val="0063355E"/>
    <w:rsid w:val="00633D2E"/>
    <w:rsid w:val="00640EF7"/>
    <w:rsid w:val="00646C79"/>
    <w:rsid w:val="0065689D"/>
    <w:rsid w:val="0066129C"/>
    <w:rsid w:val="00664F8F"/>
    <w:rsid w:val="00673E8D"/>
    <w:rsid w:val="00674E6A"/>
    <w:rsid w:val="00684247"/>
    <w:rsid w:val="006843BD"/>
    <w:rsid w:val="006A2622"/>
    <w:rsid w:val="006A2940"/>
    <w:rsid w:val="006C3B32"/>
    <w:rsid w:val="006D6504"/>
    <w:rsid w:val="006E4316"/>
    <w:rsid w:val="006E575B"/>
    <w:rsid w:val="00700088"/>
    <w:rsid w:val="007018C8"/>
    <w:rsid w:val="0071146E"/>
    <w:rsid w:val="007277A9"/>
    <w:rsid w:val="00741C8D"/>
    <w:rsid w:val="00754B65"/>
    <w:rsid w:val="007672C5"/>
    <w:rsid w:val="00783AE3"/>
    <w:rsid w:val="007877F1"/>
    <w:rsid w:val="007A1DE9"/>
    <w:rsid w:val="007A69FE"/>
    <w:rsid w:val="007B197A"/>
    <w:rsid w:val="007B2503"/>
    <w:rsid w:val="007B6B40"/>
    <w:rsid w:val="007C1DC2"/>
    <w:rsid w:val="007C4331"/>
    <w:rsid w:val="007C4CF4"/>
    <w:rsid w:val="007D4BF4"/>
    <w:rsid w:val="007F04E9"/>
    <w:rsid w:val="007F1288"/>
    <w:rsid w:val="00805B97"/>
    <w:rsid w:val="008073F0"/>
    <w:rsid w:val="00815401"/>
    <w:rsid w:val="00825C62"/>
    <w:rsid w:val="00830E79"/>
    <w:rsid w:val="00831571"/>
    <w:rsid w:val="008502CE"/>
    <w:rsid w:val="00873C4C"/>
    <w:rsid w:val="00876650"/>
    <w:rsid w:val="008B734E"/>
    <w:rsid w:val="008D0840"/>
    <w:rsid w:val="008D2B71"/>
    <w:rsid w:val="008E6661"/>
    <w:rsid w:val="008F2A04"/>
    <w:rsid w:val="008F3966"/>
    <w:rsid w:val="00913938"/>
    <w:rsid w:val="00914624"/>
    <w:rsid w:val="00922B84"/>
    <w:rsid w:val="00934B8B"/>
    <w:rsid w:val="00936D7D"/>
    <w:rsid w:val="00941B51"/>
    <w:rsid w:val="00945298"/>
    <w:rsid w:val="00954687"/>
    <w:rsid w:val="00956033"/>
    <w:rsid w:val="0095685D"/>
    <w:rsid w:val="009813E9"/>
    <w:rsid w:val="00982F5D"/>
    <w:rsid w:val="009833DE"/>
    <w:rsid w:val="00983695"/>
    <w:rsid w:val="0098679E"/>
    <w:rsid w:val="00993437"/>
    <w:rsid w:val="00994509"/>
    <w:rsid w:val="0099738E"/>
    <w:rsid w:val="009A55AB"/>
    <w:rsid w:val="009A5D50"/>
    <w:rsid w:val="009A6235"/>
    <w:rsid w:val="009B129F"/>
    <w:rsid w:val="009B4191"/>
    <w:rsid w:val="009B69C2"/>
    <w:rsid w:val="009D02AB"/>
    <w:rsid w:val="009D117A"/>
    <w:rsid w:val="009D3AC0"/>
    <w:rsid w:val="009E52CF"/>
    <w:rsid w:val="00A037B8"/>
    <w:rsid w:val="00A03B7D"/>
    <w:rsid w:val="00A13F0B"/>
    <w:rsid w:val="00A17D17"/>
    <w:rsid w:val="00A25AC9"/>
    <w:rsid w:val="00A51025"/>
    <w:rsid w:val="00A525CD"/>
    <w:rsid w:val="00A614E1"/>
    <w:rsid w:val="00A80512"/>
    <w:rsid w:val="00A843EA"/>
    <w:rsid w:val="00A97AF5"/>
    <w:rsid w:val="00AA0C3C"/>
    <w:rsid w:val="00AA6372"/>
    <w:rsid w:val="00AC2328"/>
    <w:rsid w:val="00AC38D0"/>
    <w:rsid w:val="00AC7309"/>
    <w:rsid w:val="00AF05E1"/>
    <w:rsid w:val="00B00E07"/>
    <w:rsid w:val="00B10E58"/>
    <w:rsid w:val="00B13858"/>
    <w:rsid w:val="00B162BC"/>
    <w:rsid w:val="00B25A5A"/>
    <w:rsid w:val="00B26ADC"/>
    <w:rsid w:val="00B34786"/>
    <w:rsid w:val="00B35F29"/>
    <w:rsid w:val="00B40C0F"/>
    <w:rsid w:val="00B4381D"/>
    <w:rsid w:val="00B57BF9"/>
    <w:rsid w:val="00B62DBE"/>
    <w:rsid w:val="00B655B3"/>
    <w:rsid w:val="00B66DEF"/>
    <w:rsid w:val="00B713B2"/>
    <w:rsid w:val="00B71C05"/>
    <w:rsid w:val="00B75304"/>
    <w:rsid w:val="00B76833"/>
    <w:rsid w:val="00B93D7E"/>
    <w:rsid w:val="00BB0782"/>
    <w:rsid w:val="00BB523E"/>
    <w:rsid w:val="00BC02C8"/>
    <w:rsid w:val="00BD221C"/>
    <w:rsid w:val="00BE729D"/>
    <w:rsid w:val="00BF5803"/>
    <w:rsid w:val="00BF72F6"/>
    <w:rsid w:val="00C03C7A"/>
    <w:rsid w:val="00C044D6"/>
    <w:rsid w:val="00C13384"/>
    <w:rsid w:val="00C2321C"/>
    <w:rsid w:val="00C40AE6"/>
    <w:rsid w:val="00C4737C"/>
    <w:rsid w:val="00C4778B"/>
    <w:rsid w:val="00C47FE5"/>
    <w:rsid w:val="00C6134C"/>
    <w:rsid w:val="00C73B2C"/>
    <w:rsid w:val="00C73DC1"/>
    <w:rsid w:val="00C8202E"/>
    <w:rsid w:val="00C82D9E"/>
    <w:rsid w:val="00C90D18"/>
    <w:rsid w:val="00C9107D"/>
    <w:rsid w:val="00C93D80"/>
    <w:rsid w:val="00C962F5"/>
    <w:rsid w:val="00C97A49"/>
    <w:rsid w:val="00CA55C5"/>
    <w:rsid w:val="00CA7817"/>
    <w:rsid w:val="00CB1BB3"/>
    <w:rsid w:val="00CC6BFC"/>
    <w:rsid w:val="00CE0353"/>
    <w:rsid w:val="00CE27D9"/>
    <w:rsid w:val="00CE7C86"/>
    <w:rsid w:val="00CF3B9B"/>
    <w:rsid w:val="00CF4BE5"/>
    <w:rsid w:val="00CF5871"/>
    <w:rsid w:val="00CF79B9"/>
    <w:rsid w:val="00D01D1E"/>
    <w:rsid w:val="00D37FC7"/>
    <w:rsid w:val="00D555C4"/>
    <w:rsid w:val="00D56645"/>
    <w:rsid w:val="00D61D4A"/>
    <w:rsid w:val="00D62103"/>
    <w:rsid w:val="00D65348"/>
    <w:rsid w:val="00D7216E"/>
    <w:rsid w:val="00D73F05"/>
    <w:rsid w:val="00D80175"/>
    <w:rsid w:val="00D804B8"/>
    <w:rsid w:val="00D8659F"/>
    <w:rsid w:val="00D92BDF"/>
    <w:rsid w:val="00DA0FA8"/>
    <w:rsid w:val="00DA294E"/>
    <w:rsid w:val="00DA3532"/>
    <w:rsid w:val="00DB5DBA"/>
    <w:rsid w:val="00DC5477"/>
    <w:rsid w:val="00DD69C8"/>
    <w:rsid w:val="00DE0160"/>
    <w:rsid w:val="00DE5DAC"/>
    <w:rsid w:val="00DE7BDE"/>
    <w:rsid w:val="00E14C96"/>
    <w:rsid w:val="00E168A8"/>
    <w:rsid w:val="00E2542A"/>
    <w:rsid w:val="00E278CF"/>
    <w:rsid w:val="00E376E1"/>
    <w:rsid w:val="00E433D5"/>
    <w:rsid w:val="00E64CE5"/>
    <w:rsid w:val="00E70DB5"/>
    <w:rsid w:val="00EB5289"/>
    <w:rsid w:val="00ED4E12"/>
    <w:rsid w:val="00EE0071"/>
    <w:rsid w:val="00EE2EA0"/>
    <w:rsid w:val="00EE3E4D"/>
    <w:rsid w:val="00EE4B51"/>
    <w:rsid w:val="00EF4180"/>
    <w:rsid w:val="00EF5BBF"/>
    <w:rsid w:val="00EF6081"/>
    <w:rsid w:val="00EF7FE7"/>
    <w:rsid w:val="00F114EC"/>
    <w:rsid w:val="00F1796D"/>
    <w:rsid w:val="00F208B3"/>
    <w:rsid w:val="00F20CF0"/>
    <w:rsid w:val="00F409AE"/>
    <w:rsid w:val="00F42630"/>
    <w:rsid w:val="00F42E86"/>
    <w:rsid w:val="00F66F89"/>
    <w:rsid w:val="00F706B4"/>
    <w:rsid w:val="00F71F58"/>
    <w:rsid w:val="00F74D1B"/>
    <w:rsid w:val="00F7585C"/>
    <w:rsid w:val="00F811C0"/>
    <w:rsid w:val="00F91A70"/>
    <w:rsid w:val="00FA2EAC"/>
    <w:rsid w:val="00FC09D3"/>
    <w:rsid w:val="00FC11DF"/>
    <w:rsid w:val="00FE764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7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817"/>
    <w:pPr>
      <w:ind w:left="720"/>
      <w:contextualSpacing/>
    </w:pPr>
  </w:style>
  <w:style w:type="character" w:styleId="CommentReference">
    <w:name w:val="annotation reference"/>
    <w:basedOn w:val="DefaultParagraphFont"/>
    <w:uiPriority w:val="99"/>
    <w:semiHidden/>
    <w:unhideWhenUsed/>
    <w:rsid w:val="007B2503"/>
    <w:rPr>
      <w:sz w:val="16"/>
      <w:szCs w:val="16"/>
    </w:rPr>
  </w:style>
  <w:style w:type="paragraph" w:styleId="CommentText">
    <w:name w:val="annotation text"/>
    <w:basedOn w:val="Normal"/>
    <w:link w:val="CommentTextChar"/>
    <w:uiPriority w:val="99"/>
    <w:semiHidden/>
    <w:unhideWhenUsed/>
    <w:rsid w:val="007B2503"/>
    <w:pPr>
      <w:spacing w:line="240" w:lineRule="auto"/>
    </w:pPr>
    <w:rPr>
      <w:sz w:val="20"/>
      <w:szCs w:val="20"/>
    </w:rPr>
  </w:style>
  <w:style w:type="character" w:customStyle="1" w:styleId="CommentTextChar">
    <w:name w:val="Comment Text Char"/>
    <w:basedOn w:val="DefaultParagraphFont"/>
    <w:link w:val="CommentText"/>
    <w:uiPriority w:val="99"/>
    <w:semiHidden/>
    <w:rsid w:val="007B2503"/>
    <w:rPr>
      <w:sz w:val="20"/>
      <w:szCs w:val="20"/>
    </w:rPr>
  </w:style>
  <w:style w:type="paragraph" w:styleId="CommentSubject">
    <w:name w:val="annotation subject"/>
    <w:basedOn w:val="CommentText"/>
    <w:next w:val="CommentText"/>
    <w:link w:val="CommentSubjectChar"/>
    <w:uiPriority w:val="99"/>
    <w:semiHidden/>
    <w:unhideWhenUsed/>
    <w:rsid w:val="007B2503"/>
    <w:rPr>
      <w:b/>
      <w:bCs/>
    </w:rPr>
  </w:style>
  <w:style w:type="character" w:customStyle="1" w:styleId="CommentSubjectChar">
    <w:name w:val="Comment Subject Char"/>
    <w:basedOn w:val="CommentTextChar"/>
    <w:link w:val="CommentSubject"/>
    <w:uiPriority w:val="99"/>
    <w:semiHidden/>
    <w:rsid w:val="007B2503"/>
    <w:rPr>
      <w:b/>
      <w:bCs/>
      <w:sz w:val="20"/>
      <w:szCs w:val="20"/>
    </w:rPr>
  </w:style>
  <w:style w:type="paragraph" w:styleId="BalloonText">
    <w:name w:val="Balloon Text"/>
    <w:basedOn w:val="Normal"/>
    <w:link w:val="BalloonTextChar"/>
    <w:uiPriority w:val="99"/>
    <w:semiHidden/>
    <w:unhideWhenUsed/>
    <w:rsid w:val="007B25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503"/>
    <w:rPr>
      <w:rFonts w:ascii="Tahoma" w:hAnsi="Tahoma" w:cs="Tahoma"/>
      <w:sz w:val="16"/>
      <w:szCs w:val="16"/>
    </w:rPr>
  </w:style>
  <w:style w:type="character" w:styleId="FootnoteReference">
    <w:name w:val="footnote reference"/>
    <w:basedOn w:val="DefaultParagraphFont"/>
    <w:uiPriority w:val="99"/>
    <w:semiHidden/>
    <w:unhideWhenUsed/>
    <w:rsid w:val="00C13384"/>
    <w:rPr>
      <w:vertAlign w:val="superscript"/>
    </w:rPr>
  </w:style>
  <w:style w:type="character" w:styleId="Hyperlink">
    <w:name w:val="Hyperlink"/>
    <w:basedOn w:val="DefaultParagraphFont"/>
    <w:uiPriority w:val="99"/>
    <w:unhideWhenUsed/>
    <w:rsid w:val="00C13384"/>
    <w:rPr>
      <w:color w:val="0000FF" w:themeColor="hyperlink"/>
      <w:u w:val="single"/>
    </w:rPr>
  </w:style>
  <w:style w:type="paragraph" w:styleId="EndnoteText">
    <w:name w:val="endnote text"/>
    <w:basedOn w:val="Normal"/>
    <w:link w:val="EndnoteTextChar"/>
    <w:uiPriority w:val="99"/>
    <w:semiHidden/>
    <w:unhideWhenUsed/>
    <w:rsid w:val="00C13384"/>
    <w:pPr>
      <w:spacing w:line="240" w:lineRule="auto"/>
    </w:pPr>
    <w:rPr>
      <w:sz w:val="20"/>
      <w:szCs w:val="20"/>
    </w:rPr>
  </w:style>
  <w:style w:type="character" w:customStyle="1" w:styleId="EndnoteTextChar">
    <w:name w:val="Endnote Text Char"/>
    <w:basedOn w:val="DefaultParagraphFont"/>
    <w:link w:val="EndnoteText"/>
    <w:uiPriority w:val="99"/>
    <w:semiHidden/>
    <w:rsid w:val="00C13384"/>
    <w:rPr>
      <w:sz w:val="20"/>
      <w:szCs w:val="20"/>
    </w:rPr>
  </w:style>
  <w:style w:type="character" w:styleId="EndnoteReference">
    <w:name w:val="endnote reference"/>
    <w:basedOn w:val="DefaultParagraphFont"/>
    <w:uiPriority w:val="99"/>
    <w:semiHidden/>
    <w:unhideWhenUsed/>
    <w:rsid w:val="00C13384"/>
    <w:rPr>
      <w:vertAlign w:val="superscript"/>
    </w:rPr>
  </w:style>
  <w:style w:type="paragraph" w:styleId="FootnoteText">
    <w:name w:val="footnote text"/>
    <w:basedOn w:val="Normal"/>
    <w:link w:val="FootnoteTextChar"/>
    <w:uiPriority w:val="99"/>
    <w:semiHidden/>
    <w:unhideWhenUsed/>
    <w:rsid w:val="00C13384"/>
    <w:pPr>
      <w:spacing w:line="240" w:lineRule="auto"/>
    </w:pPr>
    <w:rPr>
      <w:sz w:val="20"/>
      <w:szCs w:val="20"/>
    </w:rPr>
  </w:style>
  <w:style w:type="character" w:customStyle="1" w:styleId="FootnoteTextChar">
    <w:name w:val="Footnote Text Char"/>
    <w:basedOn w:val="DefaultParagraphFont"/>
    <w:link w:val="FootnoteText"/>
    <w:uiPriority w:val="99"/>
    <w:semiHidden/>
    <w:rsid w:val="00C13384"/>
    <w:rPr>
      <w:sz w:val="20"/>
      <w:szCs w:val="20"/>
    </w:rPr>
  </w:style>
</w:styles>
</file>

<file path=word/webSettings.xml><?xml version="1.0" encoding="utf-8"?>
<w:webSettings xmlns:r="http://schemas.openxmlformats.org/officeDocument/2006/relationships" xmlns:w="http://schemas.openxmlformats.org/wordprocessingml/2006/main">
  <w:divs>
    <w:div w:id="204270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gov.scot/Publications/2015/08/7995/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91D10A-DDB5-4CFE-9ECD-DEBA61FAF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lynnej01</dc:creator>
  <cp:lastModifiedBy>lynnej01</cp:lastModifiedBy>
  <cp:revision>3</cp:revision>
  <cp:lastPrinted>2016-06-09T15:55:00Z</cp:lastPrinted>
  <dcterms:created xsi:type="dcterms:W3CDTF">2016-06-14T13:14:00Z</dcterms:created>
  <dcterms:modified xsi:type="dcterms:W3CDTF">2016-06-15T07:54:00Z</dcterms:modified>
</cp:coreProperties>
</file>