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8" w:rsidRPr="008B1DC0" w:rsidRDefault="00E97AA8" w:rsidP="00E97AA8">
      <w:pPr>
        <w:rPr>
          <w:rFonts w:ascii="Arial" w:hAnsi="Arial" w:cs="Arial"/>
          <w:b/>
        </w:rPr>
      </w:pPr>
      <w:r w:rsidRPr="008B1DC0">
        <w:rPr>
          <w:rFonts w:ascii="Arial" w:hAnsi="Arial" w:cs="Arial"/>
          <w:b/>
        </w:rPr>
        <w:t>TAGRA ACUTE MLC SUBGROUP</w:t>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Pr="008B1DC0">
        <w:rPr>
          <w:rFonts w:ascii="Arial" w:hAnsi="Arial" w:cs="Arial"/>
          <w:b/>
        </w:rPr>
        <w:tab/>
      </w:r>
      <w:r w:rsidR="001A4776">
        <w:rPr>
          <w:rFonts w:ascii="Arial" w:hAnsi="Arial" w:cs="Arial"/>
          <w:b/>
        </w:rPr>
        <w:t>Thursday 21</w:t>
      </w:r>
      <w:r w:rsidR="001A4776" w:rsidRPr="001A4776">
        <w:rPr>
          <w:rFonts w:ascii="Arial" w:hAnsi="Arial" w:cs="Arial"/>
          <w:b/>
          <w:vertAlign w:val="superscript"/>
        </w:rPr>
        <w:t>st</w:t>
      </w:r>
      <w:r w:rsidR="001A4776">
        <w:rPr>
          <w:rFonts w:ascii="Arial" w:hAnsi="Arial" w:cs="Arial"/>
          <w:b/>
        </w:rPr>
        <w:t xml:space="preserve"> July 2016</w:t>
      </w:r>
    </w:p>
    <w:p w:rsidR="00E97AA8" w:rsidRDefault="00E97AA8" w:rsidP="00E97AA8">
      <w:pPr>
        <w:rPr>
          <w:rFonts w:ascii="Arial" w:hAnsi="Arial" w:cs="Arial"/>
          <w:b/>
        </w:rPr>
      </w:pPr>
      <w:r>
        <w:rPr>
          <w:rFonts w:ascii="Arial" w:hAnsi="Arial" w:cs="Arial"/>
          <w:b/>
        </w:rPr>
        <w:t>UNMET NEED ANALYSIS FOR NEW ACUTE MLC MODEL</w:t>
      </w:r>
      <w:r w:rsidR="001A4776">
        <w:rPr>
          <w:rFonts w:ascii="Arial" w:hAnsi="Arial" w:cs="Arial"/>
          <w:b/>
        </w:rPr>
        <w:t xml:space="preserve"> PART 2</w:t>
      </w:r>
    </w:p>
    <w:p w:rsidR="00E97AA8" w:rsidRPr="008B1DC0" w:rsidRDefault="00E97AA8" w:rsidP="00E97AA8">
      <w:pPr>
        <w:rPr>
          <w:rFonts w:ascii="Arial" w:hAnsi="Arial" w:cs="Arial"/>
          <w:b/>
        </w:rPr>
      </w:pPr>
    </w:p>
    <w:p w:rsidR="00E97AA8" w:rsidRDefault="00E97AA8" w:rsidP="00E97AA8">
      <w:pPr>
        <w:rPr>
          <w:rFonts w:ascii="Arial" w:hAnsi="Arial" w:cs="Arial"/>
          <w:b/>
        </w:rPr>
      </w:pPr>
      <w:r>
        <w:rPr>
          <w:rFonts w:ascii="Arial" w:hAnsi="Arial" w:cs="Arial"/>
          <w:b/>
        </w:rPr>
        <w:t xml:space="preserve">1. </w:t>
      </w:r>
      <w:r w:rsidRPr="008B1DC0">
        <w:rPr>
          <w:rFonts w:ascii="Arial" w:hAnsi="Arial" w:cs="Arial"/>
          <w:b/>
        </w:rPr>
        <w:t>Background</w:t>
      </w:r>
      <w:r>
        <w:rPr>
          <w:rFonts w:ascii="Arial" w:hAnsi="Arial" w:cs="Arial"/>
          <w:b/>
        </w:rPr>
        <w:t xml:space="preserve"> and Summary</w:t>
      </w:r>
    </w:p>
    <w:p w:rsidR="006C77E0" w:rsidRDefault="00C91E55" w:rsidP="001A4776">
      <w:pPr>
        <w:pStyle w:val="ListParagraph"/>
        <w:spacing w:after="200" w:line="276" w:lineRule="auto"/>
        <w:ind w:left="0"/>
        <w:contextualSpacing w:val="0"/>
        <w:rPr>
          <w:rFonts w:cs="Arial"/>
          <w:sz w:val="22"/>
          <w:szCs w:val="22"/>
        </w:rPr>
      </w:pPr>
      <w:r>
        <w:rPr>
          <w:rFonts w:cs="Arial"/>
          <w:sz w:val="22"/>
          <w:szCs w:val="22"/>
        </w:rPr>
        <w:t>At</w:t>
      </w:r>
      <w:r w:rsidR="00B92CC4">
        <w:rPr>
          <w:rFonts w:cs="Arial"/>
          <w:sz w:val="22"/>
          <w:szCs w:val="22"/>
        </w:rPr>
        <w:t xml:space="preserve"> the </w:t>
      </w:r>
      <w:r w:rsidR="001A4776">
        <w:rPr>
          <w:rFonts w:cs="Arial"/>
          <w:sz w:val="22"/>
          <w:szCs w:val="22"/>
        </w:rPr>
        <w:t xml:space="preserve">June </w:t>
      </w:r>
      <w:r w:rsidR="00B92CC4">
        <w:rPr>
          <w:rFonts w:cs="Arial"/>
          <w:sz w:val="22"/>
          <w:szCs w:val="22"/>
        </w:rPr>
        <w:t xml:space="preserve">2016 </w:t>
      </w:r>
      <w:r w:rsidR="00B92CC4" w:rsidRPr="00A144DF">
        <w:rPr>
          <w:rFonts w:cs="Arial"/>
          <w:sz w:val="22"/>
          <w:szCs w:val="22"/>
        </w:rPr>
        <w:t xml:space="preserve">Acute MLC </w:t>
      </w:r>
      <w:r>
        <w:rPr>
          <w:rFonts w:cs="Arial"/>
          <w:sz w:val="22"/>
          <w:szCs w:val="22"/>
        </w:rPr>
        <w:t xml:space="preserve">meeting, </w:t>
      </w:r>
      <w:r w:rsidR="006C77E0">
        <w:rPr>
          <w:rFonts w:cs="Arial"/>
          <w:sz w:val="22"/>
          <w:szCs w:val="22"/>
        </w:rPr>
        <w:t xml:space="preserve">results were presented from </w:t>
      </w:r>
      <w:r w:rsidR="00041189">
        <w:rPr>
          <w:rFonts w:cs="Arial"/>
          <w:sz w:val="22"/>
          <w:szCs w:val="22"/>
        </w:rPr>
        <w:t xml:space="preserve">the </w:t>
      </w:r>
      <w:r w:rsidR="006C77E0">
        <w:rPr>
          <w:rFonts w:cs="Arial"/>
          <w:sz w:val="22"/>
          <w:szCs w:val="22"/>
        </w:rPr>
        <w:t>unmet need</w:t>
      </w:r>
      <w:r w:rsidR="00041189">
        <w:rPr>
          <w:rFonts w:cs="Arial"/>
          <w:sz w:val="22"/>
          <w:szCs w:val="22"/>
        </w:rPr>
        <w:t xml:space="preserve"> analysis</w:t>
      </w:r>
      <w:r w:rsidR="00215DEE">
        <w:rPr>
          <w:rFonts w:cs="Arial"/>
          <w:sz w:val="22"/>
          <w:szCs w:val="22"/>
        </w:rPr>
        <w:t xml:space="preserve"> (paper TAMLC55)</w:t>
      </w:r>
      <w:r w:rsidR="006C77E0">
        <w:rPr>
          <w:rFonts w:cs="Arial"/>
          <w:sz w:val="22"/>
          <w:szCs w:val="22"/>
        </w:rPr>
        <w:t xml:space="preserve">. </w:t>
      </w:r>
      <w:r w:rsidR="00041189">
        <w:rPr>
          <w:rFonts w:cs="Arial"/>
          <w:sz w:val="22"/>
          <w:szCs w:val="22"/>
        </w:rPr>
        <w:t xml:space="preserve">Shortfall </w:t>
      </w:r>
      <w:r w:rsidR="006C77E0">
        <w:rPr>
          <w:rFonts w:cs="Arial"/>
          <w:sz w:val="22"/>
          <w:szCs w:val="22"/>
        </w:rPr>
        <w:t xml:space="preserve">methods </w:t>
      </w:r>
      <w:r w:rsidR="00041189">
        <w:rPr>
          <w:rFonts w:cs="Arial"/>
          <w:sz w:val="22"/>
          <w:szCs w:val="22"/>
        </w:rPr>
        <w:t xml:space="preserve">were used to </w:t>
      </w:r>
      <w:r w:rsidR="00174C42">
        <w:rPr>
          <w:rFonts w:cs="Arial"/>
          <w:sz w:val="22"/>
          <w:szCs w:val="22"/>
        </w:rPr>
        <w:t>look for differences in</w:t>
      </w:r>
      <w:r w:rsidR="006C77E0">
        <w:rPr>
          <w:rFonts w:cs="Arial"/>
          <w:sz w:val="22"/>
          <w:szCs w:val="22"/>
        </w:rPr>
        <w:t xml:space="preserve"> the relationship between utilisation of services and the new Acute needs index (which comprises the limiting long-term illness ratio and the all-cause standardised mortality ratio for ages 0-74)</w:t>
      </w:r>
      <w:r w:rsidR="00174C42">
        <w:rPr>
          <w:rFonts w:cs="Arial"/>
          <w:sz w:val="22"/>
          <w:szCs w:val="22"/>
        </w:rPr>
        <w:t xml:space="preserve"> for neighbourhoods sharing a particular characteristic of interest, as compared to the rest of the country</w:t>
      </w:r>
      <w:r w:rsidR="006C77E0">
        <w:rPr>
          <w:rFonts w:cs="Arial"/>
          <w:sz w:val="22"/>
          <w:szCs w:val="22"/>
        </w:rPr>
        <w:t xml:space="preserve">. </w:t>
      </w:r>
      <w:r w:rsidR="00174C42">
        <w:rPr>
          <w:rFonts w:cs="Arial"/>
          <w:sz w:val="22"/>
          <w:szCs w:val="22"/>
        </w:rPr>
        <w:t xml:space="preserve">In particular, </w:t>
      </w:r>
      <w:r w:rsidR="00041189">
        <w:rPr>
          <w:rFonts w:cs="Arial"/>
          <w:sz w:val="22"/>
          <w:szCs w:val="22"/>
        </w:rPr>
        <w:t>the analysis</w:t>
      </w:r>
      <w:r w:rsidR="00174C42">
        <w:rPr>
          <w:rFonts w:cs="Arial"/>
          <w:sz w:val="22"/>
          <w:szCs w:val="22"/>
        </w:rPr>
        <w:t xml:space="preserve"> look</w:t>
      </w:r>
      <w:r w:rsidR="00041189">
        <w:rPr>
          <w:rFonts w:cs="Arial"/>
          <w:sz w:val="22"/>
          <w:szCs w:val="22"/>
        </w:rPr>
        <w:t>ed</w:t>
      </w:r>
      <w:r w:rsidR="00174C42">
        <w:rPr>
          <w:rFonts w:cs="Arial"/>
          <w:sz w:val="22"/>
          <w:szCs w:val="22"/>
        </w:rPr>
        <w:t xml:space="preserve"> for evidence of</w:t>
      </w:r>
      <w:r w:rsidR="00B83EC0">
        <w:rPr>
          <w:rFonts w:cs="Arial"/>
          <w:sz w:val="22"/>
          <w:szCs w:val="22"/>
        </w:rPr>
        <w:t xml:space="preserve"> a shortfall in the use of services </w:t>
      </w:r>
      <w:r w:rsidR="00041189">
        <w:rPr>
          <w:rFonts w:cs="Arial"/>
          <w:sz w:val="22"/>
          <w:szCs w:val="22"/>
        </w:rPr>
        <w:t xml:space="preserve">in </w:t>
      </w:r>
      <w:r w:rsidR="00B83EC0">
        <w:rPr>
          <w:rFonts w:cs="Arial"/>
          <w:sz w:val="22"/>
          <w:szCs w:val="22"/>
        </w:rPr>
        <w:t>th</w:t>
      </w:r>
      <w:r w:rsidR="00041189">
        <w:rPr>
          <w:rFonts w:cs="Arial"/>
          <w:sz w:val="22"/>
          <w:szCs w:val="22"/>
        </w:rPr>
        <w:t xml:space="preserve">e areas with the highest needs index values, the most urban areas, the most rural areas, and the areas with the largest proportions of their population belonging to particular ethnic groups identified as having higher healthcare needs. </w:t>
      </w:r>
    </w:p>
    <w:p w:rsidR="00C91E55" w:rsidRDefault="006C77E0" w:rsidP="001A4776">
      <w:pPr>
        <w:pStyle w:val="ListParagraph"/>
        <w:spacing w:after="200" w:line="276" w:lineRule="auto"/>
        <w:ind w:left="0"/>
        <w:contextualSpacing w:val="0"/>
        <w:rPr>
          <w:rFonts w:cs="Arial"/>
          <w:sz w:val="22"/>
          <w:szCs w:val="22"/>
        </w:rPr>
      </w:pPr>
      <w:r>
        <w:rPr>
          <w:rFonts w:cs="Arial"/>
          <w:sz w:val="22"/>
          <w:szCs w:val="22"/>
        </w:rPr>
        <w:t>A</w:t>
      </w:r>
      <w:r w:rsidR="001A4776">
        <w:rPr>
          <w:rFonts w:cs="Arial"/>
          <w:sz w:val="22"/>
          <w:szCs w:val="22"/>
        </w:rPr>
        <w:t xml:space="preserve"> </w:t>
      </w:r>
      <w:r w:rsidR="0010687C">
        <w:rPr>
          <w:rFonts w:cs="Arial"/>
          <w:sz w:val="22"/>
          <w:szCs w:val="22"/>
        </w:rPr>
        <w:t xml:space="preserve">provisional </w:t>
      </w:r>
      <w:r w:rsidR="001A4776">
        <w:rPr>
          <w:rFonts w:cs="Arial"/>
          <w:sz w:val="22"/>
          <w:szCs w:val="22"/>
        </w:rPr>
        <w:t xml:space="preserve">decision was made to </w:t>
      </w:r>
      <w:r w:rsidR="00C91E55">
        <w:rPr>
          <w:rFonts w:cs="Arial"/>
          <w:sz w:val="22"/>
          <w:szCs w:val="22"/>
        </w:rPr>
        <w:t xml:space="preserve">recommend an unmet need </w:t>
      </w:r>
      <w:r w:rsidR="001A4776">
        <w:rPr>
          <w:rFonts w:cs="Arial"/>
          <w:sz w:val="22"/>
          <w:szCs w:val="22"/>
        </w:rPr>
        <w:t xml:space="preserve">adjustment for </w:t>
      </w:r>
      <w:r w:rsidR="00C91E55">
        <w:rPr>
          <w:rFonts w:cs="Arial"/>
          <w:sz w:val="22"/>
          <w:szCs w:val="22"/>
        </w:rPr>
        <w:t xml:space="preserve">the </w:t>
      </w:r>
      <w:r w:rsidR="001A4776">
        <w:rPr>
          <w:rFonts w:cs="Arial"/>
          <w:sz w:val="22"/>
          <w:szCs w:val="22"/>
        </w:rPr>
        <w:t>Heart diagnostic group</w:t>
      </w:r>
      <w:r w:rsidR="00C91E55">
        <w:rPr>
          <w:rFonts w:cs="Arial"/>
          <w:sz w:val="22"/>
          <w:szCs w:val="22"/>
        </w:rPr>
        <w:t>,</w:t>
      </w:r>
      <w:r w:rsidR="001A4776">
        <w:rPr>
          <w:rFonts w:cs="Arial"/>
          <w:sz w:val="22"/>
          <w:szCs w:val="22"/>
        </w:rPr>
        <w:t xml:space="preserve"> </w:t>
      </w:r>
      <w:r w:rsidR="00C91E55">
        <w:rPr>
          <w:rFonts w:cs="Arial"/>
          <w:sz w:val="22"/>
          <w:szCs w:val="22"/>
        </w:rPr>
        <w:t>based on excluding the 30% of data zones with the highest needs index values from the regression. This was agreed because:</w:t>
      </w:r>
    </w:p>
    <w:p w:rsidR="00C91E55" w:rsidRDefault="00CC47E4" w:rsidP="006C0DCE">
      <w:pPr>
        <w:pStyle w:val="ListParagraph"/>
        <w:numPr>
          <w:ilvl w:val="0"/>
          <w:numId w:val="4"/>
        </w:numPr>
        <w:spacing w:after="120" w:line="276" w:lineRule="auto"/>
        <w:ind w:left="714" w:hanging="357"/>
        <w:contextualSpacing w:val="0"/>
        <w:rPr>
          <w:rFonts w:cs="Arial"/>
          <w:sz w:val="22"/>
          <w:szCs w:val="22"/>
        </w:rPr>
      </w:pPr>
      <w:r>
        <w:rPr>
          <w:rFonts w:cs="Arial"/>
          <w:sz w:val="22"/>
          <w:szCs w:val="22"/>
        </w:rPr>
        <w:t>T</w:t>
      </w:r>
      <w:r w:rsidR="00C91E55">
        <w:rPr>
          <w:rFonts w:cs="Arial"/>
          <w:sz w:val="22"/>
          <w:szCs w:val="22"/>
        </w:rPr>
        <w:t>he simple shortfall model revealed a significant decrease in the effective gradient between utilisation and needs index, at the high end of the needs index (</w:t>
      </w:r>
      <w:r w:rsidR="00C91E55" w:rsidRPr="00794DC2">
        <w:rPr>
          <w:rFonts w:cs="Arial"/>
          <w:i/>
          <w:sz w:val="22"/>
          <w:szCs w:val="22"/>
        </w:rPr>
        <w:t>β</w:t>
      </w:r>
      <w:r w:rsidR="00C91E55" w:rsidRPr="00794DC2">
        <w:rPr>
          <w:rFonts w:cs="Arial"/>
          <w:i/>
          <w:sz w:val="22"/>
          <w:szCs w:val="22"/>
          <w:vertAlign w:val="subscript"/>
        </w:rPr>
        <w:t>2</w:t>
      </w:r>
      <w:r w:rsidR="00C91E55">
        <w:rPr>
          <w:rFonts w:cs="Arial"/>
          <w:sz w:val="22"/>
          <w:szCs w:val="22"/>
        </w:rPr>
        <w:t xml:space="preserve"> &lt; </w:t>
      </w:r>
      <w:r w:rsidR="00C91E55" w:rsidRPr="00794DC2">
        <w:rPr>
          <w:rFonts w:cs="Arial"/>
          <w:i/>
          <w:sz w:val="22"/>
          <w:szCs w:val="22"/>
        </w:rPr>
        <w:t>β</w:t>
      </w:r>
      <w:r w:rsidR="00C91E55" w:rsidRPr="00794DC2">
        <w:rPr>
          <w:rFonts w:cs="Arial"/>
          <w:i/>
          <w:sz w:val="22"/>
          <w:szCs w:val="22"/>
          <w:vertAlign w:val="subscript"/>
        </w:rPr>
        <w:t>1</w:t>
      </w:r>
      <w:r w:rsidR="00C91E55">
        <w:rPr>
          <w:rFonts w:cs="Arial"/>
          <w:sz w:val="22"/>
          <w:szCs w:val="22"/>
        </w:rPr>
        <w:t xml:space="preserve"> in Figure 1); moreover, the fitted slope </w:t>
      </w:r>
      <w:r>
        <w:rPr>
          <w:rFonts w:cs="Arial"/>
          <w:sz w:val="22"/>
          <w:szCs w:val="22"/>
        </w:rPr>
        <w:t xml:space="preserve">that would be obtained </w:t>
      </w:r>
      <w:r w:rsidR="00C91E55">
        <w:rPr>
          <w:rFonts w:cs="Arial"/>
          <w:sz w:val="22"/>
          <w:szCs w:val="22"/>
        </w:rPr>
        <w:t>with the top 30% of data zones excluded (</w:t>
      </w:r>
      <w:r w:rsidRPr="00794DC2">
        <w:rPr>
          <w:rFonts w:cs="Arial"/>
          <w:i/>
          <w:sz w:val="22"/>
          <w:szCs w:val="22"/>
        </w:rPr>
        <w:t>β</w:t>
      </w:r>
      <w:r w:rsidRPr="00794DC2">
        <w:rPr>
          <w:rFonts w:cs="Arial"/>
          <w:i/>
          <w:sz w:val="22"/>
          <w:szCs w:val="22"/>
          <w:vertAlign w:val="subscript"/>
        </w:rPr>
        <w:t>1</w:t>
      </w:r>
      <w:r>
        <w:rPr>
          <w:rFonts w:cs="Arial"/>
          <w:sz w:val="22"/>
          <w:szCs w:val="22"/>
        </w:rPr>
        <w:t xml:space="preserve">) was significantly higher than the ‘unadjusted’ slope obtained by fitting the linear model to </w:t>
      </w:r>
      <w:r w:rsidRPr="00CC47E4">
        <w:rPr>
          <w:rFonts w:cs="Arial"/>
          <w:i/>
          <w:sz w:val="22"/>
          <w:szCs w:val="22"/>
        </w:rPr>
        <w:t>all</w:t>
      </w:r>
      <w:r>
        <w:rPr>
          <w:rFonts w:cs="Arial"/>
          <w:sz w:val="22"/>
          <w:szCs w:val="22"/>
        </w:rPr>
        <w:t xml:space="preserve"> data zones.</w:t>
      </w:r>
    </w:p>
    <w:p w:rsidR="00C91E55" w:rsidRDefault="00CC47E4" w:rsidP="006C0DCE">
      <w:pPr>
        <w:pStyle w:val="ListParagraph"/>
        <w:numPr>
          <w:ilvl w:val="0"/>
          <w:numId w:val="4"/>
        </w:numPr>
        <w:spacing w:after="120" w:line="276" w:lineRule="auto"/>
        <w:ind w:left="714" w:hanging="357"/>
        <w:contextualSpacing w:val="0"/>
        <w:rPr>
          <w:rFonts w:cs="Arial"/>
          <w:sz w:val="22"/>
          <w:szCs w:val="22"/>
        </w:rPr>
      </w:pPr>
      <w:r>
        <w:rPr>
          <w:rFonts w:cs="Arial"/>
          <w:sz w:val="22"/>
          <w:szCs w:val="22"/>
        </w:rPr>
        <w:t>Interpreting the under-utilisation as unmet need made sense for Heart, since unmet need could result in sudden death.</w:t>
      </w:r>
    </w:p>
    <w:p w:rsidR="00CC47E4" w:rsidRDefault="00CC47E4" w:rsidP="006C0DCE">
      <w:pPr>
        <w:pStyle w:val="ListParagraph"/>
        <w:numPr>
          <w:ilvl w:val="0"/>
          <w:numId w:val="4"/>
        </w:numPr>
        <w:spacing w:after="120" w:line="276" w:lineRule="auto"/>
        <w:ind w:left="714" w:hanging="357"/>
        <w:contextualSpacing w:val="0"/>
        <w:rPr>
          <w:rFonts w:cs="Arial"/>
          <w:sz w:val="22"/>
          <w:szCs w:val="22"/>
        </w:rPr>
      </w:pPr>
      <w:r>
        <w:rPr>
          <w:rFonts w:cs="Arial"/>
          <w:sz w:val="22"/>
          <w:szCs w:val="22"/>
        </w:rPr>
        <w:t>Supplementary analysis showed that the standardised mortality ratio for heart-related deaths did not tail off at the upper end of the needs index in a similar way to cost,</w:t>
      </w:r>
      <w:r w:rsidR="00952097">
        <w:rPr>
          <w:rFonts w:cs="Arial"/>
          <w:sz w:val="22"/>
          <w:szCs w:val="22"/>
        </w:rPr>
        <w:t xml:space="preserve"> </w:t>
      </w:r>
      <w:r w:rsidR="00AE03F5">
        <w:rPr>
          <w:rFonts w:cs="Arial"/>
          <w:sz w:val="22"/>
          <w:szCs w:val="22"/>
        </w:rPr>
        <w:t>but actually showed</w:t>
      </w:r>
      <w:r w:rsidR="00952097">
        <w:rPr>
          <w:rFonts w:cs="Arial"/>
          <w:sz w:val="22"/>
          <w:szCs w:val="22"/>
        </w:rPr>
        <w:t xml:space="preserve"> an increase </w:t>
      </w:r>
      <w:r w:rsidR="00AE03F5">
        <w:rPr>
          <w:rFonts w:cs="Arial"/>
          <w:sz w:val="22"/>
          <w:szCs w:val="22"/>
        </w:rPr>
        <w:t xml:space="preserve">in gradient, </w:t>
      </w:r>
      <w:r>
        <w:rPr>
          <w:rFonts w:cs="Arial"/>
          <w:sz w:val="22"/>
          <w:szCs w:val="22"/>
        </w:rPr>
        <w:t>which further suggests need that is not being met.</w:t>
      </w:r>
    </w:p>
    <w:p w:rsidR="00CC47E4" w:rsidRDefault="00CC47E4" w:rsidP="00C91E55">
      <w:pPr>
        <w:pStyle w:val="ListParagraph"/>
        <w:numPr>
          <w:ilvl w:val="0"/>
          <w:numId w:val="4"/>
        </w:numPr>
        <w:spacing w:after="200" w:line="276" w:lineRule="auto"/>
        <w:contextualSpacing w:val="0"/>
        <w:rPr>
          <w:rFonts w:cs="Arial"/>
          <w:sz w:val="22"/>
          <w:szCs w:val="22"/>
        </w:rPr>
      </w:pPr>
      <w:r>
        <w:rPr>
          <w:rFonts w:cs="Arial"/>
          <w:sz w:val="22"/>
          <w:szCs w:val="22"/>
        </w:rPr>
        <w:t xml:space="preserve">There is currently an unmet need adjustment for Heart, which </w:t>
      </w:r>
      <w:r w:rsidR="0010687C">
        <w:rPr>
          <w:rFonts w:cs="Arial"/>
          <w:sz w:val="22"/>
          <w:szCs w:val="22"/>
        </w:rPr>
        <w:t>suggests</w:t>
      </w:r>
      <w:r>
        <w:rPr>
          <w:rFonts w:cs="Arial"/>
          <w:sz w:val="22"/>
          <w:szCs w:val="22"/>
        </w:rPr>
        <w:t xml:space="preserve"> that the above observations are consistent and robust.</w:t>
      </w:r>
      <w:r w:rsidR="00CF17BA">
        <w:rPr>
          <w:rFonts w:cs="Arial"/>
          <w:sz w:val="22"/>
          <w:szCs w:val="22"/>
        </w:rPr>
        <w:t xml:space="preserve"> (However, this does also highlight that more needs to be done to address the unmet need besides adjusting the </w:t>
      </w:r>
      <w:proofErr w:type="gramStart"/>
      <w:r w:rsidR="00CF17BA">
        <w:rPr>
          <w:rFonts w:cs="Arial"/>
          <w:sz w:val="22"/>
          <w:szCs w:val="22"/>
        </w:rPr>
        <w:t>allocation,</w:t>
      </w:r>
      <w:proofErr w:type="gramEnd"/>
      <w:r w:rsidR="00CF17BA">
        <w:rPr>
          <w:rFonts w:cs="Arial"/>
          <w:sz w:val="22"/>
          <w:szCs w:val="22"/>
        </w:rPr>
        <w:t xml:space="preserve"> and this should be noted in the recommendations to TAGRA.)</w:t>
      </w:r>
    </w:p>
    <w:p w:rsidR="00620EC0" w:rsidRDefault="00CC47E4" w:rsidP="001A4776">
      <w:pPr>
        <w:pStyle w:val="ListParagraph"/>
        <w:spacing w:after="200" w:line="276" w:lineRule="auto"/>
        <w:ind w:left="0"/>
        <w:contextualSpacing w:val="0"/>
        <w:rPr>
          <w:rFonts w:cs="Arial"/>
          <w:sz w:val="22"/>
          <w:szCs w:val="22"/>
        </w:rPr>
      </w:pPr>
      <w:r>
        <w:rPr>
          <w:rFonts w:cs="Arial"/>
          <w:sz w:val="22"/>
          <w:szCs w:val="22"/>
        </w:rPr>
        <w:t xml:space="preserve">A </w:t>
      </w:r>
      <w:r w:rsidR="00174C42">
        <w:rPr>
          <w:rFonts w:cs="Arial"/>
          <w:sz w:val="22"/>
          <w:szCs w:val="22"/>
        </w:rPr>
        <w:t>cut-off point</w:t>
      </w:r>
      <w:r>
        <w:rPr>
          <w:rFonts w:cs="Arial"/>
          <w:sz w:val="22"/>
          <w:szCs w:val="22"/>
        </w:rPr>
        <w:t xml:space="preserve"> of 30% was chosen because, out of all the trial cut-points used with the simple shortfall model, it resulted in the highest R</w:t>
      </w:r>
      <w:r w:rsidRPr="00CC47E4">
        <w:rPr>
          <w:rFonts w:cs="Arial"/>
          <w:sz w:val="22"/>
          <w:szCs w:val="22"/>
          <w:vertAlign w:val="superscript"/>
        </w:rPr>
        <w:t>2</w:t>
      </w:r>
      <w:r>
        <w:rPr>
          <w:rFonts w:cs="Arial"/>
          <w:sz w:val="22"/>
          <w:szCs w:val="22"/>
        </w:rPr>
        <w:t xml:space="preserve"> value. </w:t>
      </w:r>
      <w:r w:rsidR="0010687C">
        <w:rPr>
          <w:rFonts w:cs="Arial"/>
          <w:sz w:val="22"/>
          <w:szCs w:val="22"/>
        </w:rPr>
        <w:t>The recommendation is provisional because it was also agreed to carry out analysis to look for deprivation-related unmet need using SIMD 2016 with the 2007 shortfall method, once SIMD 2016 is released.</w:t>
      </w:r>
      <w:r w:rsidR="008F1334">
        <w:rPr>
          <w:rFonts w:cs="Arial"/>
          <w:sz w:val="22"/>
          <w:szCs w:val="22"/>
        </w:rPr>
        <w:t xml:space="preserve"> Paper TAMLC</w:t>
      </w:r>
      <w:r w:rsidR="007E77BE">
        <w:rPr>
          <w:rFonts w:cs="Arial"/>
          <w:sz w:val="22"/>
          <w:szCs w:val="22"/>
        </w:rPr>
        <w:t>59</w:t>
      </w:r>
      <w:r w:rsidR="008F1334">
        <w:rPr>
          <w:rFonts w:cs="Arial"/>
          <w:sz w:val="22"/>
          <w:szCs w:val="22"/>
        </w:rPr>
        <w:t xml:space="preserve"> provides further detail on the planned analysis and a possible strategy for deciding on a final recommendation.</w:t>
      </w:r>
    </w:p>
    <w:p w:rsidR="0010687C" w:rsidRDefault="00026985" w:rsidP="00CF17BA">
      <w:pPr>
        <w:pStyle w:val="ListParagraph"/>
        <w:spacing w:after="200" w:line="276" w:lineRule="auto"/>
        <w:ind w:left="0"/>
        <w:contextualSpacing w:val="0"/>
        <w:rPr>
          <w:rFonts w:cs="Arial"/>
          <w:b/>
        </w:rPr>
      </w:pPr>
      <w:r>
        <w:rPr>
          <w:rFonts w:cs="Arial"/>
          <w:sz w:val="22"/>
          <w:szCs w:val="22"/>
        </w:rPr>
        <w:t xml:space="preserve">The analysis highlighted one further diagnostic group </w:t>
      </w:r>
      <w:r w:rsidR="00174C42">
        <w:rPr>
          <w:rFonts w:cs="Arial"/>
          <w:sz w:val="22"/>
          <w:szCs w:val="22"/>
        </w:rPr>
        <w:t xml:space="preserve">– Other – </w:t>
      </w:r>
      <w:r>
        <w:rPr>
          <w:rFonts w:cs="Arial"/>
          <w:sz w:val="22"/>
          <w:szCs w:val="22"/>
        </w:rPr>
        <w:t>for</w:t>
      </w:r>
      <w:r w:rsidR="00174C42">
        <w:rPr>
          <w:rFonts w:cs="Arial"/>
          <w:sz w:val="22"/>
          <w:szCs w:val="22"/>
        </w:rPr>
        <w:t xml:space="preserve"> </w:t>
      </w:r>
      <w:r>
        <w:rPr>
          <w:rFonts w:cs="Arial"/>
          <w:sz w:val="22"/>
          <w:szCs w:val="22"/>
        </w:rPr>
        <w:t xml:space="preserve">which the fitted slope would significantly increase if </w:t>
      </w:r>
      <w:r w:rsidR="00174C42">
        <w:rPr>
          <w:rFonts w:cs="Arial"/>
          <w:sz w:val="22"/>
          <w:szCs w:val="22"/>
        </w:rPr>
        <w:t>data zones with the highest needs index values were excluded from the regression</w:t>
      </w:r>
      <w:r>
        <w:rPr>
          <w:rFonts w:cs="Arial"/>
          <w:sz w:val="22"/>
          <w:szCs w:val="22"/>
        </w:rPr>
        <w:t>.</w:t>
      </w:r>
      <w:r w:rsidR="003C0631">
        <w:rPr>
          <w:rFonts w:cs="Arial"/>
          <w:sz w:val="22"/>
          <w:szCs w:val="22"/>
        </w:rPr>
        <w:t xml:space="preserve"> </w:t>
      </w:r>
      <w:r>
        <w:rPr>
          <w:rFonts w:cs="Arial"/>
          <w:sz w:val="22"/>
          <w:szCs w:val="22"/>
        </w:rPr>
        <w:t>However, it is more difficult to judge whether this should be interpreted as unmet need, given the varied mixture of condition groups comprised within Other</w:t>
      </w:r>
      <w:r w:rsidR="00AE75C4">
        <w:rPr>
          <w:rFonts w:cs="Arial"/>
          <w:sz w:val="22"/>
          <w:szCs w:val="22"/>
        </w:rPr>
        <w:t xml:space="preserve"> (Table </w:t>
      </w:r>
      <w:r w:rsidR="00AE75C4">
        <w:rPr>
          <w:rFonts w:cs="Arial"/>
          <w:sz w:val="22"/>
          <w:szCs w:val="22"/>
        </w:rPr>
        <w:lastRenderedPageBreak/>
        <w:t>1)</w:t>
      </w:r>
      <w:r>
        <w:rPr>
          <w:rFonts w:cs="Arial"/>
          <w:sz w:val="22"/>
          <w:szCs w:val="22"/>
        </w:rPr>
        <w:t xml:space="preserve">. The analysts were asked to </w:t>
      </w:r>
      <w:r w:rsidR="00041189">
        <w:rPr>
          <w:rFonts w:cs="Arial"/>
          <w:sz w:val="22"/>
          <w:szCs w:val="22"/>
        </w:rPr>
        <w:t>carry out further investigation.</w:t>
      </w:r>
      <w:r w:rsidR="0024521F">
        <w:rPr>
          <w:rFonts w:cs="Arial"/>
          <w:sz w:val="22"/>
          <w:szCs w:val="22"/>
        </w:rPr>
        <w:t xml:space="preserve"> </w:t>
      </w:r>
      <w:r w:rsidR="00041189">
        <w:rPr>
          <w:rFonts w:cs="Arial"/>
          <w:sz w:val="22"/>
          <w:szCs w:val="22"/>
        </w:rPr>
        <w:t>This paper presents the analysis</w:t>
      </w:r>
      <w:r w:rsidR="0024521F">
        <w:rPr>
          <w:rFonts w:cs="Arial"/>
          <w:sz w:val="22"/>
          <w:szCs w:val="22"/>
        </w:rPr>
        <w:t xml:space="preserve"> </w:t>
      </w:r>
      <w:r w:rsidR="00041189">
        <w:rPr>
          <w:rFonts w:cs="Arial"/>
          <w:sz w:val="22"/>
          <w:szCs w:val="22"/>
        </w:rPr>
        <w:t xml:space="preserve">around possible unmet need within </w:t>
      </w:r>
      <w:proofErr w:type="gramStart"/>
      <w:r w:rsidR="00041189">
        <w:rPr>
          <w:rFonts w:cs="Arial"/>
          <w:sz w:val="22"/>
          <w:szCs w:val="22"/>
        </w:rPr>
        <w:t>Other</w:t>
      </w:r>
      <w:proofErr w:type="gramEnd"/>
      <w:r w:rsidR="00041189">
        <w:rPr>
          <w:rFonts w:cs="Arial"/>
          <w:sz w:val="22"/>
          <w:szCs w:val="22"/>
        </w:rPr>
        <w:t xml:space="preserve"> at high values of the needs index </w:t>
      </w:r>
      <w:r w:rsidR="0024521F">
        <w:rPr>
          <w:rFonts w:cs="Arial"/>
          <w:sz w:val="22"/>
          <w:szCs w:val="22"/>
        </w:rPr>
        <w:t>(section 2)</w:t>
      </w:r>
      <w:r w:rsidR="00041189">
        <w:rPr>
          <w:rFonts w:cs="Arial"/>
          <w:sz w:val="22"/>
          <w:szCs w:val="22"/>
        </w:rPr>
        <w:t>,</w:t>
      </w:r>
      <w:r w:rsidR="0024521F">
        <w:rPr>
          <w:rFonts w:cs="Arial"/>
          <w:sz w:val="22"/>
          <w:szCs w:val="22"/>
        </w:rPr>
        <w:t xml:space="preserve"> and </w:t>
      </w:r>
      <w:r w:rsidR="00041189">
        <w:rPr>
          <w:rFonts w:cs="Arial"/>
          <w:sz w:val="22"/>
          <w:szCs w:val="22"/>
        </w:rPr>
        <w:t>summarises the</w:t>
      </w:r>
      <w:r w:rsidR="0024521F">
        <w:rPr>
          <w:rFonts w:cs="Arial"/>
          <w:sz w:val="22"/>
          <w:szCs w:val="22"/>
        </w:rPr>
        <w:t xml:space="preserve"> questions and issues for the subgroup to discuss</w:t>
      </w:r>
      <w:r w:rsidR="00174C42">
        <w:rPr>
          <w:rFonts w:cs="Arial"/>
          <w:sz w:val="22"/>
          <w:szCs w:val="22"/>
        </w:rPr>
        <w:t xml:space="preserve"> in deciding whether to recommend an unmet need adjustment for Other</w:t>
      </w:r>
      <w:r w:rsidR="0024521F">
        <w:rPr>
          <w:rFonts w:cs="Arial"/>
          <w:sz w:val="22"/>
          <w:szCs w:val="22"/>
        </w:rPr>
        <w:t xml:space="preserve"> (section 3).</w:t>
      </w:r>
    </w:p>
    <w:p w:rsidR="00AE75C4" w:rsidRPr="00CD5569" w:rsidRDefault="00AE75C4" w:rsidP="00AE75C4">
      <w:pPr>
        <w:spacing w:after="0"/>
        <w:rPr>
          <w:rFonts w:ascii="Arial" w:hAnsi="Arial" w:cs="Arial"/>
          <w:b/>
        </w:rPr>
      </w:pPr>
      <w:proofErr w:type="gramStart"/>
      <w:r w:rsidRPr="00180CFC">
        <w:rPr>
          <w:rFonts w:ascii="Arial" w:hAnsi="Arial" w:cs="Arial"/>
          <w:i/>
        </w:rPr>
        <w:t xml:space="preserve">Table </w:t>
      </w:r>
      <w:r>
        <w:rPr>
          <w:rFonts w:ascii="Arial" w:hAnsi="Arial" w:cs="Arial"/>
          <w:i/>
        </w:rPr>
        <w:t>1</w:t>
      </w:r>
      <w:r w:rsidRPr="00180CFC">
        <w:rPr>
          <w:rFonts w:ascii="Arial" w:hAnsi="Arial" w:cs="Arial"/>
          <w:i/>
        </w:rPr>
        <w:t>.</w:t>
      </w:r>
      <w:proofErr w:type="gramEnd"/>
      <w:r w:rsidRPr="00180CFC">
        <w:rPr>
          <w:rFonts w:ascii="Arial" w:hAnsi="Arial" w:cs="Arial"/>
          <w:i/>
        </w:rPr>
        <w:t xml:space="preserve"> </w:t>
      </w:r>
      <w:r>
        <w:rPr>
          <w:rFonts w:ascii="Arial" w:hAnsi="Arial" w:cs="Arial"/>
          <w:i/>
        </w:rPr>
        <w:t>Acute expenditure and activity within ‘Other’, by high-level ICD10 classification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4"/>
        <w:gridCol w:w="1276"/>
        <w:gridCol w:w="1417"/>
      </w:tblGrid>
      <w:tr w:rsidR="00AE75C4" w:rsidRPr="00E704A8" w:rsidTr="00215DEE">
        <w:trPr>
          <w:trHeight w:val="83"/>
        </w:trPr>
        <w:tc>
          <w:tcPr>
            <w:tcW w:w="6394" w:type="dxa"/>
            <w:shd w:val="clear" w:color="auto" w:fill="auto"/>
            <w:noWrap/>
            <w:tcMar>
              <w:top w:w="57" w:type="dxa"/>
              <w:bottom w:w="57" w:type="dxa"/>
            </w:tcMar>
            <w:vAlign w:val="center"/>
            <w:hideMark/>
          </w:tcPr>
          <w:p w:rsidR="00AE75C4" w:rsidRPr="00E704A8" w:rsidRDefault="00AE75C4" w:rsidP="00215DEE">
            <w:pPr>
              <w:spacing w:before="120" w:after="120" w:line="240" w:lineRule="auto"/>
              <w:contextualSpacing/>
              <w:jc w:val="center"/>
              <w:rPr>
                <w:rFonts w:ascii="Arial" w:hAnsi="Arial" w:cs="Arial"/>
                <w:b/>
                <w:color w:val="000000"/>
                <w:sz w:val="20"/>
                <w:szCs w:val="20"/>
              </w:rPr>
            </w:pPr>
            <w:r>
              <w:rPr>
                <w:rFonts w:ascii="Arial" w:hAnsi="Arial" w:cs="Arial"/>
                <w:b/>
                <w:color w:val="000000"/>
                <w:sz w:val="20"/>
                <w:szCs w:val="20"/>
              </w:rPr>
              <w:t>ICD-10 group</w:t>
            </w:r>
          </w:p>
        </w:tc>
        <w:tc>
          <w:tcPr>
            <w:tcW w:w="1276" w:type="dxa"/>
            <w:shd w:val="clear" w:color="auto" w:fill="auto"/>
            <w:noWrap/>
            <w:tcMar>
              <w:top w:w="57" w:type="dxa"/>
              <w:bottom w:w="57" w:type="dxa"/>
            </w:tcMar>
            <w:vAlign w:val="center"/>
            <w:hideMark/>
          </w:tcPr>
          <w:p w:rsidR="00AE75C4" w:rsidRPr="00E704A8" w:rsidRDefault="00AE75C4" w:rsidP="00215DEE">
            <w:pPr>
              <w:spacing w:before="120" w:after="120" w:line="240" w:lineRule="auto"/>
              <w:contextualSpacing/>
              <w:jc w:val="center"/>
              <w:rPr>
                <w:rFonts w:ascii="Arial" w:hAnsi="Arial" w:cs="Arial"/>
                <w:b/>
                <w:color w:val="000000"/>
                <w:sz w:val="20"/>
                <w:szCs w:val="20"/>
              </w:rPr>
            </w:pPr>
            <w:r w:rsidRPr="00E704A8">
              <w:rPr>
                <w:rFonts w:ascii="Arial" w:hAnsi="Arial" w:cs="Arial"/>
                <w:b/>
                <w:color w:val="000000"/>
                <w:sz w:val="20"/>
                <w:szCs w:val="20"/>
              </w:rPr>
              <w:t xml:space="preserve">Actual spend </w:t>
            </w:r>
            <w:r>
              <w:rPr>
                <w:rFonts w:ascii="Arial" w:hAnsi="Arial" w:cs="Arial"/>
                <w:b/>
                <w:color w:val="000000"/>
                <w:sz w:val="20"/>
                <w:szCs w:val="20"/>
              </w:rPr>
              <w:t>2013/14</w:t>
            </w:r>
          </w:p>
        </w:tc>
        <w:tc>
          <w:tcPr>
            <w:tcW w:w="1417" w:type="dxa"/>
            <w:shd w:val="clear" w:color="auto" w:fill="auto"/>
            <w:noWrap/>
            <w:tcMar>
              <w:top w:w="57" w:type="dxa"/>
              <w:bottom w:w="57" w:type="dxa"/>
            </w:tcMar>
            <w:vAlign w:val="center"/>
            <w:hideMark/>
          </w:tcPr>
          <w:p w:rsidR="00AE75C4" w:rsidRPr="00E704A8" w:rsidRDefault="00AE75C4" w:rsidP="00215DEE">
            <w:pPr>
              <w:spacing w:before="120" w:after="120" w:line="240" w:lineRule="auto"/>
              <w:contextualSpacing/>
              <w:jc w:val="center"/>
              <w:rPr>
                <w:rFonts w:ascii="Arial" w:hAnsi="Arial" w:cs="Arial"/>
                <w:b/>
                <w:color w:val="000000"/>
                <w:sz w:val="20"/>
                <w:szCs w:val="20"/>
              </w:rPr>
            </w:pPr>
            <w:r w:rsidRPr="00E704A8">
              <w:rPr>
                <w:rFonts w:ascii="Arial" w:hAnsi="Arial" w:cs="Arial"/>
                <w:b/>
                <w:color w:val="000000"/>
                <w:sz w:val="20"/>
                <w:szCs w:val="20"/>
              </w:rPr>
              <w:t>Number of episodes</w:t>
            </w:r>
            <w:r>
              <w:rPr>
                <w:rFonts w:ascii="Arial" w:hAnsi="Arial" w:cs="Arial"/>
                <w:b/>
                <w:color w:val="000000"/>
                <w:sz w:val="20"/>
                <w:szCs w:val="20"/>
              </w:rPr>
              <w:t xml:space="preserve"> 2013/14</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Symptoms, signs and abnormal clinical and laboratory findings, not elsewhere classified</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319</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204,912</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Diseases of the musculoskeletal system and connective tissue</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221</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92,259</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 xml:space="preserve">Diseases of the </w:t>
            </w:r>
            <w:proofErr w:type="spellStart"/>
            <w:r w:rsidRPr="0010687C">
              <w:rPr>
                <w:rFonts w:ascii="Arial" w:eastAsia="Times New Roman" w:hAnsi="Arial" w:cs="Arial"/>
                <w:sz w:val="20"/>
                <w:szCs w:val="20"/>
                <w:lang w:eastAsia="en-GB"/>
              </w:rPr>
              <w:t>genito</w:t>
            </w:r>
            <w:proofErr w:type="spellEnd"/>
            <w:r w:rsidRPr="0010687C">
              <w:rPr>
                <w:rFonts w:ascii="Arial" w:eastAsia="Times New Roman" w:hAnsi="Arial" w:cs="Arial"/>
                <w:sz w:val="20"/>
                <w:szCs w:val="20"/>
                <w:lang w:eastAsia="en-GB"/>
              </w:rPr>
              <w:t>-urinary system</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198</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101,434</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Diseases of the nervous system</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92</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38,272</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Certain infectious and parasitic diseases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87</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40,811</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Factors influencing health status and contact with health services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81</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57,698</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Diseases of the skin and subcutaneous tissue</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71</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32,433</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AE75C4">
              <w:rPr>
                <w:rFonts w:ascii="Arial" w:hAnsi="Arial" w:cs="Arial"/>
                <w:i/>
                <w:sz w:val="20"/>
                <w:szCs w:val="20"/>
              </w:rPr>
              <w:t>missing</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70</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25,176</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 xml:space="preserve">Diseases of the eye and </w:t>
            </w:r>
            <w:proofErr w:type="spellStart"/>
            <w:r w:rsidRPr="0010687C">
              <w:rPr>
                <w:rFonts w:ascii="Arial" w:eastAsia="Times New Roman" w:hAnsi="Arial" w:cs="Arial"/>
                <w:sz w:val="20"/>
                <w:szCs w:val="20"/>
                <w:lang w:eastAsia="en-GB"/>
              </w:rPr>
              <w:t>adnexa</w:t>
            </w:r>
            <w:proofErr w:type="spellEnd"/>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70</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50,347</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Endocrine, nutritional and metabolic diseases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51</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28,893</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Mental and behavioural disorders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38</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16,406</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Congenital malformations, deformations and chromosomal abnormalities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30</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9,669</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Diseases of the blood and blood-forming organs and certain disorders involving the immune mechanism</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28</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21,625</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rPr>
                <w:rFonts w:ascii="Arial" w:hAnsi="Arial" w:cs="Arial"/>
                <w:sz w:val="20"/>
                <w:szCs w:val="20"/>
              </w:rPr>
            </w:pPr>
            <w:r w:rsidRPr="0010687C">
              <w:rPr>
                <w:rFonts w:ascii="Arial" w:eastAsia="Times New Roman" w:hAnsi="Arial" w:cs="Arial"/>
                <w:sz w:val="20"/>
                <w:szCs w:val="20"/>
                <w:lang w:eastAsia="en-GB"/>
              </w:rPr>
              <w:t>Diseases of the ear and mastoid process</w:t>
            </w:r>
          </w:p>
        </w:tc>
        <w:tc>
          <w:tcPr>
            <w:tcW w:w="1276"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9</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0" w:line="240" w:lineRule="auto"/>
              <w:contextualSpacing/>
              <w:jc w:val="center"/>
              <w:rPr>
                <w:rFonts w:ascii="Arial" w:hAnsi="Arial" w:cs="Arial"/>
                <w:sz w:val="20"/>
                <w:szCs w:val="20"/>
              </w:rPr>
            </w:pPr>
            <w:r w:rsidRPr="0010687C">
              <w:rPr>
                <w:rFonts w:ascii="Arial" w:hAnsi="Arial" w:cs="Arial"/>
                <w:sz w:val="20"/>
                <w:szCs w:val="20"/>
              </w:rPr>
              <w:t>6,653</w:t>
            </w:r>
          </w:p>
        </w:tc>
      </w:tr>
      <w:tr w:rsidR="00AE75C4" w:rsidRPr="00147B2E" w:rsidTr="00215DEE">
        <w:trPr>
          <w:trHeight w:val="83"/>
        </w:trPr>
        <w:tc>
          <w:tcPr>
            <w:tcW w:w="6394" w:type="dxa"/>
            <w:shd w:val="clear" w:color="auto" w:fill="auto"/>
            <w:noWrap/>
            <w:tcMar>
              <w:top w:w="108" w:type="dxa"/>
              <w:bottom w:w="108" w:type="dxa"/>
            </w:tcMar>
            <w:vAlign w:val="center"/>
            <w:hideMark/>
          </w:tcPr>
          <w:p w:rsidR="00AE75C4" w:rsidRPr="0010687C" w:rsidRDefault="00AE75C4" w:rsidP="00215DEE">
            <w:pPr>
              <w:spacing w:after="120" w:line="240" w:lineRule="auto"/>
              <w:contextualSpacing/>
              <w:rPr>
                <w:rFonts w:ascii="Arial" w:hAnsi="Arial" w:cs="Arial"/>
                <w:sz w:val="20"/>
                <w:szCs w:val="20"/>
              </w:rPr>
            </w:pPr>
            <w:r w:rsidRPr="0010687C">
              <w:rPr>
                <w:rFonts w:ascii="Arial" w:eastAsia="Times New Roman" w:hAnsi="Arial" w:cs="Arial"/>
                <w:sz w:val="20"/>
                <w:szCs w:val="20"/>
                <w:lang w:eastAsia="en-GB"/>
              </w:rPr>
              <w:t xml:space="preserve">Certain conditions originating in the </w:t>
            </w:r>
            <w:proofErr w:type="spellStart"/>
            <w:r w:rsidRPr="0010687C">
              <w:rPr>
                <w:rFonts w:ascii="Arial" w:eastAsia="Times New Roman" w:hAnsi="Arial" w:cs="Arial"/>
                <w:sz w:val="20"/>
                <w:szCs w:val="20"/>
                <w:lang w:eastAsia="en-GB"/>
              </w:rPr>
              <w:t>perinatal</w:t>
            </w:r>
            <w:proofErr w:type="spellEnd"/>
            <w:r w:rsidRPr="0010687C">
              <w:rPr>
                <w:rFonts w:ascii="Arial" w:eastAsia="Times New Roman" w:hAnsi="Arial" w:cs="Arial"/>
                <w:sz w:val="20"/>
                <w:szCs w:val="20"/>
                <w:lang w:eastAsia="en-GB"/>
              </w:rPr>
              <w:t xml:space="preserve"> period</w:t>
            </w:r>
          </w:p>
        </w:tc>
        <w:tc>
          <w:tcPr>
            <w:tcW w:w="1276" w:type="dxa"/>
            <w:shd w:val="clear" w:color="auto" w:fill="auto"/>
            <w:noWrap/>
            <w:tcMar>
              <w:top w:w="108" w:type="dxa"/>
              <w:bottom w:w="108" w:type="dxa"/>
            </w:tcMar>
            <w:vAlign w:val="center"/>
            <w:hideMark/>
          </w:tcPr>
          <w:p w:rsidR="00AE75C4" w:rsidRPr="0010687C" w:rsidRDefault="00AE75C4" w:rsidP="00215DEE">
            <w:pPr>
              <w:spacing w:after="120" w:line="240" w:lineRule="auto"/>
              <w:contextualSpacing/>
              <w:jc w:val="center"/>
              <w:rPr>
                <w:rFonts w:ascii="Arial" w:hAnsi="Arial" w:cs="Arial"/>
                <w:sz w:val="20"/>
                <w:szCs w:val="20"/>
              </w:rPr>
            </w:pPr>
            <w:r>
              <w:rPr>
                <w:rFonts w:ascii="Arial" w:hAnsi="Arial" w:cs="Arial"/>
                <w:sz w:val="20"/>
                <w:szCs w:val="20"/>
              </w:rPr>
              <w:t>£</w:t>
            </w:r>
            <w:r w:rsidRPr="0010687C">
              <w:rPr>
                <w:rFonts w:ascii="Arial" w:hAnsi="Arial" w:cs="Arial"/>
                <w:sz w:val="20"/>
                <w:szCs w:val="20"/>
              </w:rPr>
              <w:t>2</w:t>
            </w:r>
            <w:r>
              <w:rPr>
                <w:rFonts w:ascii="Arial" w:hAnsi="Arial" w:cs="Arial"/>
                <w:sz w:val="20"/>
                <w:szCs w:val="20"/>
              </w:rPr>
              <w:t>m</w:t>
            </w:r>
          </w:p>
        </w:tc>
        <w:tc>
          <w:tcPr>
            <w:tcW w:w="1417" w:type="dxa"/>
            <w:shd w:val="clear" w:color="auto" w:fill="auto"/>
            <w:noWrap/>
            <w:tcMar>
              <w:top w:w="108" w:type="dxa"/>
              <w:bottom w:w="108" w:type="dxa"/>
            </w:tcMar>
            <w:vAlign w:val="center"/>
            <w:hideMark/>
          </w:tcPr>
          <w:p w:rsidR="00AE75C4" w:rsidRPr="0010687C" w:rsidRDefault="00AE75C4" w:rsidP="00215DEE">
            <w:pPr>
              <w:spacing w:after="120" w:line="240" w:lineRule="auto"/>
              <w:contextualSpacing/>
              <w:jc w:val="center"/>
              <w:rPr>
                <w:rFonts w:ascii="Arial" w:hAnsi="Arial" w:cs="Arial"/>
                <w:sz w:val="20"/>
                <w:szCs w:val="20"/>
              </w:rPr>
            </w:pPr>
            <w:r w:rsidRPr="0010687C">
              <w:rPr>
                <w:rFonts w:ascii="Arial" w:hAnsi="Arial" w:cs="Arial"/>
                <w:sz w:val="20"/>
                <w:szCs w:val="20"/>
              </w:rPr>
              <w:t>1,281</w:t>
            </w:r>
          </w:p>
        </w:tc>
      </w:tr>
    </w:tbl>
    <w:p w:rsidR="00CF17BA" w:rsidRDefault="00CF17BA" w:rsidP="00F5207B">
      <w:pPr>
        <w:jc w:val="both"/>
        <w:rPr>
          <w:rFonts w:ascii="Arial" w:hAnsi="Arial" w:cs="Arial"/>
          <w:b/>
        </w:rPr>
      </w:pPr>
    </w:p>
    <w:p w:rsidR="006450D8" w:rsidRDefault="00620EC0" w:rsidP="00F5207B">
      <w:pPr>
        <w:jc w:val="both"/>
        <w:rPr>
          <w:rFonts w:ascii="Arial" w:hAnsi="Arial" w:cs="Arial"/>
          <w:b/>
        </w:rPr>
      </w:pPr>
      <w:r>
        <w:rPr>
          <w:rFonts w:ascii="Arial" w:hAnsi="Arial" w:cs="Arial"/>
          <w:b/>
        </w:rPr>
        <w:t xml:space="preserve">2. Analysis </w:t>
      </w:r>
    </w:p>
    <w:p w:rsidR="00C91E55" w:rsidRDefault="00215DEE" w:rsidP="00AE75C4">
      <w:pPr>
        <w:jc w:val="both"/>
        <w:rPr>
          <w:rFonts w:ascii="Arial" w:hAnsi="Arial" w:cs="Arial"/>
        </w:rPr>
      </w:pPr>
      <w:r>
        <w:rPr>
          <w:rFonts w:ascii="Arial" w:hAnsi="Arial" w:cs="Arial"/>
        </w:rPr>
        <w:t xml:space="preserve">In paper TAMLC55, evidence was found of a shortfall in utilisation at the high end of the needs index for </w:t>
      </w:r>
      <w:proofErr w:type="gramStart"/>
      <w:r>
        <w:rPr>
          <w:rFonts w:ascii="Arial" w:hAnsi="Arial" w:cs="Arial"/>
        </w:rPr>
        <w:t>Other</w:t>
      </w:r>
      <w:proofErr w:type="gramEnd"/>
      <w:r>
        <w:rPr>
          <w:rFonts w:ascii="Arial" w:hAnsi="Arial" w:cs="Arial"/>
        </w:rPr>
        <w:t xml:space="preserve">. </w:t>
      </w:r>
      <w:r w:rsidR="00C91E55">
        <w:rPr>
          <w:rFonts w:ascii="Arial" w:hAnsi="Arial" w:cs="Arial"/>
        </w:rPr>
        <w:t>Th</w:t>
      </w:r>
      <w:r>
        <w:rPr>
          <w:rFonts w:ascii="Arial" w:hAnsi="Arial" w:cs="Arial"/>
        </w:rPr>
        <w:t>is was found using the</w:t>
      </w:r>
      <w:r w:rsidR="00C91E55">
        <w:rPr>
          <w:rFonts w:ascii="Arial" w:hAnsi="Arial" w:cs="Arial"/>
        </w:rPr>
        <w:t xml:space="preserve"> </w:t>
      </w:r>
      <w:r>
        <w:rPr>
          <w:rFonts w:ascii="Arial" w:hAnsi="Arial" w:cs="Arial"/>
        </w:rPr>
        <w:t>“</w:t>
      </w:r>
      <w:r w:rsidR="00026985">
        <w:rPr>
          <w:rFonts w:ascii="Arial" w:hAnsi="Arial" w:cs="Arial"/>
        </w:rPr>
        <w:t>simple shortfall method</w:t>
      </w:r>
      <w:r>
        <w:rPr>
          <w:rFonts w:ascii="Arial" w:hAnsi="Arial" w:cs="Arial"/>
        </w:rPr>
        <w:t xml:space="preserve">”, which </w:t>
      </w:r>
      <w:r w:rsidR="00026985">
        <w:rPr>
          <w:rFonts w:ascii="Arial" w:hAnsi="Arial" w:cs="Arial"/>
        </w:rPr>
        <w:t>involves the use of a model with a break of slo</w:t>
      </w:r>
      <w:r w:rsidR="00174C42">
        <w:rPr>
          <w:rFonts w:ascii="Arial" w:hAnsi="Arial" w:cs="Arial"/>
        </w:rPr>
        <w:t>pe, as illustrated in Figure 1 (m</w:t>
      </w:r>
      <w:r w:rsidR="00026985">
        <w:rPr>
          <w:rFonts w:ascii="Arial" w:hAnsi="Arial" w:cs="Arial"/>
        </w:rPr>
        <w:t>athematical details of this model are included in Annex A</w:t>
      </w:r>
      <w:r w:rsidR="00174C42">
        <w:rPr>
          <w:rFonts w:ascii="Arial" w:hAnsi="Arial" w:cs="Arial"/>
        </w:rPr>
        <w:t>)</w:t>
      </w:r>
      <w:r w:rsidR="00026985">
        <w:rPr>
          <w:rFonts w:ascii="Arial" w:hAnsi="Arial" w:cs="Arial"/>
        </w:rPr>
        <w:t>.</w:t>
      </w:r>
      <w:r w:rsidR="00C91E55">
        <w:rPr>
          <w:rFonts w:ascii="Arial" w:hAnsi="Arial" w:cs="Arial"/>
        </w:rPr>
        <w:t xml:space="preserve"> </w:t>
      </w:r>
      <w:r w:rsidR="0051338C">
        <w:rPr>
          <w:rFonts w:ascii="Arial" w:hAnsi="Arial" w:cs="Arial"/>
        </w:rPr>
        <w:t xml:space="preserve">The purpose </w:t>
      </w:r>
      <w:r>
        <w:rPr>
          <w:rFonts w:ascii="Arial" w:hAnsi="Arial" w:cs="Arial"/>
        </w:rPr>
        <w:t xml:space="preserve">of fitting this model </w:t>
      </w:r>
      <w:r w:rsidR="0051338C">
        <w:rPr>
          <w:rFonts w:ascii="Arial" w:hAnsi="Arial" w:cs="Arial"/>
        </w:rPr>
        <w:t>is to identify whether the effective gradient of the relationship between needs index and cost decreases significantly at the high end of the needs index.</w:t>
      </w:r>
    </w:p>
    <w:p w:rsidR="00C91E55" w:rsidRDefault="005E5878" w:rsidP="00A70ED5">
      <w:pPr>
        <w:spacing w:after="0"/>
        <w:rPr>
          <w:rFonts w:ascii="Arial" w:hAnsi="Arial" w:cs="Arial"/>
        </w:rPr>
      </w:pPr>
      <w:r>
        <w:rPr>
          <w:rFonts w:ascii="Arial" w:hAnsi="Arial" w:cs="Arial"/>
        </w:rPr>
      </w:r>
      <w:r>
        <w:rPr>
          <w:rFonts w:ascii="Arial" w:hAnsi="Arial" w:cs="Arial"/>
        </w:rPr>
        <w:pict>
          <v:group id="_x0000_s1027" style="width:312.5pt;height:229.15pt;mso-position-horizontal-relative:char;mso-position-vertical-relative:line" coordorigin="2465,2445" coordsize="6250,4583">
            <v:shapetype id="_x0000_t202" coordsize="21600,21600" o:spt="202" path="m,l,21600r21600,l21600,xe">
              <v:stroke joinstyle="miter"/>
              <v:path gradientshapeok="t" o:connecttype="rect"/>
            </v:shapetype>
            <v:shape id="_x0000_s1028" type="#_x0000_t202" style="position:absolute;left:2465;top:2541;width:760;height:1209;mso-width-relative:margin;mso-height-relative:margin" stroked="f">
              <v:textbox style="layout-flow:vertical;mso-layout-flow-alt:bottom-to-top;mso-next-textbox:#_x0000_s1028;mso-fit-shape-to-text:t">
                <w:txbxContent>
                  <w:p w:rsidR="00041189" w:rsidRPr="00410EAF" w:rsidRDefault="00041189" w:rsidP="00C91E55">
                    <w:pPr>
                      <w:rPr>
                        <w:rFonts w:ascii="Arial" w:hAnsi="Arial" w:cs="Arial"/>
                        <w:b/>
                        <w:sz w:val="20"/>
                      </w:rPr>
                    </w:pPr>
                    <w:r>
                      <w:rPr>
                        <w:rFonts w:ascii="Arial" w:hAnsi="Arial" w:cs="Arial"/>
                        <w:b/>
                        <w:sz w:val="20"/>
                      </w:rPr>
                      <w:t>Utilisation</w:t>
                    </w:r>
                  </w:p>
                </w:txbxContent>
              </v:textbox>
            </v:shape>
            <v:shapetype id="_x0000_t32" coordsize="21600,21600" o:spt="32" o:oned="t" path="m,l21600,21600e" filled="f">
              <v:path arrowok="t" fillok="f" o:connecttype="none"/>
              <o:lock v:ext="edit" shapetype="t"/>
            </v:shapetype>
            <v:shape id="_x0000_s1029" type="#_x0000_t32" style="position:absolute;left:3150;top:2445;width:0;height:3885;flip:y" o:connectortype="straight">
              <v:stroke endarrow="block"/>
            </v:shape>
            <v:shape id="_x0000_s1030" type="#_x0000_t202" style="position:absolute;left:4869;top:6330;width:1401;height:608;mso-height-percent:200;mso-height-percent:200;mso-width-relative:margin;mso-height-relative:margin" stroked="f">
              <v:textbox style="mso-next-textbox:#_x0000_s1030;mso-fit-shape-to-text:t">
                <w:txbxContent>
                  <w:p w:rsidR="00041189" w:rsidRPr="00410EAF" w:rsidRDefault="00041189" w:rsidP="00C91E55">
                    <w:pPr>
                      <w:rPr>
                        <w:rFonts w:ascii="Arial" w:hAnsi="Arial" w:cs="Arial"/>
                        <w:sz w:val="20"/>
                      </w:rPr>
                    </w:pPr>
                    <w:proofErr w:type="gramStart"/>
                    <w:r w:rsidRPr="00410EAF">
                      <w:rPr>
                        <w:rFonts w:ascii="Arial" w:hAnsi="Arial" w:cs="Arial"/>
                        <w:sz w:val="20"/>
                      </w:rPr>
                      <w:t>cut-off</w:t>
                    </w:r>
                    <w:proofErr w:type="gramEnd"/>
                    <w:r w:rsidRPr="00410EAF">
                      <w:rPr>
                        <w:rFonts w:ascii="Arial" w:hAnsi="Arial" w:cs="Arial"/>
                        <w:sz w:val="20"/>
                      </w:rPr>
                      <w:t xml:space="preserve"> point</w:t>
                    </w:r>
                  </w:p>
                </w:txbxContent>
              </v:textbox>
            </v:shape>
            <v:shape id="_x0000_s1031" type="#_x0000_t202" style="position:absolute;left:5582;top:4215;width:1281;height:635;mso-height-percent:200;mso-height-percent:200;mso-width-relative:margin;mso-height-relative:margin" stroked="f">
              <v:textbox style="mso-next-textbox:#_x0000_s1031;mso-fit-shape-to-text:t">
                <w:txbxContent>
                  <w:p w:rsidR="00041189" w:rsidRPr="00D61510" w:rsidRDefault="00041189" w:rsidP="00C91E55">
                    <w:pPr>
                      <w:rPr>
                        <w:rFonts w:ascii="Arial" w:hAnsi="Arial" w:cs="Arial"/>
                      </w:rPr>
                    </w:pPr>
                    <w:proofErr w:type="gramStart"/>
                    <w:r w:rsidRPr="00D61510">
                      <w:rPr>
                        <w:rFonts w:ascii="Arial" w:hAnsi="Arial" w:cs="Arial"/>
                      </w:rPr>
                      <w:t>slope</w:t>
                    </w:r>
                    <w:proofErr w:type="gramEnd"/>
                    <w:r w:rsidRPr="00D61510">
                      <w:rPr>
                        <w:rFonts w:ascii="Arial" w:hAnsi="Arial" w:cs="Arial"/>
                      </w:rPr>
                      <w:t xml:space="preserve"> </w:t>
                    </w:r>
                    <w:r w:rsidRPr="00D61510">
                      <w:rPr>
                        <w:rFonts w:ascii="Arial" w:hAnsi="Arial" w:cs="Arial"/>
                        <w:i/>
                      </w:rPr>
                      <w:t>β</w:t>
                    </w:r>
                    <w:r>
                      <w:rPr>
                        <w:rFonts w:ascii="Arial" w:hAnsi="Arial" w:cs="Arial"/>
                        <w:i/>
                        <w:vertAlign w:val="subscript"/>
                      </w:rPr>
                      <w:t>2</w:t>
                    </w:r>
                  </w:p>
                </w:txbxContent>
              </v:textbox>
            </v:shape>
            <v:shape id="_x0000_s1032" type="#_x0000_t202" style="position:absolute;left:3856;top:4725;width:1281;height:635;mso-height-percent:200;mso-height-percent:200;mso-width-relative:margin;mso-height-relative:margin" stroked="f">
              <v:textbox style="mso-next-textbox:#_x0000_s1032;mso-fit-shape-to-text:t">
                <w:txbxContent>
                  <w:p w:rsidR="00041189" w:rsidRPr="00D61510" w:rsidRDefault="00041189" w:rsidP="00C91E55">
                    <w:pPr>
                      <w:rPr>
                        <w:rFonts w:ascii="Arial" w:hAnsi="Arial" w:cs="Arial"/>
                      </w:rPr>
                    </w:pPr>
                    <w:proofErr w:type="gramStart"/>
                    <w:r w:rsidRPr="00D61510">
                      <w:rPr>
                        <w:rFonts w:ascii="Arial" w:hAnsi="Arial" w:cs="Arial"/>
                      </w:rPr>
                      <w:t>slope</w:t>
                    </w:r>
                    <w:proofErr w:type="gramEnd"/>
                    <w:r w:rsidRPr="00D61510">
                      <w:rPr>
                        <w:rFonts w:ascii="Arial" w:hAnsi="Arial" w:cs="Arial"/>
                      </w:rPr>
                      <w:t xml:space="preserve"> </w:t>
                    </w:r>
                    <w:r w:rsidRPr="00D61510">
                      <w:rPr>
                        <w:rFonts w:ascii="Arial" w:hAnsi="Arial" w:cs="Arial"/>
                        <w:i/>
                      </w:rPr>
                      <w:t>β</w:t>
                    </w:r>
                    <w:r w:rsidRPr="00D61510">
                      <w:rPr>
                        <w:rFonts w:ascii="Arial" w:hAnsi="Arial" w:cs="Arial"/>
                        <w:i/>
                        <w:vertAlign w:val="subscript"/>
                      </w:rPr>
                      <w:t>1</w:t>
                    </w:r>
                  </w:p>
                </w:txbxContent>
              </v:textbox>
            </v:shape>
            <v:shape id="_x0000_s1033" type="#_x0000_t32" style="position:absolute;left:3150;top:6330;width:5100;height:0" o:connectortype="straight">
              <v:stroke endarrow="block"/>
            </v:shape>
            <v:shape id="_x0000_s1034" type="#_x0000_t32" style="position:absolute;left:3555;top:4725;width:1950;height:885;flip:y" o:connectortype="straight"/>
            <v:shape id="_x0000_s1035" type="#_x0000_t32" style="position:absolute;left:5505;top:4560;width:1110;height:165;flip:y" o:connectortype="straight"/>
            <v:shape id="_x0000_s1036" type="#_x0000_t32" style="position:absolute;left:5505;top:4725;width:0;height:1605" o:connectortype="straight">
              <v:stroke dashstyle="dash"/>
            </v:shape>
            <v:shape id="_x0000_s1037" type="#_x0000_t202" style="position:absolute;left:6444;top:6420;width:2271;height:608;mso-height-percent:200;mso-height-percent:200;mso-width-relative:margin;mso-height-relative:margin" stroked="f">
              <v:textbox style="mso-next-textbox:#_x0000_s1037;mso-fit-shape-to-text:t">
                <w:txbxContent>
                  <w:p w:rsidR="00041189" w:rsidRPr="00410EAF" w:rsidRDefault="00041189" w:rsidP="00C91E55">
                    <w:pPr>
                      <w:rPr>
                        <w:rFonts w:ascii="Arial" w:hAnsi="Arial" w:cs="Arial"/>
                        <w:b/>
                        <w:sz w:val="20"/>
                      </w:rPr>
                    </w:pPr>
                    <w:r w:rsidRPr="00410EAF">
                      <w:rPr>
                        <w:rFonts w:ascii="Arial" w:hAnsi="Arial" w:cs="Arial"/>
                        <w:b/>
                        <w:sz w:val="20"/>
                      </w:rPr>
                      <w:t>Acute needs index</w:t>
                    </w:r>
                  </w:p>
                </w:txbxContent>
              </v:textbox>
            </v:shape>
            <w10:wrap type="none"/>
            <w10:anchorlock/>
          </v:group>
        </w:pict>
      </w:r>
    </w:p>
    <w:p w:rsidR="00AE03F5" w:rsidRDefault="00C91E55" w:rsidP="00620EC0">
      <w:pPr>
        <w:rPr>
          <w:rFonts w:ascii="Arial" w:hAnsi="Arial" w:cs="Arial"/>
          <w:i/>
        </w:rPr>
      </w:pPr>
      <w:r w:rsidRPr="00410EAF">
        <w:rPr>
          <w:rFonts w:ascii="Arial" w:hAnsi="Arial" w:cs="Arial"/>
          <w:i/>
        </w:rPr>
        <w:t xml:space="preserve">Figure </w:t>
      </w:r>
      <w:r w:rsidR="000C1D98">
        <w:rPr>
          <w:rFonts w:ascii="Arial" w:hAnsi="Arial" w:cs="Arial"/>
          <w:i/>
        </w:rPr>
        <w:t>1</w:t>
      </w:r>
      <w:r w:rsidRPr="00410EAF">
        <w:rPr>
          <w:rFonts w:ascii="Arial" w:hAnsi="Arial" w:cs="Arial"/>
          <w:i/>
        </w:rPr>
        <w:t>: Illustration of the simple shortfall model.</w:t>
      </w:r>
    </w:p>
    <w:p w:rsidR="00A70ED5" w:rsidRDefault="00A70ED5" w:rsidP="00A70ED5">
      <w:pPr>
        <w:rPr>
          <w:rFonts w:ascii="Arial" w:hAnsi="Arial" w:cs="Arial"/>
        </w:rPr>
      </w:pPr>
    </w:p>
    <w:p w:rsidR="00CE1205" w:rsidRDefault="00CE1205" w:rsidP="00A71594">
      <w:pPr>
        <w:jc w:val="both"/>
        <w:rPr>
          <w:rFonts w:ascii="Arial" w:hAnsi="Arial" w:cs="Arial"/>
        </w:rPr>
      </w:pPr>
      <w:r>
        <w:rPr>
          <w:rFonts w:ascii="Arial" w:hAnsi="Arial" w:cs="Arial"/>
        </w:rPr>
        <w:t xml:space="preserve">The analysis found that for </w:t>
      </w:r>
      <w:proofErr w:type="gramStart"/>
      <w:r>
        <w:rPr>
          <w:rFonts w:ascii="Arial" w:hAnsi="Arial" w:cs="Arial"/>
        </w:rPr>
        <w:t>Other</w:t>
      </w:r>
      <w:proofErr w:type="gramEnd"/>
      <w:r>
        <w:rPr>
          <w:rFonts w:ascii="Arial" w:hAnsi="Arial" w:cs="Arial"/>
        </w:rPr>
        <w:t xml:space="preserve">, </w:t>
      </w:r>
      <w:r w:rsidRPr="00CE1205">
        <w:rPr>
          <w:rFonts w:ascii="Arial" w:hAnsi="Arial" w:cs="Arial"/>
          <w:i/>
        </w:rPr>
        <w:t>β</w:t>
      </w:r>
      <w:r w:rsidRPr="00CE1205">
        <w:rPr>
          <w:rFonts w:ascii="Arial" w:hAnsi="Arial" w:cs="Arial"/>
          <w:i/>
          <w:vertAlign w:val="subscript"/>
        </w:rPr>
        <w:t>2</w:t>
      </w:r>
      <w:r>
        <w:rPr>
          <w:rFonts w:ascii="Arial" w:hAnsi="Arial" w:cs="Arial"/>
        </w:rPr>
        <w:t xml:space="preserve"> was significantly lower than </w:t>
      </w:r>
      <w:r w:rsidRPr="00CE1205">
        <w:rPr>
          <w:rFonts w:ascii="Arial" w:hAnsi="Arial" w:cs="Arial"/>
          <w:i/>
        </w:rPr>
        <w:t>β</w:t>
      </w:r>
      <w:r w:rsidRPr="00CE1205">
        <w:rPr>
          <w:rFonts w:ascii="Arial" w:hAnsi="Arial" w:cs="Arial"/>
          <w:i/>
          <w:vertAlign w:val="subscript"/>
        </w:rPr>
        <w:t>1</w:t>
      </w:r>
      <w:r>
        <w:rPr>
          <w:rFonts w:ascii="Arial" w:hAnsi="Arial" w:cs="Arial"/>
        </w:rPr>
        <w:t xml:space="preserve">, and </w:t>
      </w:r>
      <w:r w:rsidRPr="00CE1205">
        <w:rPr>
          <w:rFonts w:ascii="Arial" w:hAnsi="Arial" w:cs="Arial"/>
          <w:i/>
        </w:rPr>
        <w:t>β</w:t>
      </w:r>
      <w:r w:rsidRPr="00CE1205">
        <w:rPr>
          <w:rFonts w:ascii="Arial" w:hAnsi="Arial" w:cs="Arial"/>
          <w:i/>
          <w:vertAlign w:val="subscript"/>
        </w:rPr>
        <w:t>1</w:t>
      </w:r>
      <w:r>
        <w:rPr>
          <w:rFonts w:ascii="Arial" w:hAnsi="Arial" w:cs="Arial"/>
        </w:rPr>
        <w:t xml:space="preserve"> was significantly higher than the unadjusted slope (i.e. the slope coefficient of the simple linear model)</w:t>
      </w:r>
      <w:r w:rsidR="004D709A">
        <w:rPr>
          <w:rFonts w:ascii="Arial" w:hAnsi="Arial" w:cs="Arial"/>
        </w:rPr>
        <w:t>, for a large range of cut-off points</w:t>
      </w:r>
      <w:r>
        <w:rPr>
          <w:rFonts w:ascii="Arial" w:hAnsi="Arial" w:cs="Arial"/>
        </w:rPr>
        <w:t xml:space="preserve">. This suggested the possibility of unmet need for which an adjustment could make a difference. </w:t>
      </w:r>
      <w:r w:rsidR="004D709A">
        <w:rPr>
          <w:rFonts w:ascii="Arial" w:hAnsi="Arial" w:cs="Arial"/>
        </w:rPr>
        <w:t xml:space="preserve">An adjustment would be implemented in the formula by fitting the simple linear model only to the data zones below a cut-off point; this linear model would have slope equal to </w:t>
      </w:r>
      <w:r w:rsidR="004D709A" w:rsidRPr="0051338C">
        <w:rPr>
          <w:rFonts w:ascii="Arial" w:hAnsi="Arial" w:cs="Arial"/>
          <w:i/>
        </w:rPr>
        <w:t>β</w:t>
      </w:r>
      <w:r w:rsidR="004D709A" w:rsidRPr="0051338C">
        <w:rPr>
          <w:rFonts w:ascii="Arial" w:hAnsi="Arial" w:cs="Arial"/>
          <w:i/>
          <w:vertAlign w:val="subscript"/>
        </w:rPr>
        <w:t>1</w:t>
      </w:r>
      <w:r w:rsidR="004D709A">
        <w:rPr>
          <w:rFonts w:ascii="Arial" w:hAnsi="Arial" w:cs="Arial"/>
        </w:rPr>
        <w:t xml:space="preserve">, and would be used to predict need for </w:t>
      </w:r>
      <w:r w:rsidR="004D709A" w:rsidRPr="004D709A">
        <w:rPr>
          <w:rFonts w:ascii="Arial" w:hAnsi="Arial" w:cs="Arial"/>
          <w:i/>
        </w:rPr>
        <w:t>all</w:t>
      </w:r>
      <w:r w:rsidR="004D709A">
        <w:rPr>
          <w:rFonts w:ascii="Arial" w:hAnsi="Arial" w:cs="Arial"/>
        </w:rPr>
        <w:t xml:space="preserve"> data zones, effectively extrapolating the fitted line into the data zones above the cut-off point. </w:t>
      </w:r>
      <w:r>
        <w:rPr>
          <w:rFonts w:ascii="Arial" w:hAnsi="Arial" w:cs="Arial"/>
        </w:rPr>
        <w:t>The</w:t>
      </w:r>
      <w:r w:rsidRPr="00CE1205">
        <w:rPr>
          <w:rFonts w:ascii="Arial" w:hAnsi="Arial" w:cs="Arial"/>
        </w:rPr>
        <w:t xml:space="preserve"> </w:t>
      </w:r>
      <w:r>
        <w:rPr>
          <w:rFonts w:ascii="Arial" w:hAnsi="Arial" w:cs="Arial"/>
        </w:rPr>
        <w:t>highest-R</w:t>
      </w:r>
      <w:r w:rsidRPr="00625801">
        <w:rPr>
          <w:rFonts w:ascii="Arial" w:hAnsi="Arial" w:cs="Arial"/>
          <w:vertAlign w:val="superscript"/>
        </w:rPr>
        <w:t>2</w:t>
      </w:r>
      <w:r>
        <w:rPr>
          <w:rFonts w:ascii="Arial" w:hAnsi="Arial" w:cs="Arial"/>
        </w:rPr>
        <w:t xml:space="preserve"> criterion selected an optimal cut-off point of 5%.</w:t>
      </w:r>
    </w:p>
    <w:p w:rsidR="00A70ED5" w:rsidRDefault="00A70ED5" w:rsidP="00A71594">
      <w:pPr>
        <w:jc w:val="both"/>
        <w:rPr>
          <w:rFonts w:ascii="Arial" w:hAnsi="Arial" w:cs="Arial"/>
        </w:rPr>
      </w:pPr>
      <w:r>
        <w:rPr>
          <w:rFonts w:ascii="Arial" w:hAnsi="Arial" w:cs="Arial"/>
        </w:rPr>
        <w:t xml:space="preserve">Figure 2 shows the effect of fitting the simple shortfall model (with the </w:t>
      </w:r>
      <w:r w:rsidR="00CE1205">
        <w:rPr>
          <w:rFonts w:ascii="Arial" w:hAnsi="Arial" w:cs="Arial"/>
        </w:rPr>
        <w:t>5% cut-off point</w:t>
      </w:r>
      <w:r>
        <w:rPr>
          <w:rFonts w:ascii="Arial" w:hAnsi="Arial" w:cs="Arial"/>
        </w:rPr>
        <w:t xml:space="preserve">), as compared to the simple linear model. The line in black shows the fitted simple linear model, while the shortfall model is shown in green. If an unmet need adjustment were adopted with a 5% cut-off, the data zones in </w:t>
      </w:r>
      <w:r w:rsidR="00174C42">
        <w:rPr>
          <w:rFonts w:ascii="Arial" w:hAnsi="Arial" w:cs="Arial"/>
        </w:rPr>
        <w:t>red</w:t>
      </w:r>
      <w:r>
        <w:rPr>
          <w:rFonts w:ascii="Arial" w:hAnsi="Arial" w:cs="Arial"/>
        </w:rPr>
        <w:t xml:space="preserve"> would be excluded from the regression. The dashed green line indicates how the adjusted slope obtained by the regression would be extrapolated. </w:t>
      </w:r>
    </w:p>
    <w:p w:rsidR="00A70ED5" w:rsidRDefault="00CE1205" w:rsidP="00174C42">
      <w:pPr>
        <w:jc w:val="both"/>
        <w:rPr>
          <w:rFonts w:ascii="Arial" w:hAnsi="Arial" w:cs="Arial"/>
        </w:rPr>
      </w:pPr>
      <w:r>
        <w:rPr>
          <w:rFonts w:ascii="Arial" w:hAnsi="Arial" w:cs="Arial"/>
        </w:rPr>
        <w:t xml:space="preserve">Analysis was carried out to see whether </w:t>
      </w:r>
      <w:r w:rsidR="0010687C">
        <w:rPr>
          <w:rFonts w:ascii="Arial" w:hAnsi="Arial" w:cs="Arial"/>
        </w:rPr>
        <w:t>influential outliers were responsible for the significant deviation from linearity. This was not the case; removing the most outlying points did not change the results.</w:t>
      </w:r>
    </w:p>
    <w:p w:rsidR="00AE03F5" w:rsidRDefault="00AE03F5" w:rsidP="00AE03F5">
      <w:pPr>
        <w:spacing w:after="0"/>
        <w:rPr>
          <w:rFonts w:ascii="Arial" w:hAnsi="Arial" w:cs="Arial"/>
          <w:i/>
        </w:rPr>
      </w:pPr>
      <w:r>
        <w:rPr>
          <w:rFonts w:ascii="Arial" w:hAnsi="Arial" w:cs="Arial"/>
          <w:i/>
          <w:noProof/>
          <w:lang w:eastAsia="en-GB"/>
        </w:rPr>
        <w:lastRenderedPageBreak/>
        <w:drawing>
          <wp:inline distT="0" distB="0" distL="0" distR="0">
            <wp:extent cx="4914900" cy="3187116"/>
            <wp:effectExtent l="19050" t="0" r="0" b="0"/>
            <wp:docPr id="1" name="Picture 0" descr="Other_5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_5pc.png"/>
                    <pic:cNvPicPr/>
                  </pic:nvPicPr>
                  <pic:blipFill>
                    <a:blip r:embed="rId8" cstate="print"/>
                    <a:stretch>
                      <a:fillRect/>
                    </a:stretch>
                  </pic:blipFill>
                  <pic:spPr>
                    <a:xfrm>
                      <a:off x="0" y="0"/>
                      <a:ext cx="4917420" cy="3188750"/>
                    </a:xfrm>
                    <a:prstGeom prst="rect">
                      <a:avLst/>
                    </a:prstGeom>
                  </pic:spPr>
                </pic:pic>
              </a:graphicData>
            </a:graphic>
          </wp:inline>
        </w:drawing>
      </w:r>
    </w:p>
    <w:p w:rsidR="00A77303" w:rsidRDefault="00620EC0" w:rsidP="00A77303">
      <w:pPr>
        <w:rPr>
          <w:rFonts w:ascii="Arial" w:hAnsi="Arial" w:cs="Arial"/>
          <w:i/>
        </w:rPr>
      </w:pPr>
      <w:r w:rsidRPr="00757F37">
        <w:rPr>
          <w:rFonts w:ascii="Arial" w:hAnsi="Arial" w:cs="Arial"/>
          <w:i/>
        </w:rPr>
        <w:t xml:space="preserve">Figure </w:t>
      </w:r>
      <w:r w:rsidR="002F57A1">
        <w:rPr>
          <w:rFonts w:ascii="Arial" w:hAnsi="Arial" w:cs="Arial"/>
          <w:i/>
        </w:rPr>
        <w:t>2</w:t>
      </w:r>
      <w:r w:rsidR="00413E3A">
        <w:rPr>
          <w:rFonts w:ascii="Arial" w:hAnsi="Arial" w:cs="Arial"/>
          <w:i/>
        </w:rPr>
        <w:t xml:space="preserve">: </w:t>
      </w:r>
      <w:r w:rsidR="00625801" w:rsidRPr="00757F37">
        <w:rPr>
          <w:rFonts w:ascii="Arial" w:hAnsi="Arial" w:cs="Arial"/>
          <w:i/>
        </w:rPr>
        <w:t xml:space="preserve">Scatter plot of </w:t>
      </w:r>
      <w:r w:rsidR="00625801">
        <w:rPr>
          <w:rFonts w:ascii="Arial" w:hAnsi="Arial" w:cs="Arial"/>
          <w:i/>
        </w:rPr>
        <w:t>Other</w:t>
      </w:r>
      <w:r w:rsidR="00625801" w:rsidRPr="00757F37">
        <w:rPr>
          <w:rFonts w:ascii="Arial" w:hAnsi="Arial" w:cs="Arial"/>
          <w:i/>
        </w:rPr>
        <w:t xml:space="preserve"> cost ratios against Acute needs index, showing the </w:t>
      </w:r>
      <w:r w:rsidR="00625801">
        <w:rPr>
          <w:rFonts w:ascii="Arial" w:hAnsi="Arial" w:cs="Arial"/>
          <w:i/>
        </w:rPr>
        <w:t>5</w:t>
      </w:r>
      <w:r w:rsidR="00625801" w:rsidRPr="00757F37">
        <w:rPr>
          <w:rFonts w:ascii="Arial" w:hAnsi="Arial" w:cs="Arial"/>
          <w:i/>
        </w:rPr>
        <w:t>% of data zones with the highest needs index</w:t>
      </w:r>
      <w:r w:rsidR="00AD598A">
        <w:rPr>
          <w:rFonts w:ascii="Arial" w:hAnsi="Arial" w:cs="Arial"/>
          <w:i/>
        </w:rPr>
        <w:t xml:space="preserve"> in </w:t>
      </w:r>
      <w:r w:rsidR="00174C42">
        <w:rPr>
          <w:rFonts w:ascii="Arial" w:hAnsi="Arial" w:cs="Arial"/>
          <w:i/>
        </w:rPr>
        <w:t>red</w:t>
      </w:r>
      <w:r w:rsidR="00625801" w:rsidRPr="00757F37">
        <w:rPr>
          <w:rFonts w:ascii="Arial" w:hAnsi="Arial" w:cs="Arial"/>
          <w:i/>
        </w:rPr>
        <w:t>, and the effect on the slope</w:t>
      </w:r>
      <w:r w:rsidR="00A70ED5" w:rsidRPr="00A70ED5">
        <w:rPr>
          <w:rStyle w:val="FootnoteReference"/>
          <w:rFonts w:ascii="Arial" w:hAnsi="Arial" w:cs="Arial"/>
          <w:i/>
        </w:rPr>
        <w:footnoteReference w:id="1"/>
      </w:r>
      <w:r w:rsidR="00625801" w:rsidRPr="00757F37">
        <w:rPr>
          <w:rFonts w:ascii="Arial" w:hAnsi="Arial" w:cs="Arial"/>
          <w:i/>
        </w:rPr>
        <w:t xml:space="preserve"> when the simple shortfall method is applied with this cut-off</w:t>
      </w:r>
      <w:r w:rsidR="00625801">
        <w:rPr>
          <w:rFonts w:ascii="Arial" w:hAnsi="Arial" w:cs="Arial"/>
          <w:i/>
        </w:rPr>
        <w:t>.</w:t>
      </w:r>
    </w:p>
    <w:p w:rsidR="006C0DCE" w:rsidRDefault="006C0DCE" w:rsidP="00FE720F">
      <w:pPr>
        <w:rPr>
          <w:rFonts w:ascii="Arial" w:hAnsi="Arial" w:cs="Arial"/>
        </w:rPr>
      </w:pPr>
    </w:p>
    <w:p w:rsidR="00FE720F" w:rsidRDefault="00FE720F" w:rsidP="00A71594">
      <w:pPr>
        <w:jc w:val="both"/>
        <w:rPr>
          <w:rFonts w:ascii="Arial" w:hAnsi="Arial" w:cs="Arial"/>
        </w:rPr>
      </w:pPr>
      <w:r>
        <w:rPr>
          <w:rFonts w:ascii="Arial" w:hAnsi="Arial" w:cs="Arial"/>
        </w:rPr>
        <w:t xml:space="preserve">Figure 3 shows the </w:t>
      </w:r>
      <w:r w:rsidR="00174C42">
        <w:rPr>
          <w:rFonts w:ascii="Arial" w:hAnsi="Arial" w:cs="Arial"/>
        </w:rPr>
        <w:t>value of</w:t>
      </w:r>
      <w:r>
        <w:rPr>
          <w:rFonts w:ascii="Arial" w:hAnsi="Arial" w:cs="Arial"/>
        </w:rPr>
        <w:t xml:space="preserve"> </w:t>
      </w:r>
      <w:r w:rsidRPr="00697802">
        <w:rPr>
          <w:rFonts w:ascii="Arial" w:hAnsi="Arial" w:cs="Arial"/>
          <w:i/>
        </w:rPr>
        <w:t>β</w:t>
      </w:r>
      <w:r w:rsidRPr="00697802">
        <w:rPr>
          <w:rFonts w:ascii="Arial" w:hAnsi="Arial" w:cs="Arial"/>
          <w:i/>
          <w:vertAlign w:val="subscript"/>
        </w:rPr>
        <w:t>1</w:t>
      </w:r>
      <w:r>
        <w:rPr>
          <w:rFonts w:ascii="Arial" w:hAnsi="Arial" w:cs="Arial"/>
        </w:rPr>
        <w:t xml:space="preserve"> (with confidence intervals) against trial cut-off point; the unadjusted slope is shown as a reference line. Figure 4 shows the </w:t>
      </w:r>
      <w:r w:rsidR="000B5EB4">
        <w:rPr>
          <w:rFonts w:ascii="Arial" w:hAnsi="Arial" w:cs="Arial"/>
        </w:rPr>
        <w:t xml:space="preserve">adjusted </w:t>
      </w:r>
      <w:r>
        <w:rPr>
          <w:rFonts w:ascii="Arial" w:hAnsi="Arial" w:cs="Arial"/>
        </w:rPr>
        <w:t>R</w:t>
      </w:r>
      <w:r w:rsidRPr="00FE720F">
        <w:rPr>
          <w:rFonts w:ascii="Arial" w:hAnsi="Arial" w:cs="Arial"/>
          <w:vertAlign w:val="superscript"/>
        </w:rPr>
        <w:t>2</w:t>
      </w:r>
      <w:r>
        <w:rPr>
          <w:rFonts w:ascii="Arial" w:hAnsi="Arial" w:cs="Arial"/>
        </w:rPr>
        <w:t xml:space="preserve"> obtained from the shortfall model using each trial cut-off point.</w:t>
      </w:r>
    </w:p>
    <w:p w:rsidR="00FE720F" w:rsidRPr="00410EAF" w:rsidRDefault="00FE720F" w:rsidP="00A71594">
      <w:pPr>
        <w:jc w:val="both"/>
        <w:rPr>
          <w:rFonts w:ascii="Arial" w:hAnsi="Arial" w:cs="Arial"/>
        </w:rPr>
      </w:pPr>
      <w:r>
        <w:rPr>
          <w:rFonts w:ascii="Arial" w:hAnsi="Arial" w:cs="Arial"/>
        </w:rPr>
        <w:t>These plots show that:</w:t>
      </w:r>
    </w:p>
    <w:p w:rsidR="00FE720F" w:rsidRPr="00FE720F" w:rsidRDefault="00FE720F" w:rsidP="00A71594">
      <w:pPr>
        <w:pStyle w:val="ListParagraph"/>
        <w:numPr>
          <w:ilvl w:val="0"/>
          <w:numId w:val="3"/>
        </w:numPr>
        <w:tabs>
          <w:tab w:val="clear" w:pos="720"/>
          <w:tab w:val="clear" w:pos="1440"/>
          <w:tab w:val="clear" w:pos="2160"/>
          <w:tab w:val="clear" w:pos="2880"/>
          <w:tab w:val="clear" w:pos="4680"/>
          <w:tab w:val="clear" w:pos="5400"/>
          <w:tab w:val="clear" w:pos="9000"/>
        </w:tabs>
        <w:spacing w:after="120" w:line="276" w:lineRule="auto"/>
        <w:ind w:left="714" w:hanging="357"/>
        <w:contextualSpacing w:val="0"/>
        <w:rPr>
          <w:rFonts w:cs="Arial"/>
          <w:sz w:val="22"/>
        </w:rPr>
      </w:pPr>
      <w:r w:rsidRPr="00FE720F">
        <w:rPr>
          <w:rFonts w:cs="Arial"/>
          <w:sz w:val="22"/>
        </w:rPr>
        <w:t xml:space="preserve">The slope </w:t>
      </w:r>
      <w:r w:rsidRPr="00FE720F">
        <w:rPr>
          <w:rFonts w:cs="Arial"/>
          <w:i/>
          <w:sz w:val="22"/>
        </w:rPr>
        <w:t>β</w:t>
      </w:r>
      <w:r w:rsidRPr="00FE720F">
        <w:rPr>
          <w:rFonts w:cs="Arial"/>
          <w:i/>
          <w:sz w:val="22"/>
          <w:vertAlign w:val="subscript"/>
        </w:rPr>
        <w:t>1</w:t>
      </w:r>
      <w:r w:rsidRPr="00FE720F">
        <w:rPr>
          <w:rFonts w:cs="Arial"/>
          <w:sz w:val="22"/>
        </w:rPr>
        <w:t xml:space="preserve"> increases continuously with the cut-off point, becoming significantly different from the unadjusted slope by the time a cut-off point of 4% is reached. </w:t>
      </w:r>
      <w:r w:rsidR="00CC711E">
        <w:rPr>
          <w:rFonts w:cs="Arial"/>
          <w:sz w:val="22"/>
        </w:rPr>
        <w:t xml:space="preserve">This </w:t>
      </w:r>
      <w:r w:rsidR="00305B03">
        <w:rPr>
          <w:rFonts w:cs="Arial"/>
          <w:sz w:val="22"/>
        </w:rPr>
        <w:t xml:space="preserve">suggests </w:t>
      </w:r>
      <w:r w:rsidR="00CC711E">
        <w:rPr>
          <w:rFonts w:cs="Arial"/>
          <w:sz w:val="22"/>
        </w:rPr>
        <w:t xml:space="preserve">that the </w:t>
      </w:r>
      <w:r w:rsidR="00ED201E">
        <w:rPr>
          <w:rFonts w:cs="Arial"/>
          <w:sz w:val="22"/>
        </w:rPr>
        <w:t>reduction</w:t>
      </w:r>
      <w:r w:rsidR="00AE03F5">
        <w:rPr>
          <w:rFonts w:cs="Arial"/>
          <w:sz w:val="22"/>
        </w:rPr>
        <w:t xml:space="preserve"> </w:t>
      </w:r>
      <w:r w:rsidR="00CC711E">
        <w:rPr>
          <w:rFonts w:cs="Arial"/>
          <w:sz w:val="22"/>
        </w:rPr>
        <w:t xml:space="preserve">of the effective </w:t>
      </w:r>
      <w:r w:rsidR="00305B03">
        <w:rPr>
          <w:rFonts w:cs="Arial"/>
          <w:sz w:val="22"/>
        </w:rPr>
        <w:t>gradient towards the high end of the needs index is robust, and not just a result of (possibly random) differences in the few data zones at the very end.</w:t>
      </w:r>
    </w:p>
    <w:p w:rsidR="00FE720F" w:rsidRPr="00361FF6" w:rsidRDefault="00FE720F" w:rsidP="00A71594">
      <w:pPr>
        <w:pStyle w:val="ListParagraph"/>
        <w:numPr>
          <w:ilvl w:val="0"/>
          <w:numId w:val="3"/>
        </w:numPr>
        <w:tabs>
          <w:tab w:val="clear" w:pos="720"/>
          <w:tab w:val="clear" w:pos="1440"/>
          <w:tab w:val="clear" w:pos="2160"/>
          <w:tab w:val="clear" w:pos="2880"/>
          <w:tab w:val="clear" w:pos="4680"/>
          <w:tab w:val="clear" w:pos="5400"/>
          <w:tab w:val="clear" w:pos="9000"/>
        </w:tabs>
        <w:spacing w:after="120" w:line="276" w:lineRule="auto"/>
        <w:ind w:left="714" w:hanging="357"/>
        <w:contextualSpacing w:val="0"/>
        <w:rPr>
          <w:rFonts w:cs="Arial"/>
          <w:sz w:val="22"/>
        </w:rPr>
      </w:pPr>
      <w:r w:rsidRPr="00FE720F">
        <w:rPr>
          <w:rFonts w:cs="Arial"/>
          <w:sz w:val="22"/>
        </w:rPr>
        <w:t>Although a 5% cut-off point results in the highest adjusted R</w:t>
      </w:r>
      <w:r w:rsidRPr="00FE720F">
        <w:rPr>
          <w:rFonts w:cs="Arial"/>
          <w:sz w:val="22"/>
          <w:vertAlign w:val="superscript"/>
        </w:rPr>
        <w:t>2</w:t>
      </w:r>
      <w:r w:rsidRPr="00FE720F">
        <w:rPr>
          <w:rFonts w:cs="Arial"/>
          <w:sz w:val="22"/>
        </w:rPr>
        <w:t xml:space="preserve"> value</w:t>
      </w:r>
      <w:r>
        <w:rPr>
          <w:rFonts w:cs="Arial"/>
          <w:sz w:val="22"/>
        </w:rPr>
        <w:t xml:space="preserve"> (by a tiny margin),</w:t>
      </w:r>
      <w:r w:rsidRPr="00FE720F">
        <w:rPr>
          <w:rFonts w:cs="Arial"/>
          <w:sz w:val="22"/>
        </w:rPr>
        <w:t xml:space="preserve"> </w:t>
      </w:r>
      <w:r>
        <w:rPr>
          <w:rFonts w:cs="Arial"/>
          <w:sz w:val="22"/>
        </w:rPr>
        <w:t>t</w:t>
      </w:r>
      <w:r w:rsidRPr="00361FF6">
        <w:rPr>
          <w:rFonts w:cs="Arial"/>
          <w:sz w:val="22"/>
        </w:rPr>
        <w:t xml:space="preserve">he slope </w:t>
      </w:r>
      <w:r w:rsidRPr="00361FF6">
        <w:rPr>
          <w:rFonts w:cs="Arial"/>
          <w:i/>
          <w:sz w:val="22"/>
        </w:rPr>
        <w:t>β</w:t>
      </w:r>
      <w:r w:rsidRPr="00361FF6">
        <w:rPr>
          <w:rFonts w:cs="Arial"/>
          <w:i/>
          <w:sz w:val="22"/>
          <w:vertAlign w:val="subscript"/>
        </w:rPr>
        <w:t>1</w:t>
      </w:r>
      <w:r w:rsidRPr="00361FF6">
        <w:rPr>
          <w:rFonts w:cs="Arial"/>
          <w:sz w:val="22"/>
        </w:rPr>
        <w:t xml:space="preserve"> obtained using a cut-off point of 30% is significantly higher than </w:t>
      </w:r>
      <w:r w:rsidR="00305B03">
        <w:rPr>
          <w:rFonts w:cs="Arial"/>
          <w:sz w:val="22"/>
        </w:rPr>
        <w:t xml:space="preserve">that obtained </w:t>
      </w:r>
      <w:r w:rsidRPr="00361FF6">
        <w:rPr>
          <w:rFonts w:cs="Arial"/>
          <w:sz w:val="22"/>
        </w:rPr>
        <w:t>with a cut-off point of 5%.</w:t>
      </w:r>
    </w:p>
    <w:p w:rsidR="00FE720F" w:rsidRDefault="00FE720F" w:rsidP="00A71594">
      <w:pPr>
        <w:pStyle w:val="ListParagraph"/>
        <w:numPr>
          <w:ilvl w:val="0"/>
          <w:numId w:val="3"/>
        </w:numPr>
        <w:tabs>
          <w:tab w:val="clear" w:pos="720"/>
          <w:tab w:val="clear" w:pos="1440"/>
          <w:tab w:val="clear" w:pos="2160"/>
          <w:tab w:val="clear" w:pos="2880"/>
          <w:tab w:val="clear" w:pos="4680"/>
          <w:tab w:val="clear" w:pos="5400"/>
          <w:tab w:val="clear" w:pos="9000"/>
        </w:tabs>
        <w:spacing w:after="200" w:line="276" w:lineRule="auto"/>
        <w:rPr>
          <w:rFonts w:cs="Arial"/>
          <w:sz w:val="22"/>
        </w:rPr>
      </w:pPr>
      <w:r w:rsidRPr="00361FF6">
        <w:rPr>
          <w:rFonts w:cs="Arial"/>
          <w:sz w:val="22"/>
        </w:rPr>
        <w:t>The adjusted R</w:t>
      </w:r>
      <w:r w:rsidRPr="00361FF6">
        <w:rPr>
          <w:rFonts w:cs="Arial"/>
          <w:sz w:val="22"/>
          <w:vertAlign w:val="superscript"/>
        </w:rPr>
        <w:t>2</w:t>
      </w:r>
      <w:r w:rsidRPr="00361FF6">
        <w:rPr>
          <w:rFonts w:cs="Arial"/>
          <w:sz w:val="22"/>
        </w:rPr>
        <w:t xml:space="preserve"> is actually near-constant across the range of possible cut-off points.</w:t>
      </w:r>
    </w:p>
    <w:p w:rsidR="00845DD3" w:rsidRPr="00845DD3" w:rsidRDefault="00845DD3" w:rsidP="00845DD3">
      <w:pPr>
        <w:rPr>
          <w:rFonts w:cs="Arial"/>
        </w:rPr>
      </w:pPr>
    </w:p>
    <w:p w:rsidR="00751FCB" w:rsidRDefault="005C61CE" w:rsidP="00AE03F5">
      <w:pPr>
        <w:spacing w:after="0"/>
        <w:rPr>
          <w:rFonts w:ascii="Arial" w:hAnsi="Arial" w:cs="Arial"/>
        </w:rPr>
      </w:pPr>
      <w:r>
        <w:rPr>
          <w:rFonts w:ascii="Arial" w:hAnsi="Arial" w:cs="Arial"/>
          <w:noProof/>
          <w:lang w:eastAsia="en-GB"/>
        </w:rPr>
        <w:lastRenderedPageBreak/>
        <w:drawing>
          <wp:inline distT="0" distB="0" distL="0" distR="0">
            <wp:extent cx="4857750" cy="3286125"/>
            <wp:effectExtent l="19050" t="0" r="0" b="0"/>
            <wp:docPr id="30" name="Picture 30" descr="H:\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Rplot.png"/>
                    <pic:cNvPicPr>
                      <a:picLocks noChangeAspect="1" noChangeArrowheads="1"/>
                    </pic:cNvPicPr>
                  </pic:nvPicPr>
                  <pic:blipFill>
                    <a:blip r:embed="rId9" cstate="print"/>
                    <a:srcRect/>
                    <a:stretch>
                      <a:fillRect/>
                    </a:stretch>
                  </pic:blipFill>
                  <pic:spPr bwMode="auto">
                    <a:xfrm>
                      <a:off x="0" y="0"/>
                      <a:ext cx="4860976" cy="3288307"/>
                    </a:xfrm>
                    <a:prstGeom prst="rect">
                      <a:avLst/>
                    </a:prstGeom>
                    <a:noFill/>
                    <a:ln w="9525">
                      <a:noFill/>
                      <a:miter lim="800000"/>
                      <a:headEnd/>
                      <a:tailEnd/>
                    </a:ln>
                  </pic:spPr>
                </pic:pic>
              </a:graphicData>
            </a:graphic>
          </wp:inline>
        </w:drawing>
      </w:r>
    </w:p>
    <w:p w:rsidR="009376F3" w:rsidRDefault="00751FCB" w:rsidP="009376F3">
      <w:pPr>
        <w:rPr>
          <w:rFonts w:ascii="Arial" w:hAnsi="Arial" w:cs="Arial"/>
          <w:i/>
        </w:rPr>
      </w:pPr>
      <w:r w:rsidRPr="00757F37">
        <w:rPr>
          <w:rFonts w:ascii="Arial" w:hAnsi="Arial" w:cs="Arial"/>
          <w:i/>
        </w:rPr>
        <w:t xml:space="preserve">Figure </w:t>
      </w:r>
      <w:r>
        <w:rPr>
          <w:rFonts w:ascii="Arial" w:hAnsi="Arial" w:cs="Arial"/>
          <w:i/>
        </w:rPr>
        <w:t>3</w:t>
      </w:r>
      <w:r w:rsidRPr="00757F37">
        <w:rPr>
          <w:rFonts w:ascii="Arial" w:hAnsi="Arial" w:cs="Arial"/>
          <w:i/>
        </w:rPr>
        <w:t xml:space="preserve">: </w:t>
      </w:r>
      <w:r w:rsidR="00305B03">
        <w:rPr>
          <w:rFonts w:ascii="Arial" w:hAnsi="Arial" w:cs="Arial"/>
          <w:i/>
        </w:rPr>
        <w:t>Slope β</w:t>
      </w:r>
      <w:r w:rsidR="00305B03" w:rsidRPr="00305B03">
        <w:rPr>
          <w:rFonts w:ascii="Arial" w:hAnsi="Arial" w:cs="Arial"/>
          <w:i/>
          <w:vertAlign w:val="subscript"/>
        </w:rPr>
        <w:t xml:space="preserve">1 </w:t>
      </w:r>
      <w:r w:rsidR="00305B03">
        <w:rPr>
          <w:rFonts w:ascii="Arial" w:hAnsi="Arial" w:cs="Arial"/>
          <w:i/>
        </w:rPr>
        <w:t xml:space="preserve">(see Figure 1) against trial cut-off point, for the simple shortfall model fitted to the </w:t>
      </w:r>
      <w:r>
        <w:rPr>
          <w:rFonts w:ascii="Arial" w:hAnsi="Arial" w:cs="Arial"/>
          <w:i/>
        </w:rPr>
        <w:t>“Other” dia</w:t>
      </w:r>
      <w:r w:rsidR="00305B03">
        <w:rPr>
          <w:rFonts w:ascii="Arial" w:hAnsi="Arial" w:cs="Arial"/>
          <w:i/>
        </w:rPr>
        <w:t>gnostic group. E</w:t>
      </w:r>
      <w:r w:rsidR="00380033">
        <w:rPr>
          <w:rFonts w:ascii="Arial" w:hAnsi="Arial" w:cs="Arial"/>
          <w:i/>
        </w:rPr>
        <w:t xml:space="preserve">rror bars represent </w:t>
      </w:r>
      <w:r w:rsidR="00305B03">
        <w:rPr>
          <w:rFonts w:ascii="Arial" w:hAnsi="Arial" w:cs="Arial"/>
          <w:i/>
        </w:rPr>
        <w:t xml:space="preserve">95% </w:t>
      </w:r>
      <w:r w:rsidR="00845DD3">
        <w:rPr>
          <w:rFonts w:ascii="Arial" w:hAnsi="Arial" w:cs="Arial"/>
          <w:i/>
        </w:rPr>
        <w:t xml:space="preserve">confidence intervals. The </w:t>
      </w:r>
      <w:r w:rsidR="00380033">
        <w:rPr>
          <w:rFonts w:ascii="Arial" w:hAnsi="Arial" w:cs="Arial"/>
          <w:i/>
        </w:rPr>
        <w:t xml:space="preserve">horizontal line </w:t>
      </w:r>
      <w:r w:rsidR="00845DD3">
        <w:rPr>
          <w:rFonts w:ascii="Arial" w:hAnsi="Arial" w:cs="Arial"/>
          <w:i/>
        </w:rPr>
        <w:t xml:space="preserve">shows </w:t>
      </w:r>
      <w:r w:rsidR="00380033">
        <w:rPr>
          <w:rFonts w:ascii="Arial" w:hAnsi="Arial" w:cs="Arial"/>
          <w:i/>
        </w:rPr>
        <w:t xml:space="preserve">the </w:t>
      </w:r>
      <w:r w:rsidR="00845DD3">
        <w:rPr>
          <w:rFonts w:ascii="Arial" w:hAnsi="Arial" w:cs="Arial"/>
          <w:i/>
        </w:rPr>
        <w:t>unadjusted slope; the 95% confidence interval is indicated with dashed</w:t>
      </w:r>
      <w:r w:rsidR="005C61CE">
        <w:rPr>
          <w:rFonts w:ascii="Arial" w:hAnsi="Arial" w:cs="Arial"/>
          <w:i/>
        </w:rPr>
        <w:t xml:space="preserve"> red lines</w:t>
      </w:r>
      <w:r w:rsidR="00845DD3">
        <w:rPr>
          <w:rFonts w:ascii="Arial" w:hAnsi="Arial" w:cs="Arial"/>
          <w:i/>
        </w:rPr>
        <w:t>.</w:t>
      </w:r>
      <w:r w:rsidR="00380033">
        <w:rPr>
          <w:rFonts w:ascii="Arial" w:hAnsi="Arial" w:cs="Arial"/>
          <w:i/>
        </w:rPr>
        <w:t xml:space="preserve"> </w:t>
      </w:r>
    </w:p>
    <w:p w:rsidR="00B83EC0" w:rsidRPr="00B83EC0" w:rsidRDefault="00B83EC0" w:rsidP="009376F3">
      <w:pPr>
        <w:rPr>
          <w:rFonts w:ascii="Arial" w:hAnsi="Arial" w:cs="Arial"/>
        </w:rPr>
      </w:pPr>
    </w:p>
    <w:p w:rsidR="00694A43" w:rsidRDefault="00694A43" w:rsidP="00AE03F5">
      <w:pPr>
        <w:spacing w:after="0"/>
        <w:rPr>
          <w:rFonts w:ascii="Arial" w:hAnsi="Arial" w:cs="Arial"/>
          <w:i/>
        </w:rPr>
      </w:pPr>
      <w:r>
        <w:rPr>
          <w:rFonts w:ascii="Arial" w:hAnsi="Arial" w:cs="Arial"/>
          <w:i/>
          <w:noProof/>
          <w:lang w:eastAsia="en-GB"/>
        </w:rPr>
        <w:drawing>
          <wp:inline distT="0" distB="0" distL="0" distR="0">
            <wp:extent cx="4881197" cy="3514725"/>
            <wp:effectExtent l="19050" t="0" r="0" b="0"/>
            <wp:docPr id="3" name="Picture 3" descr="\\Isdsf00d03\ResAllocation\NRAC_maintenance\2015_MLC_Acute\Index developement\Unmet need analysis\Data\SS_Other_R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dsf00d03\ResAllocation\NRAC_maintenance\2015_MLC_Acute\Index developement\Unmet need analysis\Data\SS_Other_Rsq.png"/>
                    <pic:cNvPicPr>
                      <a:picLocks noChangeAspect="1" noChangeArrowheads="1"/>
                    </pic:cNvPicPr>
                  </pic:nvPicPr>
                  <pic:blipFill>
                    <a:blip r:embed="rId10" cstate="print"/>
                    <a:srcRect/>
                    <a:stretch>
                      <a:fillRect/>
                    </a:stretch>
                  </pic:blipFill>
                  <pic:spPr bwMode="auto">
                    <a:xfrm>
                      <a:off x="0" y="0"/>
                      <a:ext cx="4886287" cy="3518390"/>
                    </a:xfrm>
                    <a:prstGeom prst="rect">
                      <a:avLst/>
                    </a:prstGeom>
                    <a:noFill/>
                    <a:ln w="9525">
                      <a:noFill/>
                      <a:miter lim="800000"/>
                      <a:headEnd/>
                      <a:tailEnd/>
                    </a:ln>
                  </pic:spPr>
                </pic:pic>
              </a:graphicData>
            </a:graphic>
          </wp:inline>
        </w:drawing>
      </w:r>
    </w:p>
    <w:p w:rsidR="00694A43" w:rsidRDefault="00694A43" w:rsidP="009376F3">
      <w:pPr>
        <w:rPr>
          <w:rFonts w:ascii="Arial" w:hAnsi="Arial" w:cs="Arial"/>
        </w:rPr>
      </w:pPr>
      <w:r w:rsidRPr="00757F37">
        <w:rPr>
          <w:rFonts w:ascii="Arial" w:hAnsi="Arial" w:cs="Arial"/>
          <w:i/>
        </w:rPr>
        <w:t xml:space="preserve">Figure </w:t>
      </w:r>
      <w:r>
        <w:rPr>
          <w:rFonts w:ascii="Arial" w:hAnsi="Arial" w:cs="Arial"/>
          <w:i/>
        </w:rPr>
        <w:t xml:space="preserve">4: </w:t>
      </w:r>
      <w:r w:rsidR="00305B03">
        <w:rPr>
          <w:rFonts w:ascii="Arial" w:hAnsi="Arial" w:cs="Arial"/>
          <w:i/>
        </w:rPr>
        <w:t>Adjusted R</w:t>
      </w:r>
      <w:r w:rsidR="00305B03" w:rsidRPr="00305B03">
        <w:rPr>
          <w:rFonts w:ascii="Arial" w:hAnsi="Arial" w:cs="Arial"/>
          <w:i/>
          <w:vertAlign w:val="superscript"/>
        </w:rPr>
        <w:t>2</w:t>
      </w:r>
      <w:r w:rsidR="00305B03">
        <w:rPr>
          <w:rFonts w:ascii="Arial" w:hAnsi="Arial" w:cs="Arial"/>
          <w:i/>
        </w:rPr>
        <w:t xml:space="preserve"> for the simple shortfall model against trial cut-off point used, for </w:t>
      </w:r>
      <w:r>
        <w:rPr>
          <w:rFonts w:ascii="Arial" w:hAnsi="Arial" w:cs="Arial"/>
          <w:i/>
        </w:rPr>
        <w:t>“Other” diagnostic group</w:t>
      </w:r>
      <w:r w:rsidR="00305B03">
        <w:rPr>
          <w:rFonts w:ascii="Arial" w:hAnsi="Arial" w:cs="Arial"/>
          <w:i/>
        </w:rPr>
        <w:t>.</w:t>
      </w:r>
    </w:p>
    <w:p w:rsidR="00AE75C4" w:rsidRDefault="00AE75C4" w:rsidP="00A71594">
      <w:pPr>
        <w:jc w:val="both"/>
        <w:rPr>
          <w:rFonts w:ascii="Arial" w:hAnsi="Arial" w:cs="Arial"/>
        </w:rPr>
      </w:pPr>
    </w:p>
    <w:p w:rsidR="00931592" w:rsidRDefault="00AE03F5" w:rsidP="00A71594">
      <w:pPr>
        <w:jc w:val="both"/>
        <w:rPr>
          <w:rFonts w:ascii="Arial" w:hAnsi="Arial" w:cs="Arial"/>
        </w:rPr>
      </w:pPr>
      <w:r>
        <w:rPr>
          <w:rFonts w:ascii="Arial" w:hAnsi="Arial" w:cs="Arial"/>
        </w:rPr>
        <w:lastRenderedPageBreak/>
        <w:t>Figure 5 shows a scatter plot with the fitted shortfall model using a 30% cut-off point, for comparison with Figure 2.</w:t>
      </w:r>
      <w:r w:rsidR="00A70ED5">
        <w:rPr>
          <w:rFonts w:ascii="Arial" w:hAnsi="Arial" w:cs="Arial"/>
        </w:rPr>
        <w:t xml:space="preserve"> Note that the difference in gradient between the unadjusted line (black) and the adjusted line (green and dashed green) is visibly larger than in Figure 2.</w:t>
      </w:r>
    </w:p>
    <w:p w:rsidR="00AE03F5" w:rsidRDefault="00AE03F5" w:rsidP="00AE03F5">
      <w:pPr>
        <w:spacing w:after="0"/>
        <w:rPr>
          <w:rFonts w:ascii="Arial" w:hAnsi="Arial" w:cs="Arial"/>
        </w:rPr>
      </w:pPr>
      <w:r>
        <w:rPr>
          <w:rFonts w:ascii="Arial" w:hAnsi="Arial" w:cs="Arial"/>
          <w:noProof/>
          <w:lang w:eastAsia="en-GB"/>
        </w:rPr>
        <w:drawing>
          <wp:inline distT="0" distB="0" distL="0" distR="0">
            <wp:extent cx="4917730" cy="3186000"/>
            <wp:effectExtent l="19050" t="0" r="0" b="0"/>
            <wp:docPr id="2" name="Picture 1" descr="Other_30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_30pc.png"/>
                    <pic:cNvPicPr/>
                  </pic:nvPicPr>
                  <pic:blipFill>
                    <a:blip r:embed="rId11" cstate="print"/>
                    <a:stretch>
                      <a:fillRect/>
                    </a:stretch>
                  </pic:blipFill>
                  <pic:spPr>
                    <a:xfrm>
                      <a:off x="0" y="0"/>
                      <a:ext cx="4917730" cy="3186000"/>
                    </a:xfrm>
                    <a:prstGeom prst="rect">
                      <a:avLst/>
                    </a:prstGeom>
                  </pic:spPr>
                </pic:pic>
              </a:graphicData>
            </a:graphic>
          </wp:inline>
        </w:drawing>
      </w:r>
    </w:p>
    <w:p w:rsidR="00AE03F5" w:rsidRDefault="00AE03F5" w:rsidP="00AE03F5">
      <w:pPr>
        <w:rPr>
          <w:rFonts w:ascii="Arial" w:hAnsi="Arial" w:cs="Arial"/>
          <w:i/>
        </w:rPr>
      </w:pPr>
      <w:r w:rsidRPr="00757F37">
        <w:rPr>
          <w:rFonts w:ascii="Arial" w:hAnsi="Arial" w:cs="Arial"/>
          <w:i/>
        </w:rPr>
        <w:t xml:space="preserve">Figure </w:t>
      </w:r>
      <w:r>
        <w:rPr>
          <w:rFonts w:ascii="Arial" w:hAnsi="Arial" w:cs="Arial"/>
          <w:i/>
        </w:rPr>
        <w:t xml:space="preserve">5: </w:t>
      </w:r>
      <w:r w:rsidRPr="00757F37">
        <w:rPr>
          <w:rFonts w:ascii="Arial" w:hAnsi="Arial" w:cs="Arial"/>
          <w:i/>
        </w:rPr>
        <w:t xml:space="preserve">Scatter plot of </w:t>
      </w:r>
      <w:r>
        <w:rPr>
          <w:rFonts w:ascii="Arial" w:hAnsi="Arial" w:cs="Arial"/>
          <w:i/>
        </w:rPr>
        <w:t>Other</w:t>
      </w:r>
      <w:r w:rsidRPr="00757F37">
        <w:rPr>
          <w:rFonts w:ascii="Arial" w:hAnsi="Arial" w:cs="Arial"/>
          <w:i/>
        </w:rPr>
        <w:t xml:space="preserve"> cost ratios against Acute needs index, showing the </w:t>
      </w:r>
      <w:r>
        <w:rPr>
          <w:rFonts w:ascii="Arial" w:hAnsi="Arial" w:cs="Arial"/>
          <w:i/>
        </w:rPr>
        <w:t>30</w:t>
      </w:r>
      <w:r w:rsidRPr="00757F37">
        <w:rPr>
          <w:rFonts w:ascii="Arial" w:hAnsi="Arial" w:cs="Arial"/>
          <w:i/>
        </w:rPr>
        <w:t>% of data zones with the highest needs index</w:t>
      </w:r>
      <w:r>
        <w:rPr>
          <w:rFonts w:ascii="Arial" w:hAnsi="Arial" w:cs="Arial"/>
          <w:i/>
        </w:rPr>
        <w:t xml:space="preserve"> in </w:t>
      </w:r>
      <w:r w:rsidR="00387E0E">
        <w:rPr>
          <w:rFonts w:ascii="Arial" w:hAnsi="Arial" w:cs="Arial"/>
          <w:i/>
        </w:rPr>
        <w:t>red</w:t>
      </w:r>
      <w:r w:rsidRPr="00757F37">
        <w:rPr>
          <w:rFonts w:ascii="Arial" w:hAnsi="Arial" w:cs="Arial"/>
          <w:i/>
        </w:rPr>
        <w:t>, and the effect on the slope when the simple shortfall method is applied with this cut-off</w:t>
      </w:r>
      <w:r>
        <w:rPr>
          <w:rFonts w:ascii="Arial" w:hAnsi="Arial" w:cs="Arial"/>
          <w:i/>
        </w:rPr>
        <w:t>.</w:t>
      </w:r>
    </w:p>
    <w:p w:rsidR="00215DEE" w:rsidRDefault="00215DEE" w:rsidP="00AE75C4">
      <w:pPr>
        <w:jc w:val="both"/>
        <w:rPr>
          <w:rFonts w:ascii="Arial" w:hAnsi="Arial" w:cs="Arial"/>
        </w:rPr>
      </w:pPr>
    </w:p>
    <w:p w:rsidR="00BF07BB" w:rsidRDefault="00EF20CB" w:rsidP="00AE75C4">
      <w:pPr>
        <w:jc w:val="both"/>
        <w:rPr>
          <w:rFonts w:ascii="Arial" w:hAnsi="Arial" w:cs="Arial"/>
        </w:rPr>
      </w:pPr>
      <w:r>
        <w:rPr>
          <w:rFonts w:ascii="Arial" w:hAnsi="Arial" w:cs="Arial"/>
        </w:rPr>
        <w:t>In paper</w:t>
      </w:r>
      <w:r w:rsidR="00387E0E">
        <w:rPr>
          <w:rFonts w:ascii="Arial" w:hAnsi="Arial" w:cs="Arial"/>
        </w:rPr>
        <w:t xml:space="preserve"> TAMLC55</w:t>
      </w:r>
      <w:r>
        <w:rPr>
          <w:rFonts w:ascii="Arial" w:hAnsi="Arial" w:cs="Arial"/>
        </w:rPr>
        <w:t xml:space="preserve">, </w:t>
      </w:r>
      <w:r w:rsidR="00387E0E">
        <w:rPr>
          <w:rFonts w:ascii="Arial" w:hAnsi="Arial" w:cs="Arial"/>
        </w:rPr>
        <w:t>the relationship between heart-related premature deaths (measured by the heart SMR &lt;75) and the</w:t>
      </w:r>
      <w:r>
        <w:rPr>
          <w:rFonts w:ascii="Arial" w:hAnsi="Arial" w:cs="Arial"/>
        </w:rPr>
        <w:t xml:space="preserve"> needs index </w:t>
      </w:r>
      <w:r w:rsidR="00387E0E">
        <w:rPr>
          <w:rFonts w:ascii="Arial" w:hAnsi="Arial" w:cs="Arial"/>
        </w:rPr>
        <w:t xml:space="preserve">appeared to be one of proportionality with no tail-off at the high end of the needs index. This lent support to </w:t>
      </w:r>
      <w:r w:rsidR="00BF07BB">
        <w:rPr>
          <w:rFonts w:ascii="Arial" w:hAnsi="Arial" w:cs="Arial"/>
        </w:rPr>
        <w:t xml:space="preserve">the </w:t>
      </w:r>
      <w:r w:rsidR="00387E0E">
        <w:rPr>
          <w:rFonts w:ascii="Arial" w:hAnsi="Arial" w:cs="Arial"/>
        </w:rPr>
        <w:t>interpretation of the shortfall as unmet need</w:t>
      </w:r>
      <w:r w:rsidR="00BF07BB">
        <w:rPr>
          <w:rFonts w:ascii="Arial" w:hAnsi="Arial" w:cs="Arial"/>
        </w:rPr>
        <w:t xml:space="preserve"> for these populations. Figure 6 shows </w:t>
      </w:r>
      <w:r w:rsidR="00387E0E">
        <w:rPr>
          <w:rFonts w:ascii="Arial" w:hAnsi="Arial" w:cs="Arial"/>
        </w:rPr>
        <w:t>a plot the SMR &lt;75 for causes of death corresponding to the</w:t>
      </w:r>
      <w:r w:rsidR="00BF07BB">
        <w:rPr>
          <w:rFonts w:ascii="Arial" w:hAnsi="Arial" w:cs="Arial"/>
        </w:rPr>
        <w:t xml:space="preserve"> </w:t>
      </w:r>
      <w:proofErr w:type="gramStart"/>
      <w:r w:rsidR="00BF07BB">
        <w:rPr>
          <w:rFonts w:ascii="Arial" w:hAnsi="Arial" w:cs="Arial"/>
        </w:rPr>
        <w:t>Other</w:t>
      </w:r>
      <w:proofErr w:type="gramEnd"/>
      <w:r w:rsidR="00BF07BB">
        <w:rPr>
          <w:rFonts w:ascii="Arial" w:hAnsi="Arial" w:cs="Arial"/>
        </w:rPr>
        <w:t xml:space="preserve"> diagnostic group,</w:t>
      </w:r>
      <w:r w:rsidR="00387E0E">
        <w:rPr>
          <w:rFonts w:ascii="Arial" w:hAnsi="Arial" w:cs="Arial"/>
        </w:rPr>
        <w:t xml:space="preserve"> against the needs index.</w:t>
      </w:r>
      <w:r w:rsidR="00BF07BB">
        <w:rPr>
          <w:rFonts w:ascii="Arial" w:hAnsi="Arial" w:cs="Arial"/>
        </w:rPr>
        <w:t xml:space="preserve"> </w:t>
      </w:r>
      <w:r w:rsidR="00387E0E">
        <w:rPr>
          <w:rFonts w:ascii="Arial" w:hAnsi="Arial" w:cs="Arial"/>
        </w:rPr>
        <w:t xml:space="preserve">Although there is a large amount of scatter, the observation is similar to that for heart-related deaths. </w:t>
      </w:r>
    </w:p>
    <w:p w:rsidR="00AE75C4" w:rsidRDefault="00AE75C4" w:rsidP="00AE03F5">
      <w:pPr>
        <w:rPr>
          <w:rFonts w:ascii="Arial" w:hAnsi="Arial" w:cs="Arial"/>
        </w:rPr>
      </w:pPr>
    </w:p>
    <w:p w:rsidR="00BF07BB" w:rsidRDefault="00BF07BB" w:rsidP="00BF07BB">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lang w:eastAsia="en-GB"/>
        </w:rPr>
        <w:lastRenderedPageBreak/>
        <w:drawing>
          <wp:inline distT="0" distB="0" distL="0" distR="0">
            <wp:extent cx="4534115" cy="37800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34115" cy="3780000"/>
                    </a:xfrm>
                    <a:prstGeom prst="rect">
                      <a:avLst/>
                    </a:prstGeom>
                    <a:noFill/>
                    <a:ln w="9525">
                      <a:noFill/>
                      <a:miter lim="800000"/>
                      <a:headEnd/>
                      <a:tailEnd/>
                    </a:ln>
                  </pic:spPr>
                </pic:pic>
              </a:graphicData>
            </a:graphic>
          </wp:inline>
        </w:drawing>
      </w:r>
    </w:p>
    <w:p w:rsidR="00BF07BB" w:rsidRDefault="00BF07BB" w:rsidP="00BF07BB">
      <w:pPr>
        <w:rPr>
          <w:rFonts w:ascii="Arial" w:hAnsi="Arial" w:cs="Arial"/>
          <w:i/>
        </w:rPr>
      </w:pPr>
      <w:r>
        <w:rPr>
          <w:rFonts w:ascii="Arial" w:hAnsi="Arial" w:cs="Arial"/>
          <w:i/>
        </w:rPr>
        <w:t>Figure 6: Scatter plot of Other SMR &lt; 75 against Acute needs index, with best-fit line shown (linear least squares).</w:t>
      </w:r>
    </w:p>
    <w:p w:rsidR="00795957" w:rsidRDefault="00795957" w:rsidP="00795957">
      <w:pPr>
        <w:jc w:val="both"/>
        <w:rPr>
          <w:rFonts w:ascii="Arial" w:hAnsi="Arial" w:cs="Arial"/>
        </w:rPr>
      </w:pPr>
    </w:p>
    <w:p w:rsidR="00795957" w:rsidRDefault="00795957" w:rsidP="00795957">
      <w:pPr>
        <w:jc w:val="both"/>
        <w:rPr>
          <w:rFonts w:ascii="Arial" w:hAnsi="Arial" w:cs="Arial"/>
        </w:rPr>
      </w:pPr>
      <w:r>
        <w:rPr>
          <w:rFonts w:ascii="Arial" w:hAnsi="Arial" w:cs="Arial"/>
        </w:rPr>
        <w:t xml:space="preserve">Finally, to explore whether the non-linearity in Figure 5 is due to one specific ICD-10 group within </w:t>
      </w:r>
      <w:proofErr w:type="gramStart"/>
      <w:r>
        <w:rPr>
          <w:rFonts w:ascii="Arial" w:hAnsi="Arial" w:cs="Arial"/>
        </w:rPr>
        <w:t>Other</w:t>
      </w:r>
      <w:proofErr w:type="gramEnd"/>
      <w:r>
        <w:rPr>
          <w:rFonts w:ascii="Arial" w:hAnsi="Arial" w:cs="Arial"/>
        </w:rPr>
        <w:t>, t</w:t>
      </w:r>
      <w:r w:rsidR="00215DEE">
        <w:rPr>
          <w:rFonts w:ascii="Arial" w:hAnsi="Arial" w:cs="Arial"/>
        </w:rPr>
        <w:t>he two largest ICD-10 groups – Symptoms &amp; signs and Musculoskeletal disease (see</w:t>
      </w:r>
      <w:r>
        <w:rPr>
          <w:rFonts w:ascii="Arial" w:hAnsi="Arial" w:cs="Arial"/>
        </w:rPr>
        <w:t xml:space="preserve"> Table 1</w:t>
      </w:r>
      <w:r w:rsidR="00215DEE">
        <w:rPr>
          <w:rFonts w:ascii="Arial" w:hAnsi="Arial" w:cs="Arial"/>
        </w:rPr>
        <w:t>)</w:t>
      </w:r>
      <w:r>
        <w:rPr>
          <w:rFonts w:ascii="Arial" w:hAnsi="Arial" w:cs="Arial"/>
        </w:rPr>
        <w:t xml:space="preserve"> – were, in turn, excluded from the cost ratios. In both of these cases the non-linearity was still present and not substantially changed from that shown in Figure 5. This implies that no one code group or condition group is responsible for the non-linearity, but rather, that it seems to arise </w:t>
      </w:r>
      <w:r w:rsidR="004808EB">
        <w:rPr>
          <w:rFonts w:ascii="Arial" w:hAnsi="Arial" w:cs="Arial"/>
        </w:rPr>
        <w:t>in</w:t>
      </w:r>
      <w:r>
        <w:rPr>
          <w:rFonts w:ascii="Arial" w:hAnsi="Arial" w:cs="Arial"/>
        </w:rPr>
        <w:t xml:space="preserve"> the </w:t>
      </w:r>
      <w:r w:rsidR="00B962B8">
        <w:rPr>
          <w:rFonts w:ascii="Arial" w:hAnsi="Arial" w:cs="Arial"/>
        </w:rPr>
        <w:t>combination</w:t>
      </w:r>
      <w:r>
        <w:rPr>
          <w:rFonts w:ascii="Arial" w:hAnsi="Arial" w:cs="Arial"/>
        </w:rPr>
        <w:t xml:space="preserve"> of all those groups listed in Table 1.</w:t>
      </w:r>
    </w:p>
    <w:p w:rsidR="00795957" w:rsidRDefault="00795957" w:rsidP="00795957">
      <w:pPr>
        <w:jc w:val="both"/>
        <w:rPr>
          <w:rFonts w:ascii="Arial" w:hAnsi="Arial" w:cs="Arial"/>
        </w:rPr>
      </w:pPr>
    </w:p>
    <w:p w:rsidR="00305B03" w:rsidRPr="00305B03" w:rsidRDefault="00305B03" w:rsidP="00A6585B">
      <w:pPr>
        <w:rPr>
          <w:rFonts w:ascii="Arial" w:hAnsi="Arial" w:cs="Arial"/>
          <w:b/>
        </w:rPr>
      </w:pPr>
      <w:r w:rsidRPr="00305B03">
        <w:rPr>
          <w:rFonts w:ascii="Arial" w:hAnsi="Arial" w:cs="Arial"/>
          <w:b/>
        </w:rPr>
        <w:t>3. Discussion</w:t>
      </w:r>
    </w:p>
    <w:p w:rsidR="00305B03" w:rsidRPr="00305B03" w:rsidRDefault="00305B03" w:rsidP="00A71594">
      <w:pPr>
        <w:jc w:val="both"/>
        <w:rPr>
          <w:rFonts w:ascii="Arial" w:hAnsi="Arial" w:cs="Arial"/>
        </w:rPr>
      </w:pPr>
      <w:r>
        <w:rPr>
          <w:rFonts w:ascii="Arial" w:hAnsi="Arial" w:cs="Arial"/>
        </w:rPr>
        <w:t xml:space="preserve">There are two questions for the subgroup to consider. Firstly, does it make sense to interpret the above analytical results as evidence of unmet need, and therefore, to recommend to TAGRA an unmet need adjustment for </w:t>
      </w:r>
      <w:proofErr w:type="gramStart"/>
      <w:r>
        <w:rPr>
          <w:rFonts w:ascii="Arial" w:hAnsi="Arial" w:cs="Arial"/>
        </w:rPr>
        <w:t>Other</w:t>
      </w:r>
      <w:proofErr w:type="gramEnd"/>
      <w:r>
        <w:rPr>
          <w:rFonts w:ascii="Arial" w:hAnsi="Arial" w:cs="Arial"/>
        </w:rPr>
        <w:t xml:space="preserve">? Secondly, if an unmet need adjustment </w:t>
      </w:r>
      <w:r w:rsidRPr="00305B03">
        <w:rPr>
          <w:rFonts w:ascii="Arial" w:hAnsi="Arial" w:cs="Arial"/>
          <w:i/>
        </w:rPr>
        <w:t>is</w:t>
      </w:r>
      <w:r>
        <w:rPr>
          <w:rFonts w:ascii="Arial" w:hAnsi="Arial" w:cs="Arial"/>
        </w:rPr>
        <w:t xml:space="preserve"> to be recommended, which cut-off point should be used?</w:t>
      </w:r>
      <w:r w:rsidR="0074435D">
        <w:rPr>
          <w:rFonts w:ascii="Arial" w:hAnsi="Arial" w:cs="Arial"/>
        </w:rPr>
        <w:t xml:space="preserve"> The following sub-sections provide discussion points for the subgroup to consider.</w:t>
      </w:r>
    </w:p>
    <w:p w:rsidR="006C0DCE" w:rsidRDefault="00305B03" w:rsidP="006C0DCE">
      <w:pPr>
        <w:rPr>
          <w:rFonts w:ascii="Arial" w:hAnsi="Arial" w:cs="Arial"/>
          <w:b/>
        </w:rPr>
      </w:pPr>
      <w:r>
        <w:rPr>
          <w:rFonts w:ascii="Arial" w:hAnsi="Arial" w:cs="Arial"/>
          <w:b/>
        </w:rPr>
        <w:t>3.1</w:t>
      </w:r>
      <w:r w:rsidR="006C0DCE" w:rsidRPr="00380923">
        <w:rPr>
          <w:rFonts w:ascii="Arial" w:hAnsi="Arial" w:cs="Arial"/>
          <w:b/>
        </w:rPr>
        <w:t xml:space="preserve"> Is the </w:t>
      </w:r>
      <w:r w:rsidR="00CE1205">
        <w:rPr>
          <w:rFonts w:ascii="Arial" w:hAnsi="Arial" w:cs="Arial"/>
          <w:b/>
        </w:rPr>
        <w:t>deviation from linearity</w:t>
      </w:r>
      <w:r w:rsidR="006C0DCE" w:rsidRPr="00380923">
        <w:rPr>
          <w:rFonts w:ascii="Arial" w:hAnsi="Arial" w:cs="Arial"/>
          <w:b/>
          <w:i/>
        </w:rPr>
        <w:t xml:space="preserve"> </w:t>
      </w:r>
      <w:r w:rsidR="006C0DCE" w:rsidRPr="00380923">
        <w:rPr>
          <w:rFonts w:ascii="Arial" w:hAnsi="Arial" w:cs="Arial"/>
          <w:b/>
        </w:rPr>
        <w:t>due to unmet need?</w:t>
      </w:r>
    </w:p>
    <w:p w:rsidR="00305B03" w:rsidRDefault="00A71594" w:rsidP="00A71594">
      <w:pPr>
        <w:jc w:val="both"/>
        <w:rPr>
          <w:rFonts w:ascii="Arial" w:hAnsi="Arial" w:cs="Arial"/>
        </w:rPr>
      </w:pPr>
      <w:r>
        <w:rPr>
          <w:rFonts w:ascii="Arial" w:hAnsi="Arial" w:cs="Arial"/>
        </w:rPr>
        <w:t>U</w:t>
      </w:r>
      <w:r w:rsidR="0001173F">
        <w:rPr>
          <w:rFonts w:ascii="Arial" w:hAnsi="Arial" w:cs="Arial"/>
        </w:rPr>
        <w:t>nder the assumption of a linear relationship, there is a shortfall in u</w:t>
      </w:r>
      <w:r>
        <w:rPr>
          <w:rFonts w:ascii="Arial" w:hAnsi="Arial" w:cs="Arial"/>
        </w:rPr>
        <w:t xml:space="preserve">tilisation </w:t>
      </w:r>
      <w:r w:rsidR="0001173F">
        <w:rPr>
          <w:rFonts w:ascii="Arial" w:hAnsi="Arial" w:cs="Arial"/>
        </w:rPr>
        <w:t>(</w:t>
      </w:r>
      <w:r w:rsidRPr="00A71594">
        <w:rPr>
          <w:rFonts w:ascii="Arial" w:hAnsi="Arial" w:cs="Arial"/>
        </w:rPr>
        <w:t>age-sex standardised expenditure</w:t>
      </w:r>
      <w:r w:rsidR="0001173F">
        <w:rPr>
          <w:rFonts w:ascii="Arial" w:hAnsi="Arial" w:cs="Arial"/>
        </w:rPr>
        <w:t>)</w:t>
      </w:r>
      <w:r w:rsidR="0074435D">
        <w:rPr>
          <w:rFonts w:ascii="Arial" w:hAnsi="Arial" w:cs="Arial"/>
        </w:rPr>
        <w:t xml:space="preserve"> at high needs index values</w:t>
      </w:r>
      <w:r w:rsidR="0001173F">
        <w:rPr>
          <w:rFonts w:ascii="Arial" w:hAnsi="Arial" w:cs="Arial"/>
        </w:rPr>
        <w:t>. It is unclear whether this</w:t>
      </w:r>
      <w:r w:rsidR="0074435D">
        <w:rPr>
          <w:rFonts w:ascii="Arial" w:hAnsi="Arial" w:cs="Arial"/>
        </w:rPr>
        <w:t xml:space="preserve"> </w:t>
      </w:r>
      <w:r w:rsidR="00305B03" w:rsidRPr="00305B03">
        <w:rPr>
          <w:rFonts w:ascii="Arial" w:hAnsi="Arial" w:cs="Arial"/>
        </w:rPr>
        <w:t>should be interpreted as unmet need</w:t>
      </w:r>
      <w:r w:rsidR="0074435D">
        <w:rPr>
          <w:rFonts w:ascii="Arial" w:hAnsi="Arial" w:cs="Arial"/>
        </w:rPr>
        <w:t xml:space="preserve"> for </w:t>
      </w:r>
      <w:proofErr w:type="gramStart"/>
      <w:r w:rsidR="0074435D">
        <w:rPr>
          <w:rFonts w:ascii="Arial" w:hAnsi="Arial" w:cs="Arial"/>
        </w:rPr>
        <w:t>Other</w:t>
      </w:r>
      <w:proofErr w:type="gramEnd"/>
      <w:r w:rsidR="00305B03" w:rsidRPr="00305B03">
        <w:rPr>
          <w:rFonts w:ascii="Arial" w:hAnsi="Arial" w:cs="Arial"/>
        </w:rPr>
        <w:t>, given the varied mixture of condition groups comprised within Other</w:t>
      </w:r>
      <w:r w:rsidR="004808EB">
        <w:rPr>
          <w:rFonts w:ascii="Arial" w:hAnsi="Arial" w:cs="Arial"/>
        </w:rPr>
        <w:t xml:space="preserve"> (Table 1), and the fact that neither of the two largest code groups appear to account fully for the shortfall observation.</w:t>
      </w:r>
    </w:p>
    <w:p w:rsidR="004808EB" w:rsidRDefault="00CF17BA" w:rsidP="00A71594">
      <w:pPr>
        <w:jc w:val="both"/>
        <w:rPr>
          <w:rFonts w:ascii="Arial" w:hAnsi="Arial" w:cs="Arial"/>
        </w:rPr>
      </w:pPr>
      <w:r>
        <w:rPr>
          <w:rFonts w:ascii="Arial" w:hAnsi="Arial" w:cs="Arial"/>
        </w:rPr>
        <w:lastRenderedPageBreak/>
        <w:t xml:space="preserve">The simple shortfall method relies heavily on the assumption of an underlying linear relationship between needs index and cost, for which no theoretical justification has been provided. Arguably, therefore, evidence from the simple shortfall method is not sufficient to infer unmet need, and should be accompanied by further reasoning (i.e. face validity) if an unmet need adjustment is to be considered. </w:t>
      </w:r>
    </w:p>
    <w:p w:rsidR="00251CC6" w:rsidRPr="00251CC6" w:rsidRDefault="004808EB" w:rsidP="00AE75C4">
      <w:pPr>
        <w:jc w:val="both"/>
        <w:rPr>
          <w:rFonts w:ascii="Arial" w:hAnsi="Arial" w:cs="Arial"/>
        </w:rPr>
      </w:pPr>
      <w:r>
        <w:rPr>
          <w:rFonts w:ascii="Arial" w:hAnsi="Arial" w:cs="Arial"/>
        </w:rPr>
        <w:t xml:space="preserve">There are generally higher rates of death with causes corresponding to the </w:t>
      </w:r>
      <w:proofErr w:type="gramStart"/>
      <w:r>
        <w:rPr>
          <w:rFonts w:ascii="Arial" w:hAnsi="Arial" w:cs="Arial"/>
        </w:rPr>
        <w:t>Other</w:t>
      </w:r>
      <w:proofErr w:type="gramEnd"/>
      <w:r>
        <w:rPr>
          <w:rFonts w:ascii="Arial" w:hAnsi="Arial" w:cs="Arial"/>
        </w:rPr>
        <w:t xml:space="preserve"> diagnostic group, in neighbourhoods with</w:t>
      </w:r>
      <w:r w:rsidR="00B962B8">
        <w:rPr>
          <w:rFonts w:ascii="Arial" w:hAnsi="Arial" w:cs="Arial"/>
        </w:rPr>
        <w:t xml:space="preserve"> the</w:t>
      </w:r>
      <w:r>
        <w:rPr>
          <w:rFonts w:ascii="Arial" w:hAnsi="Arial" w:cs="Arial"/>
        </w:rPr>
        <w:t xml:space="preserve"> high</w:t>
      </w:r>
      <w:r w:rsidR="00B962B8">
        <w:rPr>
          <w:rFonts w:ascii="Arial" w:hAnsi="Arial" w:cs="Arial"/>
        </w:rPr>
        <w:t>est values of the needs index</w:t>
      </w:r>
      <w:r>
        <w:rPr>
          <w:rFonts w:ascii="Arial" w:hAnsi="Arial" w:cs="Arial"/>
        </w:rPr>
        <w:t xml:space="preserve"> (Figure 6). </w:t>
      </w:r>
      <w:r w:rsidR="00B962B8">
        <w:rPr>
          <w:rFonts w:ascii="Arial" w:hAnsi="Arial" w:cs="Arial"/>
        </w:rPr>
        <w:t xml:space="preserve">There is no appearance of a tail-off in the gradient of Figure 6 similar to the tail-off in the costs of treatment in Figure 5. </w:t>
      </w:r>
      <w:r>
        <w:rPr>
          <w:rFonts w:ascii="Arial" w:hAnsi="Arial" w:cs="Arial"/>
        </w:rPr>
        <w:t>This do</w:t>
      </w:r>
      <w:r w:rsidR="009643BE">
        <w:rPr>
          <w:rFonts w:ascii="Arial" w:hAnsi="Arial" w:cs="Arial"/>
        </w:rPr>
        <w:t xml:space="preserve">es suggest </w:t>
      </w:r>
      <w:r w:rsidR="00B962B8">
        <w:rPr>
          <w:rFonts w:ascii="Arial" w:hAnsi="Arial" w:cs="Arial"/>
        </w:rPr>
        <w:t xml:space="preserve">there may be unmet </w:t>
      </w:r>
      <w:r w:rsidR="009643BE">
        <w:rPr>
          <w:rFonts w:ascii="Arial" w:hAnsi="Arial" w:cs="Arial"/>
        </w:rPr>
        <w:t>need;</w:t>
      </w:r>
      <w:r w:rsidR="009643BE" w:rsidRPr="009643BE">
        <w:rPr>
          <w:rFonts w:ascii="Arial" w:hAnsi="Arial" w:cs="Arial"/>
        </w:rPr>
        <w:t xml:space="preserve"> </w:t>
      </w:r>
      <w:r w:rsidR="009643BE">
        <w:rPr>
          <w:rFonts w:ascii="Arial" w:hAnsi="Arial" w:cs="Arial"/>
        </w:rPr>
        <w:t xml:space="preserve">however, </w:t>
      </w:r>
      <w:r w:rsidR="00B962B8">
        <w:rPr>
          <w:rFonts w:ascii="Arial" w:hAnsi="Arial" w:cs="Arial"/>
        </w:rPr>
        <w:t>we do not know if</w:t>
      </w:r>
      <w:r w:rsidR="009643BE">
        <w:rPr>
          <w:rFonts w:ascii="Arial" w:hAnsi="Arial" w:cs="Arial"/>
        </w:rPr>
        <w:t xml:space="preserve"> </w:t>
      </w:r>
      <w:r w:rsidR="009643BE" w:rsidRPr="009643BE">
        <w:rPr>
          <w:rFonts w:ascii="Arial" w:hAnsi="Arial" w:cs="Arial"/>
        </w:rPr>
        <w:t xml:space="preserve">unmet need </w:t>
      </w:r>
      <w:r w:rsidR="00B962B8">
        <w:rPr>
          <w:rFonts w:ascii="Arial" w:hAnsi="Arial" w:cs="Arial"/>
        </w:rPr>
        <w:t xml:space="preserve">would </w:t>
      </w:r>
      <w:r w:rsidR="009643BE" w:rsidRPr="009643BE">
        <w:rPr>
          <w:rFonts w:ascii="Arial" w:hAnsi="Arial" w:cs="Arial"/>
        </w:rPr>
        <w:t xml:space="preserve">be expected to result in </w:t>
      </w:r>
      <w:r w:rsidR="009643BE">
        <w:rPr>
          <w:rFonts w:ascii="Arial" w:hAnsi="Arial" w:cs="Arial"/>
        </w:rPr>
        <w:t>lower costs</w:t>
      </w:r>
      <w:r w:rsidR="00B962B8">
        <w:rPr>
          <w:rFonts w:ascii="Arial" w:hAnsi="Arial" w:cs="Arial"/>
        </w:rPr>
        <w:t>, or whether</w:t>
      </w:r>
      <w:r w:rsidR="009643BE" w:rsidRPr="009643BE">
        <w:rPr>
          <w:rFonts w:ascii="Arial" w:hAnsi="Arial" w:cs="Arial"/>
        </w:rPr>
        <w:t xml:space="preserve"> the </w:t>
      </w:r>
      <w:r w:rsidR="009643BE">
        <w:rPr>
          <w:rFonts w:ascii="Arial" w:hAnsi="Arial" w:cs="Arial"/>
        </w:rPr>
        <w:t>costs</w:t>
      </w:r>
      <w:r w:rsidR="009643BE" w:rsidRPr="009643BE">
        <w:rPr>
          <w:rFonts w:ascii="Arial" w:hAnsi="Arial" w:cs="Arial"/>
        </w:rPr>
        <w:t xml:space="preserve"> </w:t>
      </w:r>
      <w:r w:rsidR="00B962B8">
        <w:rPr>
          <w:rFonts w:ascii="Arial" w:hAnsi="Arial" w:cs="Arial"/>
        </w:rPr>
        <w:t xml:space="preserve">might </w:t>
      </w:r>
      <w:r w:rsidR="009643BE" w:rsidRPr="009643BE">
        <w:rPr>
          <w:rFonts w:ascii="Arial" w:hAnsi="Arial" w:cs="Arial"/>
        </w:rPr>
        <w:t xml:space="preserve">be the same or even higher </w:t>
      </w:r>
      <w:r w:rsidR="00B962B8">
        <w:rPr>
          <w:rFonts w:ascii="Arial" w:hAnsi="Arial" w:cs="Arial"/>
        </w:rPr>
        <w:t xml:space="preserve">where there is unmet need </w:t>
      </w:r>
      <w:r w:rsidR="009643BE" w:rsidRPr="009643BE">
        <w:rPr>
          <w:rFonts w:ascii="Arial" w:hAnsi="Arial" w:cs="Arial"/>
        </w:rPr>
        <w:t>(due to</w:t>
      </w:r>
      <w:r w:rsidR="009643BE">
        <w:rPr>
          <w:rFonts w:ascii="Arial" w:hAnsi="Arial" w:cs="Arial"/>
        </w:rPr>
        <w:t>,</w:t>
      </w:r>
      <w:r w:rsidR="009643BE" w:rsidRPr="009643BE">
        <w:rPr>
          <w:rFonts w:ascii="Arial" w:hAnsi="Arial" w:cs="Arial"/>
        </w:rPr>
        <w:t xml:space="preserve"> for example</w:t>
      </w:r>
      <w:r w:rsidR="009643BE">
        <w:rPr>
          <w:rFonts w:ascii="Arial" w:hAnsi="Arial" w:cs="Arial"/>
        </w:rPr>
        <w:t>,</w:t>
      </w:r>
      <w:r w:rsidR="009643BE" w:rsidRPr="009643BE">
        <w:rPr>
          <w:rFonts w:ascii="Arial" w:hAnsi="Arial" w:cs="Arial"/>
        </w:rPr>
        <w:t xml:space="preserve"> presenting at later stages of illness)</w:t>
      </w:r>
      <w:r w:rsidR="00B962B8">
        <w:rPr>
          <w:rFonts w:ascii="Arial" w:hAnsi="Arial" w:cs="Arial"/>
        </w:rPr>
        <w:t xml:space="preserve">. </w:t>
      </w:r>
      <w:r w:rsidR="009643BE">
        <w:rPr>
          <w:rFonts w:ascii="Arial" w:hAnsi="Arial" w:cs="Arial"/>
        </w:rPr>
        <w:t>Clinical advice has been sought from</w:t>
      </w:r>
      <w:r w:rsidR="00251CC6" w:rsidRPr="00251CC6">
        <w:rPr>
          <w:rFonts w:ascii="Arial" w:hAnsi="Arial" w:cs="Arial"/>
        </w:rPr>
        <w:t xml:space="preserve"> publi</w:t>
      </w:r>
      <w:r w:rsidR="00C25062">
        <w:rPr>
          <w:rFonts w:ascii="Arial" w:hAnsi="Arial" w:cs="Arial"/>
        </w:rPr>
        <w:t>c health consultants within ISD, but no relevant clinical insights have been suggested</w:t>
      </w:r>
      <w:r w:rsidR="00251CC6" w:rsidRPr="00251CC6">
        <w:rPr>
          <w:rFonts w:ascii="Arial" w:hAnsi="Arial" w:cs="Arial"/>
        </w:rPr>
        <w:t>.</w:t>
      </w:r>
    </w:p>
    <w:p w:rsidR="00B83EC0" w:rsidRPr="00380923" w:rsidRDefault="00B83EC0" w:rsidP="00B83EC0">
      <w:pPr>
        <w:rPr>
          <w:rFonts w:ascii="Arial" w:hAnsi="Arial" w:cs="Arial"/>
          <w:b/>
        </w:rPr>
      </w:pPr>
      <w:r>
        <w:rPr>
          <w:rFonts w:ascii="Arial" w:hAnsi="Arial" w:cs="Arial"/>
          <w:b/>
        </w:rPr>
        <w:t>3.2</w:t>
      </w:r>
      <w:r w:rsidRPr="00380923">
        <w:rPr>
          <w:rFonts w:ascii="Arial" w:hAnsi="Arial" w:cs="Arial"/>
          <w:b/>
        </w:rPr>
        <w:t xml:space="preserve"> If we need an unmet need adjustment, what cut-off point should be used?</w:t>
      </w:r>
    </w:p>
    <w:p w:rsidR="00B83EC0" w:rsidRDefault="00B83EC0" w:rsidP="00461F0D">
      <w:pPr>
        <w:jc w:val="both"/>
        <w:rPr>
          <w:rFonts w:ascii="Arial" w:hAnsi="Arial" w:cs="Arial"/>
        </w:rPr>
      </w:pPr>
      <w:r w:rsidRPr="00B733BA">
        <w:rPr>
          <w:rFonts w:ascii="Arial" w:hAnsi="Arial" w:cs="Arial"/>
        </w:rPr>
        <w:t>Although a 5% cut-off point result</w:t>
      </w:r>
      <w:r>
        <w:rPr>
          <w:rFonts w:ascii="Arial" w:hAnsi="Arial" w:cs="Arial"/>
        </w:rPr>
        <w:t>ed</w:t>
      </w:r>
      <w:r w:rsidRPr="00B733BA">
        <w:rPr>
          <w:rFonts w:ascii="Arial" w:hAnsi="Arial" w:cs="Arial"/>
        </w:rPr>
        <w:t xml:space="preserve"> in the highest adjusted R</w:t>
      </w:r>
      <w:r w:rsidRPr="00B733BA">
        <w:rPr>
          <w:rFonts w:ascii="Arial" w:hAnsi="Arial" w:cs="Arial"/>
          <w:vertAlign w:val="superscript"/>
        </w:rPr>
        <w:t>2</w:t>
      </w:r>
      <w:r w:rsidRPr="00B733BA">
        <w:rPr>
          <w:rFonts w:ascii="Arial" w:hAnsi="Arial" w:cs="Arial"/>
        </w:rPr>
        <w:t xml:space="preserve"> value (by a tiny margin)</w:t>
      </w:r>
      <w:r>
        <w:rPr>
          <w:rFonts w:ascii="Arial" w:hAnsi="Arial" w:cs="Arial"/>
        </w:rPr>
        <w:t xml:space="preserve"> in the analysis</w:t>
      </w:r>
      <w:r w:rsidRPr="00B733BA">
        <w:rPr>
          <w:rFonts w:ascii="Arial" w:hAnsi="Arial" w:cs="Arial"/>
        </w:rPr>
        <w:t xml:space="preserve">, the slope </w:t>
      </w:r>
      <w:r w:rsidRPr="00B733BA">
        <w:rPr>
          <w:rFonts w:ascii="Arial" w:hAnsi="Arial" w:cs="Arial"/>
          <w:i/>
        </w:rPr>
        <w:t>β</w:t>
      </w:r>
      <w:r w:rsidRPr="00B733BA">
        <w:rPr>
          <w:rFonts w:ascii="Arial" w:hAnsi="Arial" w:cs="Arial"/>
          <w:i/>
          <w:vertAlign w:val="subscript"/>
        </w:rPr>
        <w:t>1</w:t>
      </w:r>
      <w:r w:rsidRPr="00B733BA">
        <w:rPr>
          <w:rFonts w:ascii="Arial" w:hAnsi="Arial" w:cs="Arial"/>
        </w:rPr>
        <w:t xml:space="preserve"> obtained using a cut-off point of 30% is significantly higher than that obtained with a cut-off point of 5%</w:t>
      </w:r>
      <w:r>
        <w:rPr>
          <w:rFonts w:ascii="Arial" w:hAnsi="Arial" w:cs="Arial"/>
        </w:rPr>
        <w:t xml:space="preserve"> (Figure 3)</w:t>
      </w:r>
      <w:r w:rsidRPr="00B733BA">
        <w:rPr>
          <w:rFonts w:ascii="Arial" w:hAnsi="Arial" w:cs="Arial"/>
        </w:rPr>
        <w:t>.</w:t>
      </w:r>
      <w:r w:rsidR="0001173F">
        <w:rPr>
          <w:rFonts w:ascii="Arial" w:hAnsi="Arial" w:cs="Arial"/>
        </w:rPr>
        <w:t xml:space="preserve"> It may be worth considering 30% if an unmet need adjustment is to be adopted, given that there is a negligible difference in R</w:t>
      </w:r>
      <w:r w:rsidR="0001173F" w:rsidRPr="00CC711E">
        <w:rPr>
          <w:rFonts w:ascii="Arial" w:hAnsi="Arial" w:cs="Arial"/>
          <w:vertAlign w:val="superscript"/>
        </w:rPr>
        <w:t>2</w:t>
      </w:r>
      <w:r w:rsidR="00657AB4">
        <w:rPr>
          <w:rFonts w:ascii="Arial" w:hAnsi="Arial" w:cs="Arial"/>
        </w:rPr>
        <w:t xml:space="preserve"> between all of the options; if the non-linearity is deemed to be due to unmet need then the cut-off point that maximises the adjusted slope also maximises equity.</w:t>
      </w:r>
    </w:p>
    <w:p w:rsidR="00461F0D" w:rsidRDefault="00B83EC0" w:rsidP="00B260FC">
      <w:pPr>
        <w:jc w:val="both"/>
        <w:rPr>
          <w:rFonts w:ascii="Arial" w:hAnsi="Arial" w:cs="Arial"/>
        </w:rPr>
      </w:pPr>
      <w:r w:rsidRPr="00FE720F">
        <w:rPr>
          <w:rFonts w:ascii="Arial" w:hAnsi="Arial" w:cs="Arial"/>
        </w:rPr>
        <w:t xml:space="preserve">The slope </w:t>
      </w:r>
      <w:r w:rsidRPr="00FE720F">
        <w:rPr>
          <w:rFonts w:ascii="Arial" w:hAnsi="Arial" w:cs="Arial"/>
          <w:i/>
        </w:rPr>
        <w:t>β</w:t>
      </w:r>
      <w:r w:rsidRPr="00FE720F">
        <w:rPr>
          <w:rFonts w:ascii="Arial" w:hAnsi="Arial" w:cs="Arial"/>
          <w:i/>
          <w:vertAlign w:val="subscript"/>
        </w:rPr>
        <w:t>1</w:t>
      </w:r>
      <w:r w:rsidRPr="00FE720F">
        <w:rPr>
          <w:rFonts w:ascii="Arial" w:hAnsi="Arial" w:cs="Arial"/>
        </w:rPr>
        <w:t xml:space="preserve"> does continue to increase </w:t>
      </w:r>
      <w:r>
        <w:rPr>
          <w:rFonts w:ascii="Arial" w:hAnsi="Arial" w:cs="Arial"/>
        </w:rPr>
        <w:t xml:space="preserve">as the cut-off point is further increased </w:t>
      </w:r>
      <w:r w:rsidRPr="00FE720F">
        <w:rPr>
          <w:rFonts w:ascii="Arial" w:hAnsi="Arial" w:cs="Arial"/>
        </w:rPr>
        <w:t xml:space="preserve">beyond 30% (not shown), but more slowly, and is never </w:t>
      </w:r>
      <w:r w:rsidRPr="00FE720F">
        <w:rPr>
          <w:rFonts w:ascii="Arial" w:hAnsi="Arial" w:cs="Arial"/>
          <w:i/>
        </w:rPr>
        <w:t>significantly</w:t>
      </w:r>
      <w:r w:rsidRPr="00FE720F">
        <w:rPr>
          <w:rFonts w:ascii="Arial" w:hAnsi="Arial" w:cs="Arial"/>
        </w:rPr>
        <w:t xml:space="preserve"> higher.</w:t>
      </w:r>
      <w:r>
        <w:rPr>
          <w:rFonts w:ascii="Arial" w:hAnsi="Arial" w:cs="Arial"/>
        </w:rPr>
        <w:t xml:space="preserve"> Cut-off points beyond 30% would therefore not be worth the loss in precision (Figure 3 shows how the </w:t>
      </w:r>
      <w:r w:rsidRPr="00FE720F">
        <w:rPr>
          <w:rFonts w:ascii="Arial" w:hAnsi="Arial" w:cs="Arial"/>
          <w:i/>
        </w:rPr>
        <w:t>β</w:t>
      </w:r>
      <w:r w:rsidRPr="00FE720F">
        <w:rPr>
          <w:rFonts w:ascii="Arial" w:hAnsi="Arial" w:cs="Arial"/>
          <w:i/>
          <w:vertAlign w:val="subscript"/>
        </w:rPr>
        <w:t>1</w:t>
      </w:r>
      <w:r w:rsidRPr="00FE720F">
        <w:rPr>
          <w:rFonts w:ascii="Arial" w:hAnsi="Arial" w:cs="Arial"/>
        </w:rPr>
        <w:t xml:space="preserve"> </w:t>
      </w:r>
      <w:r>
        <w:rPr>
          <w:rFonts w:ascii="Arial" w:hAnsi="Arial" w:cs="Arial"/>
        </w:rPr>
        <w:t xml:space="preserve">confidence interval widens as the cut-off is increased). </w:t>
      </w:r>
    </w:p>
    <w:p w:rsidR="006E470E" w:rsidRDefault="006E470E" w:rsidP="00B260FC">
      <w:pPr>
        <w:jc w:val="both"/>
        <w:rPr>
          <w:rFonts w:ascii="Arial" w:hAnsi="Arial" w:cs="Arial"/>
        </w:rPr>
      </w:pPr>
    </w:p>
    <w:p w:rsidR="006E470E" w:rsidRDefault="006E470E" w:rsidP="00B260FC">
      <w:pPr>
        <w:jc w:val="both"/>
        <w:rPr>
          <w:rFonts w:ascii="Arial" w:hAnsi="Arial" w:cs="Arial"/>
        </w:rPr>
      </w:pPr>
    </w:p>
    <w:p w:rsidR="006E470E" w:rsidRPr="00461F0D" w:rsidRDefault="006E470E" w:rsidP="00B260FC">
      <w:pPr>
        <w:jc w:val="both"/>
        <w:rPr>
          <w:rFonts w:ascii="Arial" w:hAnsi="Arial" w:cs="Arial"/>
        </w:rPr>
      </w:pPr>
    </w:p>
    <w:p w:rsidR="0074435D" w:rsidRDefault="0074435D">
      <w:pPr>
        <w:rPr>
          <w:rFonts w:ascii="Arial" w:hAnsi="Arial" w:cs="Arial"/>
          <w:b/>
        </w:rPr>
      </w:pPr>
      <w:r>
        <w:rPr>
          <w:rFonts w:ascii="Arial" w:hAnsi="Arial" w:cs="Arial"/>
          <w:b/>
        </w:rPr>
        <w:br w:type="page"/>
      </w:r>
    </w:p>
    <w:p w:rsidR="00B40327" w:rsidRPr="00F95937" w:rsidRDefault="00A71594" w:rsidP="00E830DD">
      <w:pPr>
        <w:jc w:val="both"/>
        <w:rPr>
          <w:rFonts w:ascii="Arial" w:hAnsi="Arial" w:cs="Arial"/>
          <w:b/>
        </w:rPr>
      </w:pPr>
      <w:r>
        <w:rPr>
          <w:rFonts w:ascii="Arial" w:hAnsi="Arial" w:cs="Arial"/>
          <w:b/>
        </w:rPr>
        <w:lastRenderedPageBreak/>
        <w:t>Annex</w:t>
      </w:r>
      <w:r w:rsidR="00B40327" w:rsidRPr="00A11599">
        <w:rPr>
          <w:rFonts w:ascii="Arial" w:hAnsi="Arial" w:cs="Arial"/>
          <w:b/>
        </w:rPr>
        <w:t xml:space="preserve"> A: </w:t>
      </w:r>
      <w:r w:rsidR="00026985">
        <w:rPr>
          <w:rFonts w:ascii="Arial" w:hAnsi="Arial" w:cs="Arial"/>
          <w:b/>
        </w:rPr>
        <w:t>Simple shortfall method</w:t>
      </w:r>
    </w:p>
    <w:p w:rsidR="00026985" w:rsidRPr="00A053A2" w:rsidRDefault="00026985" w:rsidP="00026985">
      <w:pPr>
        <w:jc w:val="both"/>
        <w:rPr>
          <w:rFonts w:ascii="Arial" w:hAnsi="Arial" w:cs="Arial"/>
        </w:rPr>
      </w:pPr>
      <w:r>
        <w:rPr>
          <w:rFonts w:ascii="Arial" w:hAnsi="Arial" w:cs="Arial"/>
        </w:rPr>
        <w:t>The following model is fitted to the data in order to test for a change in slope</w:t>
      </w:r>
      <w:r w:rsidRPr="00A053A2">
        <w:rPr>
          <w:rFonts w:ascii="Arial" w:hAnsi="Arial" w:cs="Arial"/>
        </w:rPr>
        <w:t xml:space="preserve">: </w:t>
      </w:r>
    </w:p>
    <w:p w:rsidR="00026985" w:rsidRPr="007A25F4" w:rsidRDefault="00026985" w:rsidP="00026985">
      <w:pPr>
        <w:jc w:val="both"/>
        <w:rPr>
          <w:rFonts w:ascii="Arial" w:hAnsi="Arial" w:cs="Arial"/>
          <w:i/>
        </w:rPr>
      </w:pPr>
      <w:r w:rsidRPr="007A25F4">
        <w:rPr>
          <w:rFonts w:ascii="Arial" w:hAnsi="Arial" w:cs="Arial"/>
          <w:i/>
        </w:rPr>
        <w:t xml:space="preserve">Cost ratios ~ HB dummies + Supply + Acute </w:t>
      </w:r>
      <w:r>
        <w:rPr>
          <w:rFonts w:ascii="Arial" w:hAnsi="Arial" w:cs="Arial"/>
          <w:i/>
        </w:rPr>
        <w:t>needs i</w:t>
      </w:r>
      <w:r w:rsidRPr="007A25F4">
        <w:rPr>
          <w:rFonts w:ascii="Arial" w:hAnsi="Arial" w:cs="Arial"/>
          <w:i/>
        </w:rPr>
        <w:t xml:space="preserve">ndex + </w:t>
      </w:r>
      <w:proofErr w:type="spellStart"/>
      <w:r w:rsidRPr="007A25F4">
        <w:rPr>
          <w:rFonts w:ascii="Arial" w:hAnsi="Arial" w:cs="Arial"/>
          <w:i/>
        </w:rPr>
        <w:t>spline</w:t>
      </w:r>
      <w:proofErr w:type="spellEnd"/>
    </w:p>
    <w:p w:rsidR="00B40327" w:rsidRDefault="00A57543" w:rsidP="00F95937">
      <w:pPr>
        <w:jc w:val="both"/>
        <w:rPr>
          <w:rFonts w:ascii="Arial" w:hAnsi="Arial" w:cs="Arial"/>
        </w:rPr>
      </w:pPr>
      <w:r>
        <w:rPr>
          <w:rFonts w:ascii="Arial" w:hAnsi="Arial" w:cs="Arial"/>
        </w:rPr>
        <w:t xml:space="preserve">The </w:t>
      </w:r>
      <w:proofErr w:type="spellStart"/>
      <w:r>
        <w:rPr>
          <w:rFonts w:ascii="Arial" w:hAnsi="Arial" w:cs="Arial"/>
        </w:rPr>
        <w:t>spline</w:t>
      </w:r>
      <w:proofErr w:type="spellEnd"/>
      <w:r>
        <w:rPr>
          <w:rFonts w:ascii="Arial" w:hAnsi="Arial" w:cs="Arial"/>
        </w:rPr>
        <w:t xml:space="preserve"> variable</w:t>
      </w:r>
      <w:r w:rsidR="00B40327">
        <w:rPr>
          <w:rFonts w:ascii="Arial" w:hAnsi="Arial" w:cs="Arial"/>
        </w:rPr>
        <w:t xml:space="preserve"> </w:t>
      </w:r>
      <w:r>
        <w:rPr>
          <w:rFonts w:ascii="Arial" w:hAnsi="Arial" w:cs="Arial"/>
        </w:rPr>
        <w:t>is</w:t>
      </w:r>
      <w:r w:rsidR="00B40327">
        <w:rPr>
          <w:rFonts w:ascii="Arial" w:hAnsi="Arial" w:cs="Arial"/>
        </w:rPr>
        <w:t xml:space="preserve"> defined using the </w:t>
      </w:r>
      <w:r w:rsidR="00F95937">
        <w:rPr>
          <w:rFonts w:ascii="Arial" w:hAnsi="Arial" w:cs="Arial"/>
        </w:rPr>
        <w:t>A</w:t>
      </w:r>
      <w:r w:rsidR="00B40327">
        <w:rPr>
          <w:rFonts w:ascii="Arial" w:hAnsi="Arial" w:cs="Arial"/>
        </w:rPr>
        <w:t xml:space="preserve">cute </w:t>
      </w:r>
      <w:r w:rsidR="00F95937">
        <w:rPr>
          <w:rFonts w:ascii="Arial" w:hAnsi="Arial" w:cs="Arial"/>
        </w:rPr>
        <w:t xml:space="preserve">needs </w:t>
      </w:r>
      <w:r w:rsidR="00B40327">
        <w:rPr>
          <w:rFonts w:ascii="Arial" w:hAnsi="Arial" w:cs="Arial"/>
        </w:rPr>
        <w:t>index values (</w:t>
      </w:r>
      <w:r w:rsidR="00B40327" w:rsidRPr="00A57543">
        <w:rPr>
          <w:rFonts w:ascii="Arial" w:hAnsi="Arial" w:cs="Arial"/>
          <w:i/>
        </w:rPr>
        <w:t>x</w:t>
      </w:r>
      <w:r w:rsidR="00B40327" w:rsidRPr="00A57543">
        <w:rPr>
          <w:rFonts w:ascii="Arial" w:hAnsi="Arial" w:cs="Arial"/>
          <w:i/>
          <w:vertAlign w:val="subscript"/>
        </w:rPr>
        <w:t>i</w:t>
      </w:r>
      <w:r w:rsidR="00B40327">
        <w:rPr>
          <w:rFonts w:ascii="Arial" w:hAnsi="Arial" w:cs="Arial"/>
        </w:rPr>
        <w:t xml:space="preserve">, where </w:t>
      </w:r>
      <w:proofErr w:type="spellStart"/>
      <w:r w:rsidR="00B40327" w:rsidRPr="00A57543">
        <w:rPr>
          <w:rFonts w:ascii="Arial" w:hAnsi="Arial" w:cs="Arial"/>
          <w:i/>
        </w:rPr>
        <w:t>i</w:t>
      </w:r>
      <w:proofErr w:type="spellEnd"/>
      <w:r>
        <w:rPr>
          <w:rFonts w:ascii="Arial" w:hAnsi="Arial" w:cs="Arial"/>
        </w:rPr>
        <w:t xml:space="preserve"> </w:t>
      </w:r>
      <w:proofErr w:type="gramStart"/>
      <w:r w:rsidR="00026985">
        <w:rPr>
          <w:rFonts w:ascii="Arial" w:hAnsi="Arial" w:cs="Arial"/>
        </w:rPr>
        <w:t>refers</w:t>
      </w:r>
      <w:proofErr w:type="gramEnd"/>
      <w:r w:rsidR="00026985">
        <w:rPr>
          <w:rFonts w:ascii="Arial" w:hAnsi="Arial" w:cs="Arial"/>
        </w:rPr>
        <w:t xml:space="preserve"> to</w:t>
      </w:r>
      <w:r>
        <w:rPr>
          <w:rFonts w:ascii="Arial" w:hAnsi="Arial" w:cs="Arial"/>
        </w:rPr>
        <w:t xml:space="preserve"> the data zone</w:t>
      </w:r>
      <w:r w:rsidR="00B40327">
        <w:rPr>
          <w:rFonts w:ascii="Arial" w:hAnsi="Arial" w:cs="Arial"/>
        </w:rPr>
        <w:t>)</w:t>
      </w:r>
      <w:r w:rsidR="00026985">
        <w:rPr>
          <w:rFonts w:ascii="Arial" w:hAnsi="Arial" w:cs="Arial"/>
        </w:rPr>
        <w:t xml:space="preserve">, </w:t>
      </w:r>
      <w:r w:rsidR="00B40327">
        <w:rPr>
          <w:rFonts w:ascii="Arial" w:hAnsi="Arial" w:cs="Arial"/>
        </w:rPr>
        <w:t>as</w:t>
      </w:r>
      <w:r>
        <w:rPr>
          <w:rFonts w:ascii="Arial" w:hAnsi="Arial" w:cs="Arial"/>
        </w:rPr>
        <w:t>:</w:t>
      </w:r>
      <w:r w:rsidR="00B40327">
        <w:rPr>
          <w:rFonts w:ascii="Arial" w:hAnsi="Arial" w:cs="Arial"/>
        </w:rPr>
        <w:t xml:space="preserve">  </w:t>
      </w:r>
    </w:p>
    <w:p w:rsidR="00B40327" w:rsidRPr="005F161F" w:rsidRDefault="00B40327" w:rsidP="00A57543">
      <w:pPr>
        <w:ind w:firstLine="720"/>
        <w:jc w:val="both"/>
        <w:rPr>
          <w:rFonts w:ascii="Arial" w:hAnsi="Arial" w:cs="Arial"/>
        </w:rPr>
      </w:pPr>
      <w:proofErr w:type="spellStart"/>
      <w:proofErr w:type="gramStart"/>
      <w:r w:rsidRPr="0027788A">
        <w:rPr>
          <w:rFonts w:ascii="Arial" w:hAnsi="Arial" w:cs="Arial"/>
          <w:i/>
        </w:rPr>
        <w:t>x</w:t>
      </w:r>
      <w:r w:rsidRPr="0027788A">
        <w:rPr>
          <w:rFonts w:ascii="Arial" w:hAnsi="Arial" w:cs="Arial"/>
          <w:i/>
          <w:vertAlign w:val="subscript"/>
        </w:rPr>
        <w:t>i</w:t>
      </w:r>
      <w:r w:rsidRPr="0027788A">
        <w:rPr>
          <w:rFonts w:ascii="Arial" w:hAnsi="Arial" w:cs="Arial"/>
          <w:i/>
          <w:vertAlign w:val="superscript"/>
        </w:rPr>
        <w:t>H</w:t>
      </w:r>
      <w:proofErr w:type="spellEnd"/>
      <w:proofErr w:type="gramEnd"/>
      <w:r w:rsidR="00A57543">
        <w:rPr>
          <w:rFonts w:ascii="Arial" w:hAnsi="Arial" w:cs="Arial"/>
        </w:rPr>
        <w:t xml:space="preserve"> =</w:t>
      </w:r>
      <w:r>
        <w:rPr>
          <w:rFonts w:ascii="Arial" w:hAnsi="Arial" w:cs="Arial"/>
        </w:rPr>
        <w:t xml:space="preserve"> </w:t>
      </w:r>
      <w:r w:rsidRPr="0027788A">
        <w:rPr>
          <w:rFonts w:ascii="Arial" w:hAnsi="Arial" w:cs="Arial"/>
          <w:i/>
        </w:rPr>
        <w:t>x</w:t>
      </w:r>
      <w:r w:rsidRPr="0027788A">
        <w:rPr>
          <w:rFonts w:ascii="Arial" w:hAnsi="Arial" w:cs="Arial"/>
          <w:i/>
          <w:vertAlign w:val="subscript"/>
        </w:rPr>
        <w:t xml:space="preserve">i </w:t>
      </w:r>
      <w:r w:rsidRPr="0027788A">
        <w:rPr>
          <w:rFonts w:ascii="Arial" w:hAnsi="Arial" w:cs="Arial"/>
          <w:i/>
        </w:rPr>
        <w:t xml:space="preserve">– </w:t>
      </w:r>
      <w:r w:rsidR="00A57543" w:rsidRPr="0027788A">
        <w:rPr>
          <w:rFonts w:ascii="Arial" w:hAnsi="Arial" w:cs="Arial"/>
          <w:i/>
        </w:rPr>
        <w:t>k</w:t>
      </w:r>
      <w:r w:rsidR="00A57543">
        <w:rPr>
          <w:rFonts w:ascii="Arial" w:hAnsi="Arial" w:cs="Arial"/>
        </w:rPr>
        <w:tab/>
      </w:r>
      <w:r>
        <w:rPr>
          <w:rFonts w:ascii="Arial" w:hAnsi="Arial" w:cs="Arial"/>
        </w:rPr>
        <w:tab/>
        <w:t xml:space="preserve">if </w:t>
      </w:r>
      <w:r w:rsidRPr="0027788A">
        <w:rPr>
          <w:rFonts w:ascii="Arial" w:hAnsi="Arial" w:cs="Arial"/>
          <w:i/>
        </w:rPr>
        <w:t>x</w:t>
      </w:r>
      <w:r w:rsidRPr="0027788A">
        <w:rPr>
          <w:rFonts w:ascii="Arial" w:hAnsi="Arial" w:cs="Arial"/>
          <w:i/>
          <w:vertAlign w:val="subscript"/>
        </w:rPr>
        <w:t>i</w:t>
      </w:r>
      <w:r w:rsidRPr="0027788A">
        <w:rPr>
          <w:rFonts w:ascii="Arial" w:hAnsi="Arial" w:cs="Arial"/>
          <w:i/>
        </w:rPr>
        <w:t xml:space="preserve"> &gt; k</w:t>
      </w:r>
    </w:p>
    <w:p w:rsidR="00B40327" w:rsidRPr="005F161F" w:rsidRDefault="0027788A" w:rsidP="00A57543">
      <w:pPr>
        <w:ind w:firstLine="720"/>
        <w:jc w:val="both"/>
        <w:rPr>
          <w:rFonts w:ascii="Arial" w:hAnsi="Arial" w:cs="Arial"/>
        </w:rPr>
      </w:pPr>
      <w:r>
        <w:rPr>
          <w:rFonts w:ascii="Arial" w:hAnsi="Arial" w:cs="Arial"/>
        </w:rPr>
        <w:t xml:space="preserve">     </w:t>
      </w:r>
      <w:r w:rsidR="00B40327">
        <w:rPr>
          <w:rFonts w:ascii="Arial" w:hAnsi="Arial" w:cs="Arial"/>
        </w:rPr>
        <w:t>=</w:t>
      </w:r>
      <w:r w:rsidR="00B40327">
        <w:rPr>
          <w:rFonts w:ascii="Arial" w:hAnsi="Arial" w:cs="Arial"/>
          <w:vertAlign w:val="subscript"/>
        </w:rPr>
        <w:t xml:space="preserve"> </w:t>
      </w:r>
      <w:r w:rsidR="00B40327">
        <w:rPr>
          <w:rFonts w:ascii="Arial" w:hAnsi="Arial" w:cs="Arial"/>
        </w:rPr>
        <w:t>0</w:t>
      </w:r>
      <w:r>
        <w:rPr>
          <w:rFonts w:ascii="Arial" w:hAnsi="Arial" w:cs="Arial"/>
        </w:rPr>
        <w:tab/>
      </w:r>
      <w:r w:rsidR="00B40327">
        <w:rPr>
          <w:rFonts w:ascii="Arial" w:hAnsi="Arial" w:cs="Arial"/>
        </w:rPr>
        <w:tab/>
      </w:r>
      <w:r w:rsidR="00B40327">
        <w:rPr>
          <w:rFonts w:ascii="Arial" w:hAnsi="Arial" w:cs="Arial"/>
        </w:rPr>
        <w:tab/>
        <w:t xml:space="preserve">if </w:t>
      </w:r>
      <w:r w:rsidR="00B40327" w:rsidRPr="0027788A">
        <w:rPr>
          <w:rFonts w:ascii="Arial" w:hAnsi="Arial" w:cs="Arial"/>
          <w:i/>
        </w:rPr>
        <w:t>x</w:t>
      </w:r>
      <w:r w:rsidR="00B40327" w:rsidRPr="0027788A">
        <w:rPr>
          <w:rFonts w:ascii="Arial" w:hAnsi="Arial" w:cs="Arial"/>
          <w:i/>
          <w:vertAlign w:val="subscript"/>
        </w:rPr>
        <w:t>i</w:t>
      </w:r>
      <w:r w:rsidR="00B40327" w:rsidRPr="0027788A">
        <w:rPr>
          <w:rFonts w:ascii="Arial" w:hAnsi="Arial" w:cs="Arial"/>
          <w:i/>
        </w:rPr>
        <w:t xml:space="preserve"> ≤ k</w:t>
      </w:r>
    </w:p>
    <w:p w:rsidR="00026985" w:rsidRDefault="0027788A" w:rsidP="00F95937">
      <w:pPr>
        <w:jc w:val="both"/>
        <w:rPr>
          <w:rFonts w:ascii="Arial" w:hAnsi="Arial" w:cs="Arial"/>
        </w:rPr>
      </w:pPr>
      <w:proofErr w:type="gramStart"/>
      <w:r>
        <w:rPr>
          <w:rFonts w:ascii="Arial" w:hAnsi="Arial" w:cs="Arial"/>
        </w:rPr>
        <w:t>where</w:t>
      </w:r>
      <w:proofErr w:type="gramEnd"/>
      <w:r>
        <w:rPr>
          <w:rFonts w:ascii="Arial" w:hAnsi="Arial" w:cs="Arial"/>
        </w:rPr>
        <w:t xml:space="preserve"> </w:t>
      </w:r>
      <w:r w:rsidRPr="0027788A">
        <w:rPr>
          <w:rFonts w:ascii="Arial" w:hAnsi="Arial" w:cs="Arial"/>
          <w:i/>
        </w:rPr>
        <w:t>k</w:t>
      </w:r>
      <w:r>
        <w:rPr>
          <w:rFonts w:ascii="Arial" w:hAnsi="Arial" w:cs="Arial"/>
        </w:rPr>
        <w:t xml:space="preserve"> is </w:t>
      </w:r>
      <w:r w:rsidR="000C1D98">
        <w:rPr>
          <w:rFonts w:ascii="Arial" w:hAnsi="Arial" w:cs="Arial"/>
        </w:rPr>
        <w:t xml:space="preserve">the needs index value corresponding to </w:t>
      </w:r>
      <w:r>
        <w:rPr>
          <w:rFonts w:ascii="Arial" w:hAnsi="Arial" w:cs="Arial"/>
        </w:rPr>
        <w:t xml:space="preserve">the </w:t>
      </w:r>
      <w:r w:rsidR="000C1D98">
        <w:rPr>
          <w:rFonts w:ascii="Arial" w:hAnsi="Arial" w:cs="Arial"/>
        </w:rPr>
        <w:t>cut-off point</w:t>
      </w:r>
      <w:r>
        <w:rPr>
          <w:rFonts w:ascii="Arial" w:hAnsi="Arial" w:cs="Arial"/>
        </w:rPr>
        <w:t xml:space="preserve"> being used. </w:t>
      </w:r>
      <w:r w:rsidR="00026985">
        <w:rPr>
          <w:rFonts w:ascii="Arial" w:hAnsi="Arial" w:cs="Arial"/>
        </w:rPr>
        <w:t xml:space="preserve">This term allows the slope to change at </w:t>
      </w:r>
      <w:r w:rsidR="00026985" w:rsidRPr="0027788A">
        <w:rPr>
          <w:rFonts w:ascii="Arial" w:hAnsi="Arial" w:cs="Arial"/>
          <w:i/>
        </w:rPr>
        <w:t>x</w:t>
      </w:r>
      <w:r w:rsidR="00026985" w:rsidRPr="0027788A">
        <w:rPr>
          <w:rFonts w:ascii="Arial" w:hAnsi="Arial" w:cs="Arial"/>
          <w:i/>
          <w:vertAlign w:val="subscript"/>
        </w:rPr>
        <w:t>i</w:t>
      </w:r>
      <w:r w:rsidR="00026985" w:rsidRPr="0027788A">
        <w:rPr>
          <w:rFonts w:ascii="Arial" w:hAnsi="Arial" w:cs="Arial"/>
          <w:i/>
        </w:rPr>
        <w:t xml:space="preserve"> </w:t>
      </w:r>
      <w:r w:rsidR="00026985">
        <w:rPr>
          <w:rFonts w:ascii="Arial" w:hAnsi="Arial" w:cs="Arial"/>
          <w:i/>
        </w:rPr>
        <w:t>=</w:t>
      </w:r>
      <w:r w:rsidR="00026985" w:rsidRPr="0027788A">
        <w:rPr>
          <w:rFonts w:ascii="Arial" w:hAnsi="Arial" w:cs="Arial"/>
          <w:i/>
        </w:rPr>
        <w:t xml:space="preserve"> k</w:t>
      </w:r>
      <w:r w:rsidR="00026985">
        <w:rPr>
          <w:rFonts w:ascii="Arial" w:hAnsi="Arial" w:cs="Arial"/>
          <w:i/>
        </w:rPr>
        <w:t>.</w:t>
      </w:r>
    </w:p>
    <w:p w:rsidR="00A71594" w:rsidRPr="00A11599" w:rsidRDefault="00B40327" w:rsidP="0001173F">
      <w:pPr>
        <w:jc w:val="both"/>
        <w:rPr>
          <w:rFonts w:ascii="Arial" w:hAnsi="Arial" w:cs="Arial"/>
        </w:rPr>
      </w:pPr>
      <w:r>
        <w:rPr>
          <w:rFonts w:ascii="Arial" w:hAnsi="Arial" w:cs="Arial"/>
        </w:rPr>
        <w:t>If the sign of the regression coef</w:t>
      </w:r>
      <w:r w:rsidR="00A57543">
        <w:rPr>
          <w:rFonts w:ascii="Arial" w:hAnsi="Arial" w:cs="Arial"/>
        </w:rPr>
        <w:t xml:space="preserve">ficient of the </w:t>
      </w:r>
      <w:proofErr w:type="spellStart"/>
      <w:r w:rsidR="00A57543">
        <w:rPr>
          <w:rFonts w:ascii="Arial" w:hAnsi="Arial" w:cs="Arial"/>
        </w:rPr>
        <w:t>spline</w:t>
      </w:r>
      <w:proofErr w:type="spellEnd"/>
      <w:r w:rsidR="00A57543">
        <w:rPr>
          <w:rFonts w:ascii="Arial" w:hAnsi="Arial" w:cs="Arial"/>
        </w:rPr>
        <w:t xml:space="preserve"> variable i</w:t>
      </w:r>
      <w:r>
        <w:rPr>
          <w:rFonts w:ascii="Arial" w:hAnsi="Arial" w:cs="Arial"/>
        </w:rPr>
        <w:t>s negative and it is significant (p-value less than 0.05), then there is si</w:t>
      </w:r>
      <w:r w:rsidR="00F95937">
        <w:rPr>
          <w:rFonts w:ascii="Arial" w:hAnsi="Arial" w:cs="Arial"/>
        </w:rPr>
        <w:t xml:space="preserve">gnificant </w:t>
      </w:r>
      <w:r w:rsidR="00A57543">
        <w:rPr>
          <w:rFonts w:ascii="Arial" w:hAnsi="Arial" w:cs="Arial"/>
        </w:rPr>
        <w:t>under-utilisation in the data zones with highest needs index values (under the assumption of a linear relationship)</w:t>
      </w:r>
      <w:r w:rsidR="00F95937">
        <w:rPr>
          <w:rFonts w:ascii="Arial" w:hAnsi="Arial" w:cs="Arial"/>
        </w:rPr>
        <w:t>.</w:t>
      </w:r>
    </w:p>
    <w:sectPr w:rsidR="00A71594" w:rsidRPr="00A11599" w:rsidSect="003E1C9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89" w:rsidRDefault="00041189" w:rsidP="00E83206">
      <w:pPr>
        <w:spacing w:after="0" w:line="240" w:lineRule="auto"/>
      </w:pPr>
      <w:r>
        <w:separator/>
      </w:r>
    </w:p>
  </w:endnote>
  <w:endnote w:type="continuationSeparator" w:id="0">
    <w:p w:rsidR="00041189" w:rsidRDefault="00041189" w:rsidP="00E8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051"/>
      <w:docPartObj>
        <w:docPartGallery w:val="Page Numbers (Bottom of Page)"/>
        <w:docPartUnique/>
      </w:docPartObj>
    </w:sdtPr>
    <w:sdtContent>
      <w:p w:rsidR="00041189" w:rsidRDefault="005E5878">
        <w:pPr>
          <w:pStyle w:val="Footer"/>
          <w:jc w:val="center"/>
        </w:pPr>
        <w:fldSimple w:instr=" PAGE   \* MERGEFORMAT ">
          <w:r w:rsidR="007E77BE">
            <w:rPr>
              <w:noProof/>
            </w:rPr>
            <w:t>4</w:t>
          </w:r>
        </w:fldSimple>
      </w:p>
    </w:sdtContent>
  </w:sdt>
  <w:p w:rsidR="00041189" w:rsidRDefault="00041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89" w:rsidRDefault="00041189" w:rsidP="00E83206">
      <w:pPr>
        <w:spacing w:after="0" w:line="240" w:lineRule="auto"/>
      </w:pPr>
      <w:r>
        <w:separator/>
      </w:r>
    </w:p>
  </w:footnote>
  <w:footnote w:type="continuationSeparator" w:id="0">
    <w:p w:rsidR="00041189" w:rsidRDefault="00041189" w:rsidP="00E83206">
      <w:pPr>
        <w:spacing w:after="0" w:line="240" w:lineRule="auto"/>
      </w:pPr>
      <w:r>
        <w:continuationSeparator/>
      </w:r>
    </w:p>
  </w:footnote>
  <w:footnote w:id="1">
    <w:p w:rsidR="00041189" w:rsidRPr="00763205" w:rsidRDefault="00041189" w:rsidP="00A70ED5">
      <w:pPr>
        <w:pStyle w:val="FootnoteText"/>
        <w:rPr>
          <w:rFonts w:ascii="Arial" w:hAnsi="Arial" w:cs="Arial"/>
        </w:rPr>
      </w:pPr>
      <w:r w:rsidRPr="00763205">
        <w:rPr>
          <w:rStyle w:val="FootnoteReference"/>
          <w:rFonts w:ascii="Arial" w:hAnsi="Arial" w:cs="Arial"/>
        </w:rPr>
        <w:footnoteRef/>
      </w:r>
      <w:r w:rsidRPr="00763205">
        <w:rPr>
          <w:rFonts w:ascii="Arial" w:hAnsi="Arial" w:cs="Arial"/>
        </w:rPr>
        <w:t xml:space="preserve"> The fitted line</w:t>
      </w:r>
      <w:r>
        <w:rPr>
          <w:rFonts w:ascii="Arial" w:hAnsi="Arial" w:cs="Arial"/>
        </w:rPr>
        <w:t>s</w:t>
      </w:r>
      <w:r w:rsidRPr="00763205">
        <w:rPr>
          <w:rFonts w:ascii="Arial" w:hAnsi="Arial" w:cs="Arial"/>
        </w:rPr>
        <w:t xml:space="preserve"> shown in Figure 4 of paper TAMLC55</w:t>
      </w:r>
      <w:r>
        <w:rPr>
          <w:rFonts w:ascii="Arial" w:hAnsi="Arial" w:cs="Arial"/>
        </w:rPr>
        <w:t xml:space="preserve"> were projections of the full fitted models, which had included supply variables. As such, they did not appear (in the projection) to go through the </w:t>
      </w:r>
      <w:proofErr w:type="spellStart"/>
      <w:r>
        <w:rPr>
          <w:rFonts w:ascii="Arial" w:hAnsi="Arial" w:cs="Arial"/>
        </w:rPr>
        <w:t>centroid</w:t>
      </w:r>
      <w:proofErr w:type="spellEnd"/>
      <w:r>
        <w:rPr>
          <w:rFonts w:ascii="Arial" w:hAnsi="Arial" w:cs="Arial"/>
        </w:rPr>
        <w:t xml:space="preserve"> of the data points. In Figure 2 of the current paper, the intercept is rescaled in the same way as would be done when evaluating the predictions in the NRAC formula. The slopes are unchanged: these are the needs index coefficient values from full regressions including supply variables.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89" w:rsidRDefault="00041189" w:rsidP="00E83206">
    <w:pPr>
      <w:pStyle w:val="Header"/>
      <w:jc w:val="right"/>
      <w:rPr>
        <w:rFonts w:ascii="Arial" w:hAnsi="Arial" w:cs="Arial"/>
        <w:i/>
      </w:rPr>
    </w:pPr>
    <w:r w:rsidRPr="00E83206">
      <w:rPr>
        <w:rFonts w:ascii="Arial" w:hAnsi="Arial" w:cs="Arial"/>
        <w:i/>
      </w:rPr>
      <w:t>TAMLC</w:t>
    </w:r>
    <w:r w:rsidR="007E77BE">
      <w:rPr>
        <w:rFonts w:ascii="Arial" w:hAnsi="Arial" w:cs="Arial"/>
        <w:i/>
      </w:rPr>
      <w:t>58</w:t>
    </w:r>
  </w:p>
  <w:p w:rsidR="007E77BE" w:rsidRPr="00E83206" w:rsidRDefault="007E77BE" w:rsidP="00E83206">
    <w:pPr>
      <w:pStyle w:val="Header"/>
      <w:jc w:val="right"/>
      <w:rPr>
        <w:rFonts w:ascii="Arial" w:hAnsi="Arial" w:cs="Arial"/>
        <w:i/>
      </w:rPr>
    </w:pPr>
  </w:p>
  <w:p w:rsidR="00041189" w:rsidRDefault="00041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2B"/>
    <w:multiLevelType w:val="hybridMultilevel"/>
    <w:tmpl w:val="911C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441166"/>
    <w:multiLevelType w:val="hybridMultilevel"/>
    <w:tmpl w:val="6C28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F33B77"/>
    <w:multiLevelType w:val="hybridMultilevel"/>
    <w:tmpl w:val="E79C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6B441F"/>
    <w:multiLevelType w:val="hybridMultilevel"/>
    <w:tmpl w:val="5314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AC0DC6"/>
    <w:multiLevelType w:val="hybridMultilevel"/>
    <w:tmpl w:val="AF3CF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748E"/>
    <w:rsid w:val="0001173F"/>
    <w:rsid w:val="00015671"/>
    <w:rsid w:val="00026985"/>
    <w:rsid w:val="000373A3"/>
    <w:rsid w:val="00041189"/>
    <w:rsid w:val="00053554"/>
    <w:rsid w:val="00061D1F"/>
    <w:rsid w:val="00062BC0"/>
    <w:rsid w:val="000A30A4"/>
    <w:rsid w:val="000A30C8"/>
    <w:rsid w:val="000A3E80"/>
    <w:rsid w:val="000A4080"/>
    <w:rsid w:val="000A7158"/>
    <w:rsid w:val="000B01B0"/>
    <w:rsid w:val="000B4B7A"/>
    <w:rsid w:val="000B5824"/>
    <w:rsid w:val="000B5EB4"/>
    <w:rsid w:val="000C1D98"/>
    <w:rsid w:val="000C3F22"/>
    <w:rsid w:val="000D1F57"/>
    <w:rsid w:val="000D385F"/>
    <w:rsid w:val="000E1850"/>
    <w:rsid w:val="000E55D2"/>
    <w:rsid w:val="0010094F"/>
    <w:rsid w:val="0010135B"/>
    <w:rsid w:val="0010687C"/>
    <w:rsid w:val="00113ABC"/>
    <w:rsid w:val="0012107A"/>
    <w:rsid w:val="00121A48"/>
    <w:rsid w:val="00130AA4"/>
    <w:rsid w:val="00133496"/>
    <w:rsid w:val="0013415D"/>
    <w:rsid w:val="001350C1"/>
    <w:rsid w:val="00143965"/>
    <w:rsid w:val="00145F23"/>
    <w:rsid w:val="00174A7D"/>
    <w:rsid w:val="00174C42"/>
    <w:rsid w:val="00182AA1"/>
    <w:rsid w:val="00190EB8"/>
    <w:rsid w:val="00192E84"/>
    <w:rsid w:val="001A43D0"/>
    <w:rsid w:val="001A4776"/>
    <w:rsid w:val="001A4D00"/>
    <w:rsid w:val="001D1B1C"/>
    <w:rsid w:val="001F4525"/>
    <w:rsid w:val="001F72C1"/>
    <w:rsid w:val="00200BEE"/>
    <w:rsid w:val="00211DC9"/>
    <w:rsid w:val="00215DEE"/>
    <w:rsid w:val="00224CF1"/>
    <w:rsid w:val="00232C3A"/>
    <w:rsid w:val="00233292"/>
    <w:rsid w:val="00242343"/>
    <w:rsid w:val="00244470"/>
    <w:rsid w:val="0024521F"/>
    <w:rsid w:val="00251CC6"/>
    <w:rsid w:val="00253100"/>
    <w:rsid w:val="00271FBE"/>
    <w:rsid w:val="00273080"/>
    <w:rsid w:val="00274785"/>
    <w:rsid w:val="0027788A"/>
    <w:rsid w:val="002D2B34"/>
    <w:rsid w:val="002D6C4A"/>
    <w:rsid w:val="002F57A1"/>
    <w:rsid w:val="00305B03"/>
    <w:rsid w:val="003175CD"/>
    <w:rsid w:val="003216A8"/>
    <w:rsid w:val="00326E41"/>
    <w:rsid w:val="00341A90"/>
    <w:rsid w:val="00343572"/>
    <w:rsid w:val="00380033"/>
    <w:rsid w:val="0038345E"/>
    <w:rsid w:val="0038583C"/>
    <w:rsid w:val="00387E0E"/>
    <w:rsid w:val="003A234F"/>
    <w:rsid w:val="003C0631"/>
    <w:rsid w:val="003C5FCE"/>
    <w:rsid w:val="003D1199"/>
    <w:rsid w:val="003E1C9C"/>
    <w:rsid w:val="003E1F13"/>
    <w:rsid w:val="00401559"/>
    <w:rsid w:val="004102F9"/>
    <w:rsid w:val="0041049A"/>
    <w:rsid w:val="00411542"/>
    <w:rsid w:val="00413E3A"/>
    <w:rsid w:val="0042389C"/>
    <w:rsid w:val="00424F6C"/>
    <w:rsid w:val="004272F8"/>
    <w:rsid w:val="0043478C"/>
    <w:rsid w:val="00451120"/>
    <w:rsid w:val="004552C3"/>
    <w:rsid w:val="00456AF4"/>
    <w:rsid w:val="004608EA"/>
    <w:rsid w:val="00461F0D"/>
    <w:rsid w:val="00473089"/>
    <w:rsid w:val="00474C76"/>
    <w:rsid w:val="004808EB"/>
    <w:rsid w:val="004B3D94"/>
    <w:rsid w:val="004B5883"/>
    <w:rsid w:val="004C7C62"/>
    <w:rsid w:val="004D3DDE"/>
    <w:rsid w:val="004D709A"/>
    <w:rsid w:val="004E3A80"/>
    <w:rsid w:val="004E6967"/>
    <w:rsid w:val="004F0342"/>
    <w:rsid w:val="004F1540"/>
    <w:rsid w:val="00506DAF"/>
    <w:rsid w:val="00510EFC"/>
    <w:rsid w:val="0051338C"/>
    <w:rsid w:val="0053320F"/>
    <w:rsid w:val="00540BEE"/>
    <w:rsid w:val="00542547"/>
    <w:rsid w:val="00543E6F"/>
    <w:rsid w:val="005544FB"/>
    <w:rsid w:val="00574C74"/>
    <w:rsid w:val="00574F5D"/>
    <w:rsid w:val="00583D84"/>
    <w:rsid w:val="005873C0"/>
    <w:rsid w:val="005A3F43"/>
    <w:rsid w:val="005A550D"/>
    <w:rsid w:val="005C61CE"/>
    <w:rsid w:val="005E5878"/>
    <w:rsid w:val="005E707E"/>
    <w:rsid w:val="005E72E7"/>
    <w:rsid w:val="005F0905"/>
    <w:rsid w:val="005F5C46"/>
    <w:rsid w:val="00600F97"/>
    <w:rsid w:val="00611BF1"/>
    <w:rsid w:val="00620EC0"/>
    <w:rsid w:val="00625801"/>
    <w:rsid w:val="006331B6"/>
    <w:rsid w:val="00634563"/>
    <w:rsid w:val="006450D8"/>
    <w:rsid w:val="00647959"/>
    <w:rsid w:val="00657AB4"/>
    <w:rsid w:val="006615EC"/>
    <w:rsid w:val="00663E4D"/>
    <w:rsid w:val="006737B8"/>
    <w:rsid w:val="00675D6A"/>
    <w:rsid w:val="0068620C"/>
    <w:rsid w:val="00687823"/>
    <w:rsid w:val="00694A43"/>
    <w:rsid w:val="006969DD"/>
    <w:rsid w:val="00697802"/>
    <w:rsid w:val="006A1C3D"/>
    <w:rsid w:val="006A4573"/>
    <w:rsid w:val="006A51E0"/>
    <w:rsid w:val="006B0DF8"/>
    <w:rsid w:val="006C0DCE"/>
    <w:rsid w:val="006C27E4"/>
    <w:rsid w:val="006C444F"/>
    <w:rsid w:val="006C49E7"/>
    <w:rsid w:val="006C77E0"/>
    <w:rsid w:val="006D27C8"/>
    <w:rsid w:val="006D482E"/>
    <w:rsid w:val="006E202E"/>
    <w:rsid w:val="006E2754"/>
    <w:rsid w:val="006E27D7"/>
    <w:rsid w:val="006E29E0"/>
    <w:rsid w:val="006E470E"/>
    <w:rsid w:val="006E4D7E"/>
    <w:rsid w:val="006F1E1A"/>
    <w:rsid w:val="006F7050"/>
    <w:rsid w:val="00702E17"/>
    <w:rsid w:val="00727729"/>
    <w:rsid w:val="00741EE4"/>
    <w:rsid w:val="0074435D"/>
    <w:rsid w:val="00751FCB"/>
    <w:rsid w:val="00757F37"/>
    <w:rsid w:val="00763205"/>
    <w:rsid w:val="007747D8"/>
    <w:rsid w:val="00784618"/>
    <w:rsid w:val="007928D0"/>
    <w:rsid w:val="007929FB"/>
    <w:rsid w:val="00794DC2"/>
    <w:rsid w:val="00795957"/>
    <w:rsid w:val="007A25F4"/>
    <w:rsid w:val="007A7058"/>
    <w:rsid w:val="007D30CB"/>
    <w:rsid w:val="007E77BE"/>
    <w:rsid w:val="00805367"/>
    <w:rsid w:val="008123F1"/>
    <w:rsid w:val="00826EC2"/>
    <w:rsid w:val="00832EF7"/>
    <w:rsid w:val="0083748E"/>
    <w:rsid w:val="00845DD3"/>
    <w:rsid w:val="008610EB"/>
    <w:rsid w:val="00876B24"/>
    <w:rsid w:val="0087795D"/>
    <w:rsid w:val="00883A17"/>
    <w:rsid w:val="00894765"/>
    <w:rsid w:val="008D19D0"/>
    <w:rsid w:val="008F1334"/>
    <w:rsid w:val="008F5D19"/>
    <w:rsid w:val="00902D44"/>
    <w:rsid w:val="009069C3"/>
    <w:rsid w:val="00906EF6"/>
    <w:rsid w:val="009167EF"/>
    <w:rsid w:val="00931592"/>
    <w:rsid w:val="0093678B"/>
    <w:rsid w:val="009376F3"/>
    <w:rsid w:val="0093779C"/>
    <w:rsid w:val="009414EA"/>
    <w:rsid w:val="00952097"/>
    <w:rsid w:val="00955855"/>
    <w:rsid w:val="009570ED"/>
    <w:rsid w:val="009643BE"/>
    <w:rsid w:val="00967C07"/>
    <w:rsid w:val="0097062E"/>
    <w:rsid w:val="009908EF"/>
    <w:rsid w:val="009B7416"/>
    <w:rsid w:val="009C06AB"/>
    <w:rsid w:val="009C3727"/>
    <w:rsid w:val="009D1E18"/>
    <w:rsid w:val="009D7396"/>
    <w:rsid w:val="009E5084"/>
    <w:rsid w:val="009E7029"/>
    <w:rsid w:val="00A053A2"/>
    <w:rsid w:val="00A11445"/>
    <w:rsid w:val="00A50A4F"/>
    <w:rsid w:val="00A52F59"/>
    <w:rsid w:val="00A57543"/>
    <w:rsid w:val="00A6585B"/>
    <w:rsid w:val="00A67864"/>
    <w:rsid w:val="00A70ED5"/>
    <w:rsid w:val="00A71594"/>
    <w:rsid w:val="00A77303"/>
    <w:rsid w:val="00A77BC0"/>
    <w:rsid w:val="00A83626"/>
    <w:rsid w:val="00A869CE"/>
    <w:rsid w:val="00AA17F0"/>
    <w:rsid w:val="00AA45F3"/>
    <w:rsid w:val="00AA60C5"/>
    <w:rsid w:val="00AD33CB"/>
    <w:rsid w:val="00AD34F3"/>
    <w:rsid w:val="00AD598A"/>
    <w:rsid w:val="00AE03F5"/>
    <w:rsid w:val="00AE75C4"/>
    <w:rsid w:val="00AF4EF0"/>
    <w:rsid w:val="00B1238E"/>
    <w:rsid w:val="00B260FC"/>
    <w:rsid w:val="00B26C5A"/>
    <w:rsid w:val="00B33BFE"/>
    <w:rsid w:val="00B36358"/>
    <w:rsid w:val="00B40327"/>
    <w:rsid w:val="00B445DB"/>
    <w:rsid w:val="00B52ECD"/>
    <w:rsid w:val="00B63FB4"/>
    <w:rsid w:val="00B6775C"/>
    <w:rsid w:val="00B70556"/>
    <w:rsid w:val="00B72A97"/>
    <w:rsid w:val="00B733BA"/>
    <w:rsid w:val="00B83EC0"/>
    <w:rsid w:val="00B8655C"/>
    <w:rsid w:val="00B86E12"/>
    <w:rsid w:val="00B92CC4"/>
    <w:rsid w:val="00B958B7"/>
    <w:rsid w:val="00B962B8"/>
    <w:rsid w:val="00BB1824"/>
    <w:rsid w:val="00BB34AE"/>
    <w:rsid w:val="00BB36C3"/>
    <w:rsid w:val="00BC2A8E"/>
    <w:rsid w:val="00BC572D"/>
    <w:rsid w:val="00BD66F3"/>
    <w:rsid w:val="00BE44A3"/>
    <w:rsid w:val="00BE6B84"/>
    <w:rsid w:val="00BE72B6"/>
    <w:rsid w:val="00BF07BB"/>
    <w:rsid w:val="00BF1A2B"/>
    <w:rsid w:val="00C25062"/>
    <w:rsid w:val="00C47AF1"/>
    <w:rsid w:val="00C87D1F"/>
    <w:rsid w:val="00C91E55"/>
    <w:rsid w:val="00CB08A9"/>
    <w:rsid w:val="00CB0C70"/>
    <w:rsid w:val="00CC47E4"/>
    <w:rsid w:val="00CC711E"/>
    <w:rsid w:val="00CE1205"/>
    <w:rsid w:val="00CE777D"/>
    <w:rsid w:val="00CF05EE"/>
    <w:rsid w:val="00CF17BA"/>
    <w:rsid w:val="00CF3949"/>
    <w:rsid w:val="00CF5EEE"/>
    <w:rsid w:val="00D0090A"/>
    <w:rsid w:val="00D0130A"/>
    <w:rsid w:val="00D13387"/>
    <w:rsid w:val="00D22738"/>
    <w:rsid w:val="00D35E4F"/>
    <w:rsid w:val="00D50347"/>
    <w:rsid w:val="00D53AF7"/>
    <w:rsid w:val="00D5589B"/>
    <w:rsid w:val="00D731FC"/>
    <w:rsid w:val="00D75194"/>
    <w:rsid w:val="00D87151"/>
    <w:rsid w:val="00DB08E8"/>
    <w:rsid w:val="00DB1050"/>
    <w:rsid w:val="00DC2A58"/>
    <w:rsid w:val="00DC4EA7"/>
    <w:rsid w:val="00DD1722"/>
    <w:rsid w:val="00DD32FD"/>
    <w:rsid w:val="00DD361C"/>
    <w:rsid w:val="00E02691"/>
    <w:rsid w:val="00E05E8A"/>
    <w:rsid w:val="00E218B0"/>
    <w:rsid w:val="00E3710A"/>
    <w:rsid w:val="00E3752B"/>
    <w:rsid w:val="00E40E39"/>
    <w:rsid w:val="00E421C5"/>
    <w:rsid w:val="00E42C29"/>
    <w:rsid w:val="00E564E5"/>
    <w:rsid w:val="00E830DD"/>
    <w:rsid w:val="00E83206"/>
    <w:rsid w:val="00E963B3"/>
    <w:rsid w:val="00E97AA8"/>
    <w:rsid w:val="00EA29C7"/>
    <w:rsid w:val="00EA69F3"/>
    <w:rsid w:val="00EB2F23"/>
    <w:rsid w:val="00EC32BD"/>
    <w:rsid w:val="00EC65C4"/>
    <w:rsid w:val="00ED201E"/>
    <w:rsid w:val="00ED3E91"/>
    <w:rsid w:val="00EE345A"/>
    <w:rsid w:val="00EF20CB"/>
    <w:rsid w:val="00F10CE2"/>
    <w:rsid w:val="00F1515E"/>
    <w:rsid w:val="00F2203C"/>
    <w:rsid w:val="00F40AD8"/>
    <w:rsid w:val="00F40F6C"/>
    <w:rsid w:val="00F42793"/>
    <w:rsid w:val="00F5207B"/>
    <w:rsid w:val="00F55010"/>
    <w:rsid w:val="00F60AE3"/>
    <w:rsid w:val="00F77971"/>
    <w:rsid w:val="00F84973"/>
    <w:rsid w:val="00F95937"/>
    <w:rsid w:val="00FB271B"/>
    <w:rsid w:val="00FB60AC"/>
    <w:rsid w:val="00FE72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none"/>
    </o:shapedefaults>
    <o:shapelayout v:ext="edit">
      <o:idmap v:ext="edit" data="1"/>
      <o:rules v:ext="edit">
        <o:r id="V:Rule6" type="connector" idref="#_x0000_s1029"/>
        <o:r id="V:Rule7" type="connector" idref="#_x0000_s1036"/>
        <o:r id="V:Rule8" type="connector" idref="#_x0000_s1035"/>
        <o:r id="V:Rule9"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206"/>
    <w:rPr>
      <w:rFonts w:ascii="Calibri" w:eastAsia="Calibri" w:hAnsi="Calibri" w:cs="Times New Roman"/>
    </w:rPr>
  </w:style>
  <w:style w:type="paragraph" w:styleId="Footer">
    <w:name w:val="footer"/>
    <w:basedOn w:val="Normal"/>
    <w:link w:val="FooterChar"/>
    <w:uiPriority w:val="99"/>
    <w:unhideWhenUsed/>
    <w:rsid w:val="00E8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206"/>
    <w:rPr>
      <w:rFonts w:ascii="Calibri" w:eastAsia="Calibri" w:hAnsi="Calibri" w:cs="Times New Roman"/>
    </w:rPr>
  </w:style>
  <w:style w:type="paragraph" w:styleId="BalloonText">
    <w:name w:val="Balloon Text"/>
    <w:basedOn w:val="Normal"/>
    <w:link w:val="BalloonTextChar"/>
    <w:uiPriority w:val="99"/>
    <w:semiHidden/>
    <w:unhideWhenUsed/>
    <w:rsid w:val="00E8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206"/>
    <w:rPr>
      <w:rFonts w:ascii="Tahoma" w:eastAsia="Calibri" w:hAnsi="Tahoma" w:cs="Tahoma"/>
      <w:sz w:val="16"/>
      <w:szCs w:val="16"/>
    </w:rPr>
  </w:style>
  <w:style w:type="paragraph" w:styleId="ListParagraph">
    <w:name w:val="List Paragraph"/>
    <w:basedOn w:val="Normal"/>
    <w:uiPriority w:val="34"/>
    <w:qFormat/>
    <w:rsid w:val="0068620C"/>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sz w:val="24"/>
      <w:szCs w:val="20"/>
      <w:lang w:eastAsia="en-GB"/>
    </w:rPr>
  </w:style>
  <w:style w:type="paragraph" w:styleId="FootnoteText">
    <w:name w:val="footnote text"/>
    <w:basedOn w:val="Normal"/>
    <w:link w:val="FootnoteTextChar"/>
    <w:uiPriority w:val="99"/>
    <w:semiHidden/>
    <w:unhideWhenUsed/>
    <w:rsid w:val="00AD33CB"/>
    <w:pPr>
      <w:spacing w:after="0" w:line="240" w:lineRule="auto"/>
    </w:pPr>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semiHidden/>
    <w:rsid w:val="00AD33CB"/>
    <w:rPr>
      <w:rFonts w:eastAsiaTheme="minorEastAsia"/>
      <w:sz w:val="20"/>
      <w:szCs w:val="20"/>
      <w:lang w:eastAsia="en-GB"/>
    </w:rPr>
  </w:style>
  <w:style w:type="character" w:styleId="FootnoteReference">
    <w:name w:val="footnote reference"/>
    <w:basedOn w:val="DefaultParagraphFont"/>
    <w:uiPriority w:val="99"/>
    <w:semiHidden/>
    <w:unhideWhenUsed/>
    <w:rsid w:val="00AD33CB"/>
    <w:rPr>
      <w:vertAlign w:val="superscript"/>
    </w:rPr>
  </w:style>
  <w:style w:type="character" w:styleId="Hyperlink">
    <w:name w:val="Hyperlink"/>
    <w:basedOn w:val="DefaultParagraphFont"/>
    <w:uiPriority w:val="99"/>
    <w:unhideWhenUsed/>
    <w:rsid w:val="00AD33CB"/>
    <w:rPr>
      <w:color w:val="0000FF" w:themeColor="hyperlink"/>
      <w:u w:val="single"/>
    </w:rPr>
  </w:style>
  <w:style w:type="character" w:styleId="PlaceholderText">
    <w:name w:val="Placeholder Text"/>
    <w:basedOn w:val="DefaultParagraphFont"/>
    <w:uiPriority w:val="99"/>
    <w:semiHidden/>
    <w:rsid w:val="009069C3"/>
    <w:rPr>
      <w:color w:val="808080"/>
    </w:rPr>
  </w:style>
  <w:style w:type="character" w:styleId="CommentReference">
    <w:name w:val="annotation reference"/>
    <w:basedOn w:val="DefaultParagraphFont"/>
    <w:uiPriority w:val="99"/>
    <w:semiHidden/>
    <w:unhideWhenUsed/>
    <w:rsid w:val="0053320F"/>
    <w:rPr>
      <w:sz w:val="16"/>
      <w:szCs w:val="16"/>
    </w:rPr>
  </w:style>
  <w:style w:type="paragraph" w:styleId="CommentText">
    <w:name w:val="annotation text"/>
    <w:basedOn w:val="Normal"/>
    <w:link w:val="CommentTextChar"/>
    <w:uiPriority w:val="99"/>
    <w:semiHidden/>
    <w:unhideWhenUsed/>
    <w:rsid w:val="0053320F"/>
    <w:pPr>
      <w:spacing w:line="240" w:lineRule="auto"/>
    </w:pPr>
    <w:rPr>
      <w:sz w:val="20"/>
      <w:szCs w:val="20"/>
    </w:rPr>
  </w:style>
  <w:style w:type="character" w:customStyle="1" w:styleId="CommentTextChar">
    <w:name w:val="Comment Text Char"/>
    <w:basedOn w:val="DefaultParagraphFont"/>
    <w:link w:val="CommentText"/>
    <w:uiPriority w:val="99"/>
    <w:semiHidden/>
    <w:rsid w:val="005332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320F"/>
    <w:rPr>
      <w:b/>
      <w:bCs/>
    </w:rPr>
  </w:style>
  <w:style w:type="character" w:customStyle="1" w:styleId="CommentSubjectChar">
    <w:name w:val="Comment Subject Char"/>
    <w:basedOn w:val="CommentTextChar"/>
    <w:link w:val="CommentSubject"/>
    <w:uiPriority w:val="99"/>
    <w:semiHidden/>
    <w:rsid w:val="0053320F"/>
    <w:rPr>
      <w:b/>
      <w:bCs/>
    </w:rPr>
  </w:style>
  <w:style w:type="table" w:styleId="TableGrid">
    <w:name w:val="Table Grid"/>
    <w:basedOn w:val="TableNormal"/>
    <w:uiPriority w:val="39"/>
    <w:rsid w:val="0070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27662">
      <w:bodyDiv w:val="1"/>
      <w:marLeft w:val="0"/>
      <w:marRight w:val="0"/>
      <w:marTop w:val="0"/>
      <w:marBottom w:val="0"/>
      <w:divBdr>
        <w:top w:val="none" w:sz="0" w:space="0" w:color="auto"/>
        <w:left w:val="none" w:sz="0" w:space="0" w:color="auto"/>
        <w:bottom w:val="none" w:sz="0" w:space="0" w:color="auto"/>
        <w:right w:val="none" w:sz="0" w:space="0" w:color="auto"/>
      </w:divBdr>
    </w:div>
    <w:div w:id="188220303">
      <w:bodyDiv w:val="1"/>
      <w:marLeft w:val="0"/>
      <w:marRight w:val="0"/>
      <w:marTop w:val="0"/>
      <w:marBottom w:val="0"/>
      <w:divBdr>
        <w:top w:val="none" w:sz="0" w:space="0" w:color="auto"/>
        <w:left w:val="none" w:sz="0" w:space="0" w:color="auto"/>
        <w:bottom w:val="none" w:sz="0" w:space="0" w:color="auto"/>
        <w:right w:val="none" w:sz="0" w:space="0" w:color="auto"/>
      </w:divBdr>
    </w:div>
    <w:div w:id="333841049">
      <w:bodyDiv w:val="1"/>
      <w:marLeft w:val="0"/>
      <w:marRight w:val="0"/>
      <w:marTop w:val="0"/>
      <w:marBottom w:val="0"/>
      <w:divBdr>
        <w:top w:val="none" w:sz="0" w:space="0" w:color="auto"/>
        <w:left w:val="none" w:sz="0" w:space="0" w:color="auto"/>
        <w:bottom w:val="none" w:sz="0" w:space="0" w:color="auto"/>
        <w:right w:val="none" w:sz="0" w:space="0" w:color="auto"/>
      </w:divBdr>
    </w:div>
    <w:div w:id="398677242">
      <w:bodyDiv w:val="1"/>
      <w:marLeft w:val="0"/>
      <w:marRight w:val="0"/>
      <w:marTop w:val="0"/>
      <w:marBottom w:val="0"/>
      <w:divBdr>
        <w:top w:val="none" w:sz="0" w:space="0" w:color="auto"/>
        <w:left w:val="none" w:sz="0" w:space="0" w:color="auto"/>
        <w:bottom w:val="none" w:sz="0" w:space="0" w:color="auto"/>
        <w:right w:val="none" w:sz="0" w:space="0" w:color="auto"/>
      </w:divBdr>
    </w:div>
    <w:div w:id="405885554">
      <w:bodyDiv w:val="1"/>
      <w:marLeft w:val="0"/>
      <w:marRight w:val="0"/>
      <w:marTop w:val="0"/>
      <w:marBottom w:val="0"/>
      <w:divBdr>
        <w:top w:val="none" w:sz="0" w:space="0" w:color="auto"/>
        <w:left w:val="none" w:sz="0" w:space="0" w:color="auto"/>
        <w:bottom w:val="none" w:sz="0" w:space="0" w:color="auto"/>
        <w:right w:val="none" w:sz="0" w:space="0" w:color="auto"/>
      </w:divBdr>
    </w:div>
    <w:div w:id="737480742">
      <w:bodyDiv w:val="1"/>
      <w:marLeft w:val="0"/>
      <w:marRight w:val="0"/>
      <w:marTop w:val="0"/>
      <w:marBottom w:val="0"/>
      <w:divBdr>
        <w:top w:val="none" w:sz="0" w:space="0" w:color="auto"/>
        <w:left w:val="none" w:sz="0" w:space="0" w:color="auto"/>
        <w:bottom w:val="none" w:sz="0" w:space="0" w:color="auto"/>
        <w:right w:val="none" w:sz="0" w:space="0" w:color="auto"/>
      </w:divBdr>
    </w:div>
    <w:div w:id="767426910">
      <w:bodyDiv w:val="1"/>
      <w:marLeft w:val="0"/>
      <w:marRight w:val="0"/>
      <w:marTop w:val="0"/>
      <w:marBottom w:val="0"/>
      <w:divBdr>
        <w:top w:val="none" w:sz="0" w:space="0" w:color="auto"/>
        <w:left w:val="none" w:sz="0" w:space="0" w:color="auto"/>
        <w:bottom w:val="none" w:sz="0" w:space="0" w:color="auto"/>
        <w:right w:val="none" w:sz="0" w:space="0" w:color="auto"/>
      </w:divBdr>
    </w:div>
    <w:div w:id="1189754502">
      <w:bodyDiv w:val="1"/>
      <w:marLeft w:val="0"/>
      <w:marRight w:val="0"/>
      <w:marTop w:val="0"/>
      <w:marBottom w:val="0"/>
      <w:divBdr>
        <w:top w:val="none" w:sz="0" w:space="0" w:color="auto"/>
        <w:left w:val="none" w:sz="0" w:space="0" w:color="auto"/>
        <w:bottom w:val="none" w:sz="0" w:space="0" w:color="auto"/>
        <w:right w:val="none" w:sz="0" w:space="0" w:color="auto"/>
      </w:divBdr>
    </w:div>
    <w:div w:id="1301764218">
      <w:bodyDiv w:val="1"/>
      <w:marLeft w:val="0"/>
      <w:marRight w:val="0"/>
      <w:marTop w:val="0"/>
      <w:marBottom w:val="0"/>
      <w:divBdr>
        <w:top w:val="none" w:sz="0" w:space="0" w:color="auto"/>
        <w:left w:val="none" w:sz="0" w:space="0" w:color="auto"/>
        <w:bottom w:val="none" w:sz="0" w:space="0" w:color="auto"/>
        <w:right w:val="none" w:sz="0" w:space="0" w:color="auto"/>
      </w:divBdr>
    </w:div>
    <w:div w:id="1362363164">
      <w:bodyDiv w:val="1"/>
      <w:marLeft w:val="0"/>
      <w:marRight w:val="0"/>
      <w:marTop w:val="0"/>
      <w:marBottom w:val="0"/>
      <w:divBdr>
        <w:top w:val="none" w:sz="0" w:space="0" w:color="auto"/>
        <w:left w:val="none" w:sz="0" w:space="0" w:color="auto"/>
        <w:bottom w:val="none" w:sz="0" w:space="0" w:color="auto"/>
        <w:right w:val="none" w:sz="0" w:space="0" w:color="auto"/>
      </w:divBdr>
    </w:div>
    <w:div w:id="1532453736">
      <w:bodyDiv w:val="1"/>
      <w:marLeft w:val="0"/>
      <w:marRight w:val="0"/>
      <w:marTop w:val="0"/>
      <w:marBottom w:val="0"/>
      <w:divBdr>
        <w:top w:val="none" w:sz="0" w:space="0" w:color="auto"/>
        <w:left w:val="none" w:sz="0" w:space="0" w:color="auto"/>
        <w:bottom w:val="none" w:sz="0" w:space="0" w:color="auto"/>
        <w:right w:val="none" w:sz="0" w:space="0" w:color="auto"/>
      </w:divBdr>
    </w:div>
    <w:div w:id="1580752881">
      <w:bodyDiv w:val="1"/>
      <w:marLeft w:val="0"/>
      <w:marRight w:val="0"/>
      <w:marTop w:val="0"/>
      <w:marBottom w:val="0"/>
      <w:divBdr>
        <w:top w:val="none" w:sz="0" w:space="0" w:color="auto"/>
        <w:left w:val="none" w:sz="0" w:space="0" w:color="auto"/>
        <w:bottom w:val="none" w:sz="0" w:space="0" w:color="auto"/>
        <w:right w:val="none" w:sz="0" w:space="0" w:color="auto"/>
      </w:divBdr>
    </w:div>
    <w:div w:id="1606496047">
      <w:bodyDiv w:val="1"/>
      <w:marLeft w:val="0"/>
      <w:marRight w:val="0"/>
      <w:marTop w:val="0"/>
      <w:marBottom w:val="0"/>
      <w:divBdr>
        <w:top w:val="none" w:sz="0" w:space="0" w:color="auto"/>
        <w:left w:val="none" w:sz="0" w:space="0" w:color="auto"/>
        <w:bottom w:val="none" w:sz="0" w:space="0" w:color="auto"/>
        <w:right w:val="none" w:sz="0" w:space="0" w:color="auto"/>
      </w:divBdr>
    </w:div>
    <w:div w:id="1632899463">
      <w:bodyDiv w:val="1"/>
      <w:marLeft w:val="0"/>
      <w:marRight w:val="0"/>
      <w:marTop w:val="0"/>
      <w:marBottom w:val="0"/>
      <w:divBdr>
        <w:top w:val="none" w:sz="0" w:space="0" w:color="auto"/>
        <w:left w:val="none" w:sz="0" w:space="0" w:color="auto"/>
        <w:bottom w:val="none" w:sz="0" w:space="0" w:color="auto"/>
        <w:right w:val="none" w:sz="0" w:space="0" w:color="auto"/>
      </w:divBdr>
    </w:div>
    <w:div w:id="1644314607">
      <w:bodyDiv w:val="1"/>
      <w:marLeft w:val="0"/>
      <w:marRight w:val="0"/>
      <w:marTop w:val="0"/>
      <w:marBottom w:val="0"/>
      <w:divBdr>
        <w:top w:val="none" w:sz="0" w:space="0" w:color="auto"/>
        <w:left w:val="none" w:sz="0" w:space="0" w:color="auto"/>
        <w:bottom w:val="none" w:sz="0" w:space="0" w:color="auto"/>
        <w:right w:val="none" w:sz="0" w:space="0" w:color="auto"/>
      </w:divBdr>
    </w:div>
    <w:div w:id="1866938412">
      <w:bodyDiv w:val="1"/>
      <w:marLeft w:val="0"/>
      <w:marRight w:val="0"/>
      <w:marTop w:val="0"/>
      <w:marBottom w:val="0"/>
      <w:divBdr>
        <w:top w:val="none" w:sz="0" w:space="0" w:color="auto"/>
        <w:left w:val="none" w:sz="0" w:space="0" w:color="auto"/>
        <w:bottom w:val="none" w:sz="0" w:space="0" w:color="auto"/>
        <w:right w:val="none" w:sz="0" w:space="0" w:color="auto"/>
      </w:divBdr>
    </w:div>
    <w:div w:id="1912227078">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101289850">
      <w:bodyDiv w:val="1"/>
      <w:marLeft w:val="0"/>
      <w:marRight w:val="0"/>
      <w:marTop w:val="0"/>
      <w:marBottom w:val="0"/>
      <w:divBdr>
        <w:top w:val="none" w:sz="0" w:space="0" w:color="auto"/>
        <w:left w:val="none" w:sz="0" w:space="0" w:color="auto"/>
        <w:bottom w:val="none" w:sz="0" w:space="0" w:color="auto"/>
        <w:right w:val="none" w:sz="0" w:space="0" w:color="auto"/>
      </w:divBdr>
    </w:div>
    <w:div w:id="2119522250">
      <w:bodyDiv w:val="1"/>
      <w:marLeft w:val="0"/>
      <w:marRight w:val="0"/>
      <w:marTop w:val="0"/>
      <w:marBottom w:val="0"/>
      <w:divBdr>
        <w:top w:val="none" w:sz="0" w:space="0" w:color="auto"/>
        <w:left w:val="none" w:sz="0" w:space="0" w:color="auto"/>
        <w:bottom w:val="none" w:sz="0" w:space="0" w:color="auto"/>
        <w:right w:val="none" w:sz="0" w:space="0" w:color="auto"/>
      </w:divBdr>
    </w:div>
    <w:div w:id="21430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8E645-0488-42E0-926D-886E260A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chrism29</dc:creator>
  <cp:lastModifiedBy>lynnej01</cp:lastModifiedBy>
  <cp:revision>6</cp:revision>
  <dcterms:created xsi:type="dcterms:W3CDTF">2016-06-28T11:44:00Z</dcterms:created>
  <dcterms:modified xsi:type="dcterms:W3CDTF">2016-07-13T13:39:00Z</dcterms:modified>
</cp:coreProperties>
</file>