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119" w:rsidRPr="004C2C79" w:rsidRDefault="007C6793">
      <w:pPr>
        <w:rPr>
          <w:rFonts w:ascii="Arial" w:hAnsi="Arial" w:cs="Arial"/>
          <w:b/>
        </w:rPr>
      </w:pPr>
      <w:r w:rsidRPr="004C2C79">
        <w:rPr>
          <w:rFonts w:ascii="Arial" w:hAnsi="Arial" w:cs="Arial"/>
          <w:b/>
        </w:rPr>
        <w:t>TAGRA ACUTE MLC SUB</w:t>
      </w:r>
      <w:r w:rsidR="00965119" w:rsidRPr="004C2C79">
        <w:rPr>
          <w:rFonts w:ascii="Arial" w:hAnsi="Arial" w:cs="Arial"/>
          <w:b/>
        </w:rPr>
        <w:t>GROUP</w:t>
      </w:r>
      <w:r w:rsidR="004C2C79" w:rsidRPr="004C2C79">
        <w:rPr>
          <w:rFonts w:ascii="Arial" w:hAnsi="Arial" w:cs="Arial"/>
          <w:b/>
        </w:rPr>
        <w:tab/>
      </w:r>
      <w:r w:rsidR="004C2C79" w:rsidRPr="004C2C79">
        <w:rPr>
          <w:rFonts w:ascii="Arial" w:hAnsi="Arial" w:cs="Arial"/>
          <w:b/>
        </w:rPr>
        <w:tab/>
      </w:r>
      <w:r w:rsidR="004C2C79" w:rsidRPr="004C2C79">
        <w:rPr>
          <w:rFonts w:ascii="Arial" w:hAnsi="Arial" w:cs="Arial"/>
          <w:b/>
        </w:rPr>
        <w:tab/>
      </w:r>
      <w:r w:rsidR="00330646">
        <w:rPr>
          <w:rFonts w:ascii="Arial" w:hAnsi="Arial" w:cs="Arial"/>
          <w:b/>
        </w:rPr>
        <w:tab/>
      </w:r>
      <w:r w:rsidR="004C2C79" w:rsidRPr="004C2C79">
        <w:rPr>
          <w:rFonts w:ascii="Arial" w:hAnsi="Arial" w:cs="Arial"/>
          <w:b/>
        </w:rPr>
        <w:t>Wednesday 14</w:t>
      </w:r>
      <w:r w:rsidR="004C2C79" w:rsidRPr="004C2C79">
        <w:rPr>
          <w:rFonts w:ascii="Arial" w:hAnsi="Arial" w:cs="Arial"/>
          <w:b/>
          <w:vertAlign w:val="superscript"/>
        </w:rPr>
        <w:t>th</w:t>
      </w:r>
      <w:r w:rsidR="004C2C79" w:rsidRPr="004C2C79">
        <w:rPr>
          <w:rFonts w:ascii="Arial" w:hAnsi="Arial" w:cs="Arial"/>
          <w:b/>
        </w:rPr>
        <w:t xml:space="preserve"> January 2015</w:t>
      </w:r>
    </w:p>
    <w:p w:rsidR="00965119" w:rsidRDefault="00965119" w:rsidP="00965119">
      <w:pPr>
        <w:rPr>
          <w:rFonts w:ascii="Arial" w:hAnsi="Arial" w:cs="Arial"/>
          <w:b/>
        </w:rPr>
      </w:pPr>
      <w:r w:rsidRPr="004C2C79">
        <w:rPr>
          <w:rFonts w:ascii="Arial" w:hAnsi="Arial" w:cs="Arial"/>
          <w:b/>
        </w:rPr>
        <w:t>EXPLORATORY ANALYSIS – OUTLIERS</w:t>
      </w:r>
      <w:r w:rsidR="002F7E74">
        <w:rPr>
          <w:rFonts w:ascii="Arial" w:hAnsi="Arial" w:cs="Arial"/>
          <w:b/>
        </w:rPr>
        <w:t xml:space="preserve"> AND AGE SPLIT</w:t>
      </w:r>
    </w:p>
    <w:p w:rsidR="0005323A" w:rsidRPr="004C2C79" w:rsidRDefault="0005323A" w:rsidP="00965119">
      <w:pPr>
        <w:rPr>
          <w:rFonts w:ascii="Arial" w:hAnsi="Arial" w:cs="Arial"/>
          <w:b/>
        </w:rPr>
      </w:pPr>
    </w:p>
    <w:p w:rsidR="00A066DA" w:rsidRPr="00A33904" w:rsidRDefault="00A33904" w:rsidP="00A33904">
      <w:pPr>
        <w:rPr>
          <w:rFonts w:ascii="Arial" w:hAnsi="Arial" w:cs="Arial"/>
          <w:b/>
          <w:i/>
        </w:rPr>
      </w:pPr>
      <w:r>
        <w:rPr>
          <w:rFonts w:ascii="Arial" w:hAnsi="Arial" w:cs="Arial"/>
          <w:b/>
          <w:i/>
        </w:rPr>
        <w:t>1.</w:t>
      </w:r>
      <w:r w:rsidR="00F64F60">
        <w:rPr>
          <w:rFonts w:ascii="Arial" w:hAnsi="Arial" w:cs="Arial"/>
          <w:b/>
          <w:i/>
        </w:rPr>
        <w:t xml:space="preserve"> </w:t>
      </w:r>
      <w:r w:rsidR="00F546BD" w:rsidRPr="00F546BD">
        <w:rPr>
          <w:rFonts w:ascii="Arial" w:hAnsi="Arial" w:cs="Arial"/>
          <w:b/>
          <w:i/>
        </w:rPr>
        <w:t>Summary</w:t>
      </w:r>
    </w:p>
    <w:p w:rsidR="00BE5621" w:rsidRPr="003368AC" w:rsidRDefault="00A066DA" w:rsidP="00F64F60">
      <w:pPr>
        <w:jc w:val="both"/>
        <w:rPr>
          <w:rFonts w:ascii="Arial" w:hAnsi="Arial" w:cs="Arial"/>
          <w:szCs w:val="24"/>
        </w:rPr>
      </w:pPr>
      <w:r w:rsidRPr="004C2C79">
        <w:rPr>
          <w:rFonts w:ascii="Arial" w:hAnsi="Arial" w:cs="Arial"/>
        </w:rPr>
        <w:t>This paper outlines the initial results on the exploratory analysis done by the analytical team</w:t>
      </w:r>
      <w:r w:rsidR="00BE5621">
        <w:rPr>
          <w:rFonts w:ascii="Arial" w:hAnsi="Arial" w:cs="Arial"/>
        </w:rPr>
        <w:t xml:space="preserve"> mainly on the relationship between age and need by diagnostic group</w:t>
      </w:r>
      <w:r w:rsidRPr="004C2C79">
        <w:rPr>
          <w:rFonts w:ascii="Arial" w:hAnsi="Arial" w:cs="Arial"/>
        </w:rPr>
        <w:t xml:space="preserve">. </w:t>
      </w:r>
      <w:r w:rsidR="00BE5621">
        <w:rPr>
          <w:rFonts w:ascii="Arial" w:hAnsi="Arial" w:cs="Arial"/>
          <w:szCs w:val="24"/>
        </w:rPr>
        <w:t>An i</w:t>
      </w:r>
      <w:r w:rsidR="00BE5621" w:rsidRPr="00667701">
        <w:rPr>
          <w:rFonts w:ascii="Arial" w:hAnsi="Arial" w:cs="Arial"/>
          <w:szCs w:val="24"/>
        </w:rPr>
        <w:t>nitial investigation on the presence of cost ratio outliers and influential points</w:t>
      </w:r>
      <w:r w:rsidR="00BE5621">
        <w:rPr>
          <w:rFonts w:ascii="Arial" w:hAnsi="Arial" w:cs="Arial"/>
          <w:szCs w:val="24"/>
        </w:rPr>
        <w:t>, for all ages,</w:t>
      </w:r>
      <w:r w:rsidR="00BE5621" w:rsidRPr="00667701">
        <w:rPr>
          <w:rFonts w:ascii="Arial" w:hAnsi="Arial" w:cs="Arial"/>
          <w:szCs w:val="24"/>
        </w:rPr>
        <w:t xml:space="preserve"> </w:t>
      </w:r>
      <w:r w:rsidR="00BE5621">
        <w:rPr>
          <w:rFonts w:ascii="Arial" w:hAnsi="Arial" w:cs="Arial"/>
          <w:szCs w:val="24"/>
        </w:rPr>
        <w:t>has been</w:t>
      </w:r>
      <w:r w:rsidR="00BE5621" w:rsidRPr="00667701">
        <w:rPr>
          <w:rFonts w:ascii="Arial" w:hAnsi="Arial" w:cs="Arial"/>
          <w:szCs w:val="24"/>
        </w:rPr>
        <w:t xml:space="preserve"> </w:t>
      </w:r>
      <w:r w:rsidR="00BE5621">
        <w:rPr>
          <w:rFonts w:ascii="Arial" w:hAnsi="Arial" w:cs="Arial"/>
          <w:szCs w:val="24"/>
        </w:rPr>
        <w:t>performed at Intermediate Z</w:t>
      </w:r>
      <w:r w:rsidR="00BE5621" w:rsidRPr="00667701">
        <w:rPr>
          <w:rFonts w:ascii="Arial" w:hAnsi="Arial" w:cs="Arial"/>
          <w:szCs w:val="24"/>
        </w:rPr>
        <w:t xml:space="preserve">one level using </w:t>
      </w:r>
      <w:r w:rsidR="00BE5621">
        <w:rPr>
          <w:rFonts w:ascii="Arial" w:hAnsi="Arial" w:cs="Arial"/>
          <w:szCs w:val="24"/>
        </w:rPr>
        <w:t>the current needs index (</w:t>
      </w:r>
      <w:r w:rsidR="005E5742">
        <w:rPr>
          <w:rFonts w:ascii="Arial" w:hAnsi="Arial" w:cs="Arial"/>
          <w:szCs w:val="24"/>
        </w:rPr>
        <w:t xml:space="preserve">comprised of </w:t>
      </w:r>
      <w:r w:rsidR="00BE5621" w:rsidRPr="00667701">
        <w:rPr>
          <w:rFonts w:ascii="Arial" w:hAnsi="Arial" w:cs="Arial"/>
          <w:szCs w:val="24"/>
        </w:rPr>
        <w:t>2001 Census Limiting Long-term Illness (LLTI) data</w:t>
      </w:r>
      <w:r w:rsidR="00BE5621">
        <w:rPr>
          <w:rFonts w:ascii="Arial" w:hAnsi="Arial" w:cs="Arial"/>
          <w:szCs w:val="24"/>
        </w:rPr>
        <w:t xml:space="preserve"> and </w:t>
      </w:r>
      <w:r w:rsidR="00BE5621" w:rsidRPr="00F96236">
        <w:rPr>
          <w:rFonts w:ascii="Arial" w:hAnsi="Arial" w:cs="Arial"/>
        </w:rPr>
        <w:t>all-cause standardised mortality rate ages 0-74</w:t>
      </w:r>
      <w:r w:rsidR="00BE5621">
        <w:rPr>
          <w:rFonts w:ascii="Arial" w:hAnsi="Arial" w:cs="Arial"/>
        </w:rPr>
        <w:t>)</w:t>
      </w:r>
      <w:r w:rsidR="00BE5621" w:rsidRPr="00667701">
        <w:rPr>
          <w:rFonts w:ascii="Arial" w:hAnsi="Arial" w:cs="Arial"/>
          <w:szCs w:val="24"/>
        </w:rPr>
        <w:t xml:space="preserve">. </w:t>
      </w:r>
      <w:r w:rsidR="00BE5621">
        <w:rPr>
          <w:rFonts w:ascii="Arial" w:hAnsi="Arial" w:cs="Arial"/>
          <w:szCs w:val="24"/>
        </w:rPr>
        <w:t xml:space="preserve">However, </w:t>
      </w:r>
      <w:r w:rsidR="005E5742">
        <w:rPr>
          <w:rFonts w:ascii="Arial" w:hAnsi="Arial" w:cs="Arial"/>
          <w:szCs w:val="24"/>
        </w:rPr>
        <w:t>the results of this</w:t>
      </w:r>
      <w:r w:rsidR="00BE5621">
        <w:rPr>
          <w:rFonts w:ascii="Arial" w:hAnsi="Arial" w:cs="Arial"/>
          <w:szCs w:val="24"/>
        </w:rPr>
        <w:t xml:space="preserve"> work ha</w:t>
      </w:r>
      <w:r w:rsidR="005E5742">
        <w:rPr>
          <w:rFonts w:ascii="Arial" w:hAnsi="Arial" w:cs="Arial"/>
          <w:szCs w:val="24"/>
        </w:rPr>
        <w:t>ve</w:t>
      </w:r>
      <w:r w:rsidR="00BE5621">
        <w:rPr>
          <w:rFonts w:ascii="Arial" w:hAnsi="Arial" w:cs="Arial"/>
          <w:szCs w:val="24"/>
        </w:rPr>
        <w:t xml:space="preserve"> not been included in the paper as </w:t>
      </w:r>
      <w:r w:rsidR="005E5742">
        <w:rPr>
          <w:rFonts w:ascii="Arial" w:hAnsi="Arial" w:cs="Arial"/>
          <w:szCs w:val="24"/>
        </w:rPr>
        <w:t>their</w:t>
      </w:r>
      <w:r w:rsidR="00BE5621">
        <w:rPr>
          <w:rFonts w:ascii="Arial" w:hAnsi="Arial" w:cs="Arial"/>
          <w:szCs w:val="24"/>
        </w:rPr>
        <w:t xml:space="preserve"> relevance is dependent on the outcome of paper TAMLC 20. </w:t>
      </w:r>
    </w:p>
    <w:p w:rsidR="0005323A" w:rsidRDefault="005E5742" w:rsidP="00F64F60">
      <w:pPr>
        <w:jc w:val="both"/>
        <w:outlineLvl w:val="6"/>
        <w:rPr>
          <w:rFonts w:ascii="Arial" w:hAnsi="Arial" w:cs="Arial"/>
          <w:szCs w:val="24"/>
        </w:rPr>
      </w:pPr>
      <w:r>
        <w:rPr>
          <w:rFonts w:ascii="Arial" w:hAnsi="Arial" w:cs="Arial"/>
        </w:rPr>
        <w:t>The main focus of this paper is the question of</w:t>
      </w:r>
      <w:r w:rsidR="00E70BC5" w:rsidRPr="004C2C79">
        <w:rPr>
          <w:rFonts w:ascii="Arial" w:hAnsi="Arial" w:cs="Arial"/>
        </w:rPr>
        <w:t xml:space="preserve"> whether to </w:t>
      </w:r>
      <w:r w:rsidR="00E70BC5">
        <w:rPr>
          <w:rFonts w:ascii="Arial" w:hAnsi="Arial" w:cs="Arial"/>
        </w:rPr>
        <w:t>split the data into different age groups</w:t>
      </w:r>
      <w:r w:rsidR="00C315EF">
        <w:rPr>
          <w:rFonts w:ascii="Arial" w:hAnsi="Arial" w:cs="Arial"/>
        </w:rPr>
        <w:t xml:space="preserve"> for the MLC analysis</w:t>
      </w:r>
      <w:r w:rsidR="00E70BC5">
        <w:rPr>
          <w:rFonts w:ascii="Arial" w:hAnsi="Arial" w:cs="Arial"/>
        </w:rPr>
        <w:t xml:space="preserve">, and if so, whether to </w:t>
      </w:r>
      <w:r w:rsidR="00E70BC5" w:rsidRPr="004C2C79">
        <w:rPr>
          <w:rFonts w:ascii="Arial" w:hAnsi="Arial" w:cs="Arial"/>
        </w:rPr>
        <w:t>use the same age spl</w:t>
      </w:r>
      <w:r w:rsidR="00E70BC5">
        <w:rPr>
          <w:rFonts w:ascii="Arial" w:hAnsi="Arial" w:cs="Arial"/>
        </w:rPr>
        <w:t>it for all diagnostic groups or</w:t>
      </w:r>
      <w:r w:rsidR="004F7D7C">
        <w:rPr>
          <w:rFonts w:ascii="Arial" w:hAnsi="Arial" w:cs="Arial"/>
        </w:rPr>
        <w:t xml:space="preserve"> to apply different splits</w:t>
      </w:r>
      <w:r w:rsidR="00E70BC5" w:rsidRPr="004C2C79">
        <w:rPr>
          <w:rFonts w:ascii="Arial" w:hAnsi="Arial" w:cs="Arial"/>
        </w:rPr>
        <w:t>.</w:t>
      </w:r>
      <w:r w:rsidR="00E70BC5">
        <w:rPr>
          <w:rFonts w:ascii="Arial" w:hAnsi="Arial" w:cs="Arial"/>
        </w:rPr>
        <w:t xml:space="preserve"> </w:t>
      </w:r>
      <w:r w:rsidR="003368AC">
        <w:rPr>
          <w:rFonts w:ascii="Arial" w:hAnsi="Arial" w:cs="Arial"/>
          <w:szCs w:val="24"/>
        </w:rPr>
        <w:t>Some i</w:t>
      </w:r>
      <w:r w:rsidR="003368AC" w:rsidRPr="00667701">
        <w:rPr>
          <w:rFonts w:ascii="Arial" w:hAnsi="Arial" w:cs="Arial"/>
          <w:szCs w:val="24"/>
        </w:rPr>
        <w:t xml:space="preserve">nitial </w:t>
      </w:r>
      <w:r w:rsidR="003368AC">
        <w:rPr>
          <w:rFonts w:ascii="Arial" w:hAnsi="Arial" w:cs="Arial"/>
          <w:szCs w:val="24"/>
        </w:rPr>
        <w:t xml:space="preserve">analysis has been carried out looking at the relationship between age and need by diagnostic group using the age/sex </w:t>
      </w:r>
      <w:r w:rsidR="00E70BC5">
        <w:rPr>
          <w:rFonts w:ascii="Arial" w:hAnsi="Arial" w:cs="Arial"/>
          <w:szCs w:val="24"/>
        </w:rPr>
        <w:t xml:space="preserve">cost </w:t>
      </w:r>
      <w:r w:rsidR="003368AC">
        <w:rPr>
          <w:rFonts w:ascii="Arial" w:hAnsi="Arial" w:cs="Arial"/>
          <w:szCs w:val="24"/>
        </w:rPr>
        <w:t>curves</w:t>
      </w:r>
      <w:r w:rsidR="0062681D">
        <w:rPr>
          <w:rFonts w:ascii="Arial" w:hAnsi="Arial" w:cs="Arial"/>
          <w:szCs w:val="24"/>
        </w:rPr>
        <w:t>, using c</w:t>
      </w:r>
      <w:r w:rsidR="0062681D" w:rsidRPr="004C2C79">
        <w:rPr>
          <w:rFonts w:ascii="Arial" w:hAnsi="Arial" w:cs="Arial"/>
        </w:rPr>
        <w:t xml:space="preserve">ost and activity data for </w:t>
      </w:r>
      <w:r w:rsidR="0062681D">
        <w:rPr>
          <w:rFonts w:ascii="Arial" w:hAnsi="Arial" w:cs="Arial"/>
        </w:rPr>
        <w:t xml:space="preserve">the </w:t>
      </w:r>
      <w:r w:rsidR="0062681D" w:rsidRPr="004C2C79">
        <w:rPr>
          <w:rFonts w:ascii="Arial" w:hAnsi="Arial" w:cs="Arial"/>
        </w:rPr>
        <w:t>2012/13 financial year</w:t>
      </w:r>
      <w:r w:rsidR="003368AC">
        <w:rPr>
          <w:rFonts w:ascii="Arial" w:hAnsi="Arial" w:cs="Arial"/>
          <w:szCs w:val="24"/>
        </w:rPr>
        <w:t>. The</w:t>
      </w:r>
      <w:r w:rsidR="00A811D7">
        <w:rPr>
          <w:rFonts w:ascii="Arial" w:hAnsi="Arial" w:cs="Arial"/>
          <w:szCs w:val="24"/>
        </w:rPr>
        <w:t>se</w:t>
      </w:r>
      <w:r w:rsidR="003368AC">
        <w:rPr>
          <w:rFonts w:ascii="Arial" w:hAnsi="Arial" w:cs="Arial"/>
          <w:szCs w:val="24"/>
        </w:rPr>
        <w:t xml:space="preserve"> show </w:t>
      </w:r>
      <w:r w:rsidR="003368AC" w:rsidRPr="0071793B">
        <w:rPr>
          <w:rFonts w:ascii="Arial" w:hAnsi="Arial" w:cs="Arial"/>
          <w:szCs w:val="24"/>
        </w:rPr>
        <w:t xml:space="preserve">that </w:t>
      </w:r>
      <w:r w:rsidR="00602B9F">
        <w:rPr>
          <w:rFonts w:ascii="Arial" w:hAnsi="Arial" w:cs="Arial"/>
          <w:szCs w:val="24"/>
        </w:rPr>
        <w:t xml:space="preserve">Acute healthcare costs are generally elevated </w:t>
      </w:r>
      <w:r w:rsidR="00A811D7">
        <w:rPr>
          <w:rFonts w:ascii="Arial" w:hAnsi="Arial" w:cs="Arial"/>
          <w:szCs w:val="24"/>
        </w:rPr>
        <w:t xml:space="preserve">(weakly) </w:t>
      </w:r>
      <w:r w:rsidR="00602B9F">
        <w:rPr>
          <w:rFonts w:ascii="Arial" w:hAnsi="Arial" w:cs="Arial"/>
          <w:szCs w:val="24"/>
        </w:rPr>
        <w:t xml:space="preserve">in infancy and </w:t>
      </w:r>
      <w:r w:rsidR="00A811D7">
        <w:rPr>
          <w:rFonts w:ascii="Arial" w:hAnsi="Arial" w:cs="Arial"/>
          <w:szCs w:val="24"/>
        </w:rPr>
        <w:t xml:space="preserve">(strongly) in </w:t>
      </w:r>
      <w:r w:rsidR="00602B9F">
        <w:rPr>
          <w:rFonts w:ascii="Arial" w:hAnsi="Arial" w:cs="Arial"/>
          <w:szCs w:val="24"/>
        </w:rPr>
        <w:t xml:space="preserve">old </w:t>
      </w:r>
      <w:r w:rsidR="00A811D7">
        <w:rPr>
          <w:rFonts w:ascii="Arial" w:hAnsi="Arial" w:cs="Arial"/>
          <w:szCs w:val="24"/>
        </w:rPr>
        <w:t>age</w:t>
      </w:r>
      <w:r w:rsidR="00602B9F">
        <w:rPr>
          <w:rFonts w:ascii="Arial" w:hAnsi="Arial" w:cs="Arial"/>
          <w:szCs w:val="24"/>
        </w:rPr>
        <w:t xml:space="preserve">, and that </w:t>
      </w:r>
      <w:r w:rsidR="00E70BC5">
        <w:rPr>
          <w:rFonts w:ascii="Arial" w:hAnsi="Arial" w:cs="Arial"/>
          <w:szCs w:val="24"/>
        </w:rPr>
        <w:t xml:space="preserve">the shape of these curves differs </w:t>
      </w:r>
      <w:r w:rsidR="00A811D7">
        <w:rPr>
          <w:rFonts w:ascii="Arial" w:hAnsi="Arial" w:cs="Arial"/>
          <w:szCs w:val="24"/>
        </w:rPr>
        <w:t xml:space="preserve">somewhat </w:t>
      </w:r>
      <w:r w:rsidR="00E70BC5">
        <w:rPr>
          <w:rFonts w:ascii="Arial" w:hAnsi="Arial" w:cs="Arial"/>
          <w:szCs w:val="24"/>
        </w:rPr>
        <w:t>between</w:t>
      </w:r>
      <w:r w:rsidR="003368AC" w:rsidRPr="0071793B">
        <w:rPr>
          <w:rFonts w:ascii="Arial" w:hAnsi="Arial" w:cs="Arial"/>
          <w:szCs w:val="24"/>
        </w:rPr>
        <w:t xml:space="preserve"> diagnostic group</w:t>
      </w:r>
      <w:r w:rsidR="003368AC">
        <w:rPr>
          <w:rFonts w:ascii="Arial" w:hAnsi="Arial" w:cs="Arial"/>
          <w:szCs w:val="24"/>
        </w:rPr>
        <w:t>s</w:t>
      </w:r>
      <w:r w:rsidR="003368AC" w:rsidRPr="0071793B">
        <w:rPr>
          <w:rFonts w:ascii="Arial" w:hAnsi="Arial" w:cs="Arial"/>
          <w:szCs w:val="24"/>
        </w:rPr>
        <w:t xml:space="preserve">. </w:t>
      </w:r>
      <w:r w:rsidR="00A811D7">
        <w:rPr>
          <w:rFonts w:ascii="Arial" w:hAnsi="Arial" w:cs="Arial"/>
          <w:szCs w:val="24"/>
        </w:rPr>
        <w:t xml:space="preserve">Input from consultants has been sought on whether clinical </w:t>
      </w:r>
      <w:r>
        <w:rPr>
          <w:rFonts w:ascii="Arial" w:hAnsi="Arial" w:cs="Arial"/>
          <w:szCs w:val="24"/>
        </w:rPr>
        <w:t>knowledge and expertise can provide useful direction for the examination of</w:t>
      </w:r>
      <w:r w:rsidR="00A811D7">
        <w:rPr>
          <w:rFonts w:ascii="Arial" w:hAnsi="Arial" w:cs="Arial"/>
          <w:szCs w:val="24"/>
        </w:rPr>
        <w:t xml:space="preserve"> MLC factors in different age groups, and the general advice received is that </w:t>
      </w:r>
      <w:r>
        <w:rPr>
          <w:rFonts w:ascii="Arial" w:hAnsi="Arial" w:cs="Arial"/>
          <w:szCs w:val="24"/>
        </w:rPr>
        <w:t>it can</w:t>
      </w:r>
      <w:r w:rsidR="00A811D7">
        <w:rPr>
          <w:rFonts w:ascii="Arial" w:hAnsi="Arial" w:cs="Arial"/>
          <w:szCs w:val="24"/>
        </w:rPr>
        <w:t>not.</w:t>
      </w:r>
    </w:p>
    <w:p w:rsidR="0005323A" w:rsidRPr="003368AC" w:rsidRDefault="0005323A" w:rsidP="00F64F60">
      <w:pPr>
        <w:jc w:val="both"/>
        <w:outlineLvl w:val="6"/>
        <w:rPr>
          <w:rFonts w:ascii="Arial" w:hAnsi="Arial" w:cs="Arial"/>
          <w:szCs w:val="24"/>
        </w:rPr>
      </w:pPr>
    </w:p>
    <w:p w:rsidR="00965119" w:rsidRDefault="00A33904" w:rsidP="00965119">
      <w:pPr>
        <w:rPr>
          <w:rFonts w:ascii="Arial" w:hAnsi="Arial" w:cs="Arial"/>
          <w:b/>
          <w:i/>
        </w:rPr>
      </w:pPr>
      <w:r>
        <w:rPr>
          <w:rFonts w:ascii="Arial" w:hAnsi="Arial" w:cs="Arial"/>
          <w:b/>
          <w:i/>
        </w:rPr>
        <w:t>2</w:t>
      </w:r>
      <w:r w:rsidR="00965119" w:rsidRPr="004C2C79">
        <w:rPr>
          <w:rFonts w:ascii="Arial" w:hAnsi="Arial" w:cs="Arial"/>
          <w:b/>
          <w:i/>
        </w:rPr>
        <w:t>.  Age split</w:t>
      </w:r>
    </w:p>
    <w:p w:rsidR="00A33904" w:rsidRPr="004C2C79" w:rsidRDefault="00A33904" w:rsidP="00965119">
      <w:pPr>
        <w:rPr>
          <w:rFonts w:ascii="Arial" w:hAnsi="Arial" w:cs="Arial"/>
          <w:b/>
          <w:i/>
        </w:rPr>
      </w:pPr>
      <w:r>
        <w:rPr>
          <w:rFonts w:ascii="Arial" w:hAnsi="Arial" w:cs="Arial"/>
          <w:b/>
          <w:i/>
        </w:rPr>
        <w:t>2.1 Age split analysis</w:t>
      </w:r>
      <w:r w:rsidR="00ED768A">
        <w:rPr>
          <w:rFonts w:ascii="Arial" w:hAnsi="Arial" w:cs="Arial"/>
          <w:b/>
          <w:i/>
        </w:rPr>
        <w:t xml:space="preserve"> and AST group discussion</w:t>
      </w:r>
    </w:p>
    <w:p w:rsidR="009A58DD" w:rsidRPr="004C2C79" w:rsidRDefault="009A58DD" w:rsidP="003368AC">
      <w:pPr>
        <w:jc w:val="both"/>
        <w:rPr>
          <w:rFonts w:ascii="Arial" w:hAnsi="Arial" w:cs="Arial"/>
        </w:rPr>
      </w:pPr>
      <w:r w:rsidRPr="004C2C79">
        <w:rPr>
          <w:rFonts w:ascii="Arial" w:hAnsi="Arial" w:cs="Arial"/>
        </w:rPr>
        <w:t xml:space="preserve">Age/Sex cost curves are produced for each </w:t>
      </w:r>
      <w:proofErr w:type="gramStart"/>
      <w:r w:rsidR="00816BA4">
        <w:rPr>
          <w:rFonts w:ascii="Arial" w:hAnsi="Arial" w:cs="Arial"/>
        </w:rPr>
        <w:t>Acute</w:t>
      </w:r>
      <w:proofErr w:type="gramEnd"/>
      <w:r w:rsidR="00816BA4">
        <w:rPr>
          <w:rFonts w:ascii="Arial" w:hAnsi="Arial" w:cs="Arial"/>
        </w:rPr>
        <w:t xml:space="preserve"> </w:t>
      </w:r>
      <w:r w:rsidR="00330646">
        <w:rPr>
          <w:rFonts w:ascii="Arial" w:hAnsi="Arial" w:cs="Arial"/>
        </w:rPr>
        <w:t xml:space="preserve">diagnostic group </w:t>
      </w:r>
      <w:r w:rsidRPr="004C2C79">
        <w:rPr>
          <w:rFonts w:ascii="Arial" w:hAnsi="Arial" w:cs="Arial"/>
        </w:rPr>
        <w:t>and f</w:t>
      </w:r>
      <w:r w:rsidR="00375C4D" w:rsidRPr="004C2C79">
        <w:rPr>
          <w:rFonts w:ascii="Arial" w:hAnsi="Arial" w:cs="Arial"/>
        </w:rPr>
        <w:t>or all Acute patie</w:t>
      </w:r>
      <w:r w:rsidR="003368AC">
        <w:rPr>
          <w:rFonts w:ascii="Arial" w:hAnsi="Arial" w:cs="Arial"/>
        </w:rPr>
        <w:t>nts combined</w:t>
      </w:r>
      <w:r w:rsidR="00F64F60">
        <w:rPr>
          <w:rFonts w:ascii="Arial" w:hAnsi="Arial" w:cs="Arial"/>
        </w:rPr>
        <w:t>,</w:t>
      </w:r>
      <w:r w:rsidR="00F64F60" w:rsidRPr="00F64F60">
        <w:rPr>
          <w:rFonts w:ascii="Arial" w:hAnsi="Arial" w:cs="Arial"/>
        </w:rPr>
        <w:t xml:space="preserve"> </w:t>
      </w:r>
      <w:r w:rsidR="00F64F60">
        <w:rPr>
          <w:rFonts w:ascii="Arial" w:hAnsi="Arial" w:cs="Arial"/>
        </w:rPr>
        <w:t>using cost and activity data for 2012/13,</w:t>
      </w:r>
      <w:r w:rsidR="00330646">
        <w:rPr>
          <w:rFonts w:ascii="Arial" w:hAnsi="Arial" w:cs="Arial"/>
        </w:rPr>
        <w:t xml:space="preserve"> </w:t>
      </w:r>
      <w:r w:rsidR="003368AC">
        <w:rPr>
          <w:rFonts w:ascii="Arial" w:hAnsi="Arial" w:cs="Arial"/>
        </w:rPr>
        <w:t xml:space="preserve">in order to </w:t>
      </w:r>
      <w:r w:rsidR="00C315EF">
        <w:rPr>
          <w:rFonts w:ascii="Arial" w:hAnsi="Arial" w:cs="Arial"/>
        </w:rPr>
        <w:t>look for indications of where any</w:t>
      </w:r>
      <w:r w:rsidR="003368AC">
        <w:rPr>
          <w:rFonts w:ascii="Arial" w:hAnsi="Arial" w:cs="Arial"/>
        </w:rPr>
        <w:t xml:space="preserve"> age split</w:t>
      </w:r>
      <w:r w:rsidR="00C315EF">
        <w:rPr>
          <w:rFonts w:ascii="Arial" w:hAnsi="Arial" w:cs="Arial"/>
        </w:rPr>
        <w:t>s might occur naturally</w:t>
      </w:r>
      <w:r w:rsidR="00375C4D" w:rsidRPr="004C2C79">
        <w:rPr>
          <w:rFonts w:ascii="Arial" w:hAnsi="Arial" w:cs="Arial"/>
        </w:rPr>
        <w:t>.</w:t>
      </w:r>
    </w:p>
    <w:p w:rsidR="00962FA5" w:rsidRPr="004C2C79" w:rsidRDefault="003368AC" w:rsidP="003368AC">
      <w:pPr>
        <w:jc w:val="both"/>
        <w:rPr>
          <w:rFonts w:ascii="Arial" w:hAnsi="Arial" w:cs="Arial"/>
        </w:rPr>
      </w:pPr>
      <w:r>
        <w:rPr>
          <w:rFonts w:ascii="Arial" w:hAnsi="Arial" w:cs="Arial"/>
        </w:rPr>
        <w:t xml:space="preserve">The </w:t>
      </w:r>
      <w:r w:rsidR="00AC4A9F">
        <w:rPr>
          <w:rFonts w:ascii="Arial" w:hAnsi="Arial" w:cs="Arial"/>
        </w:rPr>
        <w:t>cost per</w:t>
      </w:r>
      <w:r w:rsidR="00AC4A9F" w:rsidRPr="00AC4A9F">
        <w:rPr>
          <w:rFonts w:ascii="Arial" w:hAnsi="Arial" w:cs="Arial"/>
        </w:rPr>
        <w:t xml:space="preserve"> </w:t>
      </w:r>
      <w:r w:rsidR="00AC4A9F">
        <w:rPr>
          <w:rFonts w:ascii="Arial" w:hAnsi="Arial" w:cs="Arial"/>
        </w:rPr>
        <w:t xml:space="preserve">head, or </w:t>
      </w:r>
      <w:r w:rsidR="00F90BDE">
        <w:rPr>
          <w:rFonts w:ascii="Arial" w:hAnsi="Arial" w:cs="Arial"/>
        </w:rPr>
        <w:t xml:space="preserve">more specifically </w:t>
      </w:r>
      <w:r>
        <w:rPr>
          <w:rFonts w:ascii="Arial" w:hAnsi="Arial" w:cs="Arial"/>
        </w:rPr>
        <w:t xml:space="preserve">cost per </w:t>
      </w:r>
      <w:r w:rsidR="00AC4A9F">
        <w:rPr>
          <w:rFonts w:ascii="Arial" w:hAnsi="Arial" w:cs="Arial"/>
        </w:rPr>
        <w:t xml:space="preserve">person-year </w:t>
      </w:r>
      <w:r w:rsidR="00862FD3" w:rsidRPr="004C2C79">
        <w:rPr>
          <w:rFonts w:ascii="Arial" w:hAnsi="Arial" w:cs="Arial"/>
        </w:rPr>
        <w:t>(£)</w:t>
      </w:r>
      <w:r w:rsidR="00AC4A9F">
        <w:rPr>
          <w:rFonts w:ascii="Arial" w:hAnsi="Arial" w:cs="Arial"/>
        </w:rPr>
        <w:t>,</w:t>
      </w:r>
      <w:r w:rsidR="00862FD3" w:rsidRPr="004C2C79">
        <w:rPr>
          <w:rFonts w:ascii="Arial" w:hAnsi="Arial" w:cs="Arial"/>
        </w:rPr>
        <w:t xml:space="preserve"> is calculated </w:t>
      </w:r>
      <w:r>
        <w:rPr>
          <w:rFonts w:ascii="Arial" w:hAnsi="Arial" w:cs="Arial"/>
        </w:rPr>
        <w:t xml:space="preserve">by </w:t>
      </w:r>
      <w:r w:rsidR="00862FD3" w:rsidRPr="004C2C79">
        <w:rPr>
          <w:rFonts w:ascii="Arial" w:hAnsi="Arial" w:cs="Arial"/>
        </w:rPr>
        <w:t>dividing Scotland’s overall expenditure for the particular diagnostic gr</w:t>
      </w:r>
      <w:r>
        <w:rPr>
          <w:rFonts w:ascii="Arial" w:hAnsi="Arial" w:cs="Arial"/>
        </w:rPr>
        <w:t xml:space="preserve">oup </w:t>
      </w:r>
      <w:r w:rsidR="00E70BC5">
        <w:rPr>
          <w:rFonts w:ascii="Arial" w:hAnsi="Arial" w:cs="Arial"/>
        </w:rPr>
        <w:t>(in each</w:t>
      </w:r>
      <w:r>
        <w:rPr>
          <w:rFonts w:ascii="Arial" w:hAnsi="Arial" w:cs="Arial"/>
        </w:rPr>
        <w:t xml:space="preserve"> age and sex group</w:t>
      </w:r>
      <w:r w:rsidR="00E70BC5">
        <w:rPr>
          <w:rFonts w:ascii="Arial" w:hAnsi="Arial" w:cs="Arial"/>
        </w:rPr>
        <w:t>)</w:t>
      </w:r>
      <w:r>
        <w:rPr>
          <w:rFonts w:ascii="Arial" w:hAnsi="Arial" w:cs="Arial"/>
        </w:rPr>
        <w:t xml:space="preserve"> by Scotland’s </w:t>
      </w:r>
      <w:r w:rsidR="00862FD3" w:rsidRPr="004C2C79">
        <w:rPr>
          <w:rFonts w:ascii="Arial" w:hAnsi="Arial" w:cs="Arial"/>
        </w:rPr>
        <w:t xml:space="preserve">population </w:t>
      </w:r>
      <w:r w:rsidR="00E70BC5">
        <w:rPr>
          <w:rFonts w:ascii="Arial" w:hAnsi="Arial" w:cs="Arial"/>
        </w:rPr>
        <w:t>(in each respective</w:t>
      </w:r>
      <w:r w:rsidR="00862FD3" w:rsidRPr="004C2C79">
        <w:rPr>
          <w:rFonts w:ascii="Arial" w:hAnsi="Arial" w:cs="Arial"/>
        </w:rPr>
        <w:t xml:space="preserve"> age and sex group</w:t>
      </w:r>
      <w:r w:rsidR="00E70BC5">
        <w:rPr>
          <w:rFonts w:ascii="Arial" w:hAnsi="Arial" w:cs="Arial"/>
        </w:rPr>
        <w:t>)</w:t>
      </w:r>
      <w:r w:rsidR="00C315EF">
        <w:rPr>
          <w:rFonts w:ascii="Arial" w:hAnsi="Arial" w:cs="Arial"/>
        </w:rPr>
        <w:t xml:space="preserve">. The cost per </w:t>
      </w:r>
      <w:r w:rsidR="00AC4A9F">
        <w:rPr>
          <w:rFonts w:ascii="Arial" w:hAnsi="Arial" w:cs="Arial"/>
        </w:rPr>
        <w:t>person-year</w:t>
      </w:r>
      <w:r w:rsidR="00862FD3" w:rsidRPr="004C2C79">
        <w:rPr>
          <w:rFonts w:ascii="Arial" w:hAnsi="Arial" w:cs="Arial"/>
        </w:rPr>
        <w:t xml:space="preserve"> is </w:t>
      </w:r>
      <w:r w:rsidR="00AC4A9F">
        <w:rPr>
          <w:rFonts w:ascii="Arial" w:hAnsi="Arial" w:cs="Arial"/>
        </w:rPr>
        <w:t xml:space="preserve">therefore </w:t>
      </w:r>
      <w:r w:rsidR="00862FD3" w:rsidRPr="004C2C79">
        <w:rPr>
          <w:rFonts w:ascii="Arial" w:hAnsi="Arial" w:cs="Arial"/>
        </w:rPr>
        <w:t xml:space="preserve">not equivalent to the cost per </w:t>
      </w:r>
      <w:r w:rsidR="00862FD3" w:rsidRPr="00F947B5">
        <w:rPr>
          <w:rFonts w:ascii="Arial" w:hAnsi="Arial" w:cs="Arial"/>
          <w:i/>
        </w:rPr>
        <w:t>case</w:t>
      </w:r>
      <w:r w:rsidR="00862FD3" w:rsidRPr="004C2C79">
        <w:rPr>
          <w:rFonts w:ascii="Arial" w:hAnsi="Arial" w:cs="Arial"/>
        </w:rPr>
        <w:t xml:space="preserve">. </w:t>
      </w:r>
      <w:r w:rsidR="00962FA5" w:rsidRPr="004C2C79">
        <w:rPr>
          <w:rFonts w:ascii="Arial" w:hAnsi="Arial" w:cs="Arial"/>
        </w:rPr>
        <w:t xml:space="preserve"> The curves produced and applied below</w:t>
      </w:r>
      <w:r w:rsidR="00527554" w:rsidRPr="004C2C79">
        <w:rPr>
          <w:rFonts w:ascii="Arial" w:hAnsi="Arial" w:cs="Arial"/>
        </w:rPr>
        <w:t xml:space="preserve"> (</w:t>
      </w:r>
      <w:r w:rsidR="00527554" w:rsidRPr="00F947B5">
        <w:rPr>
          <w:rFonts w:ascii="Arial" w:hAnsi="Arial" w:cs="Arial"/>
        </w:rPr>
        <w:t>Figure 1</w:t>
      </w:r>
      <w:r w:rsidR="00527554" w:rsidRPr="004C2C79">
        <w:rPr>
          <w:rFonts w:ascii="Arial" w:hAnsi="Arial" w:cs="Arial"/>
        </w:rPr>
        <w:t>)</w:t>
      </w:r>
      <w:r w:rsidR="00962FA5" w:rsidRPr="004C2C79">
        <w:rPr>
          <w:rFonts w:ascii="Arial" w:hAnsi="Arial" w:cs="Arial"/>
        </w:rPr>
        <w:t xml:space="preserve"> plot the cost per </w:t>
      </w:r>
      <w:r w:rsidR="00AC4A9F">
        <w:rPr>
          <w:rFonts w:ascii="Arial" w:hAnsi="Arial" w:cs="Arial"/>
        </w:rPr>
        <w:t>person-year</w:t>
      </w:r>
      <w:r w:rsidR="00962FA5" w:rsidRPr="004C2C79">
        <w:rPr>
          <w:rFonts w:ascii="Arial" w:hAnsi="Arial" w:cs="Arial"/>
        </w:rPr>
        <w:t xml:space="preserve"> (£) against the age group</w:t>
      </w:r>
      <w:r>
        <w:rPr>
          <w:rFonts w:ascii="Arial" w:hAnsi="Arial" w:cs="Arial"/>
        </w:rPr>
        <w:t xml:space="preserve"> (</w:t>
      </w:r>
      <w:r w:rsidR="00375C4D" w:rsidRPr="004C2C79">
        <w:rPr>
          <w:rFonts w:ascii="Arial" w:hAnsi="Arial" w:cs="Arial"/>
        </w:rPr>
        <w:t>the blue line represents males and the green line represents females</w:t>
      </w:r>
      <w:r>
        <w:rPr>
          <w:rFonts w:ascii="Arial" w:hAnsi="Arial" w:cs="Arial"/>
        </w:rPr>
        <w:t>)</w:t>
      </w:r>
      <w:r w:rsidR="00375C4D" w:rsidRPr="004C2C79">
        <w:rPr>
          <w:rFonts w:ascii="Arial" w:hAnsi="Arial" w:cs="Arial"/>
        </w:rPr>
        <w:t xml:space="preserve">. </w:t>
      </w:r>
      <w:r w:rsidR="00574E94">
        <w:rPr>
          <w:rFonts w:ascii="Arial" w:hAnsi="Arial" w:cs="Arial"/>
        </w:rPr>
        <w:t xml:space="preserve">For more information on the conditions involved, the top five conditions in each of the </w:t>
      </w:r>
      <w:proofErr w:type="gramStart"/>
      <w:r w:rsidR="00574E94">
        <w:rPr>
          <w:rFonts w:ascii="Arial" w:hAnsi="Arial" w:cs="Arial"/>
        </w:rPr>
        <w:t>Acute</w:t>
      </w:r>
      <w:proofErr w:type="gramEnd"/>
      <w:r w:rsidR="00574E94">
        <w:rPr>
          <w:rFonts w:ascii="Arial" w:hAnsi="Arial" w:cs="Arial"/>
        </w:rPr>
        <w:t xml:space="preserve"> diagnostic groups are detailed in Appendix A.</w:t>
      </w:r>
    </w:p>
    <w:p w:rsidR="008B7742" w:rsidRPr="004C2C79" w:rsidRDefault="008B7742" w:rsidP="00375C4D">
      <w:pPr>
        <w:jc w:val="both"/>
        <w:rPr>
          <w:rFonts w:ascii="Arial" w:hAnsi="Arial" w:cs="Arial"/>
          <w:i/>
        </w:rPr>
      </w:pPr>
    </w:p>
    <w:p w:rsidR="008B7742" w:rsidRPr="004C2C79" w:rsidRDefault="008B7742" w:rsidP="00375C4D">
      <w:pPr>
        <w:jc w:val="both"/>
        <w:rPr>
          <w:rFonts w:ascii="Arial" w:hAnsi="Arial" w:cs="Arial"/>
          <w:i/>
        </w:rPr>
      </w:pPr>
    </w:p>
    <w:p w:rsidR="00527554" w:rsidRPr="004C2C79" w:rsidRDefault="008B7742" w:rsidP="00375C4D">
      <w:pPr>
        <w:jc w:val="both"/>
        <w:rPr>
          <w:rFonts w:ascii="Arial" w:hAnsi="Arial" w:cs="Arial"/>
          <w:i/>
        </w:rPr>
      </w:pPr>
      <w:r w:rsidRPr="004C2C79">
        <w:rPr>
          <w:rFonts w:ascii="Arial" w:hAnsi="Arial" w:cs="Arial"/>
          <w:i/>
          <w:noProof/>
          <w:lang w:eastAsia="en-GB"/>
        </w:rPr>
        <w:lastRenderedPageBreak/>
        <w:drawing>
          <wp:anchor distT="0" distB="0" distL="114300" distR="114300" simplePos="0" relativeHeight="251661312" behindDoc="0" locked="0" layoutInCell="1" allowOverlap="1">
            <wp:simplePos x="0" y="0"/>
            <wp:positionH relativeFrom="column">
              <wp:posOffset>-476250</wp:posOffset>
            </wp:positionH>
            <wp:positionV relativeFrom="paragraph">
              <wp:posOffset>3933825</wp:posOffset>
            </wp:positionV>
            <wp:extent cx="3954145" cy="3419475"/>
            <wp:effectExtent l="19050" t="0" r="825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954145" cy="3419475"/>
                    </a:xfrm>
                    <a:prstGeom prst="rect">
                      <a:avLst/>
                    </a:prstGeom>
                    <a:noFill/>
                    <a:ln w="9525">
                      <a:noFill/>
                      <a:miter lim="800000"/>
                      <a:headEnd/>
                      <a:tailEnd/>
                    </a:ln>
                  </pic:spPr>
                </pic:pic>
              </a:graphicData>
            </a:graphic>
          </wp:anchor>
        </w:drawing>
      </w:r>
      <w:r w:rsidRPr="004C2C79">
        <w:rPr>
          <w:rFonts w:ascii="Arial" w:hAnsi="Arial" w:cs="Arial"/>
          <w:i/>
          <w:noProof/>
          <w:lang w:eastAsia="en-GB"/>
        </w:rPr>
        <w:drawing>
          <wp:anchor distT="0" distB="0" distL="114300" distR="114300" simplePos="0" relativeHeight="251663360" behindDoc="0" locked="0" layoutInCell="1" allowOverlap="1">
            <wp:simplePos x="0" y="0"/>
            <wp:positionH relativeFrom="column">
              <wp:posOffset>3114675</wp:posOffset>
            </wp:positionH>
            <wp:positionV relativeFrom="paragraph">
              <wp:posOffset>3933825</wp:posOffset>
            </wp:positionV>
            <wp:extent cx="3955415" cy="3419475"/>
            <wp:effectExtent l="19050" t="0" r="698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3955415" cy="3419475"/>
                    </a:xfrm>
                    <a:prstGeom prst="rect">
                      <a:avLst/>
                    </a:prstGeom>
                    <a:noFill/>
                    <a:ln w="9525">
                      <a:noFill/>
                      <a:miter lim="800000"/>
                      <a:headEnd/>
                      <a:tailEnd/>
                    </a:ln>
                  </pic:spPr>
                </pic:pic>
              </a:graphicData>
            </a:graphic>
          </wp:anchor>
        </w:drawing>
      </w:r>
      <w:r w:rsidR="00527554" w:rsidRPr="004C2C79">
        <w:rPr>
          <w:rFonts w:ascii="Arial" w:hAnsi="Arial" w:cs="Arial"/>
          <w:i/>
          <w:noProof/>
          <w:lang w:eastAsia="en-GB"/>
        </w:rPr>
        <w:drawing>
          <wp:anchor distT="0" distB="0" distL="114300" distR="114300" simplePos="0" relativeHeight="251659264" behindDoc="0" locked="0" layoutInCell="1" allowOverlap="1">
            <wp:simplePos x="0" y="0"/>
            <wp:positionH relativeFrom="column">
              <wp:posOffset>2867025</wp:posOffset>
            </wp:positionH>
            <wp:positionV relativeFrom="paragraph">
              <wp:posOffset>334010</wp:posOffset>
            </wp:positionV>
            <wp:extent cx="3954145" cy="3419475"/>
            <wp:effectExtent l="19050" t="0" r="8255" b="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954145" cy="3419475"/>
                    </a:xfrm>
                    <a:prstGeom prst="rect">
                      <a:avLst/>
                    </a:prstGeom>
                    <a:noFill/>
                    <a:ln w="9525">
                      <a:noFill/>
                      <a:miter lim="800000"/>
                      <a:headEnd/>
                      <a:tailEnd/>
                    </a:ln>
                  </pic:spPr>
                </pic:pic>
              </a:graphicData>
            </a:graphic>
          </wp:anchor>
        </w:drawing>
      </w:r>
      <w:r w:rsidR="00527554" w:rsidRPr="004C2C79">
        <w:rPr>
          <w:rFonts w:ascii="Arial" w:hAnsi="Arial" w:cs="Arial"/>
          <w:i/>
          <w:noProof/>
          <w:lang w:eastAsia="en-GB"/>
        </w:rPr>
        <w:drawing>
          <wp:anchor distT="0" distB="0" distL="114300" distR="114300" simplePos="0" relativeHeight="251658240" behindDoc="0" locked="0" layoutInCell="1" allowOverlap="1">
            <wp:simplePos x="0" y="0"/>
            <wp:positionH relativeFrom="column">
              <wp:posOffset>-542925</wp:posOffset>
            </wp:positionH>
            <wp:positionV relativeFrom="paragraph">
              <wp:posOffset>334010</wp:posOffset>
            </wp:positionV>
            <wp:extent cx="3939540" cy="3419475"/>
            <wp:effectExtent l="1905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939540" cy="3419475"/>
                    </a:xfrm>
                    <a:prstGeom prst="rect">
                      <a:avLst/>
                    </a:prstGeom>
                    <a:noFill/>
                    <a:ln w="9525">
                      <a:noFill/>
                      <a:miter lim="800000"/>
                      <a:headEnd/>
                      <a:tailEnd/>
                    </a:ln>
                  </pic:spPr>
                </pic:pic>
              </a:graphicData>
            </a:graphic>
          </wp:anchor>
        </w:drawing>
      </w:r>
      <w:r w:rsidR="00375C4D" w:rsidRPr="004C2C79">
        <w:rPr>
          <w:rFonts w:ascii="Arial" w:hAnsi="Arial" w:cs="Arial"/>
          <w:i/>
        </w:rPr>
        <w:t xml:space="preserve">Figure 1: </w:t>
      </w:r>
      <w:r w:rsidR="00527554" w:rsidRPr="004C2C79">
        <w:rPr>
          <w:rFonts w:ascii="Arial" w:hAnsi="Arial" w:cs="Arial"/>
          <w:i/>
        </w:rPr>
        <w:t xml:space="preserve">Age/Sex cost curves for each diagnostic group and </w:t>
      </w:r>
      <w:r w:rsidR="001341EF">
        <w:rPr>
          <w:rFonts w:ascii="Arial" w:hAnsi="Arial" w:cs="Arial"/>
          <w:i/>
        </w:rPr>
        <w:t xml:space="preserve">for </w:t>
      </w:r>
      <w:r w:rsidR="00527554" w:rsidRPr="004C2C79">
        <w:rPr>
          <w:rFonts w:ascii="Arial" w:hAnsi="Arial" w:cs="Arial"/>
          <w:i/>
        </w:rPr>
        <w:t xml:space="preserve">all </w:t>
      </w:r>
      <w:proofErr w:type="gramStart"/>
      <w:r w:rsidR="00527554" w:rsidRPr="004C2C79">
        <w:rPr>
          <w:rFonts w:ascii="Arial" w:hAnsi="Arial" w:cs="Arial"/>
          <w:i/>
        </w:rPr>
        <w:t>Acute</w:t>
      </w:r>
      <w:proofErr w:type="gramEnd"/>
      <w:r w:rsidR="00527554" w:rsidRPr="004C2C79">
        <w:rPr>
          <w:rFonts w:ascii="Arial" w:hAnsi="Arial" w:cs="Arial"/>
          <w:i/>
        </w:rPr>
        <w:t xml:space="preserve"> patients combined.</w:t>
      </w:r>
    </w:p>
    <w:p w:rsidR="00527554" w:rsidRPr="004C2C79" w:rsidRDefault="00527554" w:rsidP="00375C4D">
      <w:pPr>
        <w:jc w:val="both"/>
        <w:rPr>
          <w:rFonts w:ascii="Arial" w:hAnsi="Arial" w:cs="Arial"/>
        </w:rPr>
      </w:pPr>
    </w:p>
    <w:p w:rsidR="00D35F89" w:rsidRPr="004C2C79" w:rsidRDefault="00D35F89" w:rsidP="00375C4D">
      <w:pPr>
        <w:jc w:val="both"/>
        <w:rPr>
          <w:rFonts w:ascii="Arial" w:hAnsi="Arial" w:cs="Arial"/>
        </w:rPr>
      </w:pPr>
    </w:p>
    <w:p w:rsidR="00F947B5" w:rsidRDefault="00F947B5" w:rsidP="00375C4D">
      <w:pPr>
        <w:jc w:val="both"/>
        <w:rPr>
          <w:rFonts w:ascii="Arial" w:hAnsi="Arial" w:cs="Arial"/>
        </w:rPr>
      </w:pPr>
    </w:p>
    <w:p w:rsidR="00F947B5" w:rsidRDefault="00F947B5" w:rsidP="00375C4D">
      <w:pPr>
        <w:jc w:val="both"/>
        <w:rPr>
          <w:rFonts w:ascii="Arial" w:hAnsi="Arial" w:cs="Arial"/>
        </w:rPr>
      </w:pPr>
    </w:p>
    <w:p w:rsidR="0005323A" w:rsidRDefault="0005323A" w:rsidP="00375C4D">
      <w:pPr>
        <w:jc w:val="both"/>
        <w:rPr>
          <w:rFonts w:ascii="Arial" w:hAnsi="Arial" w:cs="Arial"/>
        </w:rPr>
      </w:pPr>
    </w:p>
    <w:p w:rsidR="0005323A" w:rsidRDefault="0005323A" w:rsidP="00375C4D">
      <w:pPr>
        <w:jc w:val="both"/>
        <w:rPr>
          <w:rFonts w:ascii="Arial" w:hAnsi="Arial" w:cs="Arial"/>
        </w:rPr>
      </w:pPr>
    </w:p>
    <w:p w:rsidR="00C60045" w:rsidRDefault="00816BA4" w:rsidP="00375C4D">
      <w:pPr>
        <w:jc w:val="both"/>
        <w:rPr>
          <w:rFonts w:ascii="Arial" w:hAnsi="Arial" w:cs="Arial"/>
        </w:rPr>
      </w:pPr>
      <w:r>
        <w:rPr>
          <w:rFonts w:ascii="Arial" w:hAnsi="Arial" w:cs="Arial"/>
          <w:noProof/>
          <w:lang w:eastAsia="en-GB"/>
        </w:rPr>
        <w:drawing>
          <wp:anchor distT="0" distB="0" distL="114300" distR="114300" simplePos="0" relativeHeight="251665408" behindDoc="0" locked="0" layoutInCell="1" allowOverlap="1">
            <wp:simplePos x="0" y="0"/>
            <wp:positionH relativeFrom="column">
              <wp:posOffset>-752475</wp:posOffset>
            </wp:positionH>
            <wp:positionV relativeFrom="paragraph">
              <wp:posOffset>-133350</wp:posOffset>
            </wp:positionV>
            <wp:extent cx="3954145" cy="3419475"/>
            <wp:effectExtent l="19050" t="0" r="8255"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3954145" cy="3419475"/>
                    </a:xfrm>
                    <a:prstGeom prst="rect">
                      <a:avLst/>
                    </a:prstGeom>
                    <a:noFill/>
                    <a:ln w="9525">
                      <a:noFill/>
                      <a:miter lim="800000"/>
                      <a:headEnd/>
                      <a:tailEnd/>
                    </a:ln>
                  </pic:spPr>
                </pic:pic>
              </a:graphicData>
            </a:graphic>
          </wp:anchor>
        </w:drawing>
      </w:r>
      <w:r>
        <w:rPr>
          <w:rFonts w:ascii="Arial" w:hAnsi="Arial" w:cs="Arial"/>
          <w:noProof/>
          <w:lang w:eastAsia="en-GB"/>
        </w:rPr>
        <w:drawing>
          <wp:anchor distT="0" distB="0" distL="114300" distR="114300" simplePos="0" relativeHeight="251667456" behindDoc="0" locked="0" layoutInCell="1" allowOverlap="1">
            <wp:simplePos x="0" y="0"/>
            <wp:positionH relativeFrom="column">
              <wp:posOffset>2495550</wp:posOffset>
            </wp:positionH>
            <wp:positionV relativeFrom="paragraph">
              <wp:posOffset>-133350</wp:posOffset>
            </wp:positionV>
            <wp:extent cx="3954145" cy="3419475"/>
            <wp:effectExtent l="19050" t="0" r="8255"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srcRect/>
                    <a:stretch>
                      <a:fillRect/>
                    </a:stretch>
                  </pic:blipFill>
                  <pic:spPr bwMode="auto">
                    <a:xfrm>
                      <a:off x="0" y="0"/>
                      <a:ext cx="3954145" cy="3419475"/>
                    </a:xfrm>
                    <a:prstGeom prst="rect">
                      <a:avLst/>
                    </a:prstGeom>
                    <a:noFill/>
                    <a:ln w="9525">
                      <a:noFill/>
                      <a:miter lim="800000"/>
                      <a:headEnd/>
                      <a:tailEnd/>
                    </a:ln>
                  </pic:spPr>
                </pic:pic>
              </a:graphicData>
            </a:graphic>
          </wp:anchor>
        </w:drawing>
      </w:r>
      <w:r>
        <w:rPr>
          <w:rFonts w:ascii="Arial" w:hAnsi="Arial" w:cs="Arial"/>
          <w:noProof/>
          <w:lang w:eastAsia="en-GB"/>
        </w:rPr>
        <w:drawing>
          <wp:anchor distT="0" distB="0" distL="114300" distR="114300" simplePos="0" relativeHeight="251669504" behindDoc="0" locked="0" layoutInCell="1" allowOverlap="1">
            <wp:simplePos x="0" y="0"/>
            <wp:positionH relativeFrom="column">
              <wp:posOffset>-695325</wp:posOffset>
            </wp:positionH>
            <wp:positionV relativeFrom="paragraph">
              <wp:posOffset>3381375</wp:posOffset>
            </wp:positionV>
            <wp:extent cx="3954145" cy="3419475"/>
            <wp:effectExtent l="19050" t="0" r="8255" b="0"/>
            <wp:wrapTopAndBottom/>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srcRect/>
                    <a:stretch>
                      <a:fillRect/>
                    </a:stretch>
                  </pic:blipFill>
                  <pic:spPr bwMode="auto">
                    <a:xfrm>
                      <a:off x="0" y="0"/>
                      <a:ext cx="3954145" cy="3419475"/>
                    </a:xfrm>
                    <a:prstGeom prst="rect">
                      <a:avLst/>
                    </a:prstGeom>
                    <a:noFill/>
                    <a:ln w="9525">
                      <a:noFill/>
                      <a:miter lim="800000"/>
                      <a:headEnd/>
                      <a:tailEnd/>
                    </a:ln>
                  </pic:spPr>
                </pic:pic>
              </a:graphicData>
            </a:graphic>
          </wp:anchor>
        </w:drawing>
      </w:r>
      <w:r>
        <w:rPr>
          <w:rFonts w:ascii="Arial" w:hAnsi="Arial" w:cs="Arial"/>
          <w:noProof/>
          <w:lang w:eastAsia="en-GB"/>
        </w:rPr>
        <w:drawing>
          <wp:anchor distT="0" distB="0" distL="114300" distR="114300" simplePos="0" relativeHeight="251671552" behindDoc="0" locked="0" layoutInCell="1" allowOverlap="1">
            <wp:simplePos x="0" y="0"/>
            <wp:positionH relativeFrom="column">
              <wp:posOffset>2495550</wp:posOffset>
            </wp:positionH>
            <wp:positionV relativeFrom="paragraph">
              <wp:posOffset>3381375</wp:posOffset>
            </wp:positionV>
            <wp:extent cx="3954145" cy="3419475"/>
            <wp:effectExtent l="19050" t="0" r="8255" b="0"/>
            <wp:wrapTopAndBottom/>
            <wp:docPr id="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srcRect/>
                    <a:stretch>
                      <a:fillRect/>
                    </a:stretch>
                  </pic:blipFill>
                  <pic:spPr bwMode="auto">
                    <a:xfrm>
                      <a:off x="0" y="0"/>
                      <a:ext cx="3954145" cy="3419475"/>
                    </a:xfrm>
                    <a:prstGeom prst="rect">
                      <a:avLst/>
                    </a:prstGeom>
                    <a:noFill/>
                    <a:ln w="9525">
                      <a:noFill/>
                      <a:miter lim="800000"/>
                      <a:headEnd/>
                      <a:tailEnd/>
                    </a:ln>
                  </pic:spPr>
                </pic:pic>
              </a:graphicData>
            </a:graphic>
          </wp:anchor>
        </w:drawing>
      </w:r>
      <w:r w:rsidR="00C60045">
        <w:rPr>
          <w:rFonts w:ascii="Arial" w:hAnsi="Arial" w:cs="Arial"/>
        </w:rPr>
        <w:t>The age/</w:t>
      </w:r>
      <w:r w:rsidR="00C60045" w:rsidRPr="004C2C79">
        <w:rPr>
          <w:rFonts w:ascii="Arial" w:hAnsi="Arial" w:cs="Arial"/>
        </w:rPr>
        <w:t xml:space="preserve">sex cost curves for Cancer Acute </w:t>
      </w:r>
      <w:r w:rsidR="00C60045">
        <w:rPr>
          <w:rFonts w:ascii="Arial" w:hAnsi="Arial" w:cs="Arial"/>
        </w:rPr>
        <w:t>(</w:t>
      </w:r>
      <w:r w:rsidR="00C60045" w:rsidRPr="004C2C79">
        <w:rPr>
          <w:rFonts w:ascii="Arial" w:hAnsi="Arial" w:cs="Arial"/>
        </w:rPr>
        <w:t xml:space="preserve">Inpatients and </w:t>
      </w:r>
      <w:proofErr w:type="spellStart"/>
      <w:r w:rsidR="00C60045" w:rsidRPr="004C2C79">
        <w:rPr>
          <w:rFonts w:ascii="Arial" w:hAnsi="Arial" w:cs="Arial"/>
        </w:rPr>
        <w:t>Daycases</w:t>
      </w:r>
      <w:proofErr w:type="spellEnd"/>
      <w:r w:rsidR="00C60045">
        <w:rPr>
          <w:rFonts w:ascii="Arial" w:hAnsi="Arial" w:cs="Arial"/>
        </w:rPr>
        <w:t>) and for Acute O</w:t>
      </w:r>
      <w:r w:rsidR="00C60045" w:rsidRPr="004C2C79">
        <w:rPr>
          <w:rFonts w:ascii="Arial" w:hAnsi="Arial" w:cs="Arial"/>
        </w:rPr>
        <w:t>utpatients have different shape</w:t>
      </w:r>
      <w:r w:rsidR="00C60045">
        <w:rPr>
          <w:rFonts w:ascii="Arial" w:hAnsi="Arial" w:cs="Arial"/>
        </w:rPr>
        <w:t>s compared to the age/</w:t>
      </w:r>
      <w:r w:rsidR="00C60045" w:rsidRPr="004C2C79">
        <w:rPr>
          <w:rFonts w:ascii="Arial" w:hAnsi="Arial" w:cs="Arial"/>
        </w:rPr>
        <w:t xml:space="preserve">sex cost curves for all </w:t>
      </w:r>
      <w:proofErr w:type="gramStart"/>
      <w:r w:rsidR="00C60045" w:rsidRPr="004C2C79">
        <w:rPr>
          <w:rFonts w:ascii="Arial" w:hAnsi="Arial" w:cs="Arial"/>
        </w:rPr>
        <w:t>Acute</w:t>
      </w:r>
      <w:proofErr w:type="gramEnd"/>
      <w:r w:rsidR="00C60045" w:rsidRPr="004C2C79">
        <w:rPr>
          <w:rFonts w:ascii="Arial" w:hAnsi="Arial" w:cs="Arial"/>
        </w:rPr>
        <w:t xml:space="preserve"> </w:t>
      </w:r>
      <w:r w:rsidR="00C60045" w:rsidRPr="00816BA4">
        <w:rPr>
          <w:rFonts w:ascii="Arial" w:hAnsi="Arial" w:cs="Arial"/>
        </w:rPr>
        <w:t>patients. For cancer, the roll-off at older ages reflects the tendency towards palliative care as opposed to curative treatments in older patients.</w:t>
      </w:r>
      <w:r w:rsidR="00E510E7">
        <w:rPr>
          <w:rFonts w:ascii="Arial" w:hAnsi="Arial" w:cs="Arial"/>
        </w:rPr>
        <w:t xml:space="preserve"> (The cost curves for specific cancer types are shown in Appendix B, and demonstrate the contributions of different cancers to the specific shapes of the overall curves, including the sex difference.)</w:t>
      </w:r>
    </w:p>
    <w:p w:rsidR="00816BA4" w:rsidRDefault="00C60045" w:rsidP="00375C4D">
      <w:pPr>
        <w:jc w:val="both"/>
        <w:rPr>
          <w:rFonts w:ascii="Arial" w:hAnsi="Arial" w:cs="Arial"/>
        </w:rPr>
      </w:pPr>
      <w:r>
        <w:rPr>
          <w:rFonts w:ascii="Arial" w:hAnsi="Arial" w:cs="Arial"/>
        </w:rPr>
        <w:lastRenderedPageBreak/>
        <w:t xml:space="preserve">However, </w:t>
      </w:r>
      <w:r w:rsidR="00A811D7">
        <w:rPr>
          <w:rFonts w:ascii="Arial" w:hAnsi="Arial" w:cs="Arial"/>
        </w:rPr>
        <w:t xml:space="preserve">generally, </w:t>
      </w:r>
      <w:r>
        <w:rPr>
          <w:rFonts w:ascii="Arial" w:hAnsi="Arial" w:cs="Arial"/>
        </w:rPr>
        <w:t>t</w:t>
      </w:r>
      <w:r w:rsidR="00816BA4">
        <w:rPr>
          <w:rFonts w:ascii="Arial" w:hAnsi="Arial" w:cs="Arial"/>
        </w:rPr>
        <w:t xml:space="preserve">he cost curves </w:t>
      </w:r>
      <w:r w:rsidR="00E510E7">
        <w:rPr>
          <w:rFonts w:ascii="Arial" w:hAnsi="Arial" w:cs="Arial"/>
        </w:rPr>
        <w:t xml:space="preserve">all </w:t>
      </w:r>
      <w:r w:rsidR="00816BA4">
        <w:rPr>
          <w:rFonts w:ascii="Arial" w:hAnsi="Arial" w:cs="Arial"/>
        </w:rPr>
        <w:t>show</w:t>
      </w:r>
      <w:r w:rsidR="00E510E7">
        <w:rPr>
          <w:rFonts w:ascii="Arial" w:hAnsi="Arial" w:cs="Arial"/>
        </w:rPr>
        <w:t xml:space="preserve"> a similar</w:t>
      </w:r>
      <w:r w:rsidR="00816BA4">
        <w:rPr>
          <w:rFonts w:ascii="Arial" w:hAnsi="Arial" w:cs="Arial"/>
        </w:rPr>
        <w:t xml:space="preserve"> </w:t>
      </w:r>
      <w:r w:rsidR="00A811D7">
        <w:rPr>
          <w:rFonts w:ascii="Arial" w:hAnsi="Arial" w:cs="Arial"/>
        </w:rPr>
        <w:t>weakly elevated</w:t>
      </w:r>
      <w:r w:rsidR="00816BA4">
        <w:rPr>
          <w:rFonts w:ascii="Arial" w:hAnsi="Arial" w:cs="Arial"/>
        </w:rPr>
        <w:t xml:space="preserve"> healthcare need from infancy into middle childhood, and then a large increase towards old age. This could imply a single age split dividing these two phases, which </w:t>
      </w:r>
      <w:r w:rsidR="0052214D">
        <w:rPr>
          <w:rFonts w:ascii="Arial" w:hAnsi="Arial" w:cs="Arial"/>
        </w:rPr>
        <w:t xml:space="preserve">undoubtedly </w:t>
      </w:r>
      <w:r w:rsidR="00816BA4">
        <w:rPr>
          <w:rFonts w:ascii="Arial" w:hAnsi="Arial" w:cs="Arial"/>
        </w:rPr>
        <w:t>represent different underlying disease patterns with different determinants that may</w:t>
      </w:r>
      <w:r w:rsidR="0052214D">
        <w:rPr>
          <w:rFonts w:ascii="Arial" w:hAnsi="Arial" w:cs="Arial"/>
        </w:rPr>
        <w:t>,</w:t>
      </w:r>
      <w:r w:rsidR="00816BA4">
        <w:rPr>
          <w:rFonts w:ascii="Arial" w:hAnsi="Arial" w:cs="Arial"/>
        </w:rPr>
        <w:t xml:space="preserve"> therefore</w:t>
      </w:r>
      <w:r w:rsidR="0052214D">
        <w:rPr>
          <w:rFonts w:ascii="Arial" w:hAnsi="Arial" w:cs="Arial"/>
        </w:rPr>
        <w:t>, have</w:t>
      </w:r>
      <w:r w:rsidR="00816BA4">
        <w:rPr>
          <w:rFonts w:ascii="Arial" w:hAnsi="Arial" w:cs="Arial"/>
        </w:rPr>
        <w:t xml:space="preserve"> different relationship</w:t>
      </w:r>
      <w:r w:rsidR="0052214D">
        <w:rPr>
          <w:rFonts w:ascii="Arial" w:hAnsi="Arial" w:cs="Arial"/>
        </w:rPr>
        <w:t>s</w:t>
      </w:r>
      <w:r w:rsidR="00816BA4">
        <w:rPr>
          <w:rFonts w:ascii="Arial" w:hAnsi="Arial" w:cs="Arial"/>
        </w:rPr>
        <w:t xml:space="preserve"> with MLC</w:t>
      </w:r>
      <w:r w:rsidR="0052214D">
        <w:rPr>
          <w:rFonts w:ascii="Arial" w:hAnsi="Arial" w:cs="Arial"/>
        </w:rPr>
        <w:t xml:space="preserve"> variables such as deprivation. </w:t>
      </w:r>
      <w:r w:rsidR="00A811D7">
        <w:rPr>
          <w:rFonts w:ascii="Arial" w:hAnsi="Arial" w:cs="Arial"/>
        </w:rPr>
        <w:t>(</w:t>
      </w:r>
      <w:r w:rsidR="0052214D">
        <w:rPr>
          <w:rFonts w:ascii="Arial" w:hAnsi="Arial" w:cs="Arial"/>
        </w:rPr>
        <w:t xml:space="preserve">For example, if it were </w:t>
      </w:r>
      <w:r w:rsidR="00A811D7">
        <w:rPr>
          <w:rFonts w:ascii="Arial" w:hAnsi="Arial" w:cs="Arial"/>
        </w:rPr>
        <w:t>the case</w:t>
      </w:r>
      <w:r w:rsidR="0052214D">
        <w:rPr>
          <w:rFonts w:ascii="Arial" w:hAnsi="Arial" w:cs="Arial"/>
        </w:rPr>
        <w:t xml:space="preserve"> that costly diseases of infancy were mostly genetic or ‘random’ in origin whereas the prevalence of diseases of late adulthood more often reflected environmental and life circumstances, this would imply treating these two groups separately in </w:t>
      </w:r>
      <w:r w:rsidR="007A239F">
        <w:rPr>
          <w:rFonts w:ascii="Arial" w:hAnsi="Arial" w:cs="Arial"/>
        </w:rPr>
        <w:t>regard</w:t>
      </w:r>
      <w:r w:rsidR="0052214D">
        <w:rPr>
          <w:rFonts w:ascii="Arial" w:hAnsi="Arial" w:cs="Arial"/>
        </w:rPr>
        <w:t xml:space="preserve"> to MLC factors.</w:t>
      </w:r>
      <w:r w:rsidR="00A811D7">
        <w:rPr>
          <w:rFonts w:ascii="Arial" w:hAnsi="Arial" w:cs="Arial"/>
        </w:rPr>
        <w:t>)</w:t>
      </w:r>
    </w:p>
    <w:p w:rsidR="0052214D" w:rsidRDefault="0052214D" w:rsidP="00375C4D">
      <w:pPr>
        <w:jc w:val="both"/>
        <w:rPr>
          <w:rFonts w:ascii="Arial" w:hAnsi="Arial" w:cs="Arial"/>
        </w:rPr>
      </w:pPr>
      <w:r>
        <w:rPr>
          <w:rFonts w:ascii="Arial" w:hAnsi="Arial" w:cs="Arial"/>
        </w:rPr>
        <w:t xml:space="preserve">On the other hand, given the relative dominance of late-adulthood </w:t>
      </w:r>
      <w:r w:rsidR="007A239F">
        <w:rPr>
          <w:rFonts w:ascii="Arial" w:hAnsi="Arial" w:cs="Arial"/>
        </w:rPr>
        <w:t>with</w:t>
      </w:r>
      <w:r>
        <w:rPr>
          <w:rFonts w:ascii="Arial" w:hAnsi="Arial" w:cs="Arial"/>
        </w:rPr>
        <w:t xml:space="preserve">in the cost curves, it may be difficult to justify separate modelling for </w:t>
      </w:r>
      <w:r w:rsidR="007A239F">
        <w:rPr>
          <w:rFonts w:ascii="Arial" w:hAnsi="Arial" w:cs="Arial"/>
        </w:rPr>
        <w:t>children and younger adults, both in terms of establishing a reliable relationship and in terms of the impact this would make</w:t>
      </w:r>
      <w:r w:rsidR="00A811D7">
        <w:rPr>
          <w:rFonts w:ascii="Arial" w:hAnsi="Arial" w:cs="Arial"/>
        </w:rPr>
        <w:t xml:space="preserve"> to the formula</w:t>
      </w:r>
      <w:r w:rsidR="007A239F">
        <w:rPr>
          <w:rFonts w:ascii="Arial" w:hAnsi="Arial" w:cs="Arial"/>
        </w:rPr>
        <w:t xml:space="preserve"> in practice.</w:t>
      </w:r>
    </w:p>
    <w:p w:rsidR="007A239F" w:rsidRDefault="007A239F" w:rsidP="00375C4D">
      <w:pPr>
        <w:jc w:val="both"/>
        <w:rPr>
          <w:rFonts w:ascii="Arial" w:hAnsi="Arial" w:cs="Arial"/>
        </w:rPr>
      </w:pPr>
      <w:r>
        <w:rPr>
          <w:rFonts w:ascii="Arial" w:hAnsi="Arial" w:cs="Arial"/>
        </w:rPr>
        <w:t xml:space="preserve">These issues have been discussed with ISD clinical consultants, whose advice has been that there are no </w:t>
      </w:r>
      <w:r w:rsidR="00C60045">
        <w:rPr>
          <w:rFonts w:ascii="Arial" w:hAnsi="Arial" w:cs="Arial"/>
        </w:rPr>
        <w:t>confident</w:t>
      </w:r>
      <w:r>
        <w:rPr>
          <w:rFonts w:ascii="Arial" w:hAnsi="Arial" w:cs="Arial"/>
        </w:rPr>
        <w:t xml:space="preserve"> clinical grounds for </w:t>
      </w:r>
      <w:r w:rsidR="00A811D7">
        <w:rPr>
          <w:rFonts w:ascii="Arial" w:hAnsi="Arial" w:cs="Arial"/>
        </w:rPr>
        <w:t>imposing a split</w:t>
      </w:r>
      <w:r>
        <w:rPr>
          <w:rFonts w:ascii="Arial" w:hAnsi="Arial" w:cs="Arial"/>
        </w:rPr>
        <w:t xml:space="preserve"> by age group</w:t>
      </w:r>
      <w:r w:rsidR="00371D15">
        <w:rPr>
          <w:rFonts w:ascii="Arial" w:hAnsi="Arial" w:cs="Arial"/>
        </w:rPr>
        <w:t>, and the introduction of any such split should be driven by the data itself</w:t>
      </w:r>
      <w:r>
        <w:rPr>
          <w:rFonts w:ascii="Arial" w:hAnsi="Arial" w:cs="Arial"/>
        </w:rPr>
        <w:t>. There is</w:t>
      </w:r>
      <w:r w:rsidR="003A6F72">
        <w:rPr>
          <w:rFonts w:ascii="Arial" w:hAnsi="Arial" w:cs="Arial"/>
        </w:rPr>
        <w:t xml:space="preserve"> indeed</w:t>
      </w:r>
      <w:r>
        <w:rPr>
          <w:rFonts w:ascii="Arial" w:hAnsi="Arial" w:cs="Arial"/>
        </w:rPr>
        <w:t xml:space="preserve"> likely to be variation in the effect of MLC with age – for example, a ‘deprivation gap’ in </w:t>
      </w:r>
      <w:r w:rsidR="00C60045">
        <w:rPr>
          <w:rFonts w:ascii="Arial" w:hAnsi="Arial" w:cs="Arial"/>
        </w:rPr>
        <w:t xml:space="preserve">cancer survival rates </w:t>
      </w:r>
      <w:r>
        <w:rPr>
          <w:rFonts w:ascii="Arial" w:hAnsi="Arial" w:cs="Arial"/>
        </w:rPr>
        <w:t xml:space="preserve">that is observed </w:t>
      </w:r>
      <w:r w:rsidR="00C60045">
        <w:rPr>
          <w:rFonts w:ascii="Arial" w:hAnsi="Arial" w:cs="Arial"/>
        </w:rPr>
        <w:t>among</w:t>
      </w:r>
      <w:r>
        <w:rPr>
          <w:rFonts w:ascii="Arial" w:hAnsi="Arial" w:cs="Arial"/>
        </w:rPr>
        <w:t xml:space="preserve"> older people only – but it is difficult to generalise about such variation; different conditions will </w:t>
      </w:r>
      <w:r w:rsidR="00C60045">
        <w:rPr>
          <w:rFonts w:ascii="Arial" w:hAnsi="Arial" w:cs="Arial"/>
        </w:rPr>
        <w:t>vary differently.</w:t>
      </w:r>
    </w:p>
    <w:p w:rsidR="00A33904" w:rsidRPr="004C2C79" w:rsidRDefault="00A33904" w:rsidP="00A33904">
      <w:pPr>
        <w:rPr>
          <w:rFonts w:ascii="Arial" w:hAnsi="Arial" w:cs="Arial"/>
          <w:b/>
          <w:i/>
        </w:rPr>
      </w:pPr>
      <w:r>
        <w:rPr>
          <w:rFonts w:ascii="Arial" w:hAnsi="Arial" w:cs="Arial"/>
          <w:b/>
          <w:i/>
        </w:rPr>
        <w:t>2.2 Age split in other countries</w:t>
      </w:r>
    </w:p>
    <w:p w:rsidR="00B554B7" w:rsidRDefault="00B554B7" w:rsidP="00375C4D">
      <w:pPr>
        <w:jc w:val="both"/>
        <w:rPr>
          <w:rFonts w:ascii="Arial" w:hAnsi="Arial" w:cs="Arial"/>
        </w:rPr>
      </w:pPr>
      <w:r>
        <w:rPr>
          <w:rFonts w:ascii="Arial" w:hAnsi="Arial" w:cs="Arial"/>
        </w:rPr>
        <w:t>There are a number of published reviews summarising resource allocation methodologies in several countries</w:t>
      </w:r>
      <w:r>
        <w:rPr>
          <w:rStyle w:val="FootnoteReference"/>
          <w:rFonts w:ascii="Arial" w:hAnsi="Arial" w:cs="Arial"/>
        </w:rPr>
        <w:footnoteReference w:id="1"/>
      </w:r>
      <w:r w:rsidRPr="00B554B7">
        <w:rPr>
          <w:rFonts w:ascii="Arial" w:hAnsi="Arial" w:cs="Arial"/>
          <w:vertAlign w:val="superscript"/>
        </w:rPr>
        <w:t>,</w:t>
      </w:r>
      <w:r>
        <w:rPr>
          <w:rStyle w:val="FootnoteReference"/>
          <w:rFonts w:ascii="Arial" w:hAnsi="Arial" w:cs="Arial"/>
        </w:rPr>
        <w:footnoteReference w:id="2"/>
      </w:r>
      <w:proofErr w:type="gramStart"/>
      <w:r>
        <w:rPr>
          <w:rFonts w:ascii="Arial" w:hAnsi="Arial" w:cs="Arial"/>
          <w:vertAlign w:val="superscript"/>
        </w:rPr>
        <w:t>,</w:t>
      </w:r>
      <w:proofErr w:type="gramEnd"/>
      <w:r>
        <w:rPr>
          <w:rStyle w:val="FootnoteReference"/>
          <w:rFonts w:ascii="Arial" w:hAnsi="Arial" w:cs="Arial"/>
        </w:rPr>
        <w:footnoteReference w:id="3"/>
      </w:r>
      <w:r>
        <w:rPr>
          <w:rFonts w:ascii="Arial" w:hAnsi="Arial" w:cs="Arial"/>
        </w:rPr>
        <w:t xml:space="preserve"> which may provide a useful reference point. There appears to be </w:t>
      </w:r>
      <w:r w:rsidR="00D847DD">
        <w:rPr>
          <w:rFonts w:ascii="Arial" w:hAnsi="Arial" w:cs="Arial"/>
        </w:rPr>
        <w:t xml:space="preserve">a large diversity in how populations are weighted for additional needs. In some cases, every combination of age band, sex and additional needs factors has its own cell in a large matrix and a corresponding weighting </w:t>
      </w:r>
      <w:r w:rsidR="00EB3ADB">
        <w:rPr>
          <w:rFonts w:ascii="Arial" w:hAnsi="Arial" w:cs="Arial"/>
        </w:rPr>
        <w:t xml:space="preserve">for that particular combination </w:t>
      </w:r>
      <w:r w:rsidR="00D847DD">
        <w:rPr>
          <w:rFonts w:ascii="Arial" w:hAnsi="Arial" w:cs="Arial"/>
        </w:rPr>
        <w:t xml:space="preserve">is derived. In other cases, some of the cells in the matrix are combined, or the additional needs factors are treated as independent of age and sex and </w:t>
      </w:r>
      <w:r w:rsidR="00EB3ADB">
        <w:rPr>
          <w:rFonts w:ascii="Arial" w:hAnsi="Arial" w:cs="Arial"/>
        </w:rPr>
        <w:t xml:space="preserve">applied as a </w:t>
      </w:r>
      <w:r w:rsidR="00E510E7">
        <w:rPr>
          <w:rFonts w:ascii="Arial" w:hAnsi="Arial" w:cs="Arial"/>
        </w:rPr>
        <w:t xml:space="preserve">single </w:t>
      </w:r>
      <w:r w:rsidR="00EB3ADB">
        <w:rPr>
          <w:rFonts w:ascii="Arial" w:hAnsi="Arial" w:cs="Arial"/>
        </w:rPr>
        <w:t>subsequent weighting. This latter approach is used in our nearest neighbour, England, in which additional needs analysis is carried out separately in each care programme but not in different age or sex groupings.</w:t>
      </w:r>
    </w:p>
    <w:p w:rsidR="0005323A" w:rsidRDefault="0005323A" w:rsidP="00375C4D">
      <w:pPr>
        <w:jc w:val="both"/>
        <w:rPr>
          <w:rFonts w:ascii="Arial" w:hAnsi="Arial" w:cs="Arial"/>
        </w:rPr>
      </w:pPr>
    </w:p>
    <w:p w:rsidR="008B7742" w:rsidRPr="004C2C79" w:rsidRDefault="00C60045" w:rsidP="00965119">
      <w:pPr>
        <w:rPr>
          <w:rFonts w:ascii="Arial" w:hAnsi="Arial" w:cs="Arial"/>
          <w:b/>
        </w:rPr>
      </w:pPr>
      <w:r>
        <w:rPr>
          <w:rFonts w:ascii="Arial" w:hAnsi="Arial" w:cs="Arial"/>
          <w:b/>
        </w:rPr>
        <w:t>Decisions required</w:t>
      </w:r>
      <w:r w:rsidR="00195C90" w:rsidRPr="004C2C79">
        <w:rPr>
          <w:rFonts w:ascii="Arial" w:hAnsi="Arial" w:cs="Arial"/>
          <w:b/>
        </w:rPr>
        <w:t xml:space="preserve"> from subgroup</w:t>
      </w:r>
    </w:p>
    <w:p w:rsidR="002F7E74" w:rsidRDefault="00C60045" w:rsidP="002F7E74">
      <w:pPr>
        <w:pStyle w:val="ListParagraph"/>
        <w:numPr>
          <w:ilvl w:val="0"/>
          <w:numId w:val="8"/>
        </w:numPr>
        <w:rPr>
          <w:rFonts w:ascii="Arial" w:hAnsi="Arial" w:cs="Arial"/>
        </w:rPr>
      </w:pPr>
      <w:r w:rsidRPr="00371D15">
        <w:rPr>
          <w:rFonts w:ascii="Arial" w:hAnsi="Arial" w:cs="Arial"/>
        </w:rPr>
        <w:t>Should we split the analysis into different age groups?</w:t>
      </w:r>
      <w:r w:rsidR="002F7E74" w:rsidRPr="002F7E74">
        <w:rPr>
          <w:rFonts w:ascii="Arial" w:hAnsi="Arial" w:cs="Arial"/>
        </w:rPr>
        <w:t xml:space="preserve"> If so, how should these </w:t>
      </w:r>
      <w:proofErr w:type="gramStart"/>
      <w:r w:rsidR="002F7E74" w:rsidRPr="002F7E74">
        <w:rPr>
          <w:rFonts w:ascii="Arial" w:hAnsi="Arial" w:cs="Arial"/>
        </w:rPr>
        <w:t>be</w:t>
      </w:r>
      <w:proofErr w:type="gramEnd"/>
      <w:r w:rsidR="002F7E74" w:rsidRPr="002F7E74">
        <w:rPr>
          <w:rFonts w:ascii="Arial" w:hAnsi="Arial" w:cs="Arial"/>
        </w:rPr>
        <w:t xml:space="preserve"> defined?</w:t>
      </w:r>
    </w:p>
    <w:p w:rsidR="00DE2817" w:rsidRPr="002F7E74" w:rsidRDefault="00DE2817" w:rsidP="002F7E74">
      <w:pPr>
        <w:pStyle w:val="ListParagraph"/>
        <w:numPr>
          <w:ilvl w:val="0"/>
          <w:numId w:val="8"/>
        </w:numPr>
        <w:rPr>
          <w:rFonts w:ascii="Arial" w:hAnsi="Arial" w:cs="Arial"/>
        </w:rPr>
      </w:pPr>
      <w:r>
        <w:rPr>
          <w:rFonts w:ascii="Arial" w:hAnsi="Arial" w:cs="Arial"/>
        </w:rPr>
        <w:t>Could members of the subgroup</w:t>
      </w:r>
      <w:r w:rsidR="00A33904">
        <w:rPr>
          <w:rFonts w:ascii="Arial" w:hAnsi="Arial" w:cs="Arial"/>
        </w:rPr>
        <w:t xml:space="preserve"> propose clinical colleagues that could </w:t>
      </w:r>
      <w:r w:rsidR="00E510E7">
        <w:rPr>
          <w:rFonts w:ascii="Arial" w:hAnsi="Arial" w:cs="Arial"/>
        </w:rPr>
        <w:t>provide further advice</w:t>
      </w:r>
      <w:r w:rsidR="00A33904">
        <w:rPr>
          <w:rFonts w:ascii="Arial" w:hAnsi="Arial" w:cs="Arial"/>
        </w:rPr>
        <w:t xml:space="preserve"> on the age split?</w:t>
      </w:r>
    </w:p>
    <w:p w:rsidR="00195C90" w:rsidRPr="002F7E74" w:rsidRDefault="00195C90" w:rsidP="00965119">
      <w:pPr>
        <w:rPr>
          <w:rFonts w:ascii="Arial" w:hAnsi="Arial" w:cs="Arial"/>
        </w:rPr>
      </w:pPr>
    </w:p>
    <w:p w:rsidR="00371D15" w:rsidRPr="00574E94" w:rsidRDefault="008E4A5D" w:rsidP="00371D15">
      <w:pPr>
        <w:rPr>
          <w:rFonts w:ascii="Arial" w:eastAsia="Times New Roman" w:hAnsi="Arial" w:cs="Arial"/>
          <w:b/>
          <w:bCs/>
          <w:i/>
          <w:color w:val="000000"/>
          <w:lang w:eastAsia="en-GB"/>
        </w:rPr>
      </w:pPr>
      <w:r w:rsidRPr="002F7E74">
        <w:rPr>
          <w:rFonts w:ascii="Arial" w:hAnsi="Arial" w:cs="Arial"/>
          <w:b/>
          <w:i/>
        </w:rPr>
        <w:br w:type="page"/>
      </w:r>
      <w:r w:rsidR="00371D15" w:rsidRPr="002F7E74">
        <w:rPr>
          <w:rFonts w:ascii="Arial" w:hAnsi="Arial" w:cs="Arial"/>
          <w:b/>
          <w:i/>
        </w:rPr>
        <w:lastRenderedPageBreak/>
        <w:t xml:space="preserve">Appendix A: </w:t>
      </w:r>
      <w:r w:rsidR="00371D15" w:rsidRPr="002F7E74">
        <w:rPr>
          <w:rFonts w:ascii="Arial" w:eastAsia="Times New Roman" w:hAnsi="Arial" w:cs="Arial"/>
          <w:b/>
          <w:bCs/>
          <w:i/>
          <w:color w:val="000000"/>
          <w:lang w:eastAsia="en-GB"/>
        </w:rPr>
        <w:t>Most frequent ICD10 codes in each diagno</w:t>
      </w:r>
      <w:r w:rsidR="00371D15" w:rsidRPr="00574E94">
        <w:rPr>
          <w:rFonts w:ascii="Arial" w:eastAsia="Times New Roman" w:hAnsi="Arial" w:cs="Arial"/>
          <w:b/>
          <w:bCs/>
          <w:i/>
          <w:color w:val="000000"/>
          <w:lang w:eastAsia="en-GB"/>
        </w:rPr>
        <w:t>stic group</w:t>
      </w:r>
    </w:p>
    <w:p w:rsidR="00D847DD" w:rsidRPr="00371D15" w:rsidRDefault="00371D15" w:rsidP="00965119">
      <w:pPr>
        <w:rPr>
          <w:rFonts w:ascii="Arial" w:eastAsia="Times New Roman" w:hAnsi="Arial" w:cs="Arial"/>
          <w:bCs/>
          <w:color w:val="000000"/>
          <w:lang w:eastAsia="en-GB"/>
        </w:rPr>
      </w:pPr>
      <w:r w:rsidRPr="00371D15">
        <w:rPr>
          <w:rFonts w:ascii="Arial" w:eastAsia="Times New Roman" w:hAnsi="Arial" w:cs="Arial"/>
          <w:bCs/>
          <w:color w:val="000000"/>
          <w:lang w:eastAsia="en-GB"/>
        </w:rPr>
        <w:t>The</w:t>
      </w:r>
      <w:r>
        <w:rPr>
          <w:rFonts w:ascii="Arial" w:eastAsia="Times New Roman" w:hAnsi="Arial" w:cs="Arial"/>
          <w:bCs/>
          <w:color w:val="000000"/>
          <w:lang w:eastAsia="en-GB"/>
        </w:rPr>
        <w:t xml:space="preserve"> tables below give the five most frequent diagnoses in each diagnostic group, along with their ICD10 codes, frequencies and percentages within the group. The cumulative percentage column shows</w:t>
      </w:r>
      <w:r w:rsidR="00574E94">
        <w:rPr>
          <w:rFonts w:ascii="Arial" w:eastAsia="Times New Roman" w:hAnsi="Arial" w:cs="Arial"/>
          <w:bCs/>
          <w:color w:val="000000"/>
          <w:lang w:eastAsia="en-GB"/>
        </w:rPr>
        <w:t>, in red,</w:t>
      </w:r>
      <w:r>
        <w:rPr>
          <w:rFonts w:ascii="Arial" w:eastAsia="Times New Roman" w:hAnsi="Arial" w:cs="Arial"/>
          <w:bCs/>
          <w:color w:val="000000"/>
          <w:lang w:eastAsia="en-GB"/>
        </w:rPr>
        <w:t xml:space="preserve"> the </w:t>
      </w:r>
      <w:r w:rsidR="00574E94">
        <w:rPr>
          <w:rFonts w:ascii="Arial" w:eastAsia="Times New Roman" w:hAnsi="Arial" w:cs="Arial"/>
          <w:bCs/>
          <w:color w:val="000000"/>
          <w:lang w:eastAsia="en-GB"/>
        </w:rPr>
        <w:t xml:space="preserve">overall </w:t>
      </w:r>
      <w:r>
        <w:rPr>
          <w:rFonts w:ascii="Arial" w:eastAsia="Times New Roman" w:hAnsi="Arial" w:cs="Arial"/>
          <w:bCs/>
          <w:color w:val="000000"/>
          <w:lang w:eastAsia="en-GB"/>
        </w:rPr>
        <w:t>percentage of the group comprised by these five conditions</w:t>
      </w:r>
      <w:r w:rsidR="00574E94">
        <w:rPr>
          <w:rFonts w:ascii="Arial" w:eastAsia="Times New Roman" w:hAnsi="Arial" w:cs="Arial"/>
          <w:bCs/>
          <w:color w:val="000000"/>
          <w:lang w:eastAsia="en-GB"/>
        </w:rPr>
        <w:t>. The top row indicates the total number of diagnoses for the group.</w:t>
      </w:r>
    </w:p>
    <w:tbl>
      <w:tblPr>
        <w:tblW w:w="9229" w:type="dxa"/>
        <w:tblInd w:w="93" w:type="dxa"/>
        <w:tblLook w:val="04A0"/>
      </w:tblPr>
      <w:tblGrid>
        <w:gridCol w:w="1140"/>
        <w:gridCol w:w="1256"/>
        <w:gridCol w:w="975"/>
        <w:gridCol w:w="1317"/>
        <w:gridCol w:w="4721"/>
      </w:tblGrid>
      <w:tr w:rsidR="00371D15" w:rsidRPr="00371D15" w:rsidTr="00371D15">
        <w:trPr>
          <w:trHeight w:val="300"/>
        </w:trPr>
        <w:tc>
          <w:tcPr>
            <w:tcW w:w="922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71D15" w:rsidRPr="00C42793" w:rsidRDefault="00371D15" w:rsidP="00371D15">
            <w:pPr>
              <w:spacing w:after="0" w:line="240" w:lineRule="auto"/>
              <w:jc w:val="center"/>
              <w:rPr>
                <w:rFonts w:ascii="Arial" w:eastAsia="Times New Roman" w:hAnsi="Arial" w:cs="Arial"/>
                <w:b/>
                <w:bCs/>
                <w:color w:val="000000"/>
                <w:lang w:eastAsia="en-GB"/>
              </w:rPr>
            </w:pPr>
            <w:r w:rsidRPr="00C42793">
              <w:rPr>
                <w:rFonts w:ascii="Arial" w:eastAsia="Times New Roman" w:hAnsi="Arial" w:cs="Arial"/>
                <w:b/>
                <w:bCs/>
                <w:color w:val="000000"/>
                <w:lang w:eastAsia="en-GB"/>
              </w:rPr>
              <w:t>Top 5 ICD10 codes - Cancer</w:t>
            </w:r>
          </w:p>
        </w:tc>
      </w:tr>
      <w:tr w:rsidR="00371D15" w:rsidRPr="00371D15" w:rsidTr="00371D15">
        <w:trPr>
          <w:cantSplit/>
          <w:trHeight w:val="57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ICD10 code</w:t>
            </w:r>
          </w:p>
        </w:tc>
        <w:tc>
          <w:tcPr>
            <w:tcW w:w="1180" w:type="dxa"/>
            <w:tcBorders>
              <w:top w:val="nil"/>
              <w:left w:val="nil"/>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Frequency</w:t>
            </w:r>
          </w:p>
        </w:tc>
        <w:tc>
          <w:tcPr>
            <w:tcW w:w="908" w:type="dxa"/>
            <w:tcBorders>
              <w:top w:val="nil"/>
              <w:left w:val="nil"/>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Percent</w:t>
            </w:r>
          </w:p>
        </w:tc>
        <w:tc>
          <w:tcPr>
            <w:tcW w:w="1280" w:type="dxa"/>
            <w:tcBorders>
              <w:top w:val="nil"/>
              <w:left w:val="nil"/>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Cumulative Percent</w:t>
            </w:r>
          </w:p>
        </w:tc>
        <w:tc>
          <w:tcPr>
            <w:tcW w:w="4721" w:type="dxa"/>
            <w:tcBorders>
              <w:top w:val="nil"/>
              <w:left w:val="nil"/>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Diagnosis</w:t>
            </w:r>
          </w:p>
        </w:tc>
      </w:tr>
      <w:tr w:rsidR="00371D15" w:rsidRPr="00371D15" w:rsidTr="00371D15">
        <w:trPr>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Total</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199579</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100</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 </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 </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C50</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21667</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10.9</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10.9</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Malignant neoplasm of breast</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C34</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17013</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8.5</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19.4</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Malignant neoplasm of bronchus and lung</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C18</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12084</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6.1</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25.5</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Malignant neoplasm of colon</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C90</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8957</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4.5</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30</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 xml:space="preserve">Multiple myeloma and malignant plasma cell </w:t>
            </w:r>
            <w:proofErr w:type="spellStart"/>
            <w:r w:rsidRPr="00371D15">
              <w:rPr>
                <w:rFonts w:ascii="Arial" w:eastAsia="Times New Roman" w:hAnsi="Arial" w:cs="Arial"/>
                <w:color w:val="000000"/>
                <w:lang w:eastAsia="en-GB"/>
              </w:rPr>
              <w:t>neoplasms</w:t>
            </w:r>
            <w:proofErr w:type="spellEnd"/>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D12</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7536</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3.8</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b/>
                <w:bCs/>
                <w:color w:val="FF0000"/>
                <w:lang w:eastAsia="en-GB"/>
              </w:rPr>
            </w:pPr>
            <w:r w:rsidRPr="00371D15">
              <w:rPr>
                <w:rFonts w:ascii="Arial" w:eastAsia="Times New Roman" w:hAnsi="Arial" w:cs="Arial"/>
                <w:b/>
                <w:bCs/>
                <w:color w:val="FF0000"/>
                <w:lang w:eastAsia="en-GB"/>
              </w:rPr>
              <w:t>33.8</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 xml:space="preserve">Benign neoplasm of </w:t>
            </w:r>
            <w:proofErr w:type="spellStart"/>
            <w:r w:rsidRPr="00371D15">
              <w:rPr>
                <w:rFonts w:ascii="Arial" w:eastAsia="Times New Roman" w:hAnsi="Arial" w:cs="Arial"/>
                <w:color w:val="000000"/>
                <w:lang w:eastAsia="en-GB"/>
              </w:rPr>
              <w:t>mesothelial</w:t>
            </w:r>
            <w:proofErr w:type="spellEnd"/>
            <w:r w:rsidRPr="00371D15">
              <w:rPr>
                <w:rFonts w:ascii="Arial" w:eastAsia="Times New Roman" w:hAnsi="Arial" w:cs="Arial"/>
                <w:color w:val="000000"/>
                <w:lang w:eastAsia="en-GB"/>
              </w:rPr>
              <w:t xml:space="preserve"> tissue</w:t>
            </w:r>
          </w:p>
        </w:tc>
      </w:tr>
      <w:tr w:rsidR="00371D15" w:rsidRPr="00371D15" w:rsidTr="00371D15">
        <w:trPr>
          <w:trHeight w:val="300"/>
        </w:trPr>
        <w:tc>
          <w:tcPr>
            <w:tcW w:w="1140" w:type="dxa"/>
            <w:tcBorders>
              <w:top w:val="nil"/>
              <w:left w:val="nil"/>
              <w:bottom w:val="nil"/>
              <w:right w:val="nil"/>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p>
          <w:p w:rsidR="00371D15" w:rsidRPr="00371D15" w:rsidRDefault="00371D15" w:rsidP="00371D15">
            <w:pPr>
              <w:spacing w:after="0" w:line="240" w:lineRule="auto"/>
              <w:rPr>
                <w:rFonts w:ascii="Arial" w:eastAsia="Times New Roman" w:hAnsi="Arial" w:cs="Arial"/>
                <w:color w:val="000000"/>
                <w:lang w:eastAsia="en-GB"/>
              </w:rPr>
            </w:pPr>
          </w:p>
        </w:tc>
        <w:tc>
          <w:tcPr>
            <w:tcW w:w="1180" w:type="dxa"/>
            <w:tcBorders>
              <w:top w:val="nil"/>
              <w:left w:val="nil"/>
              <w:bottom w:val="nil"/>
              <w:right w:val="nil"/>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p>
        </w:tc>
        <w:tc>
          <w:tcPr>
            <w:tcW w:w="908" w:type="dxa"/>
            <w:tcBorders>
              <w:top w:val="nil"/>
              <w:left w:val="nil"/>
              <w:bottom w:val="nil"/>
              <w:right w:val="nil"/>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p>
        </w:tc>
        <w:tc>
          <w:tcPr>
            <w:tcW w:w="1280" w:type="dxa"/>
            <w:tcBorders>
              <w:top w:val="nil"/>
              <w:left w:val="nil"/>
              <w:bottom w:val="nil"/>
              <w:right w:val="nil"/>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p>
        </w:tc>
        <w:tc>
          <w:tcPr>
            <w:tcW w:w="4721" w:type="dxa"/>
            <w:tcBorders>
              <w:top w:val="nil"/>
              <w:left w:val="nil"/>
              <w:bottom w:val="nil"/>
              <w:right w:val="nil"/>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p>
        </w:tc>
      </w:tr>
      <w:tr w:rsidR="00371D15" w:rsidRPr="00371D15" w:rsidTr="00371D15">
        <w:trPr>
          <w:trHeight w:val="300"/>
        </w:trPr>
        <w:tc>
          <w:tcPr>
            <w:tcW w:w="922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71D15" w:rsidRPr="00C42793" w:rsidRDefault="00371D15" w:rsidP="00371D15">
            <w:pPr>
              <w:spacing w:after="0" w:line="240" w:lineRule="auto"/>
              <w:jc w:val="center"/>
              <w:rPr>
                <w:rFonts w:ascii="Arial" w:eastAsia="Times New Roman" w:hAnsi="Arial" w:cs="Arial"/>
                <w:b/>
                <w:bCs/>
                <w:color w:val="000000"/>
                <w:lang w:eastAsia="en-GB"/>
              </w:rPr>
            </w:pPr>
            <w:r w:rsidRPr="00C42793">
              <w:rPr>
                <w:rFonts w:ascii="Arial" w:eastAsia="Times New Roman" w:hAnsi="Arial" w:cs="Arial"/>
                <w:b/>
                <w:bCs/>
                <w:color w:val="000000"/>
                <w:lang w:eastAsia="en-GB"/>
              </w:rPr>
              <w:t>Top 5 ICD10 codes - Heart</w:t>
            </w:r>
          </w:p>
        </w:tc>
      </w:tr>
      <w:tr w:rsidR="00371D15" w:rsidRPr="00371D15" w:rsidTr="00371D15">
        <w:trPr>
          <w:cantSplit/>
          <w:trHeight w:val="9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ICD10 code</w:t>
            </w:r>
          </w:p>
        </w:tc>
        <w:tc>
          <w:tcPr>
            <w:tcW w:w="1180" w:type="dxa"/>
            <w:tcBorders>
              <w:top w:val="nil"/>
              <w:left w:val="nil"/>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Frequency</w:t>
            </w:r>
          </w:p>
        </w:tc>
        <w:tc>
          <w:tcPr>
            <w:tcW w:w="908" w:type="dxa"/>
            <w:tcBorders>
              <w:top w:val="nil"/>
              <w:left w:val="nil"/>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Percent</w:t>
            </w:r>
          </w:p>
        </w:tc>
        <w:tc>
          <w:tcPr>
            <w:tcW w:w="1280" w:type="dxa"/>
            <w:tcBorders>
              <w:top w:val="nil"/>
              <w:left w:val="nil"/>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Cumulative Percent</w:t>
            </w:r>
          </w:p>
        </w:tc>
        <w:tc>
          <w:tcPr>
            <w:tcW w:w="4721" w:type="dxa"/>
            <w:tcBorders>
              <w:top w:val="nil"/>
              <w:left w:val="nil"/>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Diagnosis</w:t>
            </w:r>
          </w:p>
        </w:tc>
      </w:tr>
      <w:tr w:rsidR="00371D15" w:rsidRPr="00371D15" w:rsidTr="00371D15">
        <w:trPr>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Total</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148758</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100</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 </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 </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I21</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21843</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14.7</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14.7</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Acute myocardial infarction</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I25</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14555</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9.8</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24.5</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 xml:space="preserve">Chronic </w:t>
            </w:r>
            <w:proofErr w:type="spellStart"/>
            <w:r w:rsidRPr="00371D15">
              <w:rPr>
                <w:rFonts w:ascii="Arial" w:eastAsia="Times New Roman" w:hAnsi="Arial" w:cs="Arial"/>
                <w:color w:val="000000"/>
                <w:lang w:eastAsia="en-GB"/>
              </w:rPr>
              <w:t>ischaemic</w:t>
            </w:r>
            <w:proofErr w:type="spellEnd"/>
            <w:r w:rsidRPr="00371D15">
              <w:rPr>
                <w:rFonts w:ascii="Arial" w:eastAsia="Times New Roman" w:hAnsi="Arial" w:cs="Arial"/>
                <w:color w:val="000000"/>
                <w:lang w:eastAsia="en-GB"/>
              </w:rPr>
              <w:t xml:space="preserve"> heart disease</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I48</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12454</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8.4</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32.9</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proofErr w:type="spellStart"/>
            <w:r w:rsidRPr="00371D15">
              <w:rPr>
                <w:rFonts w:ascii="Arial" w:eastAsia="Times New Roman" w:hAnsi="Arial" w:cs="Arial"/>
                <w:color w:val="000000"/>
                <w:lang w:eastAsia="en-GB"/>
              </w:rPr>
              <w:t>Atrial</w:t>
            </w:r>
            <w:proofErr w:type="spellEnd"/>
            <w:r w:rsidRPr="00371D15">
              <w:rPr>
                <w:rFonts w:ascii="Arial" w:eastAsia="Times New Roman" w:hAnsi="Arial" w:cs="Arial"/>
                <w:color w:val="000000"/>
                <w:lang w:eastAsia="en-GB"/>
              </w:rPr>
              <w:t xml:space="preserve"> fibrillation and flutter</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I50</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11970</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8</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40.9</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Heart failure</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I63</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10146</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6.8</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b/>
                <w:bCs/>
                <w:color w:val="FF0000"/>
                <w:lang w:eastAsia="en-GB"/>
              </w:rPr>
            </w:pPr>
            <w:r w:rsidRPr="00371D15">
              <w:rPr>
                <w:rFonts w:ascii="Arial" w:eastAsia="Times New Roman" w:hAnsi="Arial" w:cs="Arial"/>
                <w:b/>
                <w:bCs/>
                <w:color w:val="FF0000"/>
                <w:lang w:eastAsia="en-GB"/>
              </w:rPr>
              <w:t>47.7</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Cerebral infarction</w:t>
            </w:r>
          </w:p>
        </w:tc>
      </w:tr>
      <w:tr w:rsidR="00371D15" w:rsidRPr="00371D15" w:rsidTr="00371D15">
        <w:trPr>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 </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 </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 </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 </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 </w:t>
            </w:r>
          </w:p>
        </w:tc>
      </w:tr>
      <w:tr w:rsidR="00371D15" w:rsidRPr="00371D15" w:rsidTr="00371D15">
        <w:trPr>
          <w:trHeight w:val="300"/>
        </w:trPr>
        <w:tc>
          <w:tcPr>
            <w:tcW w:w="1140" w:type="dxa"/>
            <w:tcBorders>
              <w:top w:val="nil"/>
              <w:left w:val="nil"/>
              <w:bottom w:val="nil"/>
              <w:right w:val="nil"/>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p>
          <w:p w:rsidR="00371D15" w:rsidRPr="00371D15" w:rsidRDefault="00371D15" w:rsidP="00371D15">
            <w:pPr>
              <w:spacing w:after="0" w:line="240" w:lineRule="auto"/>
              <w:rPr>
                <w:rFonts w:ascii="Arial" w:eastAsia="Times New Roman" w:hAnsi="Arial" w:cs="Arial"/>
                <w:color w:val="000000"/>
                <w:lang w:eastAsia="en-GB"/>
              </w:rPr>
            </w:pPr>
          </w:p>
        </w:tc>
        <w:tc>
          <w:tcPr>
            <w:tcW w:w="1180" w:type="dxa"/>
            <w:tcBorders>
              <w:top w:val="nil"/>
              <w:left w:val="nil"/>
              <w:bottom w:val="nil"/>
              <w:right w:val="nil"/>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p>
        </w:tc>
        <w:tc>
          <w:tcPr>
            <w:tcW w:w="908" w:type="dxa"/>
            <w:tcBorders>
              <w:top w:val="nil"/>
              <w:left w:val="nil"/>
              <w:bottom w:val="nil"/>
              <w:right w:val="nil"/>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p>
        </w:tc>
        <w:tc>
          <w:tcPr>
            <w:tcW w:w="1280" w:type="dxa"/>
            <w:tcBorders>
              <w:top w:val="nil"/>
              <w:left w:val="nil"/>
              <w:bottom w:val="nil"/>
              <w:right w:val="nil"/>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p>
        </w:tc>
        <w:tc>
          <w:tcPr>
            <w:tcW w:w="4721" w:type="dxa"/>
            <w:tcBorders>
              <w:top w:val="nil"/>
              <w:left w:val="nil"/>
              <w:bottom w:val="nil"/>
              <w:right w:val="nil"/>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p>
        </w:tc>
      </w:tr>
      <w:tr w:rsidR="00371D15" w:rsidRPr="00371D15" w:rsidTr="00371D15">
        <w:trPr>
          <w:trHeight w:val="300"/>
        </w:trPr>
        <w:tc>
          <w:tcPr>
            <w:tcW w:w="922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71D15" w:rsidRPr="00C42793" w:rsidRDefault="00371D15" w:rsidP="00371D15">
            <w:pPr>
              <w:spacing w:after="0" w:line="240" w:lineRule="auto"/>
              <w:jc w:val="center"/>
              <w:rPr>
                <w:rFonts w:ascii="Arial" w:eastAsia="Times New Roman" w:hAnsi="Arial" w:cs="Arial"/>
                <w:b/>
                <w:bCs/>
                <w:color w:val="000000"/>
                <w:lang w:eastAsia="en-GB"/>
              </w:rPr>
            </w:pPr>
            <w:r w:rsidRPr="00C42793">
              <w:rPr>
                <w:rFonts w:ascii="Arial" w:eastAsia="Times New Roman" w:hAnsi="Arial" w:cs="Arial"/>
                <w:b/>
                <w:bCs/>
                <w:color w:val="000000"/>
                <w:lang w:eastAsia="en-GB"/>
              </w:rPr>
              <w:t>Top 5 ICD10 codes - Respiratory</w:t>
            </w:r>
          </w:p>
        </w:tc>
      </w:tr>
      <w:tr w:rsidR="00371D15" w:rsidRPr="00371D15" w:rsidTr="00371D15">
        <w:trPr>
          <w:cantSplit/>
          <w:trHeight w:val="9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ICD10 code</w:t>
            </w:r>
          </w:p>
        </w:tc>
        <w:tc>
          <w:tcPr>
            <w:tcW w:w="1180" w:type="dxa"/>
            <w:tcBorders>
              <w:top w:val="nil"/>
              <w:left w:val="nil"/>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Frequency</w:t>
            </w:r>
          </w:p>
        </w:tc>
        <w:tc>
          <w:tcPr>
            <w:tcW w:w="908" w:type="dxa"/>
            <w:tcBorders>
              <w:top w:val="nil"/>
              <w:left w:val="nil"/>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Percent</w:t>
            </w:r>
          </w:p>
        </w:tc>
        <w:tc>
          <w:tcPr>
            <w:tcW w:w="1280" w:type="dxa"/>
            <w:tcBorders>
              <w:top w:val="nil"/>
              <w:left w:val="nil"/>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Cumulative Percent</w:t>
            </w:r>
          </w:p>
        </w:tc>
        <w:tc>
          <w:tcPr>
            <w:tcW w:w="4721" w:type="dxa"/>
            <w:tcBorders>
              <w:top w:val="nil"/>
              <w:left w:val="nil"/>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Diagnosis</w:t>
            </w:r>
          </w:p>
        </w:tc>
      </w:tr>
      <w:tr w:rsidR="00371D15" w:rsidRPr="00371D15" w:rsidTr="00371D15">
        <w:trPr>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Total</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133219</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100</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 </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 </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J18</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30081</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22.6</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22.6</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Pneumonia, organism unspecified</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J44</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29469</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22.1</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44.7</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Other chronic obstructive pulmonary disease</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J22</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19928</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15</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59.7</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Unspecified acute lower respiratory infection</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J45</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8326</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6.2</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65.9</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Asthma</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J03</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5733</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4.3</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b/>
                <w:bCs/>
                <w:color w:val="FF0000"/>
                <w:lang w:eastAsia="en-GB"/>
              </w:rPr>
            </w:pPr>
            <w:r w:rsidRPr="00371D15">
              <w:rPr>
                <w:rFonts w:ascii="Arial" w:eastAsia="Times New Roman" w:hAnsi="Arial" w:cs="Arial"/>
                <w:b/>
                <w:bCs/>
                <w:color w:val="FF0000"/>
                <w:lang w:eastAsia="en-GB"/>
              </w:rPr>
              <w:t>70.2</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Acute tonsillitis</w:t>
            </w:r>
          </w:p>
        </w:tc>
      </w:tr>
      <w:tr w:rsidR="00371D15" w:rsidRPr="00371D15" w:rsidTr="00371D15">
        <w:trPr>
          <w:trHeight w:val="300"/>
        </w:trPr>
        <w:tc>
          <w:tcPr>
            <w:tcW w:w="1140" w:type="dxa"/>
            <w:tcBorders>
              <w:top w:val="nil"/>
              <w:left w:val="nil"/>
              <w:bottom w:val="nil"/>
              <w:right w:val="nil"/>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p>
          <w:p w:rsidR="00371D15" w:rsidRPr="00371D15" w:rsidRDefault="00371D15" w:rsidP="00371D15">
            <w:pPr>
              <w:spacing w:after="0" w:line="240" w:lineRule="auto"/>
              <w:rPr>
                <w:rFonts w:ascii="Arial" w:eastAsia="Times New Roman" w:hAnsi="Arial" w:cs="Arial"/>
                <w:color w:val="000000"/>
                <w:lang w:eastAsia="en-GB"/>
              </w:rPr>
            </w:pPr>
          </w:p>
        </w:tc>
        <w:tc>
          <w:tcPr>
            <w:tcW w:w="1180" w:type="dxa"/>
            <w:tcBorders>
              <w:top w:val="nil"/>
              <w:left w:val="nil"/>
              <w:bottom w:val="nil"/>
              <w:right w:val="nil"/>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p>
        </w:tc>
        <w:tc>
          <w:tcPr>
            <w:tcW w:w="908" w:type="dxa"/>
            <w:tcBorders>
              <w:top w:val="nil"/>
              <w:left w:val="nil"/>
              <w:bottom w:val="nil"/>
              <w:right w:val="nil"/>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p>
        </w:tc>
        <w:tc>
          <w:tcPr>
            <w:tcW w:w="1280" w:type="dxa"/>
            <w:tcBorders>
              <w:top w:val="nil"/>
              <w:left w:val="nil"/>
              <w:bottom w:val="nil"/>
              <w:right w:val="nil"/>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p>
        </w:tc>
        <w:tc>
          <w:tcPr>
            <w:tcW w:w="4721" w:type="dxa"/>
            <w:tcBorders>
              <w:top w:val="nil"/>
              <w:left w:val="nil"/>
              <w:bottom w:val="nil"/>
              <w:right w:val="nil"/>
            </w:tcBorders>
            <w:shd w:val="clear" w:color="auto" w:fill="auto"/>
            <w:noWrap/>
            <w:vAlign w:val="bottom"/>
            <w:hideMark/>
          </w:tcPr>
          <w:p w:rsidR="00A33904" w:rsidRDefault="00A33904" w:rsidP="00371D15">
            <w:pPr>
              <w:spacing w:after="0" w:line="240" w:lineRule="auto"/>
              <w:rPr>
                <w:rFonts w:ascii="Arial" w:eastAsia="Times New Roman" w:hAnsi="Arial" w:cs="Arial"/>
                <w:color w:val="000000"/>
                <w:lang w:eastAsia="en-GB"/>
              </w:rPr>
            </w:pPr>
          </w:p>
          <w:p w:rsidR="00A33904" w:rsidRDefault="00A33904" w:rsidP="00371D15">
            <w:pPr>
              <w:spacing w:after="0" w:line="240" w:lineRule="auto"/>
              <w:rPr>
                <w:rFonts w:ascii="Arial" w:eastAsia="Times New Roman" w:hAnsi="Arial" w:cs="Arial"/>
                <w:color w:val="000000"/>
                <w:lang w:eastAsia="en-GB"/>
              </w:rPr>
            </w:pPr>
          </w:p>
          <w:p w:rsidR="00DE0533" w:rsidRDefault="00DE0533" w:rsidP="00371D15">
            <w:pPr>
              <w:spacing w:after="0" w:line="240" w:lineRule="auto"/>
              <w:rPr>
                <w:rFonts w:ascii="Arial" w:eastAsia="Times New Roman" w:hAnsi="Arial" w:cs="Arial"/>
                <w:color w:val="000000"/>
                <w:lang w:eastAsia="en-GB"/>
              </w:rPr>
            </w:pPr>
          </w:p>
          <w:p w:rsidR="00DE0533" w:rsidRDefault="00DE0533" w:rsidP="00371D15">
            <w:pPr>
              <w:spacing w:after="0" w:line="240" w:lineRule="auto"/>
              <w:rPr>
                <w:rFonts w:ascii="Arial" w:eastAsia="Times New Roman" w:hAnsi="Arial" w:cs="Arial"/>
                <w:color w:val="000000"/>
                <w:lang w:eastAsia="en-GB"/>
              </w:rPr>
            </w:pPr>
          </w:p>
          <w:p w:rsidR="00DE0533" w:rsidRDefault="00DE0533" w:rsidP="00371D15">
            <w:pPr>
              <w:spacing w:after="0" w:line="240" w:lineRule="auto"/>
              <w:rPr>
                <w:rFonts w:ascii="Arial" w:eastAsia="Times New Roman" w:hAnsi="Arial" w:cs="Arial"/>
                <w:color w:val="000000"/>
                <w:lang w:eastAsia="en-GB"/>
              </w:rPr>
            </w:pPr>
          </w:p>
          <w:p w:rsidR="00DE0533" w:rsidRPr="00371D15" w:rsidRDefault="00DE0533" w:rsidP="00371D15">
            <w:pPr>
              <w:spacing w:after="0" w:line="240" w:lineRule="auto"/>
              <w:rPr>
                <w:rFonts w:ascii="Arial" w:eastAsia="Times New Roman" w:hAnsi="Arial" w:cs="Arial"/>
                <w:color w:val="000000"/>
                <w:lang w:eastAsia="en-GB"/>
              </w:rPr>
            </w:pPr>
          </w:p>
        </w:tc>
      </w:tr>
      <w:tr w:rsidR="00371D15" w:rsidRPr="00371D15" w:rsidTr="00371D15">
        <w:trPr>
          <w:trHeight w:val="300"/>
        </w:trPr>
        <w:tc>
          <w:tcPr>
            <w:tcW w:w="922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71D15" w:rsidRPr="00C42793" w:rsidRDefault="00371D15" w:rsidP="00371D15">
            <w:pPr>
              <w:spacing w:after="0" w:line="240" w:lineRule="auto"/>
              <w:jc w:val="center"/>
              <w:rPr>
                <w:rFonts w:ascii="Arial" w:eastAsia="Times New Roman" w:hAnsi="Arial" w:cs="Arial"/>
                <w:b/>
                <w:bCs/>
                <w:color w:val="000000"/>
                <w:lang w:eastAsia="en-GB"/>
              </w:rPr>
            </w:pPr>
            <w:r w:rsidRPr="00C42793">
              <w:rPr>
                <w:rFonts w:ascii="Arial" w:eastAsia="Times New Roman" w:hAnsi="Arial" w:cs="Arial"/>
                <w:b/>
                <w:bCs/>
                <w:color w:val="000000"/>
                <w:lang w:eastAsia="en-GB"/>
              </w:rPr>
              <w:lastRenderedPageBreak/>
              <w:t>Top 5 ICD10 codes - Digestive</w:t>
            </w:r>
          </w:p>
        </w:tc>
      </w:tr>
      <w:tr w:rsidR="00371D15" w:rsidRPr="00371D15" w:rsidTr="00371D15">
        <w:trPr>
          <w:cantSplit/>
          <w:trHeight w:val="9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ICD10 code</w:t>
            </w:r>
          </w:p>
        </w:tc>
        <w:tc>
          <w:tcPr>
            <w:tcW w:w="1180" w:type="dxa"/>
            <w:tcBorders>
              <w:top w:val="nil"/>
              <w:left w:val="nil"/>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Frequency</w:t>
            </w:r>
          </w:p>
        </w:tc>
        <w:tc>
          <w:tcPr>
            <w:tcW w:w="908" w:type="dxa"/>
            <w:tcBorders>
              <w:top w:val="nil"/>
              <w:left w:val="nil"/>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Percent</w:t>
            </w:r>
          </w:p>
        </w:tc>
        <w:tc>
          <w:tcPr>
            <w:tcW w:w="1280" w:type="dxa"/>
            <w:tcBorders>
              <w:top w:val="nil"/>
              <w:left w:val="nil"/>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Cumulative Percent</w:t>
            </w:r>
          </w:p>
        </w:tc>
        <w:tc>
          <w:tcPr>
            <w:tcW w:w="4721" w:type="dxa"/>
            <w:tcBorders>
              <w:top w:val="nil"/>
              <w:left w:val="nil"/>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Diagnosis</w:t>
            </w:r>
          </w:p>
        </w:tc>
      </w:tr>
      <w:tr w:rsidR="00371D15" w:rsidRPr="00371D15" w:rsidTr="00371D15">
        <w:trPr>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Total</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193084</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100</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 </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 </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K80</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16224</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8.4</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8.4</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proofErr w:type="spellStart"/>
            <w:r w:rsidRPr="00371D15">
              <w:rPr>
                <w:rFonts w:ascii="Arial" w:eastAsia="Times New Roman" w:hAnsi="Arial" w:cs="Arial"/>
                <w:color w:val="000000"/>
                <w:lang w:eastAsia="en-GB"/>
              </w:rPr>
              <w:t>Cholelithiasis</w:t>
            </w:r>
            <w:proofErr w:type="spellEnd"/>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K57</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14317</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7.4</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15.8</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proofErr w:type="spellStart"/>
            <w:r w:rsidRPr="00371D15">
              <w:rPr>
                <w:rFonts w:ascii="Arial" w:eastAsia="Times New Roman" w:hAnsi="Arial" w:cs="Arial"/>
                <w:color w:val="000000"/>
                <w:lang w:eastAsia="en-GB"/>
              </w:rPr>
              <w:t>Diverticular</w:t>
            </w:r>
            <w:proofErr w:type="spellEnd"/>
            <w:r w:rsidRPr="00371D15">
              <w:rPr>
                <w:rFonts w:ascii="Arial" w:eastAsia="Times New Roman" w:hAnsi="Arial" w:cs="Arial"/>
                <w:color w:val="000000"/>
                <w:lang w:eastAsia="en-GB"/>
              </w:rPr>
              <w:t xml:space="preserve"> disease of intestine</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K52</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14251</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7.4</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23.2</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 xml:space="preserve">Other </w:t>
            </w:r>
            <w:proofErr w:type="spellStart"/>
            <w:r w:rsidRPr="00371D15">
              <w:rPr>
                <w:rFonts w:ascii="Arial" w:eastAsia="Times New Roman" w:hAnsi="Arial" w:cs="Arial"/>
                <w:color w:val="000000"/>
                <w:lang w:eastAsia="en-GB"/>
              </w:rPr>
              <w:t>noninfective</w:t>
            </w:r>
            <w:proofErr w:type="spellEnd"/>
            <w:r w:rsidRPr="00371D15">
              <w:rPr>
                <w:rFonts w:ascii="Arial" w:eastAsia="Times New Roman" w:hAnsi="Arial" w:cs="Arial"/>
                <w:color w:val="000000"/>
                <w:lang w:eastAsia="en-GB"/>
              </w:rPr>
              <w:t xml:space="preserve"> gastroenteritis and colitis</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K29</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9665</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5</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28.2</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 xml:space="preserve">Gastritis and </w:t>
            </w:r>
            <w:proofErr w:type="spellStart"/>
            <w:r w:rsidRPr="00371D15">
              <w:rPr>
                <w:rFonts w:ascii="Arial" w:eastAsia="Times New Roman" w:hAnsi="Arial" w:cs="Arial"/>
                <w:color w:val="000000"/>
                <w:lang w:eastAsia="en-GB"/>
              </w:rPr>
              <w:t>duodenitis</w:t>
            </w:r>
            <w:proofErr w:type="spellEnd"/>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K92</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9523</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4.9</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b/>
                <w:bCs/>
                <w:color w:val="FF0000"/>
                <w:lang w:eastAsia="en-GB"/>
              </w:rPr>
            </w:pPr>
            <w:r w:rsidRPr="00371D15">
              <w:rPr>
                <w:rFonts w:ascii="Arial" w:eastAsia="Times New Roman" w:hAnsi="Arial" w:cs="Arial"/>
                <w:b/>
                <w:bCs/>
                <w:color w:val="FF0000"/>
                <w:lang w:eastAsia="en-GB"/>
              </w:rPr>
              <w:t>33.1</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Other diseases of digestive system</w:t>
            </w:r>
          </w:p>
        </w:tc>
      </w:tr>
      <w:tr w:rsidR="00371D15" w:rsidRPr="00371D15" w:rsidTr="00371D15">
        <w:trPr>
          <w:trHeight w:val="300"/>
        </w:trPr>
        <w:tc>
          <w:tcPr>
            <w:tcW w:w="1140" w:type="dxa"/>
            <w:tcBorders>
              <w:top w:val="nil"/>
              <w:left w:val="nil"/>
              <w:bottom w:val="nil"/>
              <w:right w:val="nil"/>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p>
          <w:p w:rsidR="00371D15" w:rsidRPr="00371D15" w:rsidRDefault="00371D15" w:rsidP="00371D15">
            <w:pPr>
              <w:spacing w:after="0" w:line="240" w:lineRule="auto"/>
              <w:rPr>
                <w:rFonts w:ascii="Arial" w:eastAsia="Times New Roman" w:hAnsi="Arial" w:cs="Arial"/>
                <w:color w:val="000000"/>
                <w:lang w:eastAsia="en-GB"/>
              </w:rPr>
            </w:pPr>
          </w:p>
        </w:tc>
        <w:tc>
          <w:tcPr>
            <w:tcW w:w="1180" w:type="dxa"/>
            <w:tcBorders>
              <w:top w:val="nil"/>
              <w:left w:val="nil"/>
              <w:bottom w:val="nil"/>
              <w:right w:val="nil"/>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p>
        </w:tc>
        <w:tc>
          <w:tcPr>
            <w:tcW w:w="908" w:type="dxa"/>
            <w:tcBorders>
              <w:top w:val="nil"/>
              <w:left w:val="nil"/>
              <w:bottom w:val="nil"/>
              <w:right w:val="nil"/>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p>
        </w:tc>
        <w:tc>
          <w:tcPr>
            <w:tcW w:w="1280" w:type="dxa"/>
            <w:tcBorders>
              <w:top w:val="nil"/>
              <w:left w:val="nil"/>
              <w:bottom w:val="nil"/>
              <w:right w:val="nil"/>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p>
        </w:tc>
        <w:tc>
          <w:tcPr>
            <w:tcW w:w="4721" w:type="dxa"/>
            <w:tcBorders>
              <w:top w:val="nil"/>
              <w:left w:val="nil"/>
              <w:bottom w:val="nil"/>
              <w:right w:val="nil"/>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p>
        </w:tc>
      </w:tr>
      <w:tr w:rsidR="00371D15" w:rsidRPr="00371D15" w:rsidTr="00371D15">
        <w:trPr>
          <w:trHeight w:val="300"/>
        </w:trPr>
        <w:tc>
          <w:tcPr>
            <w:tcW w:w="922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71D15" w:rsidRPr="00C42793" w:rsidRDefault="00371D15" w:rsidP="00371D15">
            <w:pPr>
              <w:spacing w:after="0" w:line="240" w:lineRule="auto"/>
              <w:jc w:val="center"/>
              <w:rPr>
                <w:rFonts w:ascii="Arial" w:eastAsia="Times New Roman" w:hAnsi="Arial" w:cs="Arial"/>
                <w:b/>
                <w:bCs/>
                <w:color w:val="000000"/>
                <w:lang w:eastAsia="en-GB"/>
              </w:rPr>
            </w:pPr>
            <w:r w:rsidRPr="00C42793">
              <w:rPr>
                <w:rFonts w:ascii="Arial" w:eastAsia="Times New Roman" w:hAnsi="Arial" w:cs="Arial"/>
                <w:b/>
                <w:bCs/>
                <w:color w:val="000000"/>
                <w:lang w:eastAsia="en-GB"/>
              </w:rPr>
              <w:t>Top 5 ICD10 codes - Injury</w:t>
            </w:r>
          </w:p>
        </w:tc>
      </w:tr>
      <w:tr w:rsidR="00371D15" w:rsidRPr="00371D15" w:rsidTr="00371D15">
        <w:trPr>
          <w:cantSplit/>
          <w:trHeight w:val="9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ICD10 code</w:t>
            </w:r>
          </w:p>
        </w:tc>
        <w:tc>
          <w:tcPr>
            <w:tcW w:w="1180" w:type="dxa"/>
            <w:tcBorders>
              <w:top w:val="nil"/>
              <w:left w:val="nil"/>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Frequency</w:t>
            </w:r>
          </w:p>
        </w:tc>
        <w:tc>
          <w:tcPr>
            <w:tcW w:w="908" w:type="dxa"/>
            <w:tcBorders>
              <w:top w:val="nil"/>
              <w:left w:val="nil"/>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Percent</w:t>
            </w:r>
          </w:p>
        </w:tc>
        <w:tc>
          <w:tcPr>
            <w:tcW w:w="1280" w:type="dxa"/>
            <w:tcBorders>
              <w:top w:val="nil"/>
              <w:left w:val="nil"/>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Cumulative Percent</w:t>
            </w:r>
          </w:p>
        </w:tc>
        <w:tc>
          <w:tcPr>
            <w:tcW w:w="4721" w:type="dxa"/>
            <w:tcBorders>
              <w:top w:val="nil"/>
              <w:left w:val="nil"/>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Diagnosis</w:t>
            </w:r>
          </w:p>
        </w:tc>
      </w:tr>
      <w:tr w:rsidR="00371D15" w:rsidRPr="00371D15" w:rsidTr="00371D15">
        <w:trPr>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Total</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118638</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100</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 </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 </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S72</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13554</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11.4</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11.4</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Fracture of femur</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T81</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8107</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6.8</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18.2</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Complications of procedures, not elsewhere classified</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S09</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6302</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5.3</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23.5</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Other and unspecified injuries of head</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S82</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6161</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5.2</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28.7</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Fracture of lower leg, including ankle</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S52</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6059</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5.1</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b/>
                <w:bCs/>
                <w:color w:val="FF0000"/>
                <w:lang w:eastAsia="en-GB"/>
              </w:rPr>
            </w:pPr>
            <w:r w:rsidRPr="00371D15">
              <w:rPr>
                <w:rFonts w:ascii="Arial" w:eastAsia="Times New Roman" w:hAnsi="Arial" w:cs="Arial"/>
                <w:b/>
                <w:bCs/>
                <w:color w:val="FF0000"/>
                <w:lang w:eastAsia="en-GB"/>
              </w:rPr>
              <w:t>33.8</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Fracture of forearm</w:t>
            </w:r>
          </w:p>
        </w:tc>
      </w:tr>
      <w:tr w:rsidR="00371D15" w:rsidRPr="00371D15" w:rsidTr="00371D15">
        <w:trPr>
          <w:trHeight w:val="300"/>
        </w:trPr>
        <w:tc>
          <w:tcPr>
            <w:tcW w:w="1140" w:type="dxa"/>
            <w:tcBorders>
              <w:top w:val="nil"/>
              <w:left w:val="nil"/>
              <w:bottom w:val="nil"/>
              <w:right w:val="nil"/>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p>
          <w:p w:rsidR="00371D15" w:rsidRPr="00371D15" w:rsidRDefault="00371D15" w:rsidP="00371D15">
            <w:pPr>
              <w:spacing w:after="0" w:line="240" w:lineRule="auto"/>
              <w:rPr>
                <w:rFonts w:ascii="Arial" w:eastAsia="Times New Roman" w:hAnsi="Arial" w:cs="Arial"/>
                <w:color w:val="000000"/>
                <w:lang w:eastAsia="en-GB"/>
              </w:rPr>
            </w:pPr>
          </w:p>
        </w:tc>
        <w:tc>
          <w:tcPr>
            <w:tcW w:w="1180" w:type="dxa"/>
            <w:tcBorders>
              <w:top w:val="nil"/>
              <w:left w:val="nil"/>
              <w:bottom w:val="nil"/>
              <w:right w:val="nil"/>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p>
        </w:tc>
        <w:tc>
          <w:tcPr>
            <w:tcW w:w="908" w:type="dxa"/>
            <w:tcBorders>
              <w:top w:val="nil"/>
              <w:left w:val="nil"/>
              <w:bottom w:val="nil"/>
              <w:right w:val="nil"/>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p>
        </w:tc>
        <w:tc>
          <w:tcPr>
            <w:tcW w:w="1280" w:type="dxa"/>
            <w:tcBorders>
              <w:top w:val="nil"/>
              <w:left w:val="nil"/>
              <w:bottom w:val="nil"/>
              <w:right w:val="nil"/>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p>
        </w:tc>
        <w:tc>
          <w:tcPr>
            <w:tcW w:w="4721" w:type="dxa"/>
            <w:tcBorders>
              <w:top w:val="nil"/>
              <w:left w:val="nil"/>
              <w:bottom w:val="nil"/>
              <w:right w:val="nil"/>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p>
        </w:tc>
      </w:tr>
      <w:tr w:rsidR="00371D15" w:rsidRPr="00371D15" w:rsidTr="00371D15">
        <w:trPr>
          <w:trHeight w:val="300"/>
        </w:trPr>
        <w:tc>
          <w:tcPr>
            <w:tcW w:w="922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71D15" w:rsidRPr="00C42793" w:rsidRDefault="00371D15" w:rsidP="00371D15">
            <w:pPr>
              <w:spacing w:after="0" w:line="240" w:lineRule="auto"/>
              <w:jc w:val="center"/>
              <w:rPr>
                <w:rFonts w:ascii="Arial" w:eastAsia="Times New Roman" w:hAnsi="Arial" w:cs="Arial"/>
                <w:b/>
                <w:bCs/>
                <w:color w:val="000000"/>
                <w:lang w:eastAsia="en-GB"/>
              </w:rPr>
            </w:pPr>
            <w:r w:rsidRPr="00C42793">
              <w:rPr>
                <w:rFonts w:ascii="Arial" w:eastAsia="Times New Roman" w:hAnsi="Arial" w:cs="Arial"/>
                <w:b/>
                <w:bCs/>
                <w:color w:val="000000"/>
                <w:lang w:eastAsia="en-GB"/>
              </w:rPr>
              <w:t>Top 5 ICD10 codes - Other</w:t>
            </w:r>
          </w:p>
        </w:tc>
      </w:tr>
      <w:tr w:rsidR="00371D15" w:rsidRPr="00371D15" w:rsidTr="00371D15">
        <w:trPr>
          <w:cantSplit/>
          <w:trHeight w:val="9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ICD10 code</w:t>
            </w:r>
          </w:p>
        </w:tc>
        <w:tc>
          <w:tcPr>
            <w:tcW w:w="1180" w:type="dxa"/>
            <w:tcBorders>
              <w:top w:val="nil"/>
              <w:left w:val="nil"/>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Frequency</w:t>
            </w:r>
          </w:p>
        </w:tc>
        <w:tc>
          <w:tcPr>
            <w:tcW w:w="908" w:type="dxa"/>
            <w:tcBorders>
              <w:top w:val="nil"/>
              <w:left w:val="nil"/>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Percent</w:t>
            </w:r>
          </w:p>
        </w:tc>
        <w:tc>
          <w:tcPr>
            <w:tcW w:w="1280" w:type="dxa"/>
            <w:tcBorders>
              <w:top w:val="nil"/>
              <w:left w:val="nil"/>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Cumulative Percent</w:t>
            </w:r>
          </w:p>
        </w:tc>
        <w:tc>
          <w:tcPr>
            <w:tcW w:w="4721" w:type="dxa"/>
            <w:tcBorders>
              <w:top w:val="nil"/>
              <w:left w:val="nil"/>
              <w:bottom w:val="single" w:sz="4" w:space="0" w:color="auto"/>
              <w:right w:val="single" w:sz="4" w:space="0" w:color="auto"/>
            </w:tcBorders>
            <w:shd w:val="clear" w:color="auto" w:fill="auto"/>
            <w:vAlign w:val="center"/>
            <w:hideMark/>
          </w:tcPr>
          <w:p w:rsidR="00371D15" w:rsidRPr="00371D15" w:rsidRDefault="00371D15" w:rsidP="00371D15">
            <w:pPr>
              <w:spacing w:after="0" w:line="240" w:lineRule="auto"/>
              <w:jc w:val="center"/>
              <w:rPr>
                <w:rFonts w:ascii="Arial" w:eastAsia="Times New Roman" w:hAnsi="Arial" w:cs="Arial"/>
                <w:color w:val="000000"/>
                <w:lang w:eastAsia="en-GB"/>
              </w:rPr>
            </w:pPr>
            <w:r w:rsidRPr="00371D15">
              <w:rPr>
                <w:rFonts w:ascii="Arial" w:eastAsia="Times New Roman" w:hAnsi="Arial" w:cs="Arial"/>
                <w:color w:val="000000"/>
                <w:lang w:eastAsia="en-GB"/>
              </w:rPr>
              <w:t>Diagnosis</w:t>
            </w:r>
          </w:p>
        </w:tc>
      </w:tr>
      <w:tr w:rsidR="00371D15" w:rsidRPr="00371D15" w:rsidTr="00371D15">
        <w:trPr>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Total</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660654</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100</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 </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 </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R07</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36738</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5.6</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5.6</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Pain in throat and chest</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R10</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33873</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5.1</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10.7</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Abdominal and pelvic pain</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H26</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29534</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4.5</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15.2</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Disorders of lens - Other cataract</w:t>
            </w:r>
          </w:p>
        </w:tc>
      </w:tr>
      <w:tr w:rsidR="00371D15" w:rsidRPr="00371D15" w:rsidTr="00371D15">
        <w:trPr>
          <w:cantSplit/>
          <w:trHeight w:val="300"/>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N39</w:t>
            </w:r>
          </w:p>
        </w:tc>
        <w:tc>
          <w:tcPr>
            <w:tcW w:w="11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28058</w:t>
            </w:r>
          </w:p>
        </w:tc>
        <w:tc>
          <w:tcPr>
            <w:tcW w:w="908"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4.2</w:t>
            </w:r>
          </w:p>
        </w:tc>
        <w:tc>
          <w:tcPr>
            <w:tcW w:w="1280" w:type="dxa"/>
            <w:tcBorders>
              <w:top w:val="nil"/>
              <w:left w:val="nil"/>
              <w:bottom w:val="single" w:sz="4" w:space="0" w:color="auto"/>
              <w:right w:val="single" w:sz="4" w:space="0" w:color="auto"/>
            </w:tcBorders>
            <w:shd w:val="clear" w:color="auto" w:fill="auto"/>
            <w:vAlign w:val="bottom"/>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19.4</w:t>
            </w:r>
          </w:p>
        </w:tc>
        <w:tc>
          <w:tcPr>
            <w:tcW w:w="4721" w:type="dxa"/>
            <w:tcBorders>
              <w:top w:val="nil"/>
              <w:left w:val="nil"/>
              <w:bottom w:val="single" w:sz="4" w:space="0" w:color="auto"/>
              <w:right w:val="single" w:sz="4" w:space="0" w:color="auto"/>
            </w:tcBorders>
            <w:shd w:val="clear" w:color="auto" w:fill="auto"/>
            <w:noWrap/>
            <w:vAlign w:val="bottom"/>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Other disorders of urinary system</w:t>
            </w:r>
          </w:p>
        </w:tc>
      </w:tr>
      <w:tr w:rsidR="00371D15" w:rsidRPr="00371D15" w:rsidTr="00371D15">
        <w:trPr>
          <w:cantSplit/>
          <w:trHeight w:val="675"/>
        </w:trPr>
        <w:tc>
          <w:tcPr>
            <w:tcW w:w="1140" w:type="dxa"/>
            <w:tcBorders>
              <w:top w:val="nil"/>
              <w:left w:val="single" w:sz="4" w:space="0" w:color="auto"/>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Z53</w:t>
            </w:r>
          </w:p>
        </w:tc>
        <w:tc>
          <w:tcPr>
            <w:tcW w:w="1180" w:type="dxa"/>
            <w:tcBorders>
              <w:top w:val="nil"/>
              <w:left w:val="nil"/>
              <w:bottom w:val="single" w:sz="4" w:space="0" w:color="auto"/>
              <w:right w:val="single" w:sz="4" w:space="0" w:color="auto"/>
            </w:tcBorders>
            <w:shd w:val="clear" w:color="auto" w:fill="auto"/>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17839</w:t>
            </w:r>
          </w:p>
        </w:tc>
        <w:tc>
          <w:tcPr>
            <w:tcW w:w="908" w:type="dxa"/>
            <w:tcBorders>
              <w:top w:val="nil"/>
              <w:left w:val="nil"/>
              <w:bottom w:val="single" w:sz="4" w:space="0" w:color="auto"/>
              <w:right w:val="single" w:sz="4" w:space="0" w:color="auto"/>
            </w:tcBorders>
            <w:shd w:val="clear" w:color="auto" w:fill="auto"/>
            <w:hideMark/>
          </w:tcPr>
          <w:p w:rsidR="00371D15" w:rsidRPr="00371D15" w:rsidRDefault="00371D15" w:rsidP="00371D15">
            <w:pPr>
              <w:spacing w:after="0" w:line="240" w:lineRule="auto"/>
              <w:jc w:val="right"/>
              <w:rPr>
                <w:rFonts w:ascii="Arial" w:eastAsia="Times New Roman" w:hAnsi="Arial" w:cs="Arial"/>
                <w:color w:val="000000"/>
                <w:lang w:eastAsia="en-GB"/>
              </w:rPr>
            </w:pPr>
            <w:r w:rsidRPr="00371D15">
              <w:rPr>
                <w:rFonts w:ascii="Arial" w:eastAsia="Times New Roman" w:hAnsi="Arial" w:cs="Arial"/>
                <w:color w:val="000000"/>
                <w:lang w:eastAsia="en-GB"/>
              </w:rPr>
              <w:t>2.7</w:t>
            </w:r>
          </w:p>
        </w:tc>
        <w:tc>
          <w:tcPr>
            <w:tcW w:w="1280" w:type="dxa"/>
            <w:tcBorders>
              <w:top w:val="nil"/>
              <w:left w:val="nil"/>
              <w:bottom w:val="single" w:sz="4" w:space="0" w:color="auto"/>
              <w:right w:val="single" w:sz="4" w:space="0" w:color="auto"/>
            </w:tcBorders>
            <w:shd w:val="clear" w:color="auto" w:fill="auto"/>
            <w:hideMark/>
          </w:tcPr>
          <w:p w:rsidR="00371D15" w:rsidRPr="00371D15" w:rsidRDefault="00371D15" w:rsidP="00371D15">
            <w:pPr>
              <w:spacing w:after="0" w:line="240" w:lineRule="auto"/>
              <w:jc w:val="right"/>
              <w:rPr>
                <w:rFonts w:ascii="Arial" w:eastAsia="Times New Roman" w:hAnsi="Arial" w:cs="Arial"/>
                <w:b/>
                <w:bCs/>
                <w:color w:val="FF0000"/>
                <w:lang w:eastAsia="en-GB"/>
              </w:rPr>
            </w:pPr>
            <w:r w:rsidRPr="00371D15">
              <w:rPr>
                <w:rFonts w:ascii="Arial" w:eastAsia="Times New Roman" w:hAnsi="Arial" w:cs="Arial"/>
                <w:b/>
                <w:bCs/>
                <w:color w:val="FF0000"/>
                <w:lang w:eastAsia="en-GB"/>
              </w:rPr>
              <w:t>22.1</w:t>
            </w:r>
          </w:p>
        </w:tc>
        <w:tc>
          <w:tcPr>
            <w:tcW w:w="4721" w:type="dxa"/>
            <w:tcBorders>
              <w:top w:val="nil"/>
              <w:left w:val="nil"/>
              <w:bottom w:val="single" w:sz="4" w:space="0" w:color="auto"/>
              <w:right w:val="single" w:sz="4" w:space="0" w:color="auto"/>
            </w:tcBorders>
            <w:shd w:val="clear" w:color="auto" w:fill="auto"/>
            <w:hideMark/>
          </w:tcPr>
          <w:p w:rsidR="00371D15" w:rsidRPr="00371D15" w:rsidRDefault="00371D15" w:rsidP="00371D15">
            <w:pPr>
              <w:spacing w:after="0" w:line="240" w:lineRule="auto"/>
              <w:rPr>
                <w:rFonts w:ascii="Arial" w:eastAsia="Times New Roman" w:hAnsi="Arial" w:cs="Arial"/>
                <w:color w:val="000000"/>
                <w:lang w:eastAsia="en-GB"/>
              </w:rPr>
            </w:pPr>
            <w:r w:rsidRPr="00371D15">
              <w:rPr>
                <w:rFonts w:ascii="Arial" w:eastAsia="Times New Roman" w:hAnsi="Arial" w:cs="Arial"/>
                <w:color w:val="000000"/>
                <w:lang w:eastAsia="en-GB"/>
              </w:rPr>
              <w:t>Persons encountering health services for specific procedures,  not carried out</w:t>
            </w:r>
          </w:p>
        </w:tc>
      </w:tr>
    </w:tbl>
    <w:p w:rsidR="009A58DD" w:rsidRDefault="009A58DD" w:rsidP="00965119">
      <w:pPr>
        <w:rPr>
          <w:rFonts w:ascii="Arial" w:hAnsi="Arial" w:cs="Arial"/>
          <w:b/>
        </w:rPr>
      </w:pPr>
    </w:p>
    <w:p w:rsidR="00F947B5" w:rsidRPr="00F947B5" w:rsidRDefault="00F947B5" w:rsidP="00965119">
      <w:pPr>
        <w:rPr>
          <w:rFonts w:ascii="Arial" w:hAnsi="Arial" w:cs="Arial"/>
          <w:b/>
          <w:i/>
        </w:rPr>
      </w:pPr>
      <w:r w:rsidRPr="00F947B5">
        <w:rPr>
          <w:rFonts w:ascii="Arial" w:hAnsi="Arial" w:cs="Arial"/>
          <w:b/>
          <w:i/>
        </w:rPr>
        <w:t>Appendix B: Age/sex cost curves for specific cancer types</w:t>
      </w:r>
    </w:p>
    <w:p w:rsidR="00F947B5" w:rsidRPr="00F947B5" w:rsidRDefault="00F947B5" w:rsidP="00F947B5">
      <w:pPr>
        <w:jc w:val="both"/>
        <w:rPr>
          <w:rFonts w:ascii="Arial" w:hAnsi="Arial" w:cs="Arial"/>
          <w:u w:val="single"/>
        </w:rPr>
      </w:pPr>
      <w:r w:rsidRPr="00F947B5">
        <w:rPr>
          <w:rFonts w:ascii="Arial" w:hAnsi="Arial" w:cs="Arial"/>
        </w:rPr>
        <w:t xml:space="preserve">Age-sex cost curves are </w:t>
      </w:r>
      <w:r>
        <w:rPr>
          <w:rFonts w:ascii="Arial" w:hAnsi="Arial" w:cs="Arial"/>
        </w:rPr>
        <w:t>shown below</w:t>
      </w:r>
      <w:r w:rsidRPr="00F947B5">
        <w:rPr>
          <w:rFonts w:ascii="Arial" w:hAnsi="Arial" w:cs="Arial"/>
        </w:rPr>
        <w:t xml:space="preserve"> for the </w:t>
      </w:r>
      <w:r w:rsidR="00F64F60">
        <w:rPr>
          <w:rFonts w:ascii="Arial" w:hAnsi="Arial" w:cs="Arial"/>
        </w:rPr>
        <w:t>three</w:t>
      </w:r>
      <w:r w:rsidR="00F64F60" w:rsidRPr="00F947B5">
        <w:rPr>
          <w:rFonts w:ascii="Arial" w:hAnsi="Arial" w:cs="Arial"/>
        </w:rPr>
        <w:t xml:space="preserve"> </w:t>
      </w:r>
      <w:r w:rsidRPr="00F947B5">
        <w:rPr>
          <w:rFonts w:ascii="Arial" w:hAnsi="Arial" w:cs="Arial"/>
        </w:rPr>
        <w:t xml:space="preserve">most common cancers in </w:t>
      </w:r>
      <w:r w:rsidR="00F64F60">
        <w:rPr>
          <w:rFonts w:ascii="Arial" w:hAnsi="Arial" w:cs="Arial"/>
        </w:rPr>
        <w:t>each</w:t>
      </w:r>
      <w:r w:rsidR="00F64F60" w:rsidRPr="00F947B5">
        <w:rPr>
          <w:rFonts w:ascii="Arial" w:hAnsi="Arial" w:cs="Arial"/>
        </w:rPr>
        <w:t xml:space="preserve"> </w:t>
      </w:r>
      <w:r w:rsidRPr="00F947B5">
        <w:rPr>
          <w:rFonts w:ascii="Arial" w:hAnsi="Arial" w:cs="Arial"/>
        </w:rPr>
        <w:t xml:space="preserve">sex. Prostate, trachea, bronchus and lung, and colorectal cancers collectively account for 52% of cancers in men. Breast, trachea, bronchus and lung, and colorectal cancers account for 56% of cancers in women. </w:t>
      </w:r>
    </w:p>
    <w:p w:rsidR="00F947B5" w:rsidRPr="00F947B5" w:rsidRDefault="00C42793" w:rsidP="00F947B5">
      <w:pPr>
        <w:autoSpaceDE w:val="0"/>
        <w:autoSpaceDN w:val="0"/>
        <w:adjustRightInd w:val="0"/>
        <w:spacing w:after="0" w:line="240" w:lineRule="auto"/>
        <w:rPr>
          <w:rFonts w:ascii="Arial" w:hAnsi="Arial" w:cs="Arial"/>
        </w:rPr>
      </w:pPr>
      <w:r>
        <w:rPr>
          <w:rFonts w:ascii="Arial" w:hAnsi="Arial" w:cs="Arial"/>
          <w:noProof/>
          <w:lang w:eastAsia="en-GB"/>
        </w:rPr>
        <w:lastRenderedPageBreak/>
        <w:drawing>
          <wp:anchor distT="0" distB="0" distL="114300" distR="114300" simplePos="0" relativeHeight="251678720" behindDoc="0" locked="0" layoutInCell="1" allowOverlap="1">
            <wp:simplePos x="0" y="0"/>
            <wp:positionH relativeFrom="column">
              <wp:posOffset>2686050</wp:posOffset>
            </wp:positionH>
            <wp:positionV relativeFrom="paragraph">
              <wp:posOffset>3400425</wp:posOffset>
            </wp:positionV>
            <wp:extent cx="4031615" cy="3486150"/>
            <wp:effectExtent l="19050" t="0" r="6985" b="0"/>
            <wp:wrapThrough wrapText="bothSides">
              <wp:wrapPolygon edited="0">
                <wp:start x="-102" y="0"/>
                <wp:lineTo x="-102" y="21482"/>
                <wp:lineTo x="21637" y="21482"/>
                <wp:lineTo x="21637" y="0"/>
                <wp:lineTo x="-102" y="0"/>
              </wp:wrapPolygon>
            </wp:wrapThrough>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4031615" cy="3486150"/>
                    </a:xfrm>
                    <a:prstGeom prst="rect">
                      <a:avLst/>
                    </a:prstGeom>
                    <a:noFill/>
                    <a:ln w="9525">
                      <a:noFill/>
                      <a:miter lim="800000"/>
                      <a:headEnd/>
                      <a:tailEnd/>
                    </a:ln>
                  </pic:spPr>
                </pic:pic>
              </a:graphicData>
            </a:graphic>
          </wp:anchor>
        </w:drawing>
      </w:r>
      <w:r>
        <w:rPr>
          <w:rFonts w:ascii="Arial" w:hAnsi="Arial" w:cs="Arial"/>
          <w:noProof/>
          <w:lang w:eastAsia="en-GB"/>
        </w:rPr>
        <w:drawing>
          <wp:anchor distT="0" distB="0" distL="114300" distR="114300" simplePos="0" relativeHeight="251675648" behindDoc="0" locked="0" layoutInCell="1" allowOverlap="1">
            <wp:simplePos x="0" y="0"/>
            <wp:positionH relativeFrom="column">
              <wp:posOffset>-676275</wp:posOffset>
            </wp:positionH>
            <wp:positionV relativeFrom="paragraph">
              <wp:posOffset>3457575</wp:posOffset>
            </wp:positionV>
            <wp:extent cx="3962400" cy="3429000"/>
            <wp:effectExtent l="19050" t="0" r="0" b="0"/>
            <wp:wrapThrough wrapText="bothSides">
              <wp:wrapPolygon edited="0">
                <wp:start x="-104" y="0"/>
                <wp:lineTo x="-104" y="21480"/>
                <wp:lineTo x="21600" y="21480"/>
                <wp:lineTo x="21600" y="0"/>
                <wp:lineTo x="-104" y="0"/>
              </wp:wrapPolygon>
            </wp:wrapThrough>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a:stretch>
                      <a:fillRect/>
                    </a:stretch>
                  </pic:blipFill>
                  <pic:spPr bwMode="auto">
                    <a:xfrm>
                      <a:off x="0" y="0"/>
                      <a:ext cx="3962400" cy="3429000"/>
                    </a:xfrm>
                    <a:prstGeom prst="rect">
                      <a:avLst/>
                    </a:prstGeom>
                    <a:noFill/>
                    <a:ln w="9525">
                      <a:noFill/>
                      <a:miter lim="800000"/>
                      <a:headEnd/>
                      <a:tailEnd/>
                    </a:ln>
                  </pic:spPr>
                </pic:pic>
              </a:graphicData>
            </a:graphic>
          </wp:anchor>
        </w:drawing>
      </w:r>
      <w:r>
        <w:rPr>
          <w:rFonts w:ascii="Arial" w:hAnsi="Arial" w:cs="Arial"/>
          <w:noProof/>
          <w:lang w:eastAsia="en-GB"/>
        </w:rPr>
        <w:drawing>
          <wp:anchor distT="0" distB="0" distL="114300" distR="114300" simplePos="0" relativeHeight="251676672" behindDoc="0" locked="0" layoutInCell="1" allowOverlap="1">
            <wp:simplePos x="0" y="0"/>
            <wp:positionH relativeFrom="column">
              <wp:posOffset>-676275</wp:posOffset>
            </wp:positionH>
            <wp:positionV relativeFrom="paragraph">
              <wp:posOffset>28575</wp:posOffset>
            </wp:positionV>
            <wp:extent cx="3962400" cy="3429000"/>
            <wp:effectExtent l="19050" t="0" r="0" b="0"/>
            <wp:wrapThrough wrapText="bothSides">
              <wp:wrapPolygon edited="0">
                <wp:start x="-104" y="0"/>
                <wp:lineTo x="-104" y="21480"/>
                <wp:lineTo x="21600" y="21480"/>
                <wp:lineTo x="21600" y="0"/>
                <wp:lineTo x="-104" y="0"/>
              </wp:wrapPolygon>
            </wp:wrapThrough>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3962400" cy="3429000"/>
                    </a:xfrm>
                    <a:prstGeom prst="rect">
                      <a:avLst/>
                    </a:prstGeom>
                    <a:noFill/>
                    <a:ln w="9525">
                      <a:noFill/>
                      <a:miter lim="800000"/>
                      <a:headEnd/>
                      <a:tailEnd/>
                    </a:ln>
                  </pic:spPr>
                </pic:pic>
              </a:graphicData>
            </a:graphic>
          </wp:anchor>
        </w:drawing>
      </w:r>
      <w:r>
        <w:rPr>
          <w:rFonts w:ascii="Arial" w:hAnsi="Arial" w:cs="Arial"/>
          <w:noProof/>
          <w:lang w:eastAsia="en-GB"/>
        </w:rPr>
        <w:drawing>
          <wp:anchor distT="0" distB="0" distL="114300" distR="114300" simplePos="0" relativeHeight="251677696" behindDoc="0" locked="0" layoutInCell="1" allowOverlap="1">
            <wp:simplePos x="0" y="0"/>
            <wp:positionH relativeFrom="column">
              <wp:posOffset>2743200</wp:posOffset>
            </wp:positionH>
            <wp:positionV relativeFrom="paragraph">
              <wp:posOffset>28575</wp:posOffset>
            </wp:positionV>
            <wp:extent cx="3961130" cy="3429000"/>
            <wp:effectExtent l="19050" t="0" r="1270" b="0"/>
            <wp:wrapThrough wrapText="bothSides">
              <wp:wrapPolygon edited="0">
                <wp:start x="-104" y="0"/>
                <wp:lineTo x="-104" y="21480"/>
                <wp:lineTo x="21607" y="21480"/>
                <wp:lineTo x="21607" y="0"/>
                <wp:lineTo x="-104" y="0"/>
              </wp:wrapPolygon>
            </wp:wrapThrough>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3961130" cy="3429000"/>
                    </a:xfrm>
                    <a:prstGeom prst="rect">
                      <a:avLst/>
                    </a:prstGeom>
                    <a:noFill/>
                    <a:ln w="9525">
                      <a:noFill/>
                      <a:miter lim="800000"/>
                      <a:headEnd/>
                      <a:tailEnd/>
                    </a:ln>
                  </pic:spPr>
                </pic:pic>
              </a:graphicData>
            </a:graphic>
          </wp:anchor>
        </w:drawing>
      </w:r>
    </w:p>
    <w:p w:rsidR="00F947B5" w:rsidRPr="00F947B5" w:rsidRDefault="00F947B5" w:rsidP="00F947B5">
      <w:pPr>
        <w:jc w:val="both"/>
        <w:rPr>
          <w:rFonts w:ascii="Arial" w:hAnsi="Arial" w:cs="Arial"/>
        </w:rPr>
      </w:pPr>
      <w:r w:rsidRPr="00F947B5">
        <w:rPr>
          <w:rFonts w:ascii="Arial" w:hAnsi="Arial" w:cs="Arial"/>
        </w:rPr>
        <w:t>The decrease in the Cancer cost per head</w:t>
      </w:r>
      <w:r>
        <w:rPr>
          <w:rFonts w:ascii="Arial" w:hAnsi="Arial" w:cs="Arial"/>
        </w:rPr>
        <w:t xml:space="preserve"> after 90 years of age results from a </w:t>
      </w:r>
      <w:r w:rsidRPr="00F947B5">
        <w:rPr>
          <w:rFonts w:ascii="Arial" w:hAnsi="Arial" w:cs="Arial"/>
        </w:rPr>
        <w:t xml:space="preserve">sharp decrease in Trachea, bronchus and lung cancer cost per head in men and </w:t>
      </w:r>
      <w:r>
        <w:rPr>
          <w:rFonts w:ascii="Arial" w:hAnsi="Arial" w:cs="Arial"/>
        </w:rPr>
        <w:t>a</w:t>
      </w:r>
      <w:r w:rsidRPr="00F947B5">
        <w:rPr>
          <w:rFonts w:ascii="Arial" w:hAnsi="Arial" w:cs="Arial"/>
        </w:rPr>
        <w:t xml:space="preserve"> sharp decrease in Breast cancer cost per head in women. </w:t>
      </w:r>
    </w:p>
    <w:p w:rsidR="00F947B5" w:rsidRPr="00F947B5" w:rsidRDefault="00F947B5" w:rsidP="00F947B5">
      <w:pPr>
        <w:jc w:val="both"/>
        <w:rPr>
          <w:rFonts w:ascii="Arial" w:hAnsi="Arial" w:cs="Arial"/>
        </w:rPr>
      </w:pPr>
      <w:r w:rsidRPr="00F947B5">
        <w:rPr>
          <w:rFonts w:ascii="Arial" w:hAnsi="Arial" w:cs="Arial"/>
        </w:rPr>
        <w:t xml:space="preserve">The </w:t>
      </w:r>
      <w:r>
        <w:rPr>
          <w:rFonts w:ascii="Arial" w:hAnsi="Arial" w:cs="Arial"/>
        </w:rPr>
        <w:t xml:space="preserve">sex </w:t>
      </w:r>
      <w:r w:rsidRPr="00F947B5">
        <w:rPr>
          <w:rFonts w:ascii="Arial" w:hAnsi="Arial" w:cs="Arial"/>
        </w:rPr>
        <w:t>difference in Cancer cost per head after 70 years</w:t>
      </w:r>
      <w:r>
        <w:rPr>
          <w:rFonts w:ascii="Arial" w:hAnsi="Arial" w:cs="Arial"/>
        </w:rPr>
        <w:t xml:space="preserve"> of</w:t>
      </w:r>
      <w:r w:rsidRPr="00F947B5">
        <w:rPr>
          <w:rFonts w:ascii="Arial" w:hAnsi="Arial" w:cs="Arial"/>
        </w:rPr>
        <w:t xml:space="preserve"> age is explained by the </w:t>
      </w:r>
      <w:r w:rsidR="00E510E7">
        <w:rPr>
          <w:rFonts w:ascii="Arial" w:hAnsi="Arial" w:cs="Arial"/>
        </w:rPr>
        <w:t>higher costs per head in men for</w:t>
      </w:r>
      <w:r w:rsidRPr="00F947B5">
        <w:rPr>
          <w:rFonts w:ascii="Arial" w:hAnsi="Arial" w:cs="Arial"/>
        </w:rPr>
        <w:t xml:space="preserve"> Trachea, bronchus and lung cancer and in Colorectal cancer</w:t>
      </w:r>
      <w:r w:rsidR="00E510E7">
        <w:rPr>
          <w:rFonts w:ascii="Arial" w:hAnsi="Arial" w:cs="Arial"/>
        </w:rPr>
        <w:t xml:space="preserve"> in that age bracket</w:t>
      </w:r>
      <w:r w:rsidRPr="00F947B5">
        <w:rPr>
          <w:rFonts w:ascii="Arial" w:hAnsi="Arial" w:cs="Arial"/>
        </w:rPr>
        <w:t>.</w:t>
      </w:r>
      <w:r>
        <w:rPr>
          <w:rFonts w:ascii="Arial" w:hAnsi="Arial" w:cs="Arial"/>
        </w:rPr>
        <w:t xml:space="preserve"> </w:t>
      </w:r>
      <w:r w:rsidRPr="00F947B5">
        <w:rPr>
          <w:rFonts w:ascii="Arial" w:hAnsi="Arial" w:cs="Arial"/>
        </w:rPr>
        <w:t xml:space="preserve">The higher Cancer cost per head in women between 30 and 60 years age is explained by the sharp increase in Breast </w:t>
      </w:r>
      <w:r>
        <w:rPr>
          <w:rFonts w:ascii="Arial" w:hAnsi="Arial" w:cs="Arial"/>
        </w:rPr>
        <w:t>cancer cost per head in women.</w:t>
      </w:r>
    </w:p>
    <w:sectPr w:rsidR="00F947B5" w:rsidRPr="00F947B5" w:rsidSect="00CA1336">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F60" w:rsidRDefault="00F64F60" w:rsidP="00965119">
      <w:pPr>
        <w:spacing w:after="0" w:line="240" w:lineRule="auto"/>
      </w:pPr>
      <w:r>
        <w:separator/>
      </w:r>
    </w:p>
  </w:endnote>
  <w:endnote w:type="continuationSeparator" w:id="0">
    <w:p w:rsidR="00F64F60" w:rsidRDefault="00F64F60" w:rsidP="00965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4126"/>
      <w:docPartObj>
        <w:docPartGallery w:val="Page Numbers (Bottom of Page)"/>
        <w:docPartUnique/>
      </w:docPartObj>
    </w:sdtPr>
    <w:sdtContent>
      <w:p w:rsidR="00F64F60" w:rsidRDefault="00E93C00">
        <w:pPr>
          <w:pStyle w:val="Footer"/>
          <w:jc w:val="center"/>
        </w:pPr>
        <w:fldSimple w:instr=" PAGE   \* MERGEFORMAT ">
          <w:r w:rsidR="0005323A">
            <w:rPr>
              <w:noProof/>
            </w:rPr>
            <w:t>6</w:t>
          </w:r>
        </w:fldSimple>
      </w:p>
    </w:sdtContent>
  </w:sdt>
  <w:p w:rsidR="00F64F60" w:rsidRDefault="00F64F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F60" w:rsidRDefault="00F64F60" w:rsidP="00965119">
      <w:pPr>
        <w:spacing w:after="0" w:line="240" w:lineRule="auto"/>
      </w:pPr>
      <w:r>
        <w:separator/>
      </w:r>
    </w:p>
  </w:footnote>
  <w:footnote w:type="continuationSeparator" w:id="0">
    <w:p w:rsidR="00F64F60" w:rsidRDefault="00F64F60" w:rsidP="00965119">
      <w:pPr>
        <w:spacing w:after="0" w:line="240" w:lineRule="auto"/>
      </w:pPr>
      <w:r>
        <w:continuationSeparator/>
      </w:r>
    </w:p>
  </w:footnote>
  <w:footnote w:id="1">
    <w:p w:rsidR="00F64F60" w:rsidRDefault="00F64F60">
      <w:pPr>
        <w:pStyle w:val="FootnoteText"/>
      </w:pPr>
      <w:r>
        <w:rPr>
          <w:rStyle w:val="FootnoteReference"/>
        </w:rPr>
        <w:footnoteRef/>
      </w:r>
      <w:r>
        <w:t xml:space="preserve"> </w:t>
      </w:r>
      <w:r w:rsidRPr="00B554B7">
        <w:t xml:space="preserve">Rice N and Smith P. </w:t>
      </w:r>
      <w:r w:rsidRPr="00B554B7">
        <w:rPr>
          <w:i/>
        </w:rPr>
        <w:t>Capitation and risk adjustment in health care financing: an international progress report</w:t>
      </w:r>
      <w:r w:rsidRPr="00B554B7">
        <w:t>. The Milbank Quarterly 2001; 79(1): 81-113.</w:t>
      </w:r>
    </w:p>
  </w:footnote>
  <w:footnote w:id="2">
    <w:p w:rsidR="00F64F60" w:rsidRDefault="00F64F60">
      <w:pPr>
        <w:pStyle w:val="FootnoteText"/>
      </w:pPr>
      <w:r>
        <w:rPr>
          <w:rStyle w:val="FootnoteReference"/>
        </w:rPr>
        <w:footnoteRef/>
      </w:r>
      <w:r>
        <w:t xml:space="preserve"> </w:t>
      </w:r>
      <w:r w:rsidRPr="00B554B7">
        <w:t xml:space="preserve">Rice N and Smith P. </w:t>
      </w:r>
      <w:r w:rsidRPr="00B554B7">
        <w:rPr>
          <w:i/>
        </w:rPr>
        <w:t>Approaches to capitation and risk adjustment in health care: an international survey</w:t>
      </w:r>
      <w:r w:rsidRPr="00B554B7">
        <w:t>. Centre for Health Economics Occasional Paper. Centre for Health Economics, University of York,.1999</w:t>
      </w:r>
    </w:p>
  </w:footnote>
  <w:footnote w:id="3">
    <w:p w:rsidR="00F64F60" w:rsidRDefault="00F64F60">
      <w:pPr>
        <w:pStyle w:val="FootnoteText"/>
      </w:pPr>
      <w:r>
        <w:rPr>
          <w:rStyle w:val="FootnoteReference"/>
        </w:rPr>
        <w:footnoteRef/>
      </w:r>
      <w:r>
        <w:t xml:space="preserve"> </w:t>
      </w:r>
      <w:proofErr w:type="spellStart"/>
      <w:r w:rsidRPr="00B554B7">
        <w:t>Parkin</w:t>
      </w:r>
      <w:proofErr w:type="spellEnd"/>
      <w:r w:rsidRPr="00B554B7">
        <w:t xml:space="preserve"> N, McLeod H. </w:t>
      </w:r>
      <w:r w:rsidRPr="00B554B7">
        <w:rPr>
          <w:i/>
        </w:rPr>
        <w:t>Risk equalisation methodologies: an international perspective</w:t>
      </w:r>
      <w:r w:rsidRPr="00B554B7">
        <w:t xml:space="preserve">. CARE Monograph No. 3. Centre for Actuarial Research. </w:t>
      </w:r>
      <w:proofErr w:type="gramStart"/>
      <w:r w:rsidRPr="00B554B7">
        <w:t>University of Cape Town, 2001.</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F60" w:rsidRPr="00684248" w:rsidRDefault="00F64F60" w:rsidP="00965119">
    <w:pPr>
      <w:pStyle w:val="Header"/>
      <w:jc w:val="right"/>
      <w:rPr>
        <w:rFonts w:ascii="Arial" w:hAnsi="Arial" w:cs="Arial"/>
        <w:i/>
      </w:rPr>
    </w:pPr>
    <w:r w:rsidRPr="00684248">
      <w:rPr>
        <w:rFonts w:ascii="Arial" w:hAnsi="Arial" w:cs="Arial"/>
        <w:i/>
      </w:rPr>
      <w:t>TAMLC19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5F44"/>
    <w:multiLevelType w:val="hybridMultilevel"/>
    <w:tmpl w:val="746E4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9B1BE2"/>
    <w:multiLevelType w:val="hybridMultilevel"/>
    <w:tmpl w:val="96EA2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7B6BC8"/>
    <w:multiLevelType w:val="hybridMultilevel"/>
    <w:tmpl w:val="D3529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E455C0"/>
    <w:multiLevelType w:val="hybridMultilevel"/>
    <w:tmpl w:val="36F0FD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0205C17"/>
    <w:multiLevelType w:val="hybridMultilevel"/>
    <w:tmpl w:val="C22ED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67AA"/>
    <w:multiLevelType w:val="hybridMultilevel"/>
    <w:tmpl w:val="8BA60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3F46F8"/>
    <w:multiLevelType w:val="hybridMultilevel"/>
    <w:tmpl w:val="ACC69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B592BD9"/>
    <w:multiLevelType w:val="hybridMultilevel"/>
    <w:tmpl w:val="A1B4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DC0241"/>
    <w:multiLevelType w:val="hybridMultilevel"/>
    <w:tmpl w:val="061CB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2"/>
  </w:num>
  <w:num w:numId="6">
    <w:abstractNumId w:val="8"/>
  </w:num>
  <w:num w:numId="7">
    <w:abstractNumId w:val="3"/>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C1EEC"/>
    <w:rsid w:val="0005323A"/>
    <w:rsid w:val="001341EF"/>
    <w:rsid w:val="00195C90"/>
    <w:rsid w:val="001F0D70"/>
    <w:rsid w:val="00211CA0"/>
    <w:rsid w:val="00297E7B"/>
    <w:rsid w:val="002F7E74"/>
    <w:rsid w:val="00330646"/>
    <w:rsid w:val="003368AC"/>
    <w:rsid w:val="00371D15"/>
    <w:rsid w:val="00375C4D"/>
    <w:rsid w:val="003A6F72"/>
    <w:rsid w:val="00420554"/>
    <w:rsid w:val="00426099"/>
    <w:rsid w:val="004C2C79"/>
    <w:rsid w:val="004F7D7C"/>
    <w:rsid w:val="0052214D"/>
    <w:rsid w:val="00527554"/>
    <w:rsid w:val="00574E94"/>
    <w:rsid w:val="005E5742"/>
    <w:rsid w:val="00602B9F"/>
    <w:rsid w:val="0062681D"/>
    <w:rsid w:val="00677690"/>
    <w:rsid w:val="00684248"/>
    <w:rsid w:val="006B2AC0"/>
    <w:rsid w:val="006D6375"/>
    <w:rsid w:val="00740FCB"/>
    <w:rsid w:val="0075319D"/>
    <w:rsid w:val="007A239F"/>
    <w:rsid w:val="007B192E"/>
    <w:rsid w:val="007C6793"/>
    <w:rsid w:val="00806C7C"/>
    <w:rsid w:val="00816BA4"/>
    <w:rsid w:val="00862FD3"/>
    <w:rsid w:val="008B7742"/>
    <w:rsid w:val="008E4253"/>
    <w:rsid w:val="008E4A5D"/>
    <w:rsid w:val="0093629C"/>
    <w:rsid w:val="00946505"/>
    <w:rsid w:val="00962FA5"/>
    <w:rsid w:val="00965119"/>
    <w:rsid w:val="009A58DD"/>
    <w:rsid w:val="009D13CB"/>
    <w:rsid w:val="00A066DA"/>
    <w:rsid w:val="00A16DBA"/>
    <w:rsid w:val="00A33904"/>
    <w:rsid w:val="00A811D7"/>
    <w:rsid w:val="00A930EF"/>
    <w:rsid w:val="00AC4A9F"/>
    <w:rsid w:val="00B554B7"/>
    <w:rsid w:val="00BE5621"/>
    <w:rsid w:val="00BE798D"/>
    <w:rsid w:val="00C315EF"/>
    <w:rsid w:val="00C42793"/>
    <w:rsid w:val="00C60045"/>
    <w:rsid w:val="00C85A3A"/>
    <w:rsid w:val="00CA1336"/>
    <w:rsid w:val="00CD608B"/>
    <w:rsid w:val="00CD7A6B"/>
    <w:rsid w:val="00D1501C"/>
    <w:rsid w:val="00D35F89"/>
    <w:rsid w:val="00D60206"/>
    <w:rsid w:val="00D73ABE"/>
    <w:rsid w:val="00D847DD"/>
    <w:rsid w:val="00D85431"/>
    <w:rsid w:val="00DC1EEC"/>
    <w:rsid w:val="00DD3AFC"/>
    <w:rsid w:val="00DE0533"/>
    <w:rsid w:val="00DE2817"/>
    <w:rsid w:val="00E510E7"/>
    <w:rsid w:val="00E70BC5"/>
    <w:rsid w:val="00E76259"/>
    <w:rsid w:val="00E76FE8"/>
    <w:rsid w:val="00E84B6B"/>
    <w:rsid w:val="00E93C00"/>
    <w:rsid w:val="00EB3ADB"/>
    <w:rsid w:val="00ED768A"/>
    <w:rsid w:val="00F3670A"/>
    <w:rsid w:val="00F546BD"/>
    <w:rsid w:val="00F64F60"/>
    <w:rsid w:val="00F90BDE"/>
    <w:rsid w:val="00F947B5"/>
    <w:rsid w:val="00FA66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3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51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65119"/>
  </w:style>
  <w:style w:type="paragraph" w:styleId="Footer">
    <w:name w:val="footer"/>
    <w:basedOn w:val="Normal"/>
    <w:link w:val="FooterChar"/>
    <w:uiPriority w:val="99"/>
    <w:unhideWhenUsed/>
    <w:rsid w:val="00965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119"/>
  </w:style>
  <w:style w:type="paragraph" w:styleId="ListParagraph">
    <w:name w:val="List Paragraph"/>
    <w:basedOn w:val="Normal"/>
    <w:uiPriority w:val="34"/>
    <w:qFormat/>
    <w:rsid w:val="00965119"/>
    <w:pPr>
      <w:ind w:left="720"/>
      <w:contextualSpacing/>
    </w:pPr>
  </w:style>
  <w:style w:type="character" w:styleId="CommentReference">
    <w:name w:val="annotation reference"/>
    <w:basedOn w:val="DefaultParagraphFont"/>
    <w:uiPriority w:val="99"/>
    <w:semiHidden/>
    <w:unhideWhenUsed/>
    <w:rsid w:val="00862FD3"/>
    <w:rPr>
      <w:sz w:val="16"/>
      <w:szCs w:val="16"/>
    </w:rPr>
  </w:style>
  <w:style w:type="paragraph" w:styleId="CommentText">
    <w:name w:val="annotation text"/>
    <w:basedOn w:val="Normal"/>
    <w:link w:val="CommentTextChar"/>
    <w:uiPriority w:val="99"/>
    <w:semiHidden/>
    <w:unhideWhenUsed/>
    <w:rsid w:val="00862FD3"/>
    <w:pPr>
      <w:spacing w:line="240" w:lineRule="auto"/>
    </w:pPr>
    <w:rPr>
      <w:sz w:val="20"/>
      <w:szCs w:val="20"/>
    </w:rPr>
  </w:style>
  <w:style w:type="character" w:customStyle="1" w:styleId="CommentTextChar">
    <w:name w:val="Comment Text Char"/>
    <w:basedOn w:val="DefaultParagraphFont"/>
    <w:link w:val="CommentText"/>
    <w:uiPriority w:val="99"/>
    <w:semiHidden/>
    <w:rsid w:val="00862FD3"/>
    <w:rPr>
      <w:sz w:val="20"/>
      <w:szCs w:val="20"/>
    </w:rPr>
  </w:style>
  <w:style w:type="paragraph" w:styleId="CommentSubject">
    <w:name w:val="annotation subject"/>
    <w:basedOn w:val="CommentText"/>
    <w:next w:val="CommentText"/>
    <w:link w:val="CommentSubjectChar"/>
    <w:uiPriority w:val="99"/>
    <w:semiHidden/>
    <w:unhideWhenUsed/>
    <w:rsid w:val="00862FD3"/>
    <w:rPr>
      <w:b/>
      <w:bCs/>
    </w:rPr>
  </w:style>
  <w:style w:type="character" w:customStyle="1" w:styleId="CommentSubjectChar">
    <w:name w:val="Comment Subject Char"/>
    <w:basedOn w:val="CommentTextChar"/>
    <w:link w:val="CommentSubject"/>
    <w:uiPriority w:val="99"/>
    <w:semiHidden/>
    <w:rsid w:val="00862FD3"/>
    <w:rPr>
      <w:b/>
      <w:bCs/>
    </w:rPr>
  </w:style>
  <w:style w:type="paragraph" w:styleId="BalloonText">
    <w:name w:val="Balloon Text"/>
    <w:basedOn w:val="Normal"/>
    <w:link w:val="BalloonTextChar"/>
    <w:uiPriority w:val="99"/>
    <w:semiHidden/>
    <w:unhideWhenUsed/>
    <w:rsid w:val="00862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FD3"/>
    <w:rPr>
      <w:rFonts w:ascii="Tahoma" w:hAnsi="Tahoma" w:cs="Tahoma"/>
      <w:sz w:val="16"/>
      <w:szCs w:val="16"/>
    </w:rPr>
  </w:style>
  <w:style w:type="paragraph" w:styleId="FootnoteText">
    <w:name w:val="footnote text"/>
    <w:basedOn w:val="Normal"/>
    <w:link w:val="FootnoteTextChar"/>
    <w:uiPriority w:val="99"/>
    <w:semiHidden/>
    <w:unhideWhenUsed/>
    <w:rsid w:val="00B554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4B7"/>
    <w:rPr>
      <w:sz w:val="20"/>
      <w:szCs w:val="20"/>
    </w:rPr>
  </w:style>
  <w:style w:type="character" w:styleId="FootnoteReference">
    <w:name w:val="footnote reference"/>
    <w:basedOn w:val="DefaultParagraphFont"/>
    <w:uiPriority w:val="99"/>
    <w:semiHidden/>
    <w:unhideWhenUsed/>
    <w:rsid w:val="00B554B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D80B2-2DEA-4B5E-BC35-FF1EBE32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7</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Petya Kindalova</dc:creator>
  <cp:keywords/>
  <dc:description/>
  <cp:lastModifiedBy>Petya Kindalova</cp:lastModifiedBy>
  <cp:revision>45</cp:revision>
  <dcterms:created xsi:type="dcterms:W3CDTF">2015-01-05T09:51:00Z</dcterms:created>
  <dcterms:modified xsi:type="dcterms:W3CDTF">2015-01-09T15:57:00Z</dcterms:modified>
</cp:coreProperties>
</file>