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40B" w:rsidRPr="00D7789B" w:rsidRDefault="005B240B" w:rsidP="005052BE">
      <w:pPr>
        <w:spacing w:after="0"/>
        <w:jc w:val="both"/>
        <w:rPr>
          <w:rFonts w:ascii="Arial" w:hAnsi="Arial" w:cs="Arial"/>
          <w:b/>
        </w:rPr>
      </w:pPr>
      <w:r w:rsidRPr="00D7789B">
        <w:rPr>
          <w:rFonts w:ascii="Arial" w:hAnsi="Arial" w:cs="Arial"/>
          <w:b/>
        </w:rPr>
        <w:t>TAGRA ACUTE MLC SUBGROUP</w:t>
      </w:r>
      <w:r w:rsidRPr="00D7789B">
        <w:rPr>
          <w:rFonts w:ascii="Arial" w:hAnsi="Arial" w:cs="Arial"/>
          <w:b/>
        </w:rPr>
        <w:tab/>
      </w:r>
      <w:r w:rsidRPr="00D7789B">
        <w:rPr>
          <w:rFonts w:ascii="Arial" w:hAnsi="Arial" w:cs="Arial"/>
          <w:b/>
        </w:rPr>
        <w:tab/>
      </w:r>
      <w:r w:rsidRPr="00D7789B">
        <w:rPr>
          <w:rFonts w:ascii="Arial" w:hAnsi="Arial" w:cs="Arial"/>
          <w:b/>
        </w:rPr>
        <w:tab/>
      </w:r>
      <w:r w:rsidR="00184A35">
        <w:rPr>
          <w:rFonts w:ascii="Arial" w:hAnsi="Arial" w:cs="Arial"/>
          <w:b/>
        </w:rPr>
        <w:tab/>
      </w:r>
      <w:r w:rsidRPr="00D7789B">
        <w:rPr>
          <w:rFonts w:ascii="Arial" w:hAnsi="Arial" w:cs="Arial"/>
          <w:b/>
        </w:rPr>
        <w:t xml:space="preserve">Wednesday </w:t>
      </w:r>
      <w:r w:rsidR="00772C10">
        <w:rPr>
          <w:rFonts w:ascii="Arial" w:hAnsi="Arial" w:cs="Arial"/>
          <w:b/>
        </w:rPr>
        <w:t>14</w:t>
      </w:r>
      <w:r>
        <w:rPr>
          <w:rFonts w:ascii="Arial" w:hAnsi="Arial" w:cs="Arial"/>
          <w:b/>
        </w:rPr>
        <w:t>th January 2015</w:t>
      </w:r>
    </w:p>
    <w:p w:rsidR="009009ED" w:rsidRDefault="009009ED" w:rsidP="005052BE">
      <w:pPr>
        <w:spacing w:after="0"/>
        <w:jc w:val="both"/>
        <w:rPr>
          <w:rFonts w:ascii="Arial" w:hAnsi="Arial" w:cs="Arial"/>
          <w:b/>
        </w:rPr>
      </w:pPr>
    </w:p>
    <w:p w:rsidR="00193EA9" w:rsidRPr="00844428" w:rsidRDefault="005B240B" w:rsidP="00844428">
      <w:pPr>
        <w:spacing w:after="0"/>
        <w:jc w:val="both"/>
        <w:rPr>
          <w:rFonts w:ascii="Arial" w:hAnsi="Arial" w:cs="Arial"/>
          <w:b/>
        </w:rPr>
      </w:pPr>
      <w:r w:rsidRPr="00D7789B">
        <w:rPr>
          <w:rFonts w:ascii="Arial" w:hAnsi="Arial" w:cs="Arial"/>
          <w:b/>
        </w:rPr>
        <w:t>POTENTIAL CANDIDATE VARIABLES</w:t>
      </w:r>
      <w:r w:rsidR="009009ED">
        <w:rPr>
          <w:rFonts w:ascii="Arial" w:hAnsi="Arial" w:cs="Arial"/>
          <w:b/>
        </w:rPr>
        <w:t xml:space="preserve"> – Issues around </w:t>
      </w:r>
      <w:r w:rsidR="00CA4658">
        <w:rPr>
          <w:rFonts w:ascii="Arial" w:hAnsi="Arial" w:cs="Arial"/>
          <w:b/>
        </w:rPr>
        <w:t>SIMD and Redrawn Data Zones</w:t>
      </w:r>
      <w:r w:rsidR="00044B7E">
        <w:rPr>
          <w:rFonts w:ascii="Arial" w:hAnsi="Arial" w:cs="Arial"/>
          <w:b/>
        </w:rPr>
        <w:t xml:space="preserve"> </w:t>
      </w:r>
    </w:p>
    <w:p w:rsidR="006D1575" w:rsidRDefault="006D1575" w:rsidP="005052BE">
      <w:pPr>
        <w:jc w:val="both"/>
      </w:pPr>
    </w:p>
    <w:p w:rsidR="006D1575" w:rsidRDefault="006D1575" w:rsidP="00184A35">
      <w:pPr>
        <w:spacing w:after="0"/>
        <w:jc w:val="both"/>
        <w:rPr>
          <w:rFonts w:ascii="Arial" w:hAnsi="Arial" w:cs="Arial"/>
          <w:b/>
          <w:i/>
        </w:rPr>
      </w:pPr>
      <w:r w:rsidRPr="006D1575">
        <w:rPr>
          <w:rFonts w:ascii="Arial" w:hAnsi="Arial" w:cs="Arial"/>
          <w:b/>
          <w:i/>
        </w:rPr>
        <w:t>Background</w:t>
      </w:r>
    </w:p>
    <w:p w:rsidR="006D1575" w:rsidRDefault="006D1575" w:rsidP="00184A35">
      <w:pPr>
        <w:spacing w:after="0"/>
        <w:jc w:val="both"/>
        <w:rPr>
          <w:rFonts w:ascii="Arial" w:hAnsi="Arial" w:cs="Arial"/>
        </w:rPr>
      </w:pPr>
    </w:p>
    <w:p w:rsidR="007D2D53" w:rsidRPr="00F96236" w:rsidRDefault="007D2D53" w:rsidP="007D2D53">
      <w:pPr>
        <w:jc w:val="both"/>
        <w:rPr>
          <w:rFonts w:ascii="Arial" w:hAnsi="Arial" w:cs="Arial"/>
        </w:rPr>
      </w:pPr>
      <w:r w:rsidRPr="00F96236">
        <w:rPr>
          <w:rFonts w:ascii="Arial" w:hAnsi="Arial" w:cs="Arial"/>
        </w:rPr>
        <w:t>The</w:t>
      </w:r>
      <w:r>
        <w:rPr>
          <w:rFonts w:ascii="Arial" w:hAnsi="Arial" w:cs="Arial"/>
        </w:rPr>
        <w:t xml:space="preserve"> morbidity and life circumstances</w:t>
      </w:r>
      <w:r w:rsidRPr="00F96236">
        <w:rPr>
          <w:rFonts w:ascii="Arial" w:hAnsi="Arial" w:cs="Arial"/>
        </w:rPr>
        <w:t xml:space="preserve"> adjustment is calculated by looking for the factors that best explain the variation in actual costs of healthcare </w:t>
      </w:r>
      <w:r>
        <w:rPr>
          <w:rFonts w:ascii="Arial" w:hAnsi="Arial" w:cs="Arial"/>
        </w:rPr>
        <w:t>between</w:t>
      </w:r>
      <w:r w:rsidRPr="00F96236">
        <w:rPr>
          <w:rFonts w:ascii="Arial" w:hAnsi="Arial" w:cs="Arial"/>
        </w:rPr>
        <w:t xml:space="preserve"> small areas for each care programme</w:t>
      </w:r>
      <w:r>
        <w:rPr>
          <w:rFonts w:ascii="Arial" w:hAnsi="Arial" w:cs="Arial"/>
        </w:rPr>
        <w:t>,</w:t>
      </w:r>
      <w:r w:rsidRPr="00F96236">
        <w:rPr>
          <w:rFonts w:ascii="Arial" w:hAnsi="Arial" w:cs="Arial"/>
        </w:rPr>
        <w:t xml:space="preserve"> using statistical regression analysis. The utilisation of healthcare is represented by the ratio of actual costs (taking into account activity type and length of stay in that specific neighbourhood) to the expected costs (based on the neighbourhood’s population and national age/sex </w:t>
      </w:r>
      <w:r>
        <w:rPr>
          <w:rFonts w:ascii="Arial" w:hAnsi="Arial" w:cs="Arial"/>
        </w:rPr>
        <w:t>average</w:t>
      </w:r>
      <w:r w:rsidRPr="00F96236">
        <w:rPr>
          <w:rFonts w:ascii="Arial" w:hAnsi="Arial" w:cs="Arial"/>
        </w:rPr>
        <w:t xml:space="preserve"> cost per head) and the analysis looks for the indicators which best predict this cost ratio</w:t>
      </w:r>
      <w:r>
        <w:rPr>
          <w:rFonts w:ascii="Arial" w:hAnsi="Arial" w:cs="Arial"/>
        </w:rPr>
        <w:t>, across small areas,</w:t>
      </w:r>
      <w:r w:rsidRPr="00F96236">
        <w:rPr>
          <w:rFonts w:ascii="Arial" w:hAnsi="Arial" w:cs="Arial"/>
        </w:rPr>
        <w:t xml:space="preserve"> in a regression analysis. </w:t>
      </w:r>
    </w:p>
    <w:p w:rsidR="006D1575" w:rsidRPr="006D1575" w:rsidRDefault="006D1575" w:rsidP="00184A35">
      <w:pPr>
        <w:spacing w:after="0"/>
        <w:jc w:val="both"/>
        <w:rPr>
          <w:rFonts w:ascii="Arial" w:hAnsi="Arial" w:cs="Arial"/>
        </w:rPr>
      </w:pPr>
      <w:r w:rsidRPr="00D7789B">
        <w:rPr>
          <w:rFonts w:ascii="Arial" w:hAnsi="Arial" w:cs="Arial"/>
        </w:rPr>
        <w:t xml:space="preserve">An important part of updating the existing MLC adjustment for the acute diagnostic groups </w:t>
      </w:r>
      <w:r w:rsidR="007D2D53">
        <w:rPr>
          <w:rFonts w:ascii="Arial" w:hAnsi="Arial" w:cs="Arial"/>
        </w:rPr>
        <w:t xml:space="preserve">is </w:t>
      </w:r>
      <w:r w:rsidRPr="00D7789B">
        <w:rPr>
          <w:rFonts w:ascii="Arial" w:hAnsi="Arial" w:cs="Arial"/>
        </w:rPr>
        <w:t>the choice of indicators</w:t>
      </w:r>
      <w:r w:rsidR="007D2D53">
        <w:rPr>
          <w:rFonts w:ascii="Arial" w:hAnsi="Arial" w:cs="Arial"/>
        </w:rPr>
        <w:t xml:space="preserve">. </w:t>
      </w:r>
      <w:r w:rsidRPr="00D7789B">
        <w:rPr>
          <w:rFonts w:ascii="Arial" w:hAnsi="Arial" w:cs="Arial"/>
        </w:rPr>
        <w:t xml:space="preserve">The </w:t>
      </w:r>
      <w:r>
        <w:rPr>
          <w:rFonts w:ascii="Arial" w:hAnsi="Arial" w:cs="Arial"/>
        </w:rPr>
        <w:t>TAGRA core criteria of ‘Transparency’ and ‘Face Validity’ imply that we</w:t>
      </w:r>
      <w:r w:rsidRPr="00D7789B">
        <w:rPr>
          <w:rFonts w:ascii="Arial" w:hAnsi="Arial" w:cs="Arial"/>
        </w:rPr>
        <w:t xml:space="preserve"> </w:t>
      </w:r>
      <w:r>
        <w:rPr>
          <w:rFonts w:ascii="Arial" w:hAnsi="Arial" w:cs="Arial"/>
        </w:rPr>
        <w:t xml:space="preserve">consider </w:t>
      </w:r>
      <w:r w:rsidRPr="00D7789B">
        <w:rPr>
          <w:rFonts w:ascii="Arial" w:hAnsi="Arial" w:cs="Arial"/>
        </w:rPr>
        <w:t xml:space="preserve">and select </w:t>
      </w:r>
      <w:r>
        <w:rPr>
          <w:rFonts w:ascii="Arial" w:hAnsi="Arial" w:cs="Arial"/>
        </w:rPr>
        <w:t>only</w:t>
      </w:r>
      <w:r w:rsidRPr="00D7789B">
        <w:rPr>
          <w:rFonts w:ascii="Arial" w:hAnsi="Arial" w:cs="Arial"/>
        </w:rPr>
        <w:t xml:space="preserve"> indicators which have a theoretical link to acute health need, rather than to undertake a data mining exercise to identify indicators which may not be clearly connected to acute health but which perform well in a statistical sense in a cross-sectional analysis.</w:t>
      </w:r>
      <w:r w:rsidR="007D2D53">
        <w:rPr>
          <w:rFonts w:ascii="Arial" w:hAnsi="Arial" w:cs="Arial"/>
        </w:rPr>
        <w:t xml:space="preserve"> </w:t>
      </w:r>
      <w:r>
        <w:rPr>
          <w:rFonts w:ascii="Arial" w:hAnsi="Arial" w:cs="Arial"/>
        </w:rPr>
        <w:t>An extremely detailed paper of Potential Candidate Variables was presented to the Acute MLC subgroup on 12</w:t>
      </w:r>
      <w:r w:rsidRPr="00633D94">
        <w:rPr>
          <w:rFonts w:ascii="Arial" w:hAnsi="Arial" w:cs="Arial"/>
          <w:vertAlign w:val="superscript"/>
        </w:rPr>
        <w:t>th</w:t>
      </w:r>
      <w:r>
        <w:rPr>
          <w:rFonts w:ascii="Arial" w:hAnsi="Arial" w:cs="Arial"/>
        </w:rPr>
        <w:t xml:space="preserve"> March 2014 (paper TAMLC03) and a revisited version was presented on 14</w:t>
      </w:r>
      <w:r w:rsidRPr="006D1575">
        <w:rPr>
          <w:rFonts w:ascii="Arial" w:hAnsi="Arial" w:cs="Arial"/>
          <w:vertAlign w:val="superscript"/>
        </w:rPr>
        <w:t>th</w:t>
      </w:r>
      <w:r>
        <w:rPr>
          <w:rFonts w:ascii="Arial" w:hAnsi="Arial" w:cs="Arial"/>
        </w:rPr>
        <w:t xml:space="preserve"> May 2014</w:t>
      </w:r>
      <w:r w:rsidR="00A257F5">
        <w:rPr>
          <w:rFonts w:ascii="Arial" w:hAnsi="Arial" w:cs="Arial"/>
        </w:rPr>
        <w:t xml:space="preserve"> (paper TAMLC09)</w:t>
      </w:r>
      <w:r>
        <w:rPr>
          <w:rFonts w:ascii="Arial" w:hAnsi="Arial" w:cs="Arial"/>
        </w:rPr>
        <w:t xml:space="preserve">. </w:t>
      </w:r>
      <w:r w:rsidR="007D2D53">
        <w:rPr>
          <w:rFonts w:ascii="Arial" w:hAnsi="Arial" w:cs="Arial"/>
        </w:rPr>
        <w:t xml:space="preserve">This </w:t>
      </w:r>
      <w:r w:rsidR="00DE1760">
        <w:rPr>
          <w:rFonts w:ascii="Arial" w:hAnsi="Arial" w:cs="Arial"/>
        </w:rPr>
        <w:t>paper provides the latest update of the</w:t>
      </w:r>
      <w:r w:rsidR="00DE1760" w:rsidRPr="00D7789B">
        <w:rPr>
          <w:rFonts w:ascii="Arial" w:hAnsi="Arial" w:cs="Arial"/>
        </w:rPr>
        <w:t xml:space="preserve"> information</w:t>
      </w:r>
      <w:r w:rsidR="00DE1760">
        <w:rPr>
          <w:rFonts w:ascii="Arial" w:hAnsi="Arial" w:cs="Arial"/>
        </w:rPr>
        <w:t xml:space="preserve"> available</w:t>
      </w:r>
      <w:r w:rsidR="00DE1760" w:rsidRPr="00D7789B">
        <w:rPr>
          <w:rFonts w:ascii="Arial" w:hAnsi="Arial" w:cs="Arial"/>
        </w:rPr>
        <w:t xml:space="preserve"> </w:t>
      </w:r>
      <w:r w:rsidR="00DE1760">
        <w:rPr>
          <w:rFonts w:ascii="Arial" w:hAnsi="Arial" w:cs="Arial"/>
        </w:rPr>
        <w:t xml:space="preserve">on </w:t>
      </w:r>
      <w:r w:rsidR="00DE1760" w:rsidRPr="00D7789B">
        <w:rPr>
          <w:rFonts w:ascii="Arial" w:hAnsi="Arial" w:cs="Arial"/>
        </w:rPr>
        <w:t xml:space="preserve">indicators to improve the Acute Morbidity and Life Circumstances (MLC) part of the NRAC formula.  </w:t>
      </w:r>
      <w:r w:rsidR="00DE1760">
        <w:rPr>
          <w:rFonts w:ascii="Arial" w:hAnsi="Arial" w:cs="Arial"/>
        </w:rPr>
        <w:t xml:space="preserve"> </w:t>
      </w:r>
    </w:p>
    <w:p w:rsidR="006D1575" w:rsidRDefault="006D1575" w:rsidP="00184A35">
      <w:pPr>
        <w:spacing w:after="0"/>
        <w:jc w:val="both"/>
        <w:rPr>
          <w:rFonts w:ascii="Arial" w:hAnsi="Arial" w:cs="Arial"/>
        </w:rPr>
      </w:pPr>
    </w:p>
    <w:p w:rsidR="00BC7F28" w:rsidRDefault="00BC7F28" w:rsidP="00184A35">
      <w:pPr>
        <w:spacing w:after="0"/>
        <w:jc w:val="both"/>
        <w:rPr>
          <w:rFonts w:ascii="Arial" w:hAnsi="Arial" w:cs="Arial"/>
        </w:rPr>
      </w:pPr>
    </w:p>
    <w:p w:rsidR="005B240B" w:rsidRPr="00184A35" w:rsidRDefault="00184A35" w:rsidP="00184A35">
      <w:pPr>
        <w:spacing w:after="0"/>
        <w:jc w:val="both"/>
        <w:rPr>
          <w:rFonts w:ascii="Arial" w:hAnsi="Arial" w:cs="Arial"/>
          <w:b/>
          <w:i/>
        </w:rPr>
      </w:pPr>
      <w:r w:rsidRPr="00184A35">
        <w:rPr>
          <w:rFonts w:ascii="Arial" w:hAnsi="Arial" w:cs="Arial"/>
          <w:b/>
          <w:i/>
        </w:rPr>
        <w:t>1.</w:t>
      </w:r>
      <w:r>
        <w:rPr>
          <w:rFonts w:ascii="Arial" w:hAnsi="Arial" w:cs="Arial"/>
          <w:b/>
          <w:i/>
        </w:rPr>
        <w:t xml:space="preserve"> </w:t>
      </w:r>
      <w:r w:rsidR="006D1575">
        <w:rPr>
          <w:rFonts w:ascii="Arial" w:hAnsi="Arial" w:cs="Arial"/>
          <w:b/>
          <w:i/>
        </w:rPr>
        <w:t>Summary</w:t>
      </w:r>
    </w:p>
    <w:p w:rsidR="005B240B" w:rsidRDefault="005B240B" w:rsidP="005052BE">
      <w:pPr>
        <w:spacing w:after="0"/>
        <w:jc w:val="both"/>
        <w:rPr>
          <w:rFonts w:ascii="Arial" w:hAnsi="Arial" w:cs="Arial"/>
          <w:b/>
          <w:i/>
        </w:rPr>
      </w:pPr>
    </w:p>
    <w:p w:rsidR="003C08F4" w:rsidRDefault="009009ED" w:rsidP="009009ED">
      <w:pPr>
        <w:pStyle w:val="ListParagraph"/>
        <w:spacing w:after="0"/>
        <w:ind w:left="0"/>
        <w:jc w:val="both"/>
        <w:rPr>
          <w:rFonts w:ascii="Arial" w:hAnsi="Arial" w:cs="Arial"/>
        </w:rPr>
      </w:pPr>
      <w:r>
        <w:rPr>
          <w:rFonts w:ascii="Arial" w:hAnsi="Arial" w:cs="Arial"/>
        </w:rPr>
        <w:t>On 6</w:t>
      </w:r>
      <w:r w:rsidRPr="000277ED">
        <w:rPr>
          <w:rFonts w:ascii="Arial" w:hAnsi="Arial" w:cs="Arial"/>
          <w:vertAlign w:val="superscript"/>
        </w:rPr>
        <w:t>th</w:t>
      </w:r>
      <w:r>
        <w:rPr>
          <w:rFonts w:ascii="Arial" w:hAnsi="Arial" w:cs="Arial"/>
        </w:rPr>
        <w:t xml:space="preserve"> November 2014, the Scottish Government released the redrawn Data Zones and </w:t>
      </w:r>
      <w:r w:rsidR="00335952">
        <w:rPr>
          <w:rFonts w:ascii="Arial" w:hAnsi="Arial" w:cs="Arial"/>
        </w:rPr>
        <w:t>Intermediate Zones boundaries. T</w:t>
      </w:r>
      <w:r>
        <w:rPr>
          <w:rFonts w:ascii="Arial" w:hAnsi="Arial" w:cs="Arial"/>
        </w:rPr>
        <w:t xml:space="preserve">he Scottish Index of Multiple Deprivation (SIMD) 2012 domains </w:t>
      </w:r>
      <w:r w:rsidR="00514A83">
        <w:rPr>
          <w:rFonts w:ascii="Arial" w:hAnsi="Arial" w:cs="Arial"/>
        </w:rPr>
        <w:t>represent a substantial number of</w:t>
      </w:r>
      <w:r>
        <w:rPr>
          <w:rFonts w:ascii="Arial" w:hAnsi="Arial" w:cs="Arial"/>
        </w:rPr>
        <w:t xml:space="preserve"> the potential indicators and it has been confirmed by the Scottish Government SIMD team that SIMD 2012 will not be recalculated based on the  redrawn Data Zones.</w:t>
      </w:r>
      <w:r w:rsidR="00335952">
        <w:rPr>
          <w:rFonts w:ascii="Arial" w:hAnsi="Arial" w:cs="Arial"/>
        </w:rPr>
        <w:t xml:space="preserve"> </w:t>
      </w:r>
      <w:r w:rsidR="003C08F4">
        <w:rPr>
          <w:rFonts w:ascii="Arial" w:hAnsi="Arial" w:cs="Arial"/>
        </w:rPr>
        <w:t xml:space="preserve">The next update of SIMD in 2016 will be based on the new Data Zones. </w:t>
      </w:r>
    </w:p>
    <w:p w:rsidR="003C08F4" w:rsidRDefault="003C08F4" w:rsidP="009009ED">
      <w:pPr>
        <w:pStyle w:val="ListParagraph"/>
        <w:spacing w:after="0"/>
        <w:ind w:left="0"/>
        <w:jc w:val="both"/>
        <w:rPr>
          <w:rFonts w:ascii="Arial" w:hAnsi="Arial" w:cs="Arial"/>
        </w:rPr>
      </w:pPr>
    </w:p>
    <w:p w:rsidR="009009ED" w:rsidRDefault="00335952" w:rsidP="009009ED">
      <w:pPr>
        <w:pStyle w:val="ListParagraph"/>
        <w:spacing w:after="0"/>
        <w:ind w:left="0"/>
        <w:jc w:val="both"/>
        <w:rPr>
          <w:rFonts w:ascii="Arial" w:hAnsi="Arial" w:cs="Arial"/>
        </w:rPr>
      </w:pPr>
      <w:r>
        <w:rPr>
          <w:rFonts w:ascii="Arial" w:hAnsi="Arial" w:cs="Arial"/>
        </w:rPr>
        <w:t>Another issue arising from the redrawn geographies is that the m</w:t>
      </w:r>
      <w:r w:rsidR="00E665CF">
        <w:rPr>
          <w:rFonts w:ascii="Arial" w:hAnsi="Arial" w:cs="Arial"/>
        </w:rPr>
        <w:t xml:space="preserve">id-year population estimates at the redrawn Data Zones will </w:t>
      </w:r>
      <w:r w:rsidR="00340DDE">
        <w:rPr>
          <w:rFonts w:ascii="Arial" w:hAnsi="Arial" w:cs="Arial"/>
        </w:rPr>
        <w:t xml:space="preserve">not </w:t>
      </w:r>
      <w:r w:rsidR="00E665CF">
        <w:rPr>
          <w:rFonts w:ascii="Arial" w:hAnsi="Arial" w:cs="Arial"/>
        </w:rPr>
        <w:t xml:space="preserve">be available </w:t>
      </w:r>
      <w:r w:rsidR="00340DDE">
        <w:rPr>
          <w:rFonts w:ascii="Arial" w:hAnsi="Arial" w:cs="Arial"/>
        </w:rPr>
        <w:t>until</w:t>
      </w:r>
      <w:r w:rsidR="00E665CF">
        <w:rPr>
          <w:rFonts w:ascii="Arial" w:hAnsi="Arial" w:cs="Arial"/>
        </w:rPr>
        <w:t xml:space="preserve"> August</w:t>
      </w:r>
      <w:r>
        <w:rPr>
          <w:rFonts w:ascii="Arial" w:hAnsi="Arial" w:cs="Arial"/>
        </w:rPr>
        <w:t xml:space="preserve"> 2015</w:t>
      </w:r>
      <w:r w:rsidR="00276B42">
        <w:rPr>
          <w:rFonts w:ascii="Arial" w:hAnsi="Arial" w:cs="Arial"/>
        </w:rPr>
        <w:t xml:space="preserve"> (2001-2014 </w:t>
      </w:r>
      <w:r w:rsidR="002B1469">
        <w:rPr>
          <w:rFonts w:ascii="Arial" w:hAnsi="Arial" w:cs="Arial"/>
        </w:rPr>
        <w:t xml:space="preserve">population </w:t>
      </w:r>
      <w:r w:rsidR="00276B42">
        <w:rPr>
          <w:rFonts w:ascii="Arial" w:hAnsi="Arial" w:cs="Arial"/>
        </w:rPr>
        <w:t>estimates)</w:t>
      </w:r>
      <w:r w:rsidR="00E665CF">
        <w:rPr>
          <w:rFonts w:ascii="Arial" w:hAnsi="Arial" w:cs="Arial"/>
        </w:rPr>
        <w:t xml:space="preserve"> </w:t>
      </w:r>
      <w:r w:rsidR="0049221E">
        <w:rPr>
          <w:rFonts w:ascii="Arial" w:hAnsi="Arial" w:cs="Arial"/>
        </w:rPr>
        <w:t xml:space="preserve">and mid-year population estimates at the old </w:t>
      </w:r>
      <w:r>
        <w:rPr>
          <w:rFonts w:ascii="Arial" w:hAnsi="Arial" w:cs="Arial"/>
        </w:rPr>
        <w:t xml:space="preserve">Data Zones may not be available from mid-2014 population estimates onwards. </w:t>
      </w:r>
      <w:r w:rsidR="00340DDE">
        <w:rPr>
          <w:rFonts w:ascii="Arial" w:hAnsi="Arial" w:cs="Arial"/>
        </w:rPr>
        <w:t xml:space="preserve">It has not yet been established when the </w:t>
      </w:r>
      <w:r>
        <w:rPr>
          <w:rFonts w:ascii="Arial" w:hAnsi="Arial" w:cs="Arial"/>
        </w:rPr>
        <w:t xml:space="preserve">redrawn Data Zones </w:t>
      </w:r>
      <w:r w:rsidR="00340DDE">
        <w:rPr>
          <w:rFonts w:ascii="Arial" w:hAnsi="Arial" w:cs="Arial"/>
        </w:rPr>
        <w:t xml:space="preserve">will </w:t>
      </w:r>
      <w:r w:rsidR="0081478D">
        <w:rPr>
          <w:rFonts w:ascii="Arial" w:hAnsi="Arial" w:cs="Arial"/>
        </w:rPr>
        <w:t>be incorporated</w:t>
      </w:r>
      <w:r w:rsidR="00340DDE">
        <w:rPr>
          <w:rFonts w:ascii="Arial" w:hAnsi="Arial" w:cs="Arial"/>
        </w:rPr>
        <w:t xml:space="preserve"> in</w:t>
      </w:r>
      <w:r w:rsidR="0081478D">
        <w:rPr>
          <w:rFonts w:ascii="Arial" w:hAnsi="Arial" w:cs="Arial"/>
        </w:rPr>
        <w:t>to</w:t>
      </w:r>
      <w:r w:rsidR="00340DDE">
        <w:rPr>
          <w:rFonts w:ascii="Arial" w:hAnsi="Arial" w:cs="Arial"/>
        </w:rPr>
        <w:t xml:space="preserve"> the NRAC formula. </w:t>
      </w:r>
      <w:r>
        <w:rPr>
          <w:rFonts w:ascii="Arial" w:hAnsi="Arial" w:cs="Arial"/>
        </w:rPr>
        <w:t xml:space="preserve">  </w:t>
      </w:r>
    </w:p>
    <w:p w:rsidR="00297266" w:rsidRDefault="00297266" w:rsidP="009009ED">
      <w:pPr>
        <w:pStyle w:val="ListParagraph"/>
        <w:spacing w:after="0"/>
        <w:ind w:left="0"/>
        <w:jc w:val="both"/>
        <w:rPr>
          <w:rFonts w:ascii="Arial" w:hAnsi="Arial" w:cs="Arial"/>
        </w:rPr>
      </w:pPr>
    </w:p>
    <w:p w:rsidR="009009ED" w:rsidRPr="002A5D16" w:rsidRDefault="009009ED" w:rsidP="00633D81">
      <w:pPr>
        <w:spacing w:after="0"/>
        <w:jc w:val="both"/>
        <w:rPr>
          <w:rFonts w:ascii="Arial" w:hAnsi="Arial" w:cs="Arial"/>
          <w:b/>
          <w:i/>
        </w:rPr>
      </w:pPr>
      <w:r>
        <w:rPr>
          <w:rFonts w:ascii="Arial" w:hAnsi="Arial" w:cs="Arial"/>
        </w:rPr>
        <w:t xml:space="preserve">This paper sets out the key issues relevant to the potential candidate variables and the redrawn Data Zones. Section 2 </w:t>
      </w:r>
      <w:r w:rsidR="003C08F4">
        <w:rPr>
          <w:rFonts w:ascii="Arial" w:hAnsi="Arial" w:cs="Arial"/>
        </w:rPr>
        <w:t>gives an overview of the consequences of the redrawing of Data Zones for the Acute MLC Review</w:t>
      </w:r>
      <w:r>
        <w:rPr>
          <w:rFonts w:ascii="Arial" w:hAnsi="Arial" w:cs="Arial"/>
        </w:rPr>
        <w:t>. Section 3 discusses the use of SIMD</w:t>
      </w:r>
      <w:r w:rsidR="003C08F4">
        <w:rPr>
          <w:rFonts w:ascii="Arial" w:hAnsi="Arial" w:cs="Arial"/>
        </w:rPr>
        <w:t>, noting the background of the discussion around it</w:t>
      </w:r>
      <w:r>
        <w:rPr>
          <w:rFonts w:ascii="Arial" w:hAnsi="Arial" w:cs="Arial"/>
        </w:rPr>
        <w:t xml:space="preserve"> in </w:t>
      </w:r>
      <w:r w:rsidR="003C08F4">
        <w:rPr>
          <w:rFonts w:ascii="Arial" w:hAnsi="Arial" w:cs="Arial"/>
        </w:rPr>
        <w:t xml:space="preserve">the </w:t>
      </w:r>
      <w:r w:rsidR="00A63F9B">
        <w:rPr>
          <w:rFonts w:ascii="Arial" w:hAnsi="Arial" w:cs="Arial"/>
        </w:rPr>
        <w:t xml:space="preserve">NRAC 2007 Review and in </w:t>
      </w:r>
      <w:r>
        <w:rPr>
          <w:rFonts w:ascii="Arial" w:hAnsi="Arial" w:cs="Arial"/>
        </w:rPr>
        <w:t>the Mental Health and L</w:t>
      </w:r>
      <w:r w:rsidR="00A63F9B">
        <w:rPr>
          <w:rFonts w:ascii="Arial" w:hAnsi="Arial" w:cs="Arial"/>
        </w:rPr>
        <w:t xml:space="preserve">earning Difficulties MLC </w:t>
      </w:r>
      <w:r w:rsidR="00844428">
        <w:rPr>
          <w:rFonts w:ascii="Arial" w:hAnsi="Arial" w:cs="Arial"/>
        </w:rPr>
        <w:t xml:space="preserve">2011-2012 </w:t>
      </w:r>
      <w:r w:rsidR="00A63F9B">
        <w:rPr>
          <w:rFonts w:ascii="Arial" w:hAnsi="Arial" w:cs="Arial"/>
        </w:rPr>
        <w:t xml:space="preserve">Review. </w:t>
      </w:r>
      <w:r w:rsidR="003C08F4">
        <w:rPr>
          <w:rFonts w:ascii="Arial" w:hAnsi="Arial" w:cs="Arial"/>
        </w:rPr>
        <w:t>Expected changes to SIMD in the 2016 revision are also outlined.</w:t>
      </w:r>
      <w:r>
        <w:rPr>
          <w:rFonts w:ascii="Arial" w:hAnsi="Arial" w:cs="Arial"/>
        </w:rPr>
        <w:t xml:space="preserve"> In Section 4, AST have attempted to outline options on the future </w:t>
      </w:r>
      <w:r>
        <w:rPr>
          <w:rFonts w:ascii="Arial" w:hAnsi="Arial" w:cs="Arial"/>
        </w:rPr>
        <w:lastRenderedPageBreak/>
        <w:t>work of the Acute MLC Review in light of the issue</w:t>
      </w:r>
      <w:r w:rsidR="00340DDE">
        <w:rPr>
          <w:rFonts w:ascii="Arial" w:hAnsi="Arial" w:cs="Arial"/>
        </w:rPr>
        <w:t xml:space="preserve">s surrounding </w:t>
      </w:r>
      <w:r w:rsidR="006F32E5">
        <w:rPr>
          <w:rFonts w:ascii="Arial" w:hAnsi="Arial" w:cs="Arial"/>
        </w:rPr>
        <w:t>t</w:t>
      </w:r>
      <w:r>
        <w:rPr>
          <w:rFonts w:ascii="Arial" w:hAnsi="Arial" w:cs="Arial"/>
        </w:rPr>
        <w:t xml:space="preserve">he redrawn Data Zones.  These options have also been comparatively evaluated against the TAGRA core criteria. </w:t>
      </w:r>
      <w:r w:rsidRPr="002A5D16">
        <w:rPr>
          <w:rFonts w:ascii="Arial" w:hAnsi="Arial" w:cs="Arial"/>
          <w:b/>
          <w:i/>
        </w:rPr>
        <w:t xml:space="preserve">The subgroup is asked to consider </w:t>
      </w:r>
      <w:r>
        <w:rPr>
          <w:rFonts w:ascii="Arial" w:hAnsi="Arial" w:cs="Arial"/>
          <w:b/>
          <w:i/>
        </w:rPr>
        <w:t>the issues outline</w:t>
      </w:r>
      <w:r w:rsidR="00340DDE">
        <w:rPr>
          <w:rFonts w:ascii="Arial" w:hAnsi="Arial" w:cs="Arial"/>
          <w:b/>
          <w:i/>
        </w:rPr>
        <w:t>d</w:t>
      </w:r>
      <w:r>
        <w:rPr>
          <w:rFonts w:ascii="Arial" w:hAnsi="Arial" w:cs="Arial"/>
          <w:b/>
          <w:i/>
        </w:rPr>
        <w:t xml:space="preserve"> and </w:t>
      </w:r>
      <w:r w:rsidR="0081478D">
        <w:rPr>
          <w:rFonts w:ascii="Arial" w:hAnsi="Arial" w:cs="Arial"/>
          <w:b/>
          <w:i/>
        </w:rPr>
        <w:t>agree on their preferred option</w:t>
      </w:r>
      <w:r w:rsidR="000F7229">
        <w:rPr>
          <w:rFonts w:ascii="Arial" w:hAnsi="Arial" w:cs="Arial"/>
          <w:b/>
          <w:i/>
        </w:rPr>
        <w:t xml:space="preserve"> in terms of the future analytical work in relation to the Acute MLC review</w:t>
      </w:r>
      <w:r>
        <w:rPr>
          <w:rFonts w:ascii="Arial" w:hAnsi="Arial" w:cs="Arial"/>
          <w:b/>
          <w:i/>
        </w:rPr>
        <w:t xml:space="preserve">. </w:t>
      </w:r>
      <w:r w:rsidRPr="002A5D16">
        <w:rPr>
          <w:rFonts w:ascii="Arial" w:hAnsi="Arial" w:cs="Arial"/>
          <w:b/>
          <w:i/>
        </w:rPr>
        <w:t xml:space="preserve"> </w:t>
      </w:r>
    </w:p>
    <w:p w:rsidR="009009ED" w:rsidRDefault="009009ED" w:rsidP="009009ED">
      <w:pPr>
        <w:pStyle w:val="ListParagraph"/>
        <w:spacing w:after="0"/>
        <w:ind w:left="0"/>
        <w:jc w:val="both"/>
        <w:rPr>
          <w:rFonts w:ascii="Arial" w:hAnsi="Arial" w:cs="Arial"/>
        </w:rPr>
      </w:pPr>
    </w:p>
    <w:p w:rsidR="009009ED" w:rsidRPr="0089737F" w:rsidRDefault="003C08F4" w:rsidP="009009ED">
      <w:pPr>
        <w:pStyle w:val="ListParagraph"/>
        <w:spacing w:after="0"/>
        <w:ind w:left="0"/>
        <w:jc w:val="both"/>
        <w:rPr>
          <w:rFonts w:ascii="Arial" w:hAnsi="Arial" w:cs="Arial"/>
          <w:i/>
        </w:rPr>
      </w:pPr>
      <w:r>
        <w:rPr>
          <w:rFonts w:ascii="Arial" w:hAnsi="Arial" w:cs="Arial"/>
        </w:rPr>
        <w:t xml:space="preserve">Finally, section 5 </w:t>
      </w:r>
      <w:r w:rsidR="009009ED">
        <w:rPr>
          <w:rFonts w:ascii="Arial" w:hAnsi="Arial" w:cs="Arial"/>
        </w:rPr>
        <w:t xml:space="preserve">includes information on additional suggested potential candidate variables discussed at previous Acute MLC subgroup meetings. An update on the progress of this is </w:t>
      </w:r>
      <w:r>
        <w:rPr>
          <w:rFonts w:ascii="Arial" w:hAnsi="Arial" w:cs="Arial"/>
        </w:rPr>
        <w:t>given</w:t>
      </w:r>
      <w:r w:rsidR="009009ED">
        <w:rPr>
          <w:rFonts w:ascii="Arial" w:hAnsi="Arial" w:cs="Arial"/>
        </w:rPr>
        <w:t xml:space="preserve">. </w:t>
      </w:r>
      <w:r w:rsidR="009009ED" w:rsidRPr="002A5D16">
        <w:rPr>
          <w:rFonts w:ascii="Arial" w:hAnsi="Arial" w:cs="Arial"/>
          <w:b/>
          <w:i/>
        </w:rPr>
        <w:t xml:space="preserve">The subgroup is asked to discuss which of the suggested variables </w:t>
      </w:r>
      <w:r w:rsidR="009009ED">
        <w:rPr>
          <w:rFonts w:ascii="Arial" w:hAnsi="Arial" w:cs="Arial"/>
          <w:b/>
          <w:i/>
        </w:rPr>
        <w:t xml:space="preserve">should be considered for </w:t>
      </w:r>
      <w:r w:rsidR="009009ED" w:rsidRPr="002A5D16">
        <w:rPr>
          <w:rFonts w:ascii="Arial" w:hAnsi="Arial" w:cs="Arial"/>
          <w:b/>
          <w:i/>
        </w:rPr>
        <w:t>further investigat</w:t>
      </w:r>
      <w:r w:rsidR="009009ED">
        <w:rPr>
          <w:rFonts w:ascii="Arial" w:hAnsi="Arial" w:cs="Arial"/>
          <w:b/>
          <w:i/>
        </w:rPr>
        <w:t>ion</w:t>
      </w:r>
      <w:r>
        <w:rPr>
          <w:rFonts w:ascii="Arial" w:hAnsi="Arial" w:cs="Arial"/>
          <w:i/>
        </w:rPr>
        <w:t>.</w:t>
      </w:r>
    </w:p>
    <w:p w:rsidR="005B240B" w:rsidRDefault="000277ED" w:rsidP="007C637A">
      <w:pPr>
        <w:pStyle w:val="ListParagraph"/>
        <w:spacing w:after="0"/>
        <w:ind w:left="0"/>
        <w:jc w:val="both"/>
        <w:rPr>
          <w:rFonts w:ascii="Arial" w:hAnsi="Arial" w:cs="Arial"/>
        </w:rPr>
      </w:pPr>
      <w:r>
        <w:rPr>
          <w:rFonts w:ascii="Arial" w:hAnsi="Arial" w:cs="Arial"/>
        </w:rPr>
        <w:t xml:space="preserve"> </w:t>
      </w:r>
      <w:r w:rsidR="005B240B" w:rsidRPr="00D7789B">
        <w:rPr>
          <w:rFonts w:ascii="Arial" w:hAnsi="Arial" w:cs="Arial"/>
        </w:rPr>
        <w:t xml:space="preserve">  </w:t>
      </w:r>
      <w:r w:rsidR="005B240B">
        <w:rPr>
          <w:rFonts w:ascii="Arial" w:hAnsi="Arial" w:cs="Arial"/>
        </w:rPr>
        <w:t xml:space="preserve"> </w:t>
      </w:r>
    </w:p>
    <w:p w:rsidR="007C637A" w:rsidRPr="007C637A" w:rsidRDefault="007C637A" w:rsidP="007C637A">
      <w:pPr>
        <w:pStyle w:val="ListParagraph"/>
        <w:spacing w:after="0"/>
        <w:ind w:left="0"/>
        <w:jc w:val="both"/>
        <w:rPr>
          <w:rFonts w:ascii="Arial" w:hAnsi="Arial" w:cs="Arial"/>
        </w:rPr>
      </w:pPr>
    </w:p>
    <w:p w:rsidR="005B240B" w:rsidRDefault="00553F4C" w:rsidP="005052BE">
      <w:pPr>
        <w:spacing w:after="0"/>
        <w:jc w:val="both"/>
        <w:rPr>
          <w:rFonts w:ascii="Arial" w:hAnsi="Arial" w:cs="Arial"/>
          <w:b/>
          <w:i/>
        </w:rPr>
      </w:pPr>
      <w:r>
        <w:rPr>
          <w:rFonts w:ascii="Arial" w:hAnsi="Arial" w:cs="Arial"/>
          <w:b/>
          <w:i/>
        </w:rPr>
        <w:t>2</w:t>
      </w:r>
      <w:r w:rsidR="002E09FD">
        <w:rPr>
          <w:rFonts w:ascii="Arial" w:hAnsi="Arial" w:cs="Arial"/>
          <w:b/>
          <w:i/>
        </w:rPr>
        <w:t>. New</w:t>
      </w:r>
      <w:r w:rsidR="005B240B">
        <w:rPr>
          <w:rFonts w:ascii="Arial" w:hAnsi="Arial" w:cs="Arial"/>
          <w:b/>
          <w:i/>
        </w:rPr>
        <w:t xml:space="preserve"> Data Zones Release</w:t>
      </w:r>
    </w:p>
    <w:p w:rsidR="002E09FD" w:rsidRDefault="002E09FD" w:rsidP="005052BE">
      <w:pPr>
        <w:spacing w:after="0"/>
        <w:jc w:val="both"/>
        <w:rPr>
          <w:rFonts w:ascii="Arial" w:hAnsi="Arial" w:cs="Arial"/>
          <w:b/>
          <w:i/>
        </w:rPr>
      </w:pPr>
    </w:p>
    <w:p w:rsidR="003C08F4" w:rsidRDefault="002E09FD" w:rsidP="005052BE">
      <w:pPr>
        <w:spacing w:after="0"/>
        <w:jc w:val="both"/>
        <w:rPr>
          <w:rFonts w:ascii="Arial" w:hAnsi="Arial" w:cs="Arial"/>
        </w:rPr>
      </w:pPr>
      <w:r>
        <w:rPr>
          <w:rFonts w:ascii="Arial" w:hAnsi="Arial" w:cs="Arial"/>
        </w:rPr>
        <w:t>On 6</w:t>
      </w:r>
      <w:r w:rsidRPr="000277ED">
        <w:rPr>
          <w:rFonts w:ascii="Arial" w:hAnsi="Arial" w:cs="Arial"/>
          <w:vertAlign w:val="superscript"/>
        </w:rPr>
        <w:t>th</w:t>
      </w:r>
      <w:r>
        <w:rPr>
          <w:rFonts w:ascii="Arial" w:hAnsi="Arial" w:cs="Arial"/>
        </w:rPr>
        <w:t xml:space="preserve"> November 2014, the Scottish Government released the redrawn Data Zones and Intermediate Zones boundaries. The new redrawn Data Zones are known as Data Zones 2011 and the new redrawn Intermediate Zones are known as Intermediate Zones 2011, as they have been created following the release of the 2011 Census results</w:t>
      </w:r>
      <w:r w:rsidR="00A26D03">
        <w:rPr>
          <w:rFonts w:ascii="Arial" w:hAnsi="Arial" w:cs="Arial"/>
        </w:rPr>
        <w:t xml:space="preserve">. There are 6976 </w:t>
      </w:r>
      <w:r w:rsidR="00F642F4">
        <w:rPr>
          <w:rFonts w:ascii="Arial" w:hAnsi="Arial" w:cs="Arial"/>
        </w:rPr>
        <w:t>Data Zones 2011</w:t>
      </w:r>
      <w:r w:rsidR="00A26D03">
        <w:rPr>
          <w:rFonts w:ascii="Arial" w:hAnsi="Arial" w:cs="Arial"/>
        </w:rPr>
        <w:t xml:space="preserve"> and 1279 </w:t>
      </w:r>
      <w:r w:rsidR="00F642F4">
        <w:rPr>
          <w:rFonts w:ascii="Arial" w:hAnsi="Arial" w:cs="Arial"/>
        </w:rPr>
        <w:t>Intermediate Zones 2011</w:t>
      </w:r>
      <w:r w:rsidR="00A26D03">
        <w:rPr>
          <w:rFonts w:ascii="Arial" w:hAnsi="Arial" w:cs="Arial"/>
        </w:rPr>
        <w:t xml:space="preserve"> (471 </w:t>
      </w:r>
      <w:r w:rsidR="001B4E79">
        <w:rPr>
          <w:rFonts w:ascii="Arial" w:hAnsi="Arial" w:cs="Arial"/>
        </w:rPr>
        <w:t>Data Zone</w:t>
      </w:r>
      <w:r w:rsidR="00A26D03">
        <w:rPr>
          <w:rFonts w:ascii="Arial" w:hAnsi="Arial" w:cs="Arial"/>
        </w:rPr>
        <w:t xml:space="preserve">s and 44 </w:t>
      </w:r>
      <w:r w:rsidR="001B4E79">
        <w:rPr>
          <w:rFonts w:ascii="Arial" w:hAnsi="Arial" w:cs="Arial"/>
        </w:rPr>
        <w:t>Intermediate Zone</w:t>
      </w:r>
      <w:r w:rsidR="00A26D03">
        <w:rPr>
          <w:rFonts w:ascii="Arial" w:hAnsi="Arial" w:cs="Arial"/>
        </w:rPr>
        <w:t>s added).</w:t>
      </w:r>
      <w:r w:rsidR="0051635E">
        <w:rPr>
          <w:rFonts w:ascii="Arial" w:hAnsi="Arial" w:cs="Arial"/>
        </w:rPr>
        <w:t xml:space="preserve"> </w:t>
      </w:r>
      <w:r w:rsidR="003C08F4">
        <w:rPr>
          <w:rFonts w:ascii="Arial" w:hAnsi="Arial" w:cs="Arial"/>
        </w:rPr>
        <w:t>Around 40% of the Data Zones have had their boundaries changed.</w:t>
      </w:r>
    </w:p>
    <w:p w:rsidR="003C08F4" w:rsidRDefault="003C08F4" w:rsidP="005052BE">
      <w:pPr>
        <w:spacing w:after="0"/>
        <w:jc w:val="both"/>
        <w:rPr>
          <w:rFonts w:ascii="Arial" w:hAnsi="Arial" w:cs="Arial"/>
        </w:rPr>
      </w:pPr>
    </w:p>
    <w:p w:rsidR="003C08F4" w:rsidRDefault="005E2D08" w:rsidP="005052BE">
      <w:pPr>
        <w:spacing w:after="0"/>
        <w:jc w:val="both"/>
        <w:rPr>
          <w:rFonts w:ascii="Arial" w:hAnsi="Arial" w:cs="Arial"/>
        </w:rPr>
      </w:pPr>
      <w:r>
        <w:rPr>
          <w:rFonts w:ascii="Arial" w:hAnsi="Arial" w:cs="Arial"/>
        </w:rPr>
        <w:t>In 2005, 683 (10</w:t>
      </w:r>
      <w:r w:rsidR="0051635E">
        <w:rPr>
          <w:rFonts w:ascii="Arial" w:hAnsi="Arial" w:cs="Arial"/>
        </w:rPr>
        <w:t xml:space="preserve">%) of </w:t>
      </w:r>
      <w:r w:rsidR="00276B42">
        <w:rPr>
          <w:rFonts w:ascii="Arial" w:hAnsi="Arial" w:cs="Arial"/>
        </w:rPr>
        <w:t>Data Zones 2001</w:t>
      </w:r>
      <w:r w:rsidR="0051635E">
        <w:rPr>
          <w:rFonts w:ascii="Arial" w:hAnsi="Arial" w:cs="Arial"/>
        </w:rPr>
        <w:t xml:space="preserve"> </w:t>
      </w:r>
      <w:r>
        <w:rPr>
          <w:rFonts w:ascii="Arial" w:hAnsi="Arial" w:cs="Arial"/>
        </w:rPr>
        <w:t>and 57 (5</w:t>
      </w:r>
      <w:r w:rsidR="006D6F44">
        <w:rPr>
          <w:rFonts w:ascii="Arial" w:hAnsi="Arial" w:cs="Arial"/>
        </w:rPr>
        <w:t xml:space="preserve">%) of the Intermediate Zones 2001 </w:t>
      </w:r>
      <w:r w:rsidR="0051635E">
        <w:rPr>
          <w:rFonts w:ascii="Arial" w:hAnsi="Arial" w:cs="Arial"/>
        </w:rPr>
        <w:t>violate the definition</w:t>
      </w:r>
      <w:r w:rsidR="006D6F44">
        <w:rPr>
          <w:rFonts w:ascii="Arial" w:hAnsi="Arial" w:cs="Arial"/>
        </w:rPr>
        <w:t>s</w:t>
      </w:r>
      <w:r w:rsidR="0051635E">
        <w:rPr>
          <w:rFonts w:ascii="Arial" w:hAnsi="Arial" w:cs="Arial"/>
        </w:rPr>
        <w:t xml:space="preserve"> (</w:t>
      </w:r>
      <w:r w:rsidR="001B4E79">
        <w:rPr>
          <w:rFonts w:ascii="Arial" w:hAnsi="Arial" w:cs="Arial"/>
          <w:color w:val="000000"/>
          <w:szCs w:val="20"/>
          <w:shd w:val="clear" w:color="auto" w:fill="FFFFFF"/>
        </w:rPr>
        <w:t>Data Zone</w:t>
      </w:r>
      <w:r w:rsidR="006D6F44">
        <w:rPr>
          <w:rFonts w:ascii="Arial" w:hAnsi="Arial" w:cs="Arial"/>
          <w:color w:val="000000"/>
          <w:szCs w:val="20"/>
          <w:shd w:val="clear" w:color="auto" w:fill="FFFFFF"/>
        </w:rPr>
        <w:t xml:space="preserve">s have populations between 500 and 1000 residents and </w:t>
      </w:r>
      <w:r w:rsidR="001B4E79">
        <w:rPr>
          <w:rFonts w:ascii="Arial" w:hAnsi="Arial" w:cs="Arial"/>
          <w:color w:val="000000"/>
          <w:szCs w:val="20"/>
          <w:shd w:val="clear" w:color="auto" w:fill="FFFFFF"/>
        </w:rPr>
        <w:t>Intermediate Zone</w:t>
      </w:r>
      <w:r w:rsidR="006D6F44">
        <w:rPr>
          <w:rFonts w:ascii="Arial" w:hAnsi="Arial" w:cs="Arial"/>
          <w:color w:val="000000"/>
          <w:szCs w:val="20"/>
          <w:shd w:val="clear" w:color="auto" w:fill="FFFFFF"/>
        </w:rPr>
        <w:t>s have populations between 2500 and 6000 residents</w:t>
      </w:r>
      <w:r w:rsidR="00577861">
        <w:rPr>
          <w:rFonts w:ascii="Arial" w:hAnsi="Arial" w:cs="Arial"/>
        </w:rPr>
        <w:t>). In 2013</w:t>
      </w:r>
      <w:r w:rsidR="006D6F44">
        <w:rPr>
          <w:rFonts w:ascii="Arial" w:hAnsi="Arial" w:cs="Arial"/>
        </w:rPr>
        <w:t xml:space="preserve">, 1140 (18%) of Data Zones 2001 and 130 (11%) of Intermediate Zones 2001 </w:t>
      </w:r>
      <w:r w:rsidR="00577861">
        <w:rPr>
          <w:rFonts w:ascii="Arial" w:hAnsi="Arial" w:cs="Arial"/>
        </w:rPr>
        <w:t>violate the definition</w:t>
      </w:r>
      <w:r w:rsidR="0051635E">
        <w:rPr>
          <w:rFonts w:ascii="Arial" w:hAnsi="Arial" w:cs="Arial"/>
        </w:rPr>
        <w:t>.</w:t>
      </w:r>
      <w:r w:rsidR="006D6F44">
        <w:rPr>
          <w:rFonts w:ascii="Arial" w:hAnsi="Arial" w:cs="Arial"/>
        </w:rPr>
        <w:t xml:space="preserve"> Histograms of the </w:t>
      </w:r>
      <w:r>
        <w:rPr>
          <w:rFonts w:ascii="Arial" w:hAnsi="Arial" w:cs="Arial"/>
        </w:rPr>
        <w:t>population distributions in 2005</w:t>
      </w:r>
      <w:r w:rsidR="006D6F44">
        <w:rPr>
          <w:rFonts w:ascii="Arial" w:hAnsi="Arial" w:cs="Arial"/>
        </w:rPr>
        <w:t xml:space="preserve"> and 2013 at both geographical levels are included in Appendix </w:t>
      </w:r>
      <w:r w:rsidR="000B781C">
        <w:rPr>
          <w:rFonts w:ascii="Arial" w:hAnsi="Arial" w:cs="Arial"/>
        </w:rPr>
        <w:t>A.</w:t>
      </w:r>
      <w:r>
        <w:rPr>
          <w:rFonts w:ascii="Arial" w:hAnsi="Arial" w:cs="Arial"/>
        </w:rPr>
        <w:t xml:space="preserve"> These clearly show how, at both geographical levels, the population distribution has widened over time.</w:t>
      </w:r>
    </w:p>
    <w:p w:rsidR="005F1DFB" w:rsidRDefault="005F1DFB" w:rsidP="005052BE">
      <w:pPr>
        <w:spacing w:after="0"/>
        <w:jc w:val="both"/>
        <w:rPr>
          <w:rFonts w:ascii="Arial" w:hAnsi="Arial" w:cs="Arial"/>
        </w:rPr>
      </w:pPr>
    </w:p>
    <w:p w:rsidR="00A26D03" w:rsidRDefault="003C08F4" w:rsidP="005052BE">
      <w:pPr>
        <w:spacing w:after="0"/>
        <w:jc w:val="both"/>
        <w:rPr>
          <w:rFonts w:ascii="Arial" w:hAnsi="Arial" w:cs="Arial"/>
        </w:rPr>
      </w:pPr>
      <w:r>
        <w:rPr>
          <w:rFonts w:ascii="Arial" w:hAnsi="Arial" w:cs="Arial"/>
        </w:rPr>
        <w:t>A p</w:t>
      </w:r>
      <w:r w:rsidR="00A26D03">
        <w:rPr>
          <w:rFonts w:ascii="Arial" w:hAnsi="Arial" w:cs="Arial"/>
        </w:rPr>
        <w:t xml:space="preserve">ostcode to </w:t>
      </w:r>
      <w:proofErr w:type="gramStart"/>
      <w:r w:rsidR="00F642F4">
        <w:rPr>
          <w:rFonts w:ascii="Arial" w:hAnsi="Arial" w:cs="Arial"/>
        </w:rPr>
        <w:t>Data Zones 2011</w:t>
      </w:r>
      <w:proofErr w:type="gramEnd"/>
      <w:r w:rsidR="00514A83">
        <w:rPr>
          <w:rFonts w:ascii="Arial" w:hAnsi="Arial" w:cs="Arial"/>
        </w:rPr>
        <w:t xml:space="preserve"> </w:t>
      </w:r>
      <w:r w:rsidR="00A26D03">
        <w:rPr>
          <w:rFonts w:ascii="Arial" w:hAnsi="Arial" w:cs="Arial"/>
        </w:rPr>
        <w:t>lookup is provide</w:t>
      </w:r>
      <w:r w:rsidR="000A20B0">
        <w:rPr>
          <w:rFonts w:ascii="Arial" w:hAnsi="Arial" w:cs="Arial"/>
        </w:rPr>
        <w:t>d</w:t>
      </w:r>
      <w:r w:rsidR="00340DDE">
        <w:rPr>
          <w:rFonts w:ascii="Arial" w:hAnsi="Arial" w:cs="Arial"/>
        </w:rPr>
        <w:t xml:space="preserve"> by the Scottish G</w:t>
      </w:r>
      <w:r w:rsidR="00ED6FAF">
        <w:rPr>
          <w:rFonts w:ascii="Arial" w:hAnsi="Arial" w:cs="Arial"/>
        </w:rPr>
        <w:t xml:space="preserve">overnment and it can be used to recalculate all potential candidate variables available at postcode level. </w:t>
      </w:r>
      <w:r>
        <w:rPr>
          <w:rFonts w:ascii="Arial" w:hAnsi="Arial" w:cs="Arial"/>
        </w:rPr>
        <w:t xml:space="preserve">A </w:t>
      </w:r>
      <w:r w:rsidR="00F642F4">
        <w:rPr>
          <w:rFonts w:ascii="Arial" w:hAnsi="Arial" w:cs="Arial"/>
        </w:rPr>
        <w:t>Data Zones 2001</w:t>
      </w:r>
      <w:r w:rsidR="00ED6FAF">
        <w:rPr>
          <w:rFonts w:ascii="Arial" w:hAnsi="Arial" w:cs="Arial"/>
        </w:rPr>
        <w:t xml:space="preserve"> to </w:t>
      </w:r>
      <w:proofErr w:type="gramStart"/>
      <w:r w:rsidR="00F642F4">
        <w:rPr>
          <w:rFonts w:ascii="Arial" w:hAnsi="Arial" w:cs="Arial"/>
        </w:rPr>
        <w:t>Data Zones 2011</w:t>
      </w:r>
      <w:proofErr w:type="gramEnd"/>
      <w:r w:rsidR="005C3DFA">
        <w:rPr>
          <w:rFonts w:ascii="Arial" w:hAnsi="Arial" w:cs="Arial"/>
        </w:rPr>
        <w:t xml:space="preserve"> lookup</w:t>
      </w:r>
      <w:r>
        <w:rPr>
          <w:rFonts w:ascii="Arial" w:hAnsi="Arial" w:cs="Arial"/>
        </w:rPr>
        <w:t xml:space="preserve"> (giving ‘best-fit’ matches)</w:t>
      </w:r>
      <w:r w:rsidR="00A26D03">
        <w:rPr>
          <w:rFonts w:ascii="Arial" w:hAnsi="Arial" w:cs="Arial"/>
        </w:rPr>
        <w:t xml:space="preserve"> is not available and will not be produced</w:t>
      </w:r>
      <w:r w:rsidR="00ED6FAF">
        <w:rPr>
          <w:rFonts w:ascii="Arial" w:hAnsi="Arial" w:cs="Arial"/>
        </w:rPr>
        <w:t xml:space="preserve"> since</w:t>
      </w:r>
      <w:r w:rsidR="00340DDE">
        <w:rPr>
          <w:rFonts w:ascii="Arial" w:hAnsi="Arial" w:cs="Arial"/>
        </w:rPr>
        <w:t xml:space="preserve"> </w:t>
      </w:r>
      <w:r>
        <w:rPr>
          <w:rFonts w:ascii="Arial" w:hAnsi="Arial" w:cs="Arial"/>
        </w:rPr>
        <w:t>the changes are so extensive</w:t>
      </w:r>
      <w:r w:rsidR="00A26D03">
        <w:rPr>
          <w:rFonts w:ascii="Arial" w:hAnsi="Arial" w:cs="Arial"/>
        </w:rPr>
        <w:t>.</w:t>
      </w:r>
      <w:r w:rsidR="00276B42">
        <w:rPr>
          <w:rFonts w:ascii="Arial" w:hAnsi="Arial" w:cs="Arial"/>
        </w:rPr>
        <w:t xml:space="preserve"> </w:t>
      </w:r>
    </w:p>
    <w:p w:rsidR="00405A90" w:rsidRDefault="00405A90" w:rsidP="005052BE">
      <w:pPr>
        <w:spacing w:after="0"/>
        <w:jc w:val="both"/>
        <w:rPr>
          <w:rFonts w:ascii="Arial" w:hAnsi="Arial" w:cs="Arial"/>
        </w:rPr>
      </w:pPr>
    </w:p>
    <w:p w:rsidR="00A36193" w:rsidRDefault="000A20B0" w:rsidP="005052BE">
      <w:pPr>
        <w:spacing w:after="0"/>
        <w:jc w:val="both"/>
        <w:rPr>
          <w:rFonts w:ascii="Arial" w:hAnsi="Arial" w:cs="Arial"/>
        </w:rPr>
      </w:pPr>
      <w:r>
        <w:rPr>
          <w:rFonts w:ascii="Arial" w:hAnsi="Arial" w:cs="Arial"/>
        </w:rPr>
        <w:t xml:space="preserve"> </w:t>
      </w:r>
      <w:r w:rsidR="00514A83">
        <w:rPr>
          <w:rFonts w:ascii="Arial" w:hAnsi="Arial" w:cs="Arial"/>
        </w:rPr>
        <w:t xml:space="preserve">The main sources of data for </w:t>
      </w:r>
      <w:r>
        <w:rPr>
          <w:rFonts w:ascii="Arial" w:hAnsi="Arial" w:cs="Arial"/>
        </w:rPr>
        <w:t xml:space="preserve">potential indicators of need </w:t>
      </w:r>
      <w:r w:rsidR="00514A83">
        <w:rPr>
          <w:rFonts w:ascii="Arial" w:hAnsi="Arial" w:cs="Arial"/>
        </w:rPr>
        <w:t>are the</w:t>
      </w:r>
      <w:r>
        <w:rPr>
          <w:rFonts w:ascii="Arial" w:hAnsi="Arial" w:cs="Arial"/>
        </w:rPr>
        <w:t xml:space="preserve"> SIMD 2012</w:t>
      </w:r>
      <w:r w:rsidR="00B30ACE">
        <w:rPr>
          <w:rFonts w:ascii="Arial" w:hAnsi="Arial" w:cs="Arial"/>
        </w:rPr>
        <w:t>, 2011 Cen</w:t>
      </w:r>
      <w:r w:rsidR="00514A83">
        <w:rPr>
          <w:rFonts w:ascii="Arial" w:hAnsi="Arial" w:cs="Arial"/>
        </w:rPr>
        <w:t xml:space="preserve">sus data and ISD data. The availability of these sources </w:t>
      </w:r>
      <w:r w:rsidR="00B30ACE">
        <w:rPr>
          <w:rFonts w:ascii="Arial" w:hAnsi="Arial" w:cs="Arial"/>
        </w:rPr>
        <w:t xml:space="preserve">at </w:t>
      </w:r>
      <w:r w:rsidR="00276B42">
        <w:rPr>
          <w:rFonts w:ascii="Arial" w:hAnsi="Arial" w:cs="Arial"/>
        </w:rPr>
        <w:t>Data Zones 2011</w:t>
      </w:r>
      <w:r w:rsidR="00D715E3">
        <w:rPr>
          <w:rFonts w:ascii="Arial" w:hAnsi="Arial" w:cs="Arial"/>
        </w:rPr>
        <w:t xml:space="preserve"> </w:t>
      </w:r>
      <w:r w:rsidR="00514A83">
        <w:rPr>
          <w:rFonts w:ascii="Arial" w:hAnsi="Arial" w:cs="Arial"/>
        </w:rPr>
        <w:t>is as follows:</w:t>
      </w:r>
    </w:p>
    <w:p w:rsidR="00A36193" w:rsidRDefault="00A36193" w:rsidP="005052BE">
      <w:pPr>
        <w:spacing w:after="0"/>
        <w:jc w:val="both"/>
        <w:rPr>
          <w:rFonts w:ascii="Arial" w:hAnsi="Arial" w:cs="Arial"/>
        </w:rPr>
      </w:pPr>
    </w:p>
    <w:p w:rsidR="000A20B0" w:rsidRDefault="000A20B0" w:rsidP="005052BE">
      <w:pPr>
        <w:pStyle w:val="ListParagraph"/>
        <w:numPr>
          <w:ilvl w:val="0"/>
          <w:numId w:val="2"/>
        </w:numPr>
        <w:spacing w:after="0"/>
        <w:jc w:val="both"/>
        <w:rPr>
          <w:rFonts w:ascii="Arial" w:hAnsi="Arial" w:cs="Arial"/>
        </w:rPr>
      </w:pPr>
      <w:r>
        <w:rPr>
          <w:rFonts w:ascii="Arial" w:hAnsi="Arial" w:cs="Arial"/>
        </w:rPr>
        <w:t xml:space="preserve">SIMD 2012 </w:t>
      </w:r>
      <w:r w:rsidR="00B30ACE">
        <w:rPr>
          <w:rFonts w:ascii="Arial" w:hAnsi="Arial" w:cs="Arial"/>
        </w:rPr>
        <w:t>–</w:t>
      </w:r>
      <w:r>
        <w:rPr>
          <w:rFonts w:ascii="Arial" w:hAnsi="Arial" w:cs="Arial"/>
        </w:rPr>
        <w:t xml:space="preserve"> </w:t>
      </w:r>
      <w:r w:rsidR="00B30ACE">
        <w:rPr>
          <w:rFonts w:ascii="Arial" w:hAnsi="Arial" w:cs="Arial"/>
        </w:rPr>
        <w:t xml:space="preserve">The </w:t>
      </w:r>
      <w:r>
        <w:rPr>
          <w:rFonts w:ascii="Arial" w:hAnsi="Arial" w:cs="Arial"/>
        </w:rPr>
        <w:t xml:space="preserve">SIMD 2012 </w:t>
      </w:r>
      <w:r w:rsidRPr="000A20B0">
        <w:rPr>
          <w:rFonts w:ascii="Arial" w:hAnsi="Arial" w:cs="Arial"/>
        </w:rPr>
        <w:t xml:space="preserve">will not be recalculated at </w:t>
      </w:r>
      <w:r w:rsidR="00276B42">
        <w:rPr>
          <w:rFonts w:ascii="Arial" w:hAnsi="Arial" w:cs="Arial"/>
        </w:rPr>
        <w:t>Data Zones 2011</w:t>
      </w:r>
      <w:r>
        <w:rPr>
          <w:rFonts w:ascii="Arial" w:hAnsi="Arial" w:cs="Arial"/>
        </w:rPr>
        <w:t xml:space="preserve">. The SIMD </w:t>
      </w:r>
      <w:r w:rsidR="00B30ACE">
        <w:rPr>
          <w:rFonts w:ascii="Arial" w:hAnsi="Arial" w:cs="Arial"/>
        </w:rPr>
        <w:t>2016, scheduled for release in a</w:t>
      </w:r>
      <w:r>
        <w:rPr>
          <w:rFonts w:ascii="Arial" w:hAnsi="Arial" w:cs="Arial"/>
        </w:rPr>
        <w:t>utumn 2016, will be base</w:t>
      </w:r>
      <w:r w:rsidR="00B30ACE">
        <w:rPr>
          <w:rFonts w:ascii="Arial" w:hAnsi="Arial" w:cs="Arial"/>
        </w:rPr>
        <w:t xml:space="preserve">d on </w:t>
      </w:r>
      <w:r w:rsidR="00276B42">
        <w:rPr>
          <w:rFonts w:ascii="Arial" w:hAnsi="Arial" w:cs="Arial"/>
        </w:rPr>
        <w:t>Data Zones 2011</w:t>
      </w:r>
      <w:r w:rsidR="00B30ACE">
        <w:rPr>
          <w:rFonts w:ascii="Arial" w:hAnsi="Arial" w:cs="Arial"/>
        </w:rPr>
        <w:t>.</w:t>
      </w:r>
      <w:r w:rsidR="00E82F11">
        <w:rPr>
          <w:rFonts w:ascii="Arial" w:hAnsi="Arial" w:cs="Arial"/>
        </w:rPr>
        <w:t xml:space="preserve"> </w:t>
      </w:r>
    </w:p>
    <w:p w:rsidR="00B30ACE" w:rsidRDefault="009F35B9" w:rsidP="005052BE">
      <w:pPr>
        <w:pStyle w:val="ListParagraph"/>
        <w:numPr>
          <w:ilvl w:val="0"/>
          <w:numId w:val="2"/>
        </w:numPr>
        <w:spacing w:after="0"/>
        <w:jc w:val="both"/>
        <w:rPr>
          <w:rFonts w:ascii="Arial" w:hAnsi="Arial" w:cs="Arial"/>
        </w:rPr>
      </w:pPr>
      <w:r>
        <w:rPr>
          <w:rFonts w:ascii="Arial" w:hAnsi="Arial" w:cs="Arial"/>
        </w:rPr>
        <w:t>National Records Scotland (NRS)</w:t>
      </w:r>
      <w:r w:rsidR="00B30ACE">
        <w:rPr>
          <w:rFonts w:ascii="Arial" w:hAnsi="Arial" w:cs="Arial"/>
        </w:rPr>
        <w:t xml:space="preserve"> data – The 2011 Census data are availab</w:t>
      </w:r>
      <w:r w:rsidR="00ED17A5">
        <w:rPr>
          <w:rFonts w:ascii="Arial" w:hAnsi="Arial" w:cs="Arial"/>
        </w:rPr>
        <w:t xml:space="preserve">le at </w:t>
      </w:r>
      <w:r w:rsidR="00276B42">
        <w:rPr>
          <w:rFonts w:ascii="Arial" w:hAnsi="Arial" w:cs="Arial"/>
        </w:rPr>
        <w:t>Data Zones 2011</w:t>
      </w:r>
      <w:r w:rsidR="00ED17A5">
        <w:rPr>
          <w:rFonts w:ascii="Arial" w:hAnsi="Arial" w:cs="Arial"/>
        </w:rPr>
        <w:t xml:space="preserve"> and </w:t>
      </w:r>
      <w:r w:rsidR="00340DDE">
        <w:rPr>
          <w:rFonts w:ascii="Arial" w:hAnsi="Arial" w:cs="Arial"/>
        </w:rPr>
        <w:t xml:space="preserve">have </w:t>
      </w:r>
      <w:r w:rsidR="00B30ACE">
        <w:rPr>
          <w:rFonts w:ascii="Arial" w:hAnsi="Arial" w:cs="Arial"/>
        </w:rPr>
        <w:t xml:space="preserve">already </w:t>
      </w:r>
      <w:r w:rsidR="00340DDE">
        <w:rPr>
          <w:rFonts w:ascii="Arial" w:hAnsi="Arial" w:cs="Arial"/>
        </w:rPr>
        <w:t xml:space="preserve">been </w:t>
      </w:r>
      <w:r w:rsidR="00126380">
        <w:rPr>
          <w:rFonts w:ascii="Arial" w:hAnsi="Arial" w:cs="Arial"/>
        </w:rPr>
        <w:t xml:space="preserve">requested </w:t>
      </w:r>
      <w:r w:rsidR="00B30ACE">
        <w:rPr>
          <w:rFonts w:ascii="Arial" w:hAnsi="Arial" w:cs="Arial"/>
        </w:rPr>
        <w:t>from NRS</w:t>
      </w:r>
      <w:r w:rsidR="00276B42">
        <w:rPr>
          <w:rFonts w:ascii="Arial" w:hAnsi="Arial" w:cs="Arial"/>
        </w:rPr>
        <w:t xml:space="preserve"> and will be provided in January 2015</w:t>
      </w:r>
      <w:r w:rsidR="00B30ACE">
        <w:rPr>
          <w:rFonts w:ascii="Arial" w:hAnsi="Arial" w:cs="Arial"/>
        </w:rPr>
        <w:t>.</w:t>
      </w:r>
      <w:r>
        <w:rPr>
          <w:rFonts w:ascii="Arial" w:hAnsi="Arial" w:cs="Arial"/>
        </w:rPr>
        <w:t xml:space="preserve"> The mid-year population estimates at the redrawn Data Zones will not be available until August 2015 and mid-year population estimates at the old Data Zones may not be available going forward.</w:t>
      </w:r>
    </w:p>
    <w:p w:rsidR="002E09FD" w:rsidRPr="00E0705F" w:rsidRDefault="00B30ACE" w:rsidP="005052BE">
      <w:pPr>
        <w:pStyle w:val="ListParagraph"/>
        <w:numPr>
          <w:ilvl w:val="0"/>
          <w:numId w:val="2"/>
        </w:numPr>
        <w:spacing w:after="0"/>
        <w:jc w:val="both"/>
        <w:rPr>
          <w:rFonts w:ascii="Arial" w:hAnsi="Arial" w:cs="Arial"/>
        </w:rPr>
      </w:pPr>
      <w:r>
        <w:rPr>
          <w:rFonts w:ascii="Arial" w:hAnsi="Arial" w:cs="Arial"/>
        </w:rPr>
        <w:t xml:space="preserve">ISD data – The data produced internally by ISD can be </w:t>
      </w:r>
      <w:r w:rsidR="00340DDE">
        <w:rPr>
          <w:rFonts w:ascii="Arial" w:hAnsi="Arial" w:cs="Arial"/>
        </w:rPr>
        <w:t>re</w:t>
      </w:r>
      <w:r>
        <w:rPr>
          <w:rFonts w:ascii="Arial" w:hAnsi="Arial" w:cs="Arial"/>
        </w:rPr>
        <w:t xml:space="preserve">calculated at </w:t>
      </w:r>
      <w:r w:rsidR="00276B42">
        <w:rPr>
          <w:rFonts w:ascii="Arial" w:hAnsi="Arial" w:cs="Arial"/>
        </w:rPr>
        <w:t>Data Zones 2011</w:t>
      </w:r>
      <w:r>
        <w:rPr>
          <w:rFonts w:ascii="Arial" w:hAnsi="Arial" w:cs="Arial"/>
        </w:rPr>
        <w:t xml:space="preserve"> using the Postcode to </w:t>
      </w:r>
      <w:r w:rsidR="00F642F4">
        <w:rPr>
          <w:rFonts w:ascii="Arial" w:hAnsi="Arial" w:cs="Arial"/>
        </w:rPr>
        <w:t>Data Zones 2011</w:t>
      </w:r>
      <w:r>
        <w:rPr>
          <w:rFonts w:ascii="Arial" w:hAnsi="Arial" w:cs="Arial"/>
        </w:rPr>
        <w:t xml:space="preserve"> lookup provided by the Scottish Government.</w:t>
      </w:r>
      <w:r w:rsidR="00153079">
        <w:rPr>
          <w:rFonts w:ascii="Arial" w:hAnsi="Arial" w:cs="Arial"/>
        </w:rPr>
        <w:t xml:space="preserve"> I</w:t>
      </w:r>
      <w:r w:rsidR="00340DDE">
        <w:rPr>
          <w:rFonts w:ascii="Arial" w:hAnsi="Arial" w:cs="Arial"/>
        </w:rPr>
        <w:t>t is important to note that</w:t>
      </w:r>
      <w:r w:rsidR="00941CF7">
        <w:rPr>
          <w:rFonts w:ascii="Arial" w:hAnsi="Arial" w:cs="Arial"/>
        </w:rPr>
        <w:t xml:space="preserve"> delays may arise due to unavailability of the data sources at postcode level</w:t>
      </w:r>
      <w:r w:rsidR="00340DDE">
        <w:rPr>
          <w:rFonts w:ascii="Arial" w:hAnsi="Arial" w:cs="Arial"/>
        </w:rPr>
        <w:t xml:space="preserve"> and data may not be avai</w:t>
      </w:r>
      <w:r w:rsidR="00153079">
        <w:rPr>
          <w:rFonts w:ascii="Arial" w:hAnsi="Arial" w:cs="Arial"/>
        </w:rPr>
        <w:t>lable for the last three years.</w:t>
      </w:r>
      <w:r>
        <w:rPr>
          <w:rFonts w:ascii="Arial" w:hAnsi="Arial" w:cs="Arial"/>
        </w:rPr>
        <w:t xml:space="preserve">   </w:t>
      </w:r>
    </w:p>
    <w:p w:rsidR="00DE460F" w:rsidRDefault="00DE460F" w:rsidP="005052BE">
      <w:pPr>
        <w:spacing w:after="0"/>
        <w:jc w:val="both"/>
        <w:rPr>
          <w:rFonts w:ascii="Arial" w:hAnsi="Arial" w:cs="Arial"/>
          <w:b/>
          <w:i/>
        </w:rPr>
      </w:pPr>
    </w:p>
    <w:p w:rsidR="00DE460F" w:rsidRDefault="002E2834" w:rsidP="005052BE">
      <w:pPr>
        <w:spacing w:after="0"/>
        <w:jc w:val="both"/>
        <w:rPr>
          <w:rFonts w:ascii="Arial" w:hAnsi="Arial" w:cs="Arial"/>
        </w:rPr>
      </w:pPr>
      <w:r>
        <w:rPr>
          <w:rFonts w:ascii="Arial" w:hAnsi="Arial" w:cs="Arial"/>
        </w:rPr>
        <w:t>Appendix C</w:t>
      </w:r>
      <w:r w:rsidR="00340DDE">
        <w:rPr>
          <w:rFonts w:ascii="Arial" w:hAnsi="Arial" w:cs="Arial"/>
        </w:rPr>
        <w:t xml:space="preserve"> includes information on all potential variables – source, availability at Data Zones 2001, Intermediate Zones 2001, Data Zones 2011 and Intermediate Geographies</w:t>
      </w:r>
      <w:r w:rsidR="00C65410">
        <w:rPr>
          <w:rFonts w:ascii="Arial" w:hAnsi="Arial" w:cs="Arial"/>
        </w:rPr>
        <w:t xml:space="preserve"> 2011</w:t>
      </w:r>
      <w:r w:rsidR="00340DDE">
        <w:rPr>
          <w:rFonts w:ascii="Arial" w:hAnsi="Arial" w:cs="Arial"/>
        </w:rPr>
        <w:t>, and any additional notes.</w:t>
      </w:r>
    </w:p>
    <w:p w:rsidR="00340DDE" w:rsidRDefault="00340DDE" w:rsidP="005052BE">
      <w:pPr>
        <w:spacing w:after="0"/>
        <w:jc w:val="both"/>
        <w:rPr>
          <w:rFonts w:ascii="Arial" w:hAnsi="Arial" w:cs="Arial"/>
          <w:b/>
          <w:i/>
        </w:rPr>
      </w:pPr>
    </w:p>
    <w:p w:rsidR="00340DDE" w:rsidRDefault="00340DDE" w:rsidP="005052BE">
      <w:pPr>
        <w:spacing w:after="0"/>
        <w:jc w:val="both"/>
        <w:rPr>
          <w:rFonts w:ascii="Arial" w:hAnsi="Arial" w:cs="Arial"/>
          <w:b/>
          <w:i/>
        </w:rPr>
      </w:pPr>
    </w:p>
    <w:p w:rsidR="006717B1" w:rsidRDefault="006717B1" w:rsidP="006717B1">
      <w:pPr>
        <w:spacing w:after="0"/>
        <w:jc w:val="both"/>
        <w:rPr>
          <w:rFonts w:ascii="Arial" w:hAnsi="Arial" w:cs="Arial"/>
          <w:b/>
          <w:i/>
        </w:rPr>
      </w:pPr>
      <w:r>
        <w:rPr>
          <w:rFonts w:ascii="Arial" w:hAnsi="Arial" w:cs="Arial"/>
          <w:b/>
          <w:i/>
        </w:rPr>
        <w:t>3. Scottish Index of Multiple Deprivation (SIMD)</w:t>
      </w:r>
    </w:p>
    <w:p w:rsidR="006717B1" w:rsidRDefault="006717B1" w:rsidP="006717B1">
      <w:pPr>
        <w:spacing w:after="0"/>
        <w:jc w:val="both"/>
        <w:rPr>
          <w:rFonts w:ascii="Arial" w:hAnsi="Arial" w:cs="Arial"/>
          <w:b/>
          <w:i/>
        </w:rPr>
      </w:pPr>
    </w:p>
    <w:p w:rsidR="006717B1" w:rsidRDefault="006717B1" w:rsidP="006717B1">
      <w:pPr>
        <w:spacing w:after="0"/>
        <w:jc w:val="both"/>
        <w:rPr>
          <w:rFonts w:ascii="Arial" w:hAnsi="Arial" w:cs="Arial"/>
        </w:rPr>
      </w:pPr>
      <w:r>
        <w:rPr>
          <w:rFonts w:ascii="Arial" w:hAnsi="Arial" w:cs="Arial"/>
        </w:rPr>
        <w:t xml:space="preserve">There are seven domains in the SIMD – Income, Access, Education, Housing, Crime, Employment and Health – each of which contain a number of variables (Appendix B visualises the structure of SIMD 2012). A score or rate is calculated for each domain, and the scores/rates of the domains are combined in the overall SIMD score. </w:t>
      </w:r>
    </w:p>
    <w:p w:rsidR="006717B1" w:rsidRDefault="006717B1" w:rsidP="006717B1">
      <w:pPr>
        <w:spacing w:after="0"/>
        <w:jc w:val="both"/>
        <w:rPr>
          <w:rFonts w:ascii="Arial" w:hAnsi="Arial" w:cs="Arial"/>
        </w:rPr>
      </w:pPr>
    </w:p>
    <w:p w:rsidR="006717B1" w:rsidRDefault="006717B1" w:rsidP="006717B1">
      <w:pPr>
        <w:spacing w:after="0"/>
        <w:jc w:val="both"/>
        <w:rPr>
          <w:rFonts w:ascii="Arial" w:hAnsi="Arial" w:cs="Arial"/>
        </w:rPr>
      </w:pPr>
      <w:r>
        <w:rPr>
          <w:rFonts w:ascii="Arial" w:hAnsi="Arial" w:cs="Arial"/>
        </w:rPr>
        <w:t>The current version of SIMD was released in 2012. A</w:t>
      </w:r>
      <w:r w:rsidR="00C65410">
        <w:rPr>
          <w:rFonts w:ascii="Arial" w:hAnsi="Arial" w:cs="Arial"/>
        </w:rPr>
        <w:t>s stated above, a</w:t>
      </w:r>
      <w:r>
        <w:rPr>
          <w:rFonts w:ascii="Arial" w:hAnsi="Arial" w:cs="Arial"/>
        </w:rPr>
        <w:t xml:space="preserve"> new version of the SIMD will be available in 2016 following a review, and will be based on the </w:t>
      </w:r>
      <w:r w:rsidR="00340DDE">
        <w:rPr>
          <w:rFonts w:ascii="Arial" w:hAnsi="Arial" w:cs="Arial"/>
        </w:rPr>
        <w:t xml:space="preserve">redrawn 2011 </w:t>
      </w:r>
      <w:r w:rsidR="001B4E79">
        <w:rPr>
          <w:rFonts w:ascii="Arial" w:hAnsi="Arial" w:cs="Arial"/>
        </w:rPr>
        <w:t>Data Zone</w:t>
      </w:r>
      <w:r>
        <w:rPr>
          <w:rFonts w:ascii="Arial" w:hAnsi="Arial" w:cs="Arial"/>
        </w:rPr>
        <w:t>s. SIMD 2012 will not be re-calculated at the</w:t>
      </w:r>
      <w:r w:rsidR="00340DDE">
        <w:rPr>
          <w:rFonts w:ascii="Arial" w:hAnsi="Arial" w:cs="Arial"/>
        </w:rPr>
        <w:t>se</w:t>
      </w:r>
      <w:r>
        <w:rPr>
          <w:rFonts w:ascii="Arial" w:hAnsi="Arial" w:cs="Arial"/>
        </w:rPr>
        <w:t xml:space="preserve"> new </w:t>
      </w:r>
      <w:r w:rsidR="001B4E79">
        <w:rPr>
          <w:rFonts w:ascii="Arial" w:hAnsi="Arial" w:cs="Arial"/>
        </w:rPr>
        <w:t>Data Zone</w:t>
      </w:r>
      <w:r>
        <w:rPr>
          <w:rFonts w:ascii="Arial" w:hAnsi="Arial" w:cs="Arial"/>
        </w:rPr>
        <w:t>s.</w:t>
      </w:r>
    </w:p>
    <w:p w:rsidR="006717B1" w:rsidRDefault="006717B1" w:rsidP="006717B1">
      <w:pPr>
        <w:spacing w:after="0"/>
        <w:jc w:val="both"/>
        <w:rPr>
          <w:rFonts w:ascii="Arial" w:hAnsi="Arial" w:cs="Arial"/>
        </w:rPr>
      </w:pPr>
    </w:p>
    <w:p w:rsidR="006717B1" w:rsidRDefault="00C65410" w:rsidP="006717B1">
      <w:pPr>
        <w:spacing w:after="0"/>
        <w:jc w:val="both"/>
        <w:rPr>
          <w:rFonts w:ascii="Arial" w:hAnsi="Arial" w:cs="Arial"/>
        </w:rPr>
      </w:pPr>
      <w:r>
        <w:rPr>
          <w:rFonts w:ascii="Arial" w:hAnsi="Arial" w:cs="Arial"/>
        </w:rPr>
        <w:t xml:space="preserve">The suitability of SIMD for use in the MLC adjustment, aside from data availability issues, has been subject to </w:t>
      </w:r>
      <w:r w:rsidR="00090A82">
        <w:rPr>
          <w:rFonts w:ascii="Arial" w:hAnsi="Arial" w:cs="Arial"/>
        </w:rPr>
        <w:t xml:space="preserve">previous </w:t>
      </w:r>
      <w:r>
        <w:rPr>
          <w:rFonts w:ascii="Arial" w:hAnsi="Arial" w:cs="Arial"/>
        </w:rPr>
        <w:t xml:space="preserve">discussion within NRAC/TAGRA. </w:t>
      </w:r>
      <w:r w:rsidR="006717B1">
        <w:rPr>
          <w:rFonts w:ascii="Arial" w:hAnsi="Arial" w:cs="Arial"/>
        </w:rPr>
        <w:t>This section reviews and updates some of the arguments around the suitability of SIMD (or its sub-components) as Acute MLC potential predictor variables for healthcare need, and outlines what is possible in terms of its use in the current Acute MLC review.</w:t>
      </w:r>
    </w:p>
    <w:p w:rsidR="006717B1" w:rsidRDefault="006717B1" w:rsidP="006717B1">
      <w:pPr>
        <w:spacing w:after="0"/>
        <w:jc w:val="both"/>
        <w:rPr>
          <w:rFonts w:ascii="Arial" w:hAnsi="Arial" w:cs="Arial"/>
        </w:rPr>
      </w:pPr>
    </w:p>
    <w:p w:rsidR="006717B1" w:rsidRDefault="006717B1" w:rsidP="006717B1">
      <w:pPr>
        <w:spacing w:after="0"/>
        <w:jc w:val="both"/>
        <w:rPr>
          <w:rFonts w:ascii="Arial" w:hAnsi="Arial" w:cs="Arial"/>
          <w:b/>
          <w:i/>
        </w:rPr>
      </w:pPr>
      <w:r>
        <w:rPr>
          <w:rFonts w:ascii="Arial" w:hAnsi="Arial" w:cs="Arial"/>
          <w:b/>
          <w:i/>
        </w:rPr>
        <w:t>3.1 Previous use of the SIMD in the NRAC formula</w:t>
      </w:r>
    </w:p>
    <w:p w:rsidR="006717B1" w:rsidRDefault="006717B1" w:rsidP="006717B1">
      <w:pPr>
        <w:spacing w:after="0"/>
        <w:jc w:val="both"/>
        <w:rPr>
          <w:rFonts w:ascii="Arial" w:hAnsi="Arial" w:cs="Arial"/>
          <w:b/>
          <w:i/>
        </w:rPr>
      </w:pPr>
    </w:p>
    <w:p w:rsidR="006717B1" w:rsidRPr="009736B0" w:rsidRDefault="006717B1" w:rsidP="006717B1">
      <w:pPr>
        <w:spacing w:after="0"/>
        <w:jc w:val="both"/>
        <w:rPr>
          <w:rFonts w:ascii="Arial" w:hAnsi="Arial" w:cs="Arial"/>
          <w:b/>
        </w:rPr>
      </w:pPr>
      <w:r w:rsidRPr="009736B0">
        <w:rPr>
          <w:rFonts w:ascii="Arial" w:hAnsi="Arial" w:cs="Arial"/>
          <w:b/>
        </w:rPr>
        <w:t>NRAC 2007 Review</w:t>
      </w:r>
    </w:p>
    <w:p w:rsidR="006717B1" w:rsidRDefault="006717B1" w:rsidP="006717B1">
      <w:pPr>
        <w:spacing w:after="0"/>
        <w:jc w:val="both"/>
        <w:rPr>
          <w:rFonts w:ascii="Arial" w:hAnsi="Arial" w:cs="Arial"/>
        </w:rPr>
      </w:pPr>
    </w:p>
    <w:p w:rsidR="006717B1" w:rsidRDefault="006717B1" w:rsidP="006717B1">
      <w:pPr>
        <w:spacing w:after="0"/>
        <w:jc w:val="both"/>
        <w:rPr>
          <w:rFonts w:ascii="Arial" w:hAnsi="Arial" w:cs="Arial"/>
        </w:rPr>
      </w:pPr>
      <w:r>
        <w:rPr>
          <w:rFonts w:ascii="Arial" w:hAnsi="Arial" w:cs="Arial"/>
        </w:rPr>
        <w:t xml:space="preserve">The possible use of SIMD as part of the MLC analysis was discussed during the </w:t>
      </w:r>
      <w:r w:rsidRPr="0014552B">
        <w:rPr>
          <w:rFonts w:ascii="Arial" w:hAnsi="Arial" w:cs="Arial"/>
        </w:rPr>
        <w:t>NRAC 2007 Review</w:t>
      </w:r>
      <w:r>
        <w:rPr>
          <w:rFonts w:ascii="Arial" w:hAnsi="Arial" w:cs="Arial"/>
        </w:rPr>
        <w:t>.</w:t>
      </w:r>
      <w:r w:rsidRPr="0014552B">
        <w:rPr>
          <w:rFonts w:ascii="Arial" w:hAnsi="Arial" w:cs="Arial"/>
        </w:rPr>
        <w:t xml:space="preserve"> </w:t>
      </w:r>
      <w:r>
        <w:rPr>
          <w:rFonts w:ascii="Arial" w:hAnsi="Arial" w:cs="Arial"/>
        </w:rPr>
        <w:t>This discussion is included in Technical report D</w:t>
      </w:r>
      <w:r>
        <w:rPr>
          <w:rStyle w:val="FootnoteReference"/>
          <w:rFonts w:ascii="Arial" w:hAnsi="Arial" w:cs="Arial"/>
        </w:rPr>
        <w:footnoteReference w:id="1"/>
      </w:r>
      <w:r>
        <w:rPr>
          <w:rFonts w:ascii="Arial" w:hAnsi="Arial" w:cs="Arial"/>
        </w:rPr>
        <w:t>:</w:t>
      </w:r>
    </w:p>
    <w:p w:rsidR="006717B1" w:rsidRPr="00A457F9" w:rsidRDefault="006717B1" w:rsidP="006717B1">
      <w:pPr>
        <w:spacing w:after="0"/>
        <w:jc w:val="both"/>
        <w:rPr>
          <w:rFonts w:ascii="Arial" w:hAnsi="Arial" w:cs="Arial"/>
          <w:b/>
        </w:rPr>
      </w:pPr>
    </w:p>
    <w:p w:rsidR="006717B1" w:rsidRDefault="006717B1" w:rsidP="006717B1">
      <w:pPr>
        <w:autoSpaceDE w:val="0"/>
        <w:autoSpaceDN w:val="0"/>
        <w:adjustRightInd w:val="0"/>
        <w:spacing w:after="0" w:line="240" w:lineRule="auto"/>
        <w:jc w:val="both"/>
        <w:rPr>
          <w:rFonts w:ascii="Arial" w:hAnsi="Arial" w:cs="Arial"/>
          <w:i/>
          <w:szCs w:val="24"/>
        </w:rPr>
      </w:pPr>
      <w:r>
        <w:rPr>
          <w:rFonts w:ascii="Arial" w:hAnsi="Arial" w:cs="Arial"/>
          <w:i/>
          <w:szCs w:val="24"/>
        </w:rPr>
        <w:t xml:space="preserve">“The overall SIMD score and the domain scores are published for </w:t>
      </w:r>
      <w:r w:rsidR="001B4E79">
        <w:rPr>
          <w:rFonts w:ascii="Arial" w:hAnsi="Arial" w:cs="Arial"/>
          <w:i/>
          <w:szCs w:val="24"/>
        </w:rPr>
        <w:t>Data Zone</w:t>
      </w:r>
      <w:r>
        <w:rPr>
          <w:rFonts w:ascii="Arial" w:hAnsi="Arial" w:cs="Arial"/>
          <w:i/>
          <w:szCs w:val="24"/>
        </w:rPr>
        <w:t>s. The Index has many strengths such as:</w:t>
      </w:r>
    </w:p>
    <w:p w:rsidR="006717B1" w:rsidRDefault="006717B1" w:rsidP="006717B1">
      <w:pPr>
        <w:autoSpaceDE w:val="0"/>
        <w:autoSpaceDN w:val="0"/>
        <w:adjustRightInd w:val="0"/>
        <w:spacing w:after="0" w:line="240" w:lineRule="auto"/>
        <w:jc w:val="both"/>
        <w:rPr>
          <w:rFonts w:ascii="Arial" w:hAnsi="Arial" w:cs="Arial"/>
          <w:i/>
          <w:szCs w:val="24"/>
        </w:rPr>
      </w:pPr>
    </w:p>
    <w:p w:rsidR="006717B1" w:rsidRDefault="006717B1" w:rsidP="006717B1">
      <w:pPr>
        <w:pStyle w:val="ListParagraph"/>
        <w:numPr>
          <w:ilvl w:val="0"/>
          <w:numId w:val="19"/>
        </w:numPr>
        <w:autoSpaceDE w:val="0"/>
        <w:autoSpaceDN w:val="0"/>
        <w:adjustRightInd w:val="0"/>
        <w:spacing w:after="0" w:line="240" w:lineRule="auto"/>
        <w:jc w:val="both"/>
        <w:rPr>
          <w:rFonts w:ascii="Arial" w:hAnsi="Arial" w:cs="Arial"/>
          <w:i/>
          <w:szCs w:val="24"/>
        </w:rPr>
      </w:pPr>
      <w:r>
        <w:rPr>
          <w:rFonts w:ascii="Arial" w:hAnsi="Arial" w:cs="Arial"/>
          <w:i/>
          <w:szCs w:val="24"/>
        </w:rPr>
        <w:t>Wide range of data sources</w:t>
      </w:r>
    </w:p>
    <w:p w:rsidR="006717B1" w:rsidRDefault="006717B1" w:rsidP="006717B1">
      <w:pPr>
        <w:pStyle w:val="ListParagraph"/>
        <w:numPr>
          <w:ilvl w:val="0"/>
          <w:numId w:val="19"/>
        </w:numPr>
        <w:autoSpaceDE w:val="0"/>
        <w:autoSpaceDN w:val="0"/>
        <w:adjustRightInd w:val="0"/>
        <w:spacing w:after="0" w:line="240" w:lineRule="auto"/>
        <w:jc w:val="both"/>
        <w:rPr>
          <w:rFonts w:ascii="Arial" w:hAnsi="Arial" w:cs="Arial"/>
          <w:i/>
          <w:szCs w:val="24"/>
        </w:rPr>
      </w:pPr>
      <w:r>
        <w:rPr>
          <w:rFonts w:ascii="Arial" w:hAnsi="Arial" w:cs="Arial"/>
          <w:i/>
          <w:szCs w:val="24"/>
        </w:rPr>
        <w:t>Domains values available, for data zones</w:t>
      </w:r>
    </w:p>
    <w:p w:rsidR="006717B1" w:rsidRDefault="006717B1" w:rsidP="006717B1">
      <w:pPr>
        <w:pStyle w:val="ListParagraph"/>
        <w:numPr>
          <w:ilvl w:val="0"/>
          <w:numId w:val="19"/>
        </w:numPr>
        <w:autoSpaceDE w:val="0"/>
        <w:autoSpaceDN w:val="0"/>
        <w:adjustRightInd w:val="0"/>
        <w:spacing w:after="0" w:line="240" w:lineRule="auto"/>
        <w:jc w:val="both"/>
        <w:rPr>
          <w:rFonts w:ascii="Arial" w:hAnsi="Arial" w:cs="Arial"/>
          <w:i/>
          <w:szCs w:val="24"/>
        </w:rPr>
      </w:pPr>
      <w:r>
        <w:rPr>
          <w:rFonts w:ascii="Arial" w:hAnsi="Arial" w:cs="Arial"/>
          <w:i/>
          <w:szCs w:val="24"/>
        </w:rPr>
        <w:t>Relatively robust because it mostly add rates or counts for several complementary phenomena and because shrinkage techniques are applied to give some stability to DZ values</w:t>
      </w:r>
    </w:p>
    <w:p w:rsidR="006717B1" w:rsidRDefault="006717B1" w:rsidP="006717B1">
      <w:pPr>
        <w:pStyle w:val="ListParagraph"/>
        <w:autoSpaceDE w:val="0"/>
        <w:autoSpaceDN w:val="0"/>
        <w:adjustRightInd w:val="0"/>
        <w:spacing w:after="0" w:line="240" w:lineRule="auto"/>
        <w:jc w:val="both"/>
        <w:rPr>
          <w:rFonts w:ascii="Arial" w:hAnsi="Arial" w:cs="Arial"/>
          <w:i/>
          <w:szCs w:val="24"/>
        </w:rPr>
      </w:pPr>
    </w:p>
    <w:p w:rsidR="006717B1" w:rsidRDefault="006717B1" w:rsidP="006717B1">
      <w:pPr>
        <w:autoSpaceDE w:val="0"/>
        <w:autoSpaceDN w:val="0"/>
        <w:adjustRightInd w:val="0"/>
        <w:spacing w:after="0" w:line="240" w:lineRule="auto"/>
        <w:jc w:val="both"/>
        <w:rPr>
          <w:rFonts w:ascii="Arial" w:hAnsi="Arial" w:cs="Arial"/>
          <w:i/>
          <w:szCs w:val="24"/>
        </w:rPr>
      </w:pPr>
      <w:r>
        <w:rPr>
          <w:rFonts w:ascii="Arial" w:hAnsi="Arial" w:cs="Arial"/>
          <w:i/>
          <w:szCs w:val="24"/>
        </w:rPr>
        <w:t>There are several potential weaknesses, some of which are common to most multiple domain measures.</w:t>
      </w:r>
    </w:p>
    <w:p w:rsidR="006717B1" w:rsidRDefault="006717B1" w:rsidP="006717B1">
      <w:pPr>
        <w:autoSpaceDE w:val="0"/>
        <w:autoSpaceDN w:val="0"/>
        <w:adjustRightInd w:val="0"/>
        <w:spacing w:after="0" w:line="240" w:lineRule="auto"/>
        <w:jc w:val="both"/>
        <w:rPr>
          <w:rFonts w:ascii="Arial" w:hAnsi="Arial" w:cs="Arial"/>
          <w:i/>
          <w:szCs w:val="24"/>
        </w:rPr>
      </w:pPr>
    </w:p>
    <w:p w:rsidR="006717B1" w:rsidRDefault="006717B1" w:rsidP="006717B1">
      <w:pPr>
        <w:pStyle w:val="ListParagraph"/>
        <w:numPr>
          <w:ilvl w:val="0"/>
          <w:numId w:val="20"/>
        </w:numPr>
        <w:autoSpaceDE w:val="0"/>
        <w:autoSpaceDN w:val="0"/>
        <w:adjustRightInd w:val="0"/>
        <w:spacing w:after="0" w:line="240" w:lineRule="auto"/>
        <w:jc w:val="both"/>
        <w:rPr>
          <w:rFonts w:ascii="Arial" w:hAnsi="Arial" w:cs="Arial"/>
          <w:i/>
          <w:szCs w:val="24"/>
        </w:rPr>
      </w:pPr>
      <w:r>
        <w:rPr>
          <w:rFonts w:ascii="Arial" w:hAnsi="Arial" w:cs="Arial"/>
          <w:i/>
          <w:szCs w:val="24"/>
        </w:rPr>
        <w:t>Although periodically updated, measures such as SIMD tend to change components or definitions at each update. There may be quite legitimate reasons for these changes, such as changes in the availability, or definition, of the data sources, especially relating to claimant counts.</w:t>
      </w:r>
    </w:p>
    <w:p w:rsidR="006717B1" w:rsidRDefault="006717B1" w:rsidP="006717B1">
      <w:pPr>
        <w:pStyle w:val="ListParagraph"/>
        <w:numPr>
          <w:ilvl w:val="0"/>
          <w:numId w:val="20"/>
        </w:numPr>
        <w:autoSpaceDE w:val="0"/>
        <w:autoSpaceDN w:val="0"/>
        <w:adjustRightInd w:val="0"/>
        <w:spacing w:after="0" w:line="240" w:lineRule="auto"/>
        <w:jc w:val="both"/>
        <w:rPr>
          <w:rFonts w:ascii="Arial" w:hAnsi="Arial" w:cs="Arial"/>
          <w:i/>
          <w:szCs w:val="24"/>
        </w:rPr>
      </w:pPr>
      <w:r>
        <w:rPr>
          <w:rFonts w:ascii="Arial" w:hAnsi="Arial" w:cs="Arial"/>
          <w:i/>
          <w:szCs w:val="24"/>
        </w:rPr>
        <w:lastRenderedPageBreak/>
        <w:t>Although updating with different and improved data may be of benefit when planning local services or identifying neighbourhoods for targeted action, this can be unhelpful for allocation modelling as models have to be re-run and recalibrated when data sources are changed – and significant changes in allocations can result.</w:t>
      </w:r>
    </w:p>
    <w:p w:rsidR="006717B1" w:rsidRDefault="006717B1" w:rsidP="006717B1">
      <w:pPr>
        <w:pStyle w:val="ListParagraph"/>
        <w:numPr>
          <w:ilvl w:val="0"/>
          <w:numId w:val="20"/>
        </w:numPr>
        <w:autoSpaceDE w:val="0"/>
        <w:autoSpaceDN w:val="0"/>
        <w:adjustRightInd w:val="0"/>
        <w:spacing w:after="0" w:line="240" w:lineRule="auto"/>
        <w:jc w:val="both"/>
        <w:rPr>
          <w:rFonts w:ascii="Arial" w:hAnsi="Arial" w:cs="Arial"/>
          <w:i/>
          <w:szCs w:val="24"/>
        </w:rPr>
      </w:pPr>
      <w:r>
        <w:rPr>
          <w:rFonts w:ascii="Arial" w:hAnsi="Arial" w:cs="Arial"/>
          <w:i/>
          <w:szCs w:val="24"/>
        </w:rPr>
        <w:t>Regular updating (without changes of definition) can be complex because of the shrinkage techniques and the difficulties of acquiring some of the data sources.</w:t>
      </w:r>
    </w:p>
    <w:p w:rsidR="006717B1" w:rsidRDefault="006717B1" w:rsidP="006717B1">
      <w:pPr>
        <w:pStyle w:val="ListParagraph"/>
        <w:numPr>
          <w:ilvl w:val="0"/>
          <w:numId w:val="20"/>
        </w:numPr>
        <w:autoSpaceDE w:val="0"/>
        <w:autoSpaceDN w:val="0"/>
        <w:adjustRightInd w:val="0"/>
        <w:spacing w:after="0" w:line="240" w:lineRule="auto"/>
        <w:jc w:val="both"/>
        <w:rPr>
          <w:rFonts w:ascii="Arial" w:hAnsi="Arial" w:cs="Arial"/>
          <w:i/>
          <w:szCs w:val="24"/>
        </w:rPr>
      </w:pPr>
      <w:r>
        <w:rPr>
          <w:rFonts w:ascii="Arial" w:hAnsi="Arial" w:cs="Arial"/>
          <w:i/>
          <w:szCs w:val="24"/>
        </w:rPr>
        <w:t>They are complex to construct.</w:t>
      </w:r>
    </w:p>
    <w:p w:rsidR="006717B1" w:rsidRDefault="006717B1" w:rsidP="006717B1">
      <w:pPr>
        <w:pStyle w:val="ListParagraph"/>
        <w:numPr>
          <w:ilvl w:val="0"/>
          <w:numId w:val="20"/>
        </w:numPr>
        <w:autoSpaceDE w:val="0"/>
        <w:autoSpaceDN w:val="0"/>
        <w:adjustRightInd w:val="0"/>
        <w:spacing w:after="0" w:line="240" w:lineRule="auto"/>
        <w:jc w:val="both"/>
        <w:rPr>
          <w:rFonts w:ascii="Arial" w:hAnsi="Arial" w:cs="Arial"/>
          <w:i/>
          <w:szCs w:val="24"/>
        </w:rPr>
      </w:pPr>
      <w:r>
        <w:rPr>
          <w:rFonts w:ascii="Arial" w:hAnsi="Arial" w:cs="Arial"/>
          <w:i/>
          <w:szCs w:val="24"/>
        </w:rPr>
        <w:t>The weights used to construct both the domain and the overall scores can be open to question.</w:t>
      </w:r>
    </w:p>
    <w:p w:rsidR="006717B1" w:rsidRPr="00D57463" w:rsidRDefault="006717B1" w:rsidP="006717B1">
      <w:pPr>
        <w:pStyle w:val="ListParagraph"/>
        <w:autoSpaceDE w:val="0"/>
        <w:autoSpaceDN w:val="0"/>
        <w:adjustRightInd w:val="0"/>
        <w:spacing w:after="0" w:line="240" w:lineRule="auto"/>
        <w:jc w:val="both"/>
        <w:rPr>
          <w:rFonts w:ascii="Arial" w:hAnsi="Arial" w:cs="Arial"/>
          <w:i/>
          <w:szCs w:val="24"/>
        </w:rPr>
      </w:pPr>
    </w:p>
    <w:p w:rsidR="006717B1" w:rsidRPr="00D57463" w:rsidRDefault="006717B1" w:rsidP="006717B1">
      <w:pPr>
        <w:autoSpaceDE w:val="0"/>
        <w:autoSpaceDN w:val="0"/>
        <w:adjustRightInd w:val="0"/>
        <w:spacing w:after="0" w:line="240" w:lineRule="auto"/>
        <w:jc w:val="both"/>
        <w:rPr>
          <w:rFonts w:ascii="Arial" w:hAnsi="Arial" w:cs="Arial"/>
          <w:i/>
          <w:szCs w:val="24"/>
        </w:rPr>
      </w:pPr>
      <w:r w:rsidRPr="00D57463">
        <w:rPr>
          <w:rFonts w:ascii="Arial" w:hAnsi="Arial" w:cs="Arial"/>
          <w:i/>
          <w:szCs w:val="24"/>
        </w:rPr>
        <w:t>It is also worth noting that the SIMD scores have not been computed for intermediate data zones. Although these values can be aggregated from the published data zone scores, as we have done for some of our exploratory analyses, this is not a strictly valid procedure as the index includes a number of non-linear transformations of component scores. For this reason, and for greater transparency, we will prefer to use individual variables (some of which are used in the SIMD domains) as components of the proposed indexes, rather than the SIMD scores.</w:t>
      </w:r>
      <w:r>
        <w:rPr>
          <w:rFonts w:ascii="Arial" w:hAnsi="Arial" w:cs="Arial"/>
          <w:i/>
          <w:szCs w:val="24"/>
        </w:rPr>
        <w:t>”</w:t>
      </w:r>
    </w:p>
    <w:p w:rsidR="006717B1" w:rsidRDefault="006717B1" w:rsidP="006717B1">
      <w:pPr>
        <w:spacing w:after="0"/>
        <w:jc w:val="both"/>
        <w:rPr>
          <w:rFonts w:ascii="Arial" w:hAnsi="Arial" w:cs="Arial"/>
        </w:rPr>
      </w:pPr>
    </w:p>
    <w:p w:rsidR="006717B1" w:rsidRDefault="006717B1" w:rsidP="006717B1">
      <w:pPr>
        <w:spacing w:after="0"/>
        <w:jc w:val="both"/>
        <w:rPr>
          <w:rFonts w:ascii="Arial" w:hAnsi="Arial" w:cs="Arial"/>
          <w:szCs w:val="24"/>
        </w:rPr>
      </w:pPr>
      <w:r>
        <w:rPr>
          <w:rFonts w:ascii="Arial" w:hAnsi="Arial" w:cs="Arial"/>
        </w:rPr>
        <w:t xml:space="preserve">The weaknesses of the SIMD overall score and the SIMD domain scores </w:t>
      </w:r>
      <w:r w:rsidR="00C65410">
        <w:rPr>
          <w:rFonts w:ascii="Arial" w:hAnsi="Arial" w:cs="Arial"/>
        </w:rPr>
        <w:t xml:space="preserve">listed in the quotation above </w:t>
      </w:r>
      <w:r>
        <w:rPr>
          <w:rFonts w:ascii="Arial" w:hAnsi="Arial" w:cs="Arial"/>
        </w:rPr>
        <w:t xml:space="preserve">formed a strong basis for not using SIMD scores in </w:t>
      </w:r>
      <w:r w:rsidR="00C65410">
        <w:rPr>
          <w:rFonts w:ascii="Arial" w:hAnsi="Arial" w:cs="Arial"/>
        </w:rPr>
        <w:t xml:space="preserve">the </w:t>
      </w:r>
      <w:r>
        <w:rPr>
          <w:rFonts w:ascii="Arial" w:hAnsi="Arial" w:cs="Arial"/>
        </w:rPr>
        <w:t xml:space="preserve">NRAC 2007 Review. However, subsequent developments and discussions with the </w:t>
      </w:r>
      <w:r w:rsidR="006C4B13">
        <w:rPr>
          <w:rFonts w:ascii="Arial" w:hAnsi="Arial" w:cs="Arial"/>
        </w:rPr>
        <w:t xml:space="preserve">Scottish Government </w:t>
      </w:r>
      <w:r>
        <w:rPr>
          <w:rFonts w:ascii="Arial" w:hAnsi="Arial" w:cs="Arial"/>
        </w:rPr>
        <w:t>SIMD team may change this picture to some extent. The changes described above to the components of SIMD</w:t>
      </w:r>
      <w:r w:rsidRPr="00275404">
        <w:rPr>
          <w:rFonts w:ascii="Arial" w:hAnsi="Arial" w:cs="Arial"/>
          <w:i/>
          <w:szCs w:val="24"/>
        </w:rPr>
        <w:t xml:space="preserve"> </w:t>
      </w:r>
      <w:r w:rsidRPr="00275404">
        <w:rPr>
          <w:rFonts w:ascii="Arial" w:hAnsi="Arial" w:cs="Arial"/>
          <w:szCs w:val="24"/>
        </w:rPr>
        <w:t>are usually due to improvements in data quality or availability and are in line with the long term strategy for improvements</w:t>
      </w:r>
      <w:r>
        <w:rPr>
          <w:rFonts w:ascii="Arial" w:hAnsi="Arial" w:cs="Arial"/>
          <w:szCs w:val="24"/>
        </w:rPr>
        <w:t xml:space="preserve">; the requirement for stability is a common one among applications of SIMD, and so this is </w:t>
      </w:r>
      <w:r w:rsidR="00C65410">
        <w:rPr>
          <w:rFonts w:ascii="Arial" w:hAnsi="Arial" w:cs="Arial"/>
          <w:szCs w:val="24"/>
        </w:rPr>
        <w:t xml:space="preserve">actually </w:t>
      </w:r>
      <w:r>
        <w:rPr>
          <w:rFonts w:ascii="Arial" w:hAnsi="Arial" w:cs="Arial"/>
          <w:szCs w:val="24"/>
        </w:rPr>
        <w:t xml:space="preserve">incorporated in any updates to SIMD. The overall SIMD scores (although perhaps not the individual domain indicators) are ensured to be relatively stable. The shrinkage techniques referred to above were removed for the 2012 version of SIMD, although it is not certain that this will not be reintroduced in 2016. While the weights used to combine the multiple domains may be open to question, </w:t>
      </w:r>
      <w:r w:rsidR="00C65410">
        <w:rPr>
          <w:rFonts w:ascii="Arial" w:hAnsi="Arial" w:cs="Arial"/>
          <w:szCs w:val="24"/>
        </w:rPr>
        <w:t xml:space="preserve">arguably </w:t>
      </w:r>
      <w:r>
        <w:rPr>
          <w:rFonts w:ascii="Arial" w:hAnsi="Arial" w:cs="Arial"/>
          <w:szCs w:val="24"/>
        </w:rPr>
        <w:t xml:space="preserve">SIMD is a well-established and well-reviewed instrument for measuring deprivation in multiple categories through a single index, and may therefore perform better than ad-hoc indices based on measures and recording techniques that may be less stable over time. On the other hand, the difficulty in aggregating from </w:t>
      </w:r>
      <w:r w:rsidR="001B4E79">
        <w:rPr>
          <w:rFonts w:ascii="Arial" w:hAnsi="Arial" w:cs="Arial"/>
          <w:szCs w:val="24"/>
        </w:rPr>
        <w:t>Data Zone</w:t>
      </w:r>
      <w:r>
        <w:rPr>
          <w:rFonts w:ascii="Arial" w:hAnsi="Arial" w:cs="Arial"/>
          <w:szCs w:val="24"/>
        </w:rPr>
        <w:t xml:space="preserve">s to </w:t>
      </w:r>
      <w:r w:rsidR="001B4E79">
        <w:rPr>
          <w:rFonts w:ascii="Arial" w:hAnsi="Arial" w:cs="Arial"/>
          <w:szCs w:val="24"/>
        </w:rPr>
        <w:t>Intermediate Zone</w:t>
      </w:r>
      <w:r>
        <w:rPr>
          <w:rFonts w:ascii="Arial" w:hAnsi="Arial" w:cs="Arial"/>
          <w:szCs w:val="24"/>
        </w:rPr>
        <w:t>s remains</w:t>
      </w:r>
      <w:r w:rsidR="00C65410">
        <w:rPr>
          <w:rFonts w:ascii="Arial" w:hAnsi="Arial" w:cs="Arial"/>
          <w:szCs w:val="24"/>
        </w:rPr>
        <w:t xml:space="preserve"> (but this is addressed further in section 3.2 below)</w:t>
      </w:r>
      <w:r>
        <w:rPr>
          <w:rFonts w:ascii="Arial" w:hAnsi="Arial" w:cs="Arial"/>
          <w:szCs w:val="24"/>
        </w:rPr>
        <w:t>.</w:t>
      </w:r>
    </w:p>
    <w:p w:rsidR="006717B1" w:rsidRDefault="006717B1" w:rsidP="006717B1">
      <w:pPr>
        <w:spacing w:after="0"/>
        <w:jc w:val="both"/>
        <w:rPr>
          <w:rFonts w:ascii="Arial" w:hAnsi="Arial" w:cs="Arial"/>
          <w:szCs w:val="24"/>
        </w:rPr>
      </w:pPr>
    </w:p>
    <w:p w:rsidR="006717B1" w:rsidRPr="009736B0" w:rsidRDefault="006717B1" w:rsidP="006717B1">
      <w:pPr>
        <w:spacing w:after="0"/>
        <w:jc w:val="both"/>
        <w:rPr>
          <w:rFonts w:ascii="Arial" w:hAnsi="Arial" w:cs="Arial"/>
        </w:rPr>
      </w:pPr>
      <w:r w:rsidRPr="009736B0">
        <w:rPr>
          <w:rFonts w:ascii="Arial" w:hAnsi="Arial" w:cs="Arial"/>
          <w:b/>
        </w:rPr>
        <w:t xml:space="preserve">Mental Health and Learning Difficulties MLC 2011-12 Review </w:t>
      </w:r>
    </w:p>
    <w:p w:rsidR="006717B1" w:rsidRDefault="006717B1" w:rsidP="006717B1">
      <w:pPr>
        <w:spacing w:after="0"/>
        <w:jc w:val="both"/>
        <w:rPr>
          <w:rFonts w:ascii="Arial" w:hAnsi="Arial" w:cs="Arial"/>
        </w:rPr>
      </w:pPr>
    </w:p>
    <w:p w:rsidR="00A40EE2" w:rsidRPr="00415E88" w:rsidRDefault="00A40EE2" w:rsidP="006717B1">
      <w:pPr>
        <w:spacing w:after="0"/>
        <w:jc w:val="both"/>
        <w:rPr>
          <w:rFonts w:ascii="Arial" w:hAnsi="Arial" w:cs="Arial"/>
        </w:rPr>
      </w:pPr>
      <w:r>
        <w:rPr>
          <w:rFonts w:ascii="Arial" w:hAnsi="Arial" w:cs="Arial"/>
        </w:rPr>
        <w:t xml:space="preserve">The </w:t>
      </w:r>
      <w:r w:rsidR="006717B1" w:rsidRPr="00415E88">
        <w:rPr>
          <w:rFonts w:ascii="Arial" w:hAnsi="Arial" w:cs="Arial"/>
        </w:rPr>
        <w:t>review of the Mental Health and Learning Difficulties (MH and LD) component of the MLC part of the formula, which commenced in July 2011 and was finalised in December 2012, chose two of the SIMD domain scores as needs indicators for the under 65 age cohort – Employment and Crime</w:t>
      </w:r>
      <w:r w:rsidR="006717B1" w:rsidRPr="00415E88">
        <w:rPr>
          <w:rStyle w:val="FootnoteReference"/>
          <w:rFonts w:ascii="Arial" w:hAnsi="Arial" w:cs="Arial"/>
        </w:rPr>
        <w:footnoteReference w:id="2"/>
      </w:r>
      <w:r w:rsidR="006717B1" w:rsidRPr="00415E88">
        <w:rPr>
          <w:rFonts w:ascii="Arial" w:hAnsi="Arial" w:cs="Arial"/>
        </w:rPr>
        <w:t>. SIMD 2009 domain scores were used in the review, since SIMD 2012 was not published until December 2012. However, as shown in Table 1, high correlation coefficients are seen between SIMD 2012 and SIMD 2009 domain scores, particularly for the overall index</w:t>
      </w:r>
      <w:r w:rsidR="00B82748">
        <w:rPr>
          <w:rStyle w:val="FootnoteReference"/>
          <w:rFonts w:ascii="Arial" w:hAnsi="Arial" w:cs="Arial"/>
        </w:rPr>
        <w:footnoteReference w:id="3"/>
      </w:r>
      <w:r w:rsidR="006717B1" w:rsidRPr="00415E88">
        <w:rPr>
          <w:rFonts w:ascii="Arial" w:hAnsi="Arial" w:cs="Arial"/>
        </w:rPr>
        <w:t>. This implies that if SIMD 2012 data could have been used for the MH and LD MLC Review, the results are likely to have been similar. I</w:t>
      </w:r>
      <w:r w:rsidR="00C65410">
        <w:rPr>
          <w:rFonts w:ascii="Arial" w:hAnsi="Arial" w:cs="Arial"/>
        </w:rPr>
        <w:t xml:space="preserve">n the present </w:t>
      </w:r>
      <w:r w:rsidR="00C65410">
        <w:rPr>
          <w:rFonts w:ascii="Arial" w:hAnsi="Arial" w:cs="Arial"/>
        </w:rPr>
        <w:lastRenderedPageBreak/>
        <w:t>context, i</w:t>
      </w:r>
      <w:r w:rsidR="006717B1" w:rsidRPr="00415E88">
        <w:rPr>
          <w:rFonts w:ascii="Arial" w:hAnsi="Arial" w:cs="Arial"/>
        </w:rPr>
        <w:t xml:space="preserve">t could also be taken to suggest that using SIMD 2012 instead of SIMD 2016 may be unlikely to change significantly the Acute MLC Review outcomes. </w:t>
      </w:r>
      <w:r w:rsidR="00C65410">
        <w:rPr>
          <w:rFonts w:ascii="Arial" w:hAnsi="Arial" w:cs="Arial"/>
        </w:rPr>
        <w:t xml:space="preserve">However, this can only be taken as indicative, as </w:t>
      </w:r>
      <w:r w:rsidR="00C65410" w:rsidRPr="00C65410">
        <w:rPr>
          <w:rFonts w:ascii="Arial" w:hAnsi="Arial" w:cs="Arial"/>
        </w:rPr>
        <w:t xml:space="preserve">correlation coefficients between </w:t>
      </w:r>
      <w:r w:rsidR="00C65410">
        <w:rPr>
          <w:rFonts w:ascii="Arial" w:hAnsi="Arial" w:cs="Arial"/>
        </w:rPr>
        <w:t>ranks (rather than scores</w:t>
      </w:r>
      <w:r w:rsidR="00C65410" w:rsidRPr="00C65410">
        <w:rPr>
          <w:rFonts w:ascii="Arial" w:hAnsi="Arial" w:cs="Arial"/>
        </w:rPr>
        <w:t>)</w:t>
      </w:r>
      <w:r w:rsidR="00C65410">
        <w:rPr>
          <w:rFonts w:ascii="Arial" w:hAnsi="Arial" w:cs="Arial"/>
        </w:rPr>
        <w:t xml:space="preserve"> are difficult to interpret in a precise way.</w:t>
      </w:r>
    </w:p>
    <w:p w:rsidR="006717B1" w:rsidRDefault="006717B1" w:rsidP="006717B1">
      <w:pPr>
        <w:spacing w:after="0"/>
        <w:jc w:val="both"/>
        <w:rPr>
          <w:rFonts w:ascii="Arial" w:hAnsi="Arial" w:cs="Arial"/>
        </w:rPr>
      </w:pPr>
    </w:p>
    <w:p w:rsidR="006717B1" w:rsidRDefault="006717B1" w:rsidP="006717B1">
      <w:pPr>
        <w:spacing w:after="0"/>
        <w:jc w:val="both"/>
        <w:rPr>
          <w:rFonts w:ascii="Arial" w:hAnsi="Arial" w:cs="Arial"/>
          <w:i/>
        </w:rPr>
      </w:pPr>
      <w:r>
        <w:rPr>
          <w:rFonts w:ascii="Arial" w:hAnsi="Arial" w:cs="Arial"/>
          <w:i/>
        </w:rPr>
        <w:t>Table 1: Pearson’s correlations between SIMD 2009 ranks and SIMD 2012 ranks</w:t>
      </w:r>
    </w:p>
    <w:p w:rsidR="006717B1" w:rsidRDefault="006717B1" w:rsidP="006717B1">
      <w:pPr>
        <w:spacing w:after="0"/>
        <w:jc w:val="both"/>
        <w:rPr>
          <w:rFonts w:ascii="Arial" w:hAnsi="Arial" w:cs="Arial"/>
        </w:rPr>
      </w:pPr>
      <w:r>
        <w:rPr>
          <w:noProof/>
          <w:lang w:eastAsia="en-GB"/>
        </w:rPr>
        <w:drawing>
          <wp:inline distT="0" distB="0" distL="0" distR="0">
            <wp:extent cx="5276850" cy="3248025"/>
            <wp:effectExtent l="19050" t="0" r="0" b="0"/>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5276850" cy="3248025"/>
                    </a:xfrm>
                    <a:prstGeom prst="rect">
                      <a:avLst/>
                    </a:prstGeom>
                    <a:noFill/>
                    <a:ln w="9525">
                      <a:noFill/>
                      <a:miter lim="800000"/>
                      <a:headEnd/>
                      <a:tailEnd/>
                    </a:ln>
                  </pic:spPr>
                </pic:pic>
              </a:graphicData>
            </a:graphic>
          </wp:inline>
        </w:drawing>
      </w:r>
      <w:r>
        <w:rPr>
          <w:rFonts w:ascii="Arial" w:hAnsi="Arial" w:cs="Arial"/>
        </w:rPr>
        <w:br/>
      </w:r>
    </w:p>
    <w:p w:rsidR="006717B1" w:rsidRDefault="00A40EE2" w:rsidP="006717B1">
      <w:pPr>
        <w:spacing w:after="0"/>
        <w:jc w:val="both"/>
        <w:rPr>
          <w:rFonts w:ascii="Arial" w:hAnsi="Arial" w:cs="Arial"/>
        </w:rPr>
      </w:pPr>
      <w:r>
        <w:rPr>
          <w:rFonts w:ascii="Arial" w:hAnsi="Arial" w:cs="Arial"/>
        </w:rPr>
        <w:t xml:space="preserve">Within the </w:t>
      </w:r>
      <w:r w:rsidRPr="00415E88">
        <w:rPr>
          <w:rFonts w:ascii="Arial" w:hAnsi="Arial" w:cs="Arial"/>
        </w:rPr>
        <w:t>MH and LD</w:t>
      </w:r>
      <w:r w:rsidR="00B80546">
        <w:rPr>
          <w:rFonts w:ascii="Arial" w:hAnsi="Arial" w:cs="Arial"/>
        </w:rPr>
        <w:t xml:space="preserve"> MLC review, </w:t>
      </w:r>
      <w:r w:rsidR="001B4E79">
        <w:rPr>
          <w:rFonts w:ascii="Arial" w:hAnsi="Arial" w:cs="Arial"/>
        </w:rPr>
        <w:t>Intermediate Zone</w:t>
      </w:r>
      <w:r w:rsidR="006717B1">
        <w:rPr>
          <w:rFonts w:ascii="Arial" w:hAnsi="Arial" w:cs="Arial"/>
        </w:rPr>
        <w:t xml:space="preserve">s were chosen as the geographical unit; however, SIMD scores are only calculated at </w:t>
      </w:r>
      <w:r w:rsidR="001B4E79">
        <w:rPr>
          <w:rFonts w:ascii="Arial" w:hAnsi="Arial" w:cs="Arial"/>
        </w:rPr>
        <w:t>Data Zone</w:t>
      </w:r>
      <w:r w:rsidR="006717B1">
        <w:rPr>
          <w:rFonts w:ascii="Arial" w:hAnsi="Arial" w:cs="Arial"/>
        </w:rPr>
        <w:t xml:space="preserve"> level. The method used in the MH and LD MLC Review to aggregate </w:t>
      </w:r>
      <w:r w:rsidR="001B4E79">
        <w:rPr>
          <w:rFonts w:ascii="Arial" w:hAnsi="Arial" w:cs="Arial"/>
        </w:rPr>
        <w:t>Data Zone</w:t>
      </w:r>
      <w:r w:rsidR="006717B1">
        <w:rPr>
          <w:rFonts w:ascii="Arial" w:hAnsi="Arial" w:cs="Arial"/>
        </w:rPr>
        <w:t xml:space="preserve"> SIMD 2009 domain scores to intermediate geographies was as follows:</w:t>
      </w:r>
    </w:p>
    <w:p w:rsidR="006717B1" w:rsidRDefault="006717B1" w:rsidP="006717B1">
      <w:pPr>
        <w:spacing w:after="0"/>
        <w:jc w:val="both"/>
        <w:rPr>
          <w:rFonts w:ascii="Arial" w:hAnsi="Arial" w:cs="Arial"/>
        </w:rPr>
      </w:pPr>
    </w:p>
    <w:p w:rsidR="006717B1" w:rsidRDefault="006717B1" w:rsidP="006717B1">
      <w:pPr>
        <w:pStyle w:val="ListParagraph"/>
        <w:numPr>
          <w:ilvl w:val="0"/>
          <w:numId w:val="18"/>
        </w:numPr>
        <w:spacing w:after="0"/>
        <w:jc w:val="both"/>
        <w:rPr>
          <w:rFonts w:ascii="Arial" w:hAnsi="Arial" w:cs="Arial"/>
        </w:rPr>
      </w:pPr>
      <w:r>
        <w:rPr>
          <w:rFonts w:ascii="Arial" w:hAnsi="Arial" w:cs="Arial"/>
        </w:rPr>
        <w:t xml:space="preserve">For each </w:t>
      </w:r>
      <w:r w:rsidR="001B4E79">
        <w:rPr>
          <w:rFonts w:ascii="Arial" w:hAnsi="Arial" w:cs="Arial"/>
        </w:rPr>
        <w:t>Data Zone</w:t>
      </w:r>
      <w:r>
        <w:rPr>
          <w:rFonts w:ascii="Arial" w:hAnsi="Arial" w:cs="Arial"/>
        </w:rPr>
        <w:t xml:space="preserve"> multiply the domain score by the mid year estimate of the population of the </w:t>
      </w:r>
      <w:r w:rsidR="001B4E79">
        <w:rPr>
          <w:rFonts w:ascii="Arial" w:hAnsi="Arial" w:cs="Arial"/>
        </w:rPr>
        <w:t>Data Zone</w:t>
      </w:r>
    </w:p>
    <w:p w:rsidR="006717B1" w:rsidRDefault="006717B1" w:rsidP="006717B1">
      <w:pPr>
        <w:pStyle w:val="ListParagraph"/>
        <w:numPr>
          <w:ilvl w:val="0"/>
          <w:numId w:val="18"/>
        </w:numPr>
        <w:spacing w:after="0"/>
        <w:jc w:val="both"/>
        <w:rPr>
          <w:rFonts w:ascii="Arial" w:hAnsi="Arial" w:cs="Arial"/>
        </w:rPr>
      </w:pPr>
      <w:r>
        <w:rPr>
          <w:rFonts w:ascii="Arial" w:hAnsi="Arial" w:cs="Arial"/>
        </w:rPr>
        <w:t xml:space="preserve">Sum the products from step 1 for all </w:t>
      </w:r>
      <w:r w:rsidR="001B4E79">
        <w:rPr>
          <w:rFonts w:ascii="Arial" w:hAnsi="Arial" w:cs="Arial"/>
        </w:rPr>
        <w:t>Data Zone</w:t>
      </w:r>
      <w:r>
        <w:rPr>
          <w:rFonts w:ascii="Arial" w:hAnsi="Arial" w:cs="Arial"/>
        </w:rPr>
        <w:t>s within each intermediate geography</w:t>
      </w:r>
    </w:p>
    <w:p w:rsidR="006717B1" w:rsidRDefault="006717B1" w:rsidP="006717B1">
      <w:pPr>
        <w:pStyle w:val="ListParagraph"/>
        <w:numPr>
          <w:ilvl w:val="0"/>
          <w:numId w:val="18"/>
        </w:numPr>
        <w:spacing w:after="0"/>
        <w:jc w:val="both"/>
        <w:rPr>
          <w:rFonts w:ascii="Arial" w:hAnsi="Arial" w:cs="Arial"/>
        </w:rPr>
      </w:pPr>
      <w:r>
        <w:rPr>
          <w:rFonts w:ascii="Arial" w:hAnsi="Arial" w:cs="Arial"/>
        </w:rPr>
        <w:t>Divide the result from step 2 by the population of each intermediate geography</w:t>
      </w:r>
    </w:p>
    <w:p w:rsidR="006717B1" w:rsidRDefault="006717B1" w:rsidP="006717B1">
      <w:pPr>
        <w:pStyle w:val="ListParagraph"/>
        <w:spacing w:after="0"/>
        <w:jc w:val="both"/>
        <w:rPr>
          <w:rFonts w:ascii="Arial" w:hAnsi="Arial" w:cs="Arial"/>
        </w:rPr>
      </w:pPr>
    </w:p>
    <w:p w:rsidR="006717B1" w:rsidRDefault="006717B1" w:rsidP="006717B1">
      <w:pPr>
        <w:spacing w:after="0"/>
        <w:jc w:val="both"/>
        <w:rPr>
          <w:rFonts w:ascii="Arial" w:hAnsi="Arial" w:cs="Arial"/>
        </w:rPr>
      </w:pPr>
      <w:r>
        <w:rPr>
          <w:rFonts w:ascii="Arial" w:hAnsi="Arial" w:cs="Arial"/>
        </w:rPr>
        <w:t xml:space="preserve">In short, the method used the population as </w:t>
      </w:r>
      <w:r w:rsidR="00C65410">
        <w:rPr>
          <w:rFonts w:ascii="Arial" w:hAnsi="Arial" w:cs="Arial"/>
        </w:rPr>
        <w:t xml:space="preserve">a </w:t>
      </w:r>
      <w:r>
        <w:rPr>
          <w:rFonts w:ascii="Arial" w:hAnsi="Arial" w:cs="Arial"/>
        </w:rPr>
        <w:t xml:space="preserve">weight to aggregate the SIMD domain scores from </w:t>
      </w:r>
      <w:r w:rsidR="001B4E79">
        <w:rPr>
          <w:rFonts w:ascii="Arial" w:hAnsi="Arial" w:cs="Arial"/>
        </w:rPr>
        <w:t>Data Zone</w:t>
      </w:r>
      <w:r>
        <w:rPr>
          <w:rFonts w:ascii="Arial" w:hAnsi="Arial" w:cs="Arial"/>
        </w:rPr>
        <w:t xml:space="preserve">s to intermediate geographies. One issue with this, in addition to those noted in the NRAC 2007 Review above regarding geographical aggregation, is that the employment domain scores are calculated by Department for Work and Pensions using </w:t>
      </w:r>
      <w:r w:rsidR="001B4E79">
        <w:rPr>
          <w:rFonts w:ascii="Arial" w:hAnsi="Arial" w:cs="Arial"/>
        </w:rPr>
        <w:t>Data Zone</w:t>
      </w:r>
      <w:r>
        <w:rPr>
          <w:rFonts w:ascii="Arial" w:hAnsi="Arial" w:cs="Arial"/>
        </w:rPr>
        <w:t xml:space="preserve"> working age population data. This means that aggregating the domain scores using the total </w:t>
      </w:r>
      <w:r w:rsidR="001B4E79">
        <w:rPr>
          <w:rFonts w:ascii="Arial" w:hAnsi="Arial" w:cs="Arial"/>
        </w:rPr>
        <w:t>Data Zone</w:t>
      </w:r>
      <w:r>
        <w:rPr>
          <w:rFonts w:ascii="Arial" w:hAnsi="Arial" w:cs="Arial"/>
        </w:rPr>
        <w:t xml:space="preserve"> population may not produce an accurate </w:t>
      </w:r>
      <w:r w:rsidR="001B4E79">
        <w:rPr>
          <w:rFonts w:ascii="Arial" w:hAnsi="Arial" w:cs="Arial"/>
        </w:rPr>
        <w:t>Intermediate Zone</w:t>
      </w:r>
      <w:r>
        <w:rPr>
          <w:rFonts w:ascii="Arial" w:hAnsi="Arial" w:cs="Arial"/>
        </w:rPr>
        <w:t xml:space="preserve"> score.</w:t>
      </w:r>
    </w:p>
    <w:p w:rsidR="006717B1" w:rsidRDefault="006717B1" w:rsidP="006717B1">
      <w:pPr>
        <w:spacing w:after="0"/>
        <w:jc w:val="both"/>
        <w:rPr>
          <w:rFonts w:ascii="Arial" w:hAnsi="Arial" w:cs="Arial"/>
        </w:rPr>
      </w:pPr>
    </w:p>
    <w:p w:rsidR="006717B1" w:rsidRDefault="006717B1" w:rsidP="006717B1">
      <w:pPr>
        <w:spacing w:after="0"/>
        <w:jc w:val="both"/>
        <w:rPr>
          <w:rFonts w:ascii="Arial" w:hAnsi="Arial" w:cs="Arial"/>
          <w:b/>
          <w:i/>
        </w:rPr>
      </w:pPr>
      <w:r>
        <w:rPr>
          <w:rFonts w:ascii="Arial" w:hAnsi="Arial" w:cs="Arial"/>
          <w:b/>
          <w:i/>
        </w:rPr>
        <w:t xml:space="preserve">3.2 </w:t>
      </w:r>
      <w:r w:rsidR="00C65410">
        <w:rPr>
          <w:rFonts w:ascii="Arial" w:hAnsi="Arial" w:cs="Arial"/>
          <w:b/>
          <w:i/>
        </w:rPr>
        <w:t>Current advice received on SIMD</w:t>
      </w:r>
    </w:p>
    <w:p w:rsidR="006717B1" w:rsidRDefault="006717B1" w:rsidP="006717B1">
      <w:pPr>
        <w:spacing w:after="0"/>
        <w:jc w:val="both"/>
        <w:rPr>
          <w:rFonts w:ascii="Arial" w:hAnsi="Arial" w:cs="Arial"/>
        </w:rPr>
      </w:pPr>
    </w:p>
    <w:p w:rsidR="006717B1" w:rsidRDefault="006717B1" w:rsidP="006717B1">
      <w:pPr>
        <w:spacing w:after="0"/>
        <w:jc w:val="both"/>
        <w:rPr>
          <w:rFonts w:ascii="Arial" w:hAnsi="Arial" w:cs="Arial"/>
        </w:rPr>
      </w:pPr>
      <w:r>
        <w:rPr>
          <w:rFonts w:ascii="Arial" w:hAnsi="Arial" w:cs="Arial"/>
        </w:rPr>
        <w:t xml:space="preserve">SIMD includes seven domains, including a health domain which contains indicators that, if used, would create a circular reference between conducting a needs assessment and directing funding towards need. </w:t>
      </w:r>
      <w:r>
        <w:rPr>
          <w:rFonts w:ascii="Arial" w:eastAsia="Times New Roman" w:hAnsi="Arial" w:cs="Arial"/>
        </w:rPr>
        <w:t xml:space="preserve">The health domain score </w:t>
      </w:r>
      <w:r>
        <w:rPr>
          <w:rFonts w:ascii="Arial" w:hAnsi="Arial" w:cs="Arial"/>
        </w:rPr>
        <w:t xml:space="preserve">will be collinear to our mortality variables. </w:t>
      </w:r>
      <w:r w:rsidR="00C65410">
        <w:rPr>
          <w:rFonts w:ascii="Arial" w:hAnsi="Arial" w:cs="Arial"/>
        </w:rPr>
        <w:t xml:space="preserve">To mitigate this, </w:t>
      </w:r>
      <w:r>
        <w:rPr>
          <w:rFonts w:ascii="Arial" w:hAnsi="Arial" w:cs="Arial"/>
        </w:rPr>
        <w:t xml:space="preserve">Scottish Government </w:t>
      </w:r>
      <w:proofErr w:type="gramStart"/>
      <w:r>
        <w:rPr>
          <w:rFonts w:ascii="Arial" w:hAnsi="Arial" w:cs="Arial"/>
        </w:rPr>
        <w:t>have</w:t>
      </w:r>
      <w:proofErr w:type="gramEnd"/>
      <w:r>
        <w:rPr>
          <w:rFonts w:ascii="Arial" w:hAnsi="Arial" w:cs="Arial"/>
        </w:rPr>
        <w:t xml:space="preserve"> proposed to develop an </w:t>
      </w:r>
      <w:r w:rsidR="00684EB3">
        <w:rPr>
          <w:rFonts w:ascii="Arial" w:hAnsi="Arial" w:cs="Arial"/>
        </w:rPr>
        <w:t xml:space="preserve">overall </w:t>
      </w:r>
      <w:r>
        <w:rPr>
          <w:rFonts w:ascii="Arial" w:hAnsi="Arial" w:cs="Arial"/>
        </w:rPr>
        <w:t>SIMD</w:t>
      </w:r>
      <w:r w:rsidR="00460EF8">
        <w:rPr>
          <w:rFonts w:ascii="Arial" w:hAnsi="Arial" w:cs="Arial"/>
        </w:rPr>
        <w:t xml:space="preserve"> </w:t>
      </w:r>
      <w:r w:rsidR="00460EF8">
        <w:rPr>
          <w:rFonts w:ascii="Arial" w:hAnsi="Arial" w:cs="Arial"/>
        </w:rPr>
        <w:lastRenderedPageBreak/>
        <w:t>rank at Data Zone level</w:t>
      </w:r>
      <w:r>
        <w:rPr>
          <w:rFonts w:ascii="Arial" w:hAnsi="Arial" w:cs="Arial"/>
        </w:rPr>
        <w:t xml:space="preserve"> without the health domain that would help remove the circularity effect. </w:t>
      </w:r>
    </w:p>
    <w:p w:rsidR="006717B1" w:rsidRDefault="006717B1" w:rsidP="006717B1">
      <w:pPr>
        <w:spacing w:after="0"/>
        <w:jc w:val="both"/>
        <w:rPr>
          <w:rFonts w:ascii="Arial" w:hAnsi="Arial" w:cs="Arial"/>
        </w:rPr>
      </w:pPr>
    </w:p>
    <w:p w:rsidR="006717B1" w:rsidRDefault="006717B1" w:rsidP="006717B1">
      <w:pPr>
        <w:spacing w:after="0"/>
        <w:jc w:val="both"/>
        <w:rPr>
          <w:rFonts w:ascii="Arial" w:hAnsi="Arial" w:cs="Arial"/>
        </w:rPr>
      </w:pPr>
      <w:r>
        <w:rPr>
          <w:rFonts w:ascii="Arial" w:hAnsi="Arial" w:cs="Arial"/>
        </w:rPr>
        <w:t xml:space="preserve">The analytical team has been informed that there is currently no valid procedure to aggregate SIMD domain scores from </w:t>
      </w:r>
      <w:r w:rsidR="001B4E79">
        <w:rPr>
          <w:rFonts w:ascii="Arial" w:hAnsi="Arial" w:cs="Arial"/>
        </w:rPr>
        <w:t>Data Zone</w:t>
      </w:r>
      <w:r>
        <w:rPr>
          <w:rFonts w:ascii="Arial" w:hAnsi="Arial" w:cs="Arial"/>
        </w:rPr>
        <w:t>s to intermediate geographies. The Scottish Government</w:t>
      </w:r>
      <w:r w:rsidR="00684EB3">
        <w:rPr>
          <w:rFonts w:ascii="Arial" w:hAnsi="Arial" w:cs="Arial"/>
        </w:rPr>
        <w:t xml:space="preserve"> SIMD team</w:t>
      </w:r>
      <w:r>
        <w:rPr>
          <w:rFonts w:ascii="Arial" w:hAnsi="Arial" w:cs="Arial"/>
        </w:rPr>
        <w:t xml:space="preserve"> have instead recommended using an approach which looks at either (1) the proportion of </w:t>
      </w:r>
      <w:r w:rsidR="001B4E79">
        <w:rPr>
          <w:rFonts w:ascii="Arial" w:hAnsi="Arial" w:cs="Arial"/>
        </w:rPr>
        <w:t>Data Zone</w:t>
      </w:r>
      <w:r>
        <w:rPr>
          <w:rFonts w:ascii="Arial" w:hAnsi="Arial" w:cs="Arial"/>
        </w:rPr>
        <w:t xml:space="preserve">s within each </w:t>
      </w:r>
      <w:r w:rsidR="001B4E79">
        <w:rPr>
          <w:rFonts w:ascii="Arial" w:hAnsi="Arial" w:cs="Arial"/>
        </w:rPr>
        <w:t>Intermediate Zone</w:t>
      </w:r>
      <w:r>
        <w:rPr>
          <w:rFonts w:ascii="Arial" w:hAnsi="Arial" w:cs="Arial"/>
        </w:rPr>
        <w:t xml:space="preserve"> that are ‘deprived’ (at some predefined deprivation level, e.g. the most deprived 15%), or (2) the ratio of the </w:t>
      </w:r>
      <w:r w:rsidR="001B4E79">
        <w:rPr>
          <w:rFonts w:ascii="Arial" w:hAnsi="Arial" w:cs="Arial"/>
        </w:rPr>
        <w:t>Intermediate Zone</w:t>
      </w:r>
      <w:r>
        <w:rPr>
          <w:rFonts w:ascii="Arial" w:hAnsi="Arial" w:cs="Arial"/>
        </w:rPr>
        <w:t xml:space="preserve">’s number of ‘deprived’ </w:t>
      </w:r>
      <w:r w:rsidR="001B4E79">
        <w:rPr>
          <w:rFonts w:ascii="Arial" w:hAnsi="Arial" w:cs="Arial"/>
        </w:rPr>
        <w:t>Data Zone</w:t>
      </w:r>
      <w:r>
        <w:rPr>
          <w:rFonts w:ascii="Arial" w:hAnsi="Arial" w:cs="Arial"/>
        </w:rPr>
        <w:t xml:space="preserve">s to the national number of ‘deprived’ zones. These </w:t>
      </w:r>
      <w:r w:rsidR="00C65410">
        <w:rPr>
          <w:rFonts w:ascii="Arial" w:hAnsi="Arial" w:cs="Arial"/>
        </w:rPr>
        <w:t xml:space="preserve">“local and national share methods” </w:t>
      </w:r>
      <w:r>
        <w:rPr>
          <w:rFonts w:ascii="Arial" w:hAnsi="Arial" w:cs="Arial"/>
        </w:rPr>
        <w:t>are the preferred methods of aggregating deprivation measures up to larger geographies, and remove the need to aggregate scores.</w:t>
      </w:r>
    </w:p>
    <w:p w:rsidR="006717B1" w:rsidRDefault="006717B1" w:rsidP="006717B1">
      <w:pPr>
        <w:spacing w:after="0"/>
        <w:jc w:val="both"/>
        <w:rPr>
          <w:rFonts w:ascii="Arial" w:hAnsi="Arial" w:cs="Arial"/>
        </w:rPr>
      </w:pPr>
    </w:p>
    <w:p w:rsidR="006717B1" w:rsidRDefault="006717B1" w:rsidP="006717B1">
      <w:pPr>
        <w:spacing w:after="0"/>
        <w:jc w:val="both"/>
        <w:rPr>
          <w:rFonts w:ascii="Arial" w:hAnsi="Arial" w:cs="Arial"/>
        </w:rPr>
      </w:pPr>
      <w:r>
        <w:rPr>
          <w:rFonts w:ascii="Arial" w:hAnsi="Arial" w:cs="Arial"/>
        </w:rPr>
        <w:t xml:space="preserve">The </w:t>
      </w:r>
      <w:r w:rsidR="00684EB3">
        <w:rPr>
          <w:rFonts w:ascii="Arial" w:hAnsi="Arial" w:cs="Arial"/>
        </w:rPr>
        <w:t xml:space="preserve">Scottish Government </w:t>
      </w:r>
      <w:r>
        <w:rPr>
          <w:rFonts w:ascii="Arial" w:hAnsi="Arial" w:cs="Arial"/>
        </w:rPr>
        <w:t xml:space="preserve">SIMD team therefore recommends </w:t>
      </w:r>
      <w:r>
        <w:rPr>
          <w:rFonts w:ascii="Arial" w:eastAsia="Times New Roman" w:hAnsi="Arial" w:cs="Arial"/>
        </w:rPr>
        <w:t xml:space="preserve">developing local or national share of deprivation by </w:t>
      </w:r>
      <w:r w:rsidR="001B4E79">
        <w:rPr>
          <w:rFonts w:ascii="Arial" w:eastAsia="Times New Roman" w:hAnsi="Arial" w:cs="Arial"/>
        </w:rPr>
        <w:t>Intermediate Zone</w:t>
      </w:r>
      <w:r w:rsidR="00C65410">
        <w:rPr>
          <w:rFonts w:ascii="Arial" w:eastAsia="Times New Roman" w:hAnsi="Arial" w:cs="Arial"/>
        </w:rPr>
        <w:t>,</w:t>
      </w:r>
      <w:r>
        <w:rPr>
          <w:rFonts w:ascii="Arial" w:eastAsia="Times New Roman" w:hAnsi="Arial" w:cs="Arial"/>
        </w:rPr>
        <w:t xml:space="preserve"> using an SIMD excluding the health domain. </w:t>
      </w:r>
      <w:r>
        <w:rPr>
          <w:rFonts w:ascii="Arial" w:hAnsi="Arial" w:cs="Arial"/>
        </w:rPr>
        <w:t xml:space="preserve">This seems to be feasible, although it would mean that candidate predictive models for cost developed at </w:t>
      </w:r>
      <w:r w:rsidR="001B4E79">
        <w:rPr>
          <w:rFonts w:ascii="Arial" w:hAnsi="Arial" w:cs="Arial"/>
        </w:rPr>
        <w:t>Data Zone</w:t>
      </w:r>
      <w:r>
        <w:rPr>
          <w:rFonts w:ascii="Arial" w:hAnsi="Arial" w:cs="Arial"/>
        </w:rPr>
        <w:t xml:space="preserve"> and </w:t>
      </w:r>
      <w:r w:rsidR="001B4E79">
        <w:rPr>
          <w:rFonts w:ascii="Arial" w:hAnsi="Arial" w:cs="Arial"/>
        </w:rPr>
        <w:t>Intermediate Zone</w:t>
      </w:r>
      <w:r>
        <w:rPr>
          <w:rFonts w:ascii="Arial" w:hAnsi="Arial" w:cs="Arial"/>
        </w:rPr>
        <w:t xml:space="preserve"> level would be based</w:t>
      </w:r>
      <w:r w:rsidR="00C65410">
        <w:rPr>
          <w:rFonts w:ascii="Arial" w:hAnsi="Arial" w:cs="Arial"/>
        </w:rPr>
        <w:t>, respectively,</w:t>
      </w:r>
      <w:r>
        <w:rPr>
          <w:rFonts w:ascii="Arial" w:hAnsi="Arial" w:cs="Arial"/>
        </w:rPr>
        <w:t xml:space="preserve"> on different predictor variables.</w:t>
      </w:r>
      <w:r w:rsidR="00C65410">
        <w:rPr>
          <w:rFonts w:ascii="Arial" w:hAnsi="Arial" w:cs="Arial"/>
        </w:rPr>
        <w:t xml:space="preserve"> Also, it is important to bear in mind that a statistical evaluation of SIMD as a potential indicator variable in Acute MLC could only be done now using the old version of the Data Zones. Assuming SIMD </w:t>
      </w:r>
      <w:r w:rsidR="00460EF8">
        <w:rPr>
          <w:rFonts w:ascii="Arial" w:hAnsi="Arial" w:cs="Arial"/>
        </w:rPr>
        <w:t xml:space="preserve">appeared </w:t>
      </w:r>
      <w:r w:rsidR="00633D81">
        <w:rPr>
          <w:rFonts w:ascii="Arial" w:hAnsi="Arial" w:cs="Arial"/>
        </w:rPr>
        <w:t>a s</w:t>
      </w:r>
      <w:r w:rsidR="00460EF8">
        <w:rPr>
          <w:rFonts w:ascii="Arial" w:hAnsi="Arial" w:cs="Arial"/>
        </w:rPr>
        <w:t>ignificant predictor of need</w:t>
      </w:r>
      <w:r w:rsidR="00633D81">
        <w:rPr>
          <w:rFonts w:ascii="Arial" w:hAnsi="Arial" w:cs="Arial"/>
        </w:rPr>
        <w:t xml:space="preserve">, </w:t>
      </w:r>
      <w:r w:rsidR="00C65410">
        <w:rPr>
          <w:rFonts w:ascii="Arial" w:hAnsi="Arial" w:cs="Arial"/>
        </w:rPr>
        <w:t>coefficients could later be derived using Data Zones 2011 and SIMD 2016 when these data are available.</w:t>
      </w:r>
    </w:p>
    <w:p w:rsidR="00415E88" w:rsidRDefault="00415E88" w:rsidP="006717B1">
      <w:pPr>
        <w:spacing w:after="0"/>
        <w:jc w:val="both"/>
        <w:rPr>
          <w:rFonts w:ascii="Arial" w:hAnsi="Arial" w:cs="Arial"/>
        </w:rPr>
      </w:pPr>
    </w:p>
    <w:p w:rsidR="006717B1" w:rsidRDefault="006717B1" w:rsidP="006717B1">
      <w:pPr>
        <w:spacing w:after="0"/>
        <w:jc w:val="both"/>
        <w:rPr>
          <w:rFonts w:ascii="Arial" w:hAnsi="Arial" w:cs="Arial"/>
          <w:b/>
          <w:i/>
        </w:rPr>
      </w:pPr>
      <w:r>
        <w:rPr>
          <w:rFonts w:ascii="Arial" w:hAnsi="Arial" w:cs="Arial"/>
          <w:b/>
          <w:i/>
        </w:rPr>
        <w:t xml:space="preserve">3.3 SIMD 2016 expected changes </w:t>
      </w:r>
    </w:p>
    <w:p w:rsidR="006717B1" w:rsidRDefault="006717B1" w:rsidP="006717B1">
      <w:pPr>
        <w:spacing w:after="0"/>
        <w:jc w:val="both"/>
        <w:rPr>
          <w:rFonts w:ascii="Arial" w:hAnsi="Arial" w:cs="Arial"/>
          <w:b/>
          <w:i/>
        </w:rPr>
      </w:pPr>
    </w:p>
    <w:p w:rsidR="00C65410" w:rsidRDefault="00C65410" w:rsidP="006717B1">
      <w:pPr>
        <w:spacing w:after="0"/>
        <w:jc w:val="both"/>
        <w:rPr>
          <w:rFonts w:ascii="Arial" w:hAnsi="Arial" w:cs="Arial"/>
        </w:rPr>
      </w:pPr>
      <w:r>
        <w:rPr>
          <w:rFonts w:ascii="Arial" w:hAnsi="Arial" w:cs="Arial"/>
        </w:rPr>
        <w:t xml:space="preserve">Here </w:t>
      </w:r>
      <w:r w:rsidR="00460EF8">
        <w:rPr>
          <w:rFonts w:ascii="Arial" w:hAnsi="Arial" w:cs="Arial"/>
        </w:rPr>
        <w:t xml:space="preserve">an outline is given of </w:t>
      </w:r>
      <w:r>
        <w:rPr>
          <w:rFonts w:ascii="Arial" w:hAnsi="Arial" w:cs="Arial"/>
        </w:rPr>
        <w:t>the anticipated changes to SIMD in the 2016 version, to further inform a decision on its suitability.</w:t>
      </w:r>
    </w:p>
    <w:p w:rsidR="00C65410" w:rsidRDefault="00C65410" w:rsidP="006717B1">
      <w:pPr>
        <w:spacing w:after="0"/>
        <w:jc w:val="both"/>
        <w:rPr>
          <w:rFonts w:ascii="Arial" w:hAnsi="Arial" w:cs="Arial"/>
        </w:rPr>
      </w:pPr>
    </w:p>
    <w:p w:rsidR="006717B1" w:rsidRDefault="006717B1" w:rsidP="006717B1">
      <w:pPr>
        <w:spacing w:after="0"/>
        <w:jc w:val="both"/>
        <w:rPr>
          <w:rFonts w:ascii="Arial" w:hAnsi="Arial" w:cs="Arial"/>
        </w:rPr>
      </w:pPr>
      <w:r>
        <w:rPr>
          <w:rFonts w:ascii="Arial" w:hAnsi="Arial" w:cs="Arial"/>
        </w:rPr>
        <w:t>Data collection for what was originally regarded as SIMD 2015 was planned to start in September 2014, but due to the delayed release of the 2011 Data Zones (planned for April 2014 but only released in November 2014), the next release of SIMD will now be in 2016 and the data collection will start in September 2015.</w:t>
      </w:r>
    </w:p>
    <w:p w:rsidR="006717B1" w:rsidRDefault="006717B1" w:rsidP="006717B1">
      <w:pPr>
        <w:spacing w:after="0"/>
        <w:jc w:val="both"/>
        <w:rPr>
          <w:rFonts w:ascii="Arial" w:hAnsi="Arial" w:cs="Arial"/>
        </w:rPr>
      </w:pPr>
    </w:p>
    <w:p w:rsidR="006717B1" w:rsidRDefault="006717B1" w:rsidP="006717B1">
      <w:pPr>
        <w:spacing w:after="0"/>
        <w:jc w:val="both"/>
        <w:rPr>
          <w:rFonts w:ascii="Arial" w:hAnsi="Arial" w:cs="Arial"/>
        </w:rPr>
      </w:pPr>
      <w:r>
        <w:rPr>
          <w:rFonts w:ascii="Arial" w:hAnsi="Arial" w:cs="Arial"/>
        </w:rPr>
        <w:t>SIMD 2016 is expected to stay broadly the same with respect to the seven domains, with no major changes planned. There are minor changes planned to the Income, Employment, Education, Health and Housing domains, due to changes in data collection and improvement in collection methods; these plans are as follows:</w:t>
      </w:r>
    </w:p>
    <w:p w:rsidR="006717B1" w:rsidRDefault="006717B1" w:rsidP="006717B1">
      <w:pPr>
        <w:spacing w:after="0"/>
        <w:jc w:val="both"/>
        <w:rPr>
          <w:rFonts w:ascii="Arial" w:hAnsi="Arial" w:cs="Arial"/>
        </w:rPr>
      </w:pPr>
    </w:p>
    <w:p w:rsidR="006717B1" w:rsidRDefault="006717B1" w:rsidP="006717B1">
      <w:pPr>
        <w:pStyle w:val="ListParagraph"/>
        <w:numPr>
          <w:ilvl w:val="0"/>
          <w:numId w:val="17"/>
        </w:numPr>
        <w:spacing w:after="0"/>
        <w:jc w:val="both"/>
        <w:rPr>
          <w:rFonts w:ascii="Arial" w:hAnsi="Arial" w:cs="Arial"/>
        </w:rPr>
      </w:pPr>
      <w:r>
        <w:rPr>
          <w:rFonts w:ascii="Arial" w:hAnsi="Arial" w:cs="Arial"/>
          <w:b/>
        </w:rPr>
        <w:t>Income and Employment domains</w:t>
      </w:r>
      <w:r>
        <w:rPr>
          <w:rFonts w:ascii="Arial" w:hAnsi="Arial" w:cs="Arial"/>
        </w:rPr>
        <w:t xml:space="preserve"> – it is not yet </w:t>
      </w:r>
      <w:proofErr w:type="gramStart"/>
      <w:r>
        <w:rPr>
          <w:rFonts w:ascii="Arial" w:hAnsi="Arial" w:cs="Arial"/>
        </w:rPr>
        <w:t>clear</w:t>
      </w:r>
      <w:proofErr w:type="gramEnd"/>
      <w:r>
        <w:rPr>
          <w:rFonts w:ascii="Arial" w:hAnsi="Arial" w:cs="Arial"/>
        </w:rPr>
        <w:t xml:space="preserve"> how the domains will change and what data will be available because of the planned universal credits and welfare reform. HM Revenue and Customs and Department for Work and Pensions are committed to providing the data for SIMD 2016.  </w:t>
      </w:r>
    </w:p>
    <w:p w:rsidR="006717B1" w:rsidRDefault="006717B1" w:rsidP="006717B1">
      <w:pPr>
        <w:pStyle w:val="ListParagraph"/>
        <w:numPr>
          <w:ilvl w:val="0"/>
          <w:numId w:val="17"/>
        </w:numPr>
        <w:spacing w:after="0"/>
        <w:jc w:val="both"/>
        <w:rPr>
          <w:rFonts w:ascii="Arial" w:hAnsi="Arial" w:cs="Arial"/>
        </w:rPr>
      </w:pPr>
      <w:r>
        <w:rPr>
          <w:rFonts w:ascii="Arial" w:hAnsi="Arial" w:cs="Arial"/>
          <w:b/>
        </w:rPr>
        <w:t>Education domain</w:t>
      </w:r>
      <w:r>
        <w:rPr>
          <w:rFonts w:ascii="Arial" w:hAnsi="Arial" w:cs="Arial"/>
        </w:rPr>
        <w:t xml:space="preserve"> – there will be minor changes to the existing </w:t>
      </w:r>
      <w:r w:rsidR="008A6421">
        <w:rPr>
          <w:rFonts w:ascii="Arial" w:hAnsi="Arial" w:cs="Arial"/>
        </w:rPr>
        <w:t>variables to</w:t>
      </w:r>
      <w:r>
        <w:rPr>
          <w:rFonts w:ascii="Arial" w:hAnsi="Arial" w:cs="Arial"/>
        </w:rPr>
        <w:t xml:space="preserve"> capture individual pupil absences rather than total school absences. Research is being conducted to look at improving the minimum tariff achieved at Level 4 examinations.</w:t>
      </w:r>
    </w:p>
    <w:p w:rsidR="006717B1" w:rsidRDefault="006717B1" w:rsidP="006717B1">
      <w:pPr>
        <w:pStyle w:val="ListParagraph"/>
        <w:numPr>
          <w:ilvl w:val="0"/>
          <w:numId w:val="17"/>
        </w:numPr>
        <w:spacing w:after="0"/>
        <w:jc w:val="both"/>
        <w:rPr>
          <w:rFonts w:ascii="Arial" w:hAnsi="Arial" w:cs="Arial"/>
        </w:rPr>
      </w:pPr>
      <w:r>
        <w:rPr>
          <w:rFonts w:ascii="Arial" w:hAnsi="Arial" w:cs="Arial"/>
          <w:b/>
        </w:rPr>
        <w:t>Health domain</w:t>
      </w:r>
      <w:r w:rsidRPr="007333A8">
        <w:rPr>
          <w:rFonts w:ascii="Arial" w:hAnsi="Arial" w:cs="Arial"/>
        </w:rPr>
        <w:t xml:space="preserve"> – </w:t>
      </w:r>
      <w:r>
        <w:rPr>
          <w:rFonts w:ascii="Arial" w:hAnsi="Arial" w:cs="Arial"/>
        </w:rPr>
        <w:t>data is now available to the Scottish Government for the actual number of prescriptions dispensed which will replace the previous estimated data.</w:t>
      </w:r>
    </w:p>
    <w:p w:rsidR="006717B1" w:rsidRDefault="006717B1" w:rsidP="006717B1">
      <w:pPr>
        <w:pStyle w:val="ListParagraph"/>
        <w:numPr>
          <w:ilvl w:val="0"/>
          <w:numId w:val="17"/>
        </w:numPr>
        <w:spacing w:after="0"/>
        <w:jc w:val="both"/>
        <w:rPr>
          <w:rFonts w:ascii="Arial" w:hAnsi="Arial" w:cs="Arial"/>
        </w:rPr>
      </w:pPr>
      <w:r>
        <w:rPr>
          <w:rFonts w:ascii="Arial" w:hAnsi="Arial" w:cs="Arial"/>
          <w:b/>
        </w:rPr>
        <w:lastRenderedPageBreak/>
        <w:t xml:space="preserve">Housing domain </w:t>
      </w:r>
      <w:r>
        <w:rPr>
          <w:rFonts w:ascii="Arial" w:hAnsi="Arial" w:cs="Arial"/>
        </w:rPr>
        <w:t xml:space="preserve">– </w:t>
      </w:r>
      <w:r>
        <w:rPr>
          <w:rFonts w:ascii="Arial" w:hAnsi="Arial" w:cs="Arial"/>
          <w:color w:val="000000"/>
          <w:shd w:val="clear" w:color="auto" w:fill="FFFFFF"/>
        </w:rPr>
        <w:t>The housing domain has been identified as an area for improvement. However data to improve or replace census indicators have not yet been identified. The housing domain will be updated to include 2011 census data. If a suitable alternative is found then the</w:t>
      </w:r>
      <w:r>
        <w:rPr>
          <w:rFonts w:ascii="Arial" w:hAnsi="Arial" w:cs="Arial"/>
        </w:rPr>
        <w:t xml:space="preserve"> </w:t>
      </w:r>
      <w:r>
        <w:rPr>
          <w:rFonts w:ascii="Arial" w:hAnsi="Arial" w:cs="Arial"/>
          <w:i/>
        </w:rPr>
        <w:t>Percentage of people living in households without central heating</w:t>
      </w:r>
      <w:r>
        <w:rPr>
          <w:rFonts w:ascii="Arial" w:hAnsi="Arial" w:cs="Arial"/>
        </w:rPr>
        <w:t xml:space="preserve"> is likely to be removed as it is no longer a significant predictor of housing poverty due to the high level of houses with central heating in Scotland.    </w:t>
      </w:r>
    </w:p>
    <w:p w:rsidR="006717B1" w:rsidRDefault="006717B1" w:rsidP="006717B1">
      <w:pPr>
        <w:spacing w:after="0"/>
        <w:jc w:val="both"/>
        <w:rPr>
          <w:rFonts w:ascii="Arial" w:hAnsi="Arial" w:cs="Arial"/>
          <w:b/>
        </w:rPr>
      </w:pPr>
    </w:p>
    <w:p w:rsidR="00684EB3" w:rsidRDefault="006717B1" w:rsidP="006717B1">
      <w:pPr>
        <w:spacing w:after="0"/>
        <w:jc w:val="both"/>
        <w:rPr>
          <w:rFonts w:ascii="Arial" w:hAnsi="Arial" w:cs="Arial"/>
        </w:rPr>
      </w:pPr>
      <w:r w:rsidRPr="00A457F9">
        <w:rPr>
          <w:rFonts w:ascii="Arial" w:hAnsi="Arial" w:cs="Arial"/>
        </w:rPr>
        <w:t>There are no changes planned to the Access and Crime domains.</w:t>
      </w:r>
    </w:p>
    <w:p w:rsidR="00805AA2" w:rsidRDefault="00805AA2" w:rsidP="006717B1">
      <w:pPr>
        <w:spacing w:after="0"/>
        <w:jc w:val="both"/>
        <w:rPr>
          <w:rFonts w:ascii="Arial" w:hAnsi="Arial" w:cs="Arial"/>
        </w:rPr>
      </w:pPr>
    </w:p>
    <w:p w:rsidR="00805AA2" w:rsidRDefault="00805AA2" w:rsidP="006717B1">
      <w:pPr>
        <w:spacing w:after="0"/>
        <w:jc w:val="both"/>
        <w:rPr>
          <w:rFonts w:ascii="Arial" w:hAnsi="Arial" w:cs="Arial"/>
        </w:rPr>
      </w:pPr>
      <w:r>
        <w:rPr>
          <w:rFonts w:ascii="Arial" w:hAnsi="Arial" w:cs="Arial"/>
        </w:rPr>
        <w:t xml:space="preserve">The Scottish Government SIMD team have stressed that stability of the overall index is a requirement (and this is evidenced for the previous update in Table 1), and that any changes introduced </w:t>
      </w:r>
      <w:r w:rsidRPr="00275404">
        <w:rPr>
          <w:rFonts w:ascii="Arial" w:hAnsi="Arial" w:cs="Arial"/>
          <w:szCs w:val="24"/>
        </w:rPr>
        <w:t>are usually due to improvements in data quality or availability and are in line with the long term strategy for improvements</w:t>
      </w:r>
      <w:r>
        <w:rPr>
          <w:rFonts w:ascii="Arial" w:hAnsi="Arial" w:cs="Arial"/>
          <w:szCs w:val="24"/>
        </w:rPr>
        <w:t>.</w:t>
      </w:r>
    </w:p>
    <w:p w:rsidR="00684EB3" w:rsidRPr="00B243E1" w:rsidRDefault="00684EB3" w:rsidP="006717B1">
      <w:pPr>
        <w:spacing w:after="0"/>
        <w:jc w:val="both"/>
        <w:rPr>
          <w:rFonts w:ascii="Arial" w:hAnsi="Arial" w:cs="Arial"/>
        </w:rPr>
      </w:pPr>
    </w:p>
    <w:p w:rsidR="000F360F" w:rsidRDefault="000F360F" w:rsidP="005052BE">
      <w:pPr>
        <w:spacing w:after="0"/>
        <w:jc w:val="both"/>
        <w:rPr>
          <w:rFonts w:ascii="Arial" w:hAnsi="Arial" w:cs="Arial"/>
          <w:b/>
          <w:i/>
        </w:rPr>
      </w:pPr>
    </w:p>
    <w:p w:rsidR="001A490A" w:rsidRDefault="00553F4C" w:rsidP="001A490A">
      <w:pPr>
        <w:spacing w:after="0"/>
        <w:jc w:val="both"/>
        <w:rPr>
          <w:rFonts w:ascii="Arial" w:hAnsi="Arial" w:cs="Arial"/>
          <w:b/>
          <w:i/>
        </w:rPr>
      </w:pPr>
      <w:r>
        <w:rPr>
          <w:rFonts w:ascii="Arial" w:hAnsi="Arial" w:cs="Arial"/>
          <w:b/>
          <w:i/>
        </w:rPr>
        <w:t>4</w:t>
      </w:r>
      <w:r w:rsidR="001A490A">
        <w:rPr>
          <w:rFonts w:ascii="Arial" w:hAnsi="Arial" w:cs="Arial"/>
          <w:b/>
          <w:i/>
        </w:rPr>
        <w:t>. Options and Implications on work plan</w:t>
      </w:r>
    </w:p>
    <w:p w:rsidR="002859C0" w:rsidRDefault="002859C0" w:rsidP="001A490A">
      <w:pPr>
        <w:spacing w:after="0"/>
        <w:jc w:val="both"/>
        <w:rPr>
          <w:rFonts w:ascii="Arial" w:hAnsi="Arial" w:cs="Arial"/>
          <w:b/>
          <w:i/>
        </w:rPr>
      </w:pPr>
    </w:p>
    <w:p w:rsidR="00C66161" w:rsidRPr="00C66161" w:rsidRDefault="00C66161" w:rsidP="00C66161">
      <w:pPr>
        <w:spacing w:after="0"/>
        <w:jc w:val="both"/>
        <w:rPr>
          <w:rFonts w:ascii="Arial" w:hAnsi="Arial" w:cs="Arial"/>
        </w:rPr>
      </w:pPr>
      <w:r w:rsidRPr="00C66161">
        <w:rPr>
          <w:rFonts w:ascii="Arial" w:hAnsi="Arial" w:cs="Arial"/>
        </w:rPr>
        <w:t xml:space="preserve">In May 2014, the Acute MLC subgroup reported the following to TAGRA: </w:t>
      </w:r>
    </w:p>
    <w:p w:rsidR="00C66161" w:rsidRDefault="00C66161" w:rsidP="00C66161">
      <w:pPr>
        <w:spacing w:after="0"/>
        <w:jc w:val="both"/>
        <w:rPr>
          <w:rFonts w:ascii="Arial" w:hAnsi="Arial" w:cs="Arial"/>
          <w:b/>
          <w:i/>
        </w:rPr>
      </w:pPr>
    </w:p>
    <w:p w:rsidR="00C66161" w:rsidRDefault="00C66161" w:rsidP="00C66161">
      <w:pPr>
        <w:numPr>
          <w:ilvl w:val="0"/>
          <w:numId w:val="21"/>
        </w:numPr>
        <w:tabs>
          <w:tab w:val="left" w:pos="426"/>
          <w:tab w:val="left" w:pos="1440"/>
          <w:tab w:val="left" w:pos="2160"/>
          <w:tab w:val="left" w:pos="2880"/>
          <w:tab w:val="left" w:pos="4680"/>
          <w:tab w:val="left" w:pos="5400"/>
          <w:tab w:val="right" w:pos="9000"/>
        </w:tabs>
        <w:spacing w:after="0" w:line="240" w:lineRule="atLeast"/>
        <w:ind w:left="426" w:hanging="426"/>
        <w:jc w:val="both"/>
        <w:rPr>
          <w:rFonts w:ascii="Arial" w:hAnsi="Arial" w:cs="Arial"/>
        </w:rPr>
      </w:pPr>
      <w:r>
        <w:rPr>
          <w:rFonts w:ascii="Arial" w:hAnsi="Arial" w:cs="Arial"/>
        </w:rPr>
        <w:t>the sub-group aim to conclude the work with a report to the December 2015 meeting of TAGRA proposing a revised acute MLC adjustment;</w:t>
      </w:r>
    </w:p>
    <w:p w:rsidR="00C66161" w:rsidRDefault="00C66161" w:rsidP="00C66161">
      <w:pPr>
        <w:numPr>
          <w:ilvl w:val="0"/>
          <w:numId w:val="21"/>
        </w:numPr>
        <w:tabs>
          <w:tab w:val="left" w:pos="426"/>
          <w:tab w:val="left" w:pos="1440"/>
          <w:tab w:val="left" w:pos="2160"/>
          <w:tab w:val="left" w:pos="2880"/>
          <w:tab w:val="left" w:pos="4680"/>
          <w:tab w:val="left" w:pos="5400"/>
          <w:tab w:val="right" w:pos="9000"/>
        </w:tabs>
        <w:spacing w:after="0" w:line="240" w:lineRule="atLeast"/>
        <w:ind w:left="426" w:hanging="426"/>
        <w:jc w:val="both"/>
        <w:rPr>
          <w:rFonts w:ascii="Arial" w:hAnsi="Arial" w:cs="Arial"/>
        </w:rPr>
      </w:pPr>
      <w:r>
        <w:rPr>
          <w:rFonts w:ascii="Arial" w:hAnsi="Arial" w:cs="Arial"/>
        </w:rPr>
        <w:t>if the report is accepted by TAGRA, an impact assessment of the changes would be presented to the April 2016 meeting of TAGRA;</w:t>
      </w:r>
    </w:p>
    <w:p w:rsidR="00C66161" w:rsidRDefault="00C66161" w:rsidP="00C66161">
      <w:pPr>
        <w:numPr>
          <w:ilvl w:val="0"/>
          <w:numId w:val="21"/>
        </w:numPr>
        <w:tabs>
          <w:tab w:val="left" w:pos="426"/>
          <w:tab w:val="left" w:pos="1440"/>
          <w:tab w:val="left" w:pos="2160"/>
          <w:tab w:val="left" w:pos="2880"/>
          <w:tab w:val="left" w:pos="4680"/>
          <w:tab w:val="left" w:pos="5400"/>
          <w:tab w:val="right" w:pos="9000"/>
        </w:tabs>
        <w:spacing w:after="0" w:line="240" w:lineRule="atLeast"/>
        <w:ind w:left="426" w:hanging="426"/>
        <w:jc w:val="both"/>
        <w:rPr>
          <w:rFonts w:ascii="Arial" w:hAnsi="Arial" w:cs="Arial"/>
        </w:rPr>
      </w:pPr>
      <w:r>
        <w:rPr>
          <w:rFonts w:ascii="Arial" w:hAnsi="Arial" w:cs="Arial"/>
        </w:rPr>
        <w:t>the new MLC adjustment could then be incorporated into the formula run undertaken during summer 2016;</w:t>
      </w:r>
    </w:p>
    <w:p w:rsidR="00C66161" w:rsidRPr="00847DAE" w:rsidRDefault="00C66161" w:rsidP="00C66161">
      <w:pPr>
        <w:numPr>
          <w:ilvl w:val="0"/>
          <w:numId w:val="21"/>
        </w:numPr>
        <w:tabs>
          <w:tab w:val="left" w:pos="426"/>
          <w:tab w:val="left" w:pos="1440"/>
          <w:tab w:val="left" w:pos="2160"/>
          <w:tab w:val="left" w:pos="2880"/>
          <w:tab w:val="left" w:pos="4680"/>
          <w:tab w:val="left" w:pos="5400"/>
          <w:tab w:val="right" w:pos="9000"/>
        </w:tabs>
        <w:spacing w:after="0" w:line="240" w:lineRule="atLeast"/>
        <w:ind w:left="426" w:hanging="426"/>
        <w:jc w:val="both"/>
        <w:rPr>
          <w:rFonts w:ascii="Arial" w:hAnsi="Arial" w:cs="Arial"/>
        </w:rPr>
      </w:pPr>
      <w:proofErr w:type="gramStart"/>
      <w:r>
        <w:rPr>
          <w:rFonts w:ascii="Arial" w:hAnsi="Arial" w:cs="Arial"/>
        </w:rPr>
        <w:t>and</w:t>
      </w:r>
      <w:proofErr w:type="gramEnd"/>
      <w:r>
        <w:rPr>
          <w:rFonts w:ascii="Arial" w:hAnsi="Arial" w:cs="Arial"/>
        </w:rPr>
        <w:t xml:space="preserve"> would thus be reflected in the target shares calculated for 2017/18.</w:t>
      </w:r>
    </w:p>
    <w:p w:rsidR="00C66161" w:rsidRDefault="00C66161" w:rsidP="006F32E5">
      <w:pPr>
        <w:spacing w:after="0"/>
        <w:rPr>
          <w:rFonts w:ascii="Arial" w:hAnsi="Arial" w:cs="Arial"/>
        </w:rPr>
      </w:pPr>
    </w:p>
    <w:p w:rsidR="006F32E5" w:rsidRDefault="00365203" w:rsidP="006F32E5">
      <w:pPr>
        <w:spacing w:after="0"/>
        <w:rPr>
          <w:rFonts w:ascii="Arial" w:hAnsi="Arial" w:cs="Arial"/>
        </w:rPr>
      </w:pPr>
      <w:r>
        <w:rPr>
          <w:rFonts w:ascii="Arial" w:hAnsi="Arial" w:cs="Arial"/>
        </w:rPr>
        <w:t>In T</w:t>
      </w:r>
      <w:r w:rsidR="006F32E5">
        <w:rPr>
          <w:rFonts w:ascii="Arial" w:hAnsi="Arial" w:cs="Arial"/>
        </w:rPr>
        <w:t xml:space="preserve">able 2, </w:t>
      </w:r>
      <w:r w:rsidR="000004FB">
        <w:rPr>
          <w:rFonts w:ascii="Arial" w:hAnsi="Arial" w:cs="Arial"/>
        </w:rPr>
        <w:t>AST ha</w:t>
      </w:r>
      <w:r w:rsidR="00C66161">
        <w:rPr>
          <w:rFonts w:ascii="Arial" w:hAnsi="Arial" w:cs="Arial"/>
        </w:rPr>
        <w:t>ve</w:t>
      </w:r>
      <w:r w:rsidR="000004FB">
        <w:rPr>
          <w:rFonts w:ascii="Arial" w:hAnsi="Arial" w:cs="Arial"/>
        </w:rPr>
        <w:t xml:space="preserve"> outline</w:t>
      </w:r>
      <w:r w:rsidR="00811116">
        <w:rPr>
          <w:rFonts w:ascii="Arial" w:hAnsi="Arial" w:cs="Arial"/>
        </w:rPr>
        <w:t>d the</w:t>
      </w:r>
      <w:r w:rsidR="000004FB">
        <w:rPr>
          <w:rFonts w:ascii="Arial" w:hAnsi="Arial" w:cs="Arial"/>
        </w:rPr>
        <w:t xml:space="preserve"> options for</w:t>
      </w:r>
      <w:r w:rsidR="006F32E5">
        <w:rPr>
          <w:rFonts w:ascii="Arial" w:hAnsi="Arial" w:cs="Arial"/>
        </w:rPr>
        <w:t xml:space="preserve"> the future </w:t>
      </w:r>
      <w:r w:rsidR="000004FB">
        <w:rPr>
          <w:rFonts w:ascii="Arial" w:hAnsi="Arial" w:cs="Arial"/>
        </w:rPr>
        <w:t xml:space="preserve">analytical </w:t>
      </w:r>
      <w:r w:rsidR="006F32E5">
        <w:rPr>
          <w:rFonts w:ascii="Arial" w:hAnsi="Arial" w:cs="Arial"/>
        </w:rPr>
        <w:t>work of the Acute MLC Review in light of the issues surrounding the redrawn Data Zones</w:t>
      </w:r>
      <w:r>
        <w:rPr>
          <w:rFonts w:ascii="Arial" w:hAnsi="Arial" w:cs="Arial"/>
        </w:rPr>
        <w:t xml:space="preserve"> and the corresponding implications on the timescales reported to TAGRA</w:t>
      </w:r>
      <w:r w:rsidR="006F32E5">
        <w:rPr>
          <w:rFonts w:ascii="Arial" w:hAnsi="Arial" w:cs="Arial"/>
        </w:rPr>
        <w:t xml:space="preserve">.  </w:t>
      </w:r>
      <w:r w:rsidR="00811116">
        <w:rPr>
          <w:rFonts w:ascii="Arial" w:hAnsi="Arial" w:cs="Arial"/>
        </w:rPr>
        <w:t>AST have also attempted to comparatively evaluate</w:t>
      </w:r>
      <w:r w:rsidR="006F32E5">
        <w:rPr>
          <w:rFonts w:ascii="Arial" w:hAnsi="Arial" w:cs="Arial"/>
        </w:rPr>
        <w:t xml:space="preserve"> </w:t>
      </w:r>
      <w:r w:rsidR="00811116">
        <w:rPr>
          <w:rFonts w:ascii="Arial" w:hAnsi="Arial" w:cs="Arial"/>
        </w:rPr>
        <w:t xml:space="preserve">the option </w:t>
      </w:r>
      <w:r w:rsidR="006F32E5">
        <w:rPr>
          <w:rFonts w:ascii="Arial" w:hAnsi="Arial" w:cs="Arial"/>
        </w:rPr>
        <w:t>against the TAGRA core criteria</w:t>
      </w:r>
      <w:r w:rsidR="000004FB">
        <w:rPr>
          <w:rFonts w:ascii="Arial" w:hAnsi="Arial" w:cs="Arial"/>
        </w:rPr>
        <w:t xml:space="preserve"> in Table 3</w:t>
      </w:r>
      <w:r w:rsidR="006F32E5">
        <w:rPr>
          <w:rFonts w:ascii="Arial" w:hAnsi="Arial" w:cs="Arial"/>
        </w:rPr>
        <w:t xml:space="preserve">. </w:t>
      </w:r>
    </w:p>
    <w:p w:rsidR="000A755F" w:rsidRDefault="000A755F" w:rsidP="006F32E5">
      <w:pPr>
        <w:spacing w:after="0"/>
        <w:rPr>
          <w:rFonts w:ascii="Arial" w:hAnsi="Arial" w:cs="Arial"/>
        </w:rPr>
      </w:pPr>
    </w:p>
    <w:p w:rsidR="000A755F" w:rsidRDefault="000A755F" w:rsidP="006F32E5">
      <w:pPr>
        <w:spacing w:after="0"/>
        <w:rPr>
          <w:rFonts w:ascii="Arial" w:hAnsi="Arial" w:cs="Arial"/>
          <w:b/>
          <w:i/>
        </w:rPr>
        <w:sectPr w:rsidR="000A755F" w:rsidSect="000C0998">
          <w:headerReference w:type="default" r:id="rId9"/>
          <w:footerReference w:type="default" r:id="rId10"/>
          <w:pgSz w:w="11906" w:h="16838" w:code="9"/>
          <w:pgMar w:top="1440" w:right="1440" w:bottom="1440" w:left="1440" w:header="709" w:footer="709" w:gutter="0"/>
          <w:cols w:space="708"/>
          <w:docGrid w:linePitch="360"/>
        </w:sectPr>
      </w:pPr>
    </w:p>
    <w:p w:rsidR="00E9163F" w:rsidRDefault="00E9163F" w:rsidP="00E9163F">
      <w:pPr>
        <w:spacing w:after="0"/>
        <w:rPr>
          <w:rFonts w:ascii="Arial" w:hAnsi="Arial" w:cs="Arial"/>
          <w:i/>
        </w:rPr>
      </w:pPr>
      <w:r w:rsidRPr="00E9163F">
        <w:rPr>
          <w:rFonts w:ascii="Arial" w:hAnsi="Arial" w:cs="Arial"/>
          <w:i/>
        </w:rPr>
        <w:lastRenderedPageBreak/>
        <w:t xml:space="preserve">Table 2: Options </w:t>
      </w:r>
      <w:r w:rsidR="000F7229">
        <w:rPr>
          <w:rFonts w:ascii="Arial" w:hAnsi="Arial" w:cs="Arial"/>
          <w:i/>
        </w:rPr>
        <w:t>for</w:t>
      </w:r>
      <w:r w:rsidRPr="00E9163F">
        <w:rPr>
          <w:rFonts w:ascii="Arial" w:hAnsi="Arial" w:cs="Arial"/>
          <w:i/>
        </w:rPr>
        <w:t xml:space="preserve"> the future</w:t>
      </w:r>
      <w:r w:rsidR="000F7229">
        <w:rPr>
          <w:rFonts w:ascii="Arial" w:hAnsi="Arial" w:cs="Arial"/>
          <w:i/>
        </w:rPr>
        <w:t xml:space="preserve"> analytical</w:t>
      </w:r>
      <w:r w:rsidRPr="00E9163F">
        <w:rPr>
          <w:rFonts w:ascii="Arial" w:hAnsi="Arial" w:cs="Arial"/>
          <w:i/>
        </w:rPr>
        <w:t xml:space="preserve"> work of the Acute MLC Review</w:t>
      </w:r>
    </w:p>
    <w:p w:rsidR="00D72427" w:rsidRPr="00E9163F" w:rsidRDefault="00D72427" w:rsidP="00E9163F">
      <w:pPr>
        <w:spacing w:after="0"/>
        <w:rPr>
          <w:rFonts w:ascii="Arial" w:hAnsi="Arial" w:cs="Arial"/>
          <w:i/>
        </w:rPr>
      </w:pPr>
    </w:p>
    <w:tbl>
      <w:tblPr>
        <w:tblStyle w:val="TableGrid"/>
        <w:tblW w:w="5402" w:type="pct"/>
        <w:tblInd w:w="-743" w:type="dxa"/>
        <w:tblLook w:val="04A0"/>
      </w:tblPr>
      <w:tblGrid>
        <w:gridCol w:w="3262"/>
        <w:gridCol w:w="6095"/>
        <w:gridCol w:w="5957"/>
      </w:tblGrid>
      <w:tr w:rsidR="00BB78C8" w:rsidRPr="00411891" w:rsidTr="00D425FD">
        <w:tc>
          <w:tcPr>
            <w:tcW w:w="1065" w:type="pct"/>
          </w:tcPr>
          <w:p w:rsidR="00BB78C8" w:rsidRPr="00411891" w:rsidRDefault="00BB78C8" w:rsidP="008247B8">
            <w:pPr>
              <w:jc w:val="both"/>
              <w:rPr>
                <w:rFonts w:ascii="Arial" w:hAnsi="Arial" w:cs="Arial"/>
                <w:b/>
                <w:sz w:val="24"/>
              </w:rPr>
            </w:pPr>
            <w:r w:rsidRPr="00411891">
              <w:rPr>
                <w:rFonts w:ascii="Arial" w:hAnsi="Arial" w:cs="Arial"/>
                <w:b/>
                <w:sz w:val="24"/>
              </w:rPr>
              <w:t>Option</w:t>
            </w:r>
          </w:p>
        </w:tc>
        <w:tc>
          <w:tcPr>
            <w:tcW w:w="1990" w:type="pct"/>
          </w:tcPr>
          <w:p w:rsidR="00BB78C8" w:rsidRPr="00411891" w:rsidRDefault="00BB78C8" w:rsidP="008247B8">
            <w:pPr>
              <w:jc w:val="both"/>
              <w:rPr>
                <w:rFonts w:ascii="Arial" w:hAnsi="Arial" w:cs="Arial"/>
                <w:b/>
                <w:sz w:val="24"/>
              </w:rPr>
            </w:pPr>
            <w:r w:rsidRPr="00411891">
              <w:rPr>
                <w:rFonts w:ascii="Arial" w:hAnsi="Arial" w:cs="Arial"/>
                <w:b/>
                <w:sz w:val="24"/>
              </w:rPr>
              <w:t>Issues</w:t>
            </w:r>
          </w:p>
        </w:tc>
        <w:tc>
          <w:tcPr>
            <w:tcW w:w="1945" w:type="pct"/>
          </w:tcPr>
          <w:p w:rsidR="00BB78C8" w:rsidRPr="00411891" w:rsidRDefault="00BB78C8" w:rsidP="008247B8">
            <w:pPr>
              <w:jc w:val="both"/>
              <w:rPr>
                <w:rFonts w:ascii="Arial" w:hAnsi="Arial" w:cs="Arial"/>
                <w:b/>
                <w:sz w:val="24"/>
              </w:rPr>
            </w:pPr>
            <w:r w:rsidRPr="00411891">
              <w:rPr>
                <w:rFonts w:ascii="Arial" w:hAnsi="Arial" w:cs="Arial"/>
                <w:b/>
                <w:sz w:val="24"/>
              </w:rPr>
              <w:t>Implications on Work Plan</w:t>
            </w:r>
          </w:p>
        </w:tc>
      </w:tr>
      <w:tr w:rsidR="00D114EC" w:rsidTr="00D425FD">
        <w:tc>
          <w:tcPr>
            <w:tcW w:w="1065" w:type="pct"/>
          </w:tcPr>
          <w:p w:rsidR="00D114EC" w:rsidRDefault="00D114EC" w:rsidP="00DD25E1">
            <w:pPr>
              <w:jc w:val="both"/>
            </w:pPr>
            <w:r>
              <w:rPr>
                <w:rFonts w:ascii="Arial" w:hAnsi="Arial" w:cs="Arial"/>
              </w:rPr>
              <w:t xml:space="preserve">1. </w:t>
            </w:r>
            <w:r w:rsidRPr="00FE5B6B">
              <w:rPr>
                <w:rFonts w:ascii="Arial" w:hAnsi="Arial" w:cs="Arial"/>
              </w:rPr>
              <w:t xml:space="preserve">Use </w:t>
            </w:r>
            <w:r>
              <w:rPr>
                <w:rFonts w:ascii="Arial" w:hAnsi="Arial" w:cs="Arial"/>
              </w:rPr>
              <w:t>Data Zones 2001</w:t>
            </w:r>
            <w:r w:rsidRPr="00FE5B6B">
              <w:rPr>
                <w:rFonts w:ascii="Arial" w:hAnsi="Arial" w:cs="Arial"/>
              </w:rPr>
              <w:t xml:space="preserve"> for the Acute MLC Review</w:t>
            </w:r>
            <w:r>
              <w:rPr>
                <w:rFonts w:ascii="Arial" w:hAnsi="Arial" w:cs="Arial"/>
              </w:rPr>
              <w:t>.</w:t>
            </w:r>
            <w:r w:rsidRPr="00FE5B6B">
              <w:rPr>
                <w:rFonts w:ascii="Arial" w:hAnsi="Arial" w:cs="Arial"/>
              </w:rPr>
              <w:t xml:space="preserve"> Then</w:t>
            </w:r>
            <w:r>
              <w:rPr>
                <w:rFonts w:ascii="Arial" w:hAnsi="Arial" w:cs="Arial"/>
              </w:rPr>
              <w:t>,</w:t>
            </w:r>
            <w:r w:rsidRPr="00FE5B6B">
              <w:rPr>
                <w:rFonts w:ascii="Arial" w:hAnsi="Arial" w:cs="Arial"/>
              </w:rPr>
              <w:t xml:space="preserve"> transfer the same model to </w:t>
            </w:r>
            <w:r>
              <w:rPr>
                <w:rFonts w:ascii="Arial" w:hAnsi="Arial" w:cs="Arial"/>
              </w:rPr>
              <w:t>Data Zones 2011</w:t>
            </w:r>
            <w:r w:rsidRPr="00FE5B6B">
              <w:rPr>
                <w:rFonts w:ascii="Arial" w:hAnsi="Arial" w:cs="Arial"/>
              </w:rPr>
              <w:t xml:space="preserve"> and recalculate the coefficients for the construction of the needs index when all relevant data become available (</w:t>
            </w:r>
            <w:r>
              <w:rPr>
                <w:rFonts w:ascii="Arial" w:hAnsi="Arial" w:cs="Arial"/>
              </w:rPr>
              <w:t>likely to be post-2016).</w:t>
            </w:r>
            <w:r>
              <w:t xml:space="preserve"> </w:t>
            </w:r>
          </w:p>
        </w:tc>
        <w:tc>
          <w:tcPr>
            <w:tcW w:w="1990" w:type="pct"/>
          </w:tcPr>
          <w:p w:rsidR="00D114EC" w:rsidRPr="009C0A8D" w:rsidRDefault="00D114EC" w:rsidP="00DD25E1">
            <w:pPr>
              <w:pStyle w:val="ListParagraph"/>
              <w:numPr>
                <w:ilvl w:val="0"/>
                <w:numId w:val="14"/>
              </w:numPr>
              <w:jc w:val="both"/>
            </w:pPr>
            <w:r w:rsidRPr="00FE5B6B">
              <w:rPr>
                <w:rFonts w:ascii="Arial" w:hAnsi="Arial" w:cs="Arial"/>
              </w:rPr>
              <w:t xml:space="preserve">The shift between </w:t>
            </w:r>
            <w:r>
              <w:rPr>
                <w:rFonts w:ascii="Arial" w:hAnsi="Arial" w:cs="Arial"/>
              </w:rPr>
              <w:t>Data Zones 2001</w:t>
            </w:r>
            <w:r w:rsidRPr="00FE5B6B">
              <w:rPr>
                <w:rFonts w:ascii="Arial" w:hAnsi="Arial" w:cs="Arial"/>
              </w:rPr>
              <w:t xml:space="preserve"> to </w:t>
            </w:r>
            <w:r>
              <w:rPr>
                <w:rFonts w:ascii="Arial" w:hAnsi="Arial" w:cs="Arial"/>
              </w:rPr>
              <w:t>Data Zones 2011</w:t>
            </w:r>
            <w:r w:rsidRPr="00FE5B6B">
              <w:rPr>
                <w:rFonts w:ascii="Arial" w:hAnsi="Arial" w:cs="Arial"/>
              </w:rPr>
              <w:t xml:space="preserve"> may change the relationships between the predictor variables and the cost ratios.</w:t>
            </w:r>
          </w:p>
          <w:p w:rsidR="00D114EC" w:rsidRDefault="00D114EC" w:rsidP="00DD25E1">
            <w:pPr>
              <w:pStyle w:val="ListParagraph"/>
              <w:numPr>
                <w:ilvl w:val="0"/>
                <w:numId w:val="14"/>
              </w:numPr>
              <w:jc w:val="both"/>
              <w:rPr>
                <w:rFonts w:ascii="Arial" w:hAnsi="Arial" w:cs="Arial"/>
              </w:rPr>
            </w:pPr>
            <w:r w:rsidRPr="00BC72C2">
              <w:rPr>
                <w:rFonts w:ascii="Arial" w:hAnsi="Arial" w:cs="Arial"/>
              </w:rPr>
              <w:t>If adopted, a fur</w:t>
            </w:r>
            <w:r>
              <w:rPr>
                <w:rFonts w:ascii="Arial" w:hAnsi="Arial" w:cs="Arial"/>
              </w:rPr>
              <w:t xml:space="preserve">ther decision would still be </w:t>
            </w:r>
            <w:r w:rsidRPr="00BC72C2">
              <w:rPr>
                <w:rFonts w:ascii="Arial" w:hAnsi="Arial" w:cs="Arial"/>
              </w:rPr>
              <w:t>required regarding whether SIMD overall scores and domain scores are viewed as appropriate potential indicators of need.</w:t>
            </w:r>
            <w:r>
              <w:rPr>
                <w:rFonts w:ascii="Arial" w:hAnsi="Arial" w:cs="Arial"/>
              </w:rPr>
              <w:t xml:space="preserve"> The issue also remains that </w:t>
            </w:r>
            <w:r w:rsidRPr="00FE5B6B">
              <w:rPr>
                <w:rFonts w:ascii="Arial" w:hAnsi="Arial" w:cs="Arial"/>
              </w:rPr>
              <w:t>SIMD 2012 overall score and domain scores are only available at Data Zone level.</w:t>
            </w:r>
          </w:p>
          <w:p w:rsidR="005A79E9" w:rsidRPr="009C0A8D" w:rsidRDefault="005A79E9" w:rsidP="005A79E9">
            <w:pPr>
              <w:pStyle w:val="ListParagraph"/>
              <w:jc w:val="both"/>
              <w:rPr>
                <w:rFonts w:ascii="Arial" w:hAnsi="Arial" w:cs="Arial"/>
              </w:rPr>
            </w:pPr>
          </w:p>
        </w:tc>
        <w:tc>
          <w:tcPr>
            <w:tcW w:w="1945" w:type="pct"/>
          </w:tcPr>
          <w:p w:rsidR="00D114EC" w:rsidRDefault="00D114EC" w:rsidP="00DD25E1">
            <w:pPr>
              <w:jc w:val="both"/>
              <w:rPr>
                <w:rFonts w:ascii="Arial" w:hAnsi="Arial" w:cs="Arial"/>
              </w:rPr>
            </w:pPr>
            <w:r>
              <w:rPr>
                <w:rFonts w:ascii="Arial" w:hAnsi="Arial" w:cs="Arial"/>
              </w:rPr>
              <w:t xml:space="preserve">SOME CHANGE TO WORK PLAN AND TIMESCALES. </w:t>
            </w:r>
          </w:p>
          <w:p w:rsidR="00D114EC" w:rsidRDefault="00D114EC" w:rsidP="00DD25E1">
            <w:pPr>
              <w:jc w:val="both"/>
            </w:pPr>
            <w:r>
              <w:rPr>
                <w:rFonts w:ascii="Arial" w:hAnsi="Arial" w:cs="Arial"/>
              </w:rPr>
              <w:t xml:space="preserve">Report to TAGRA in December 2015 as planned in terms of the recommended revised adjustment but may impact on the timing of the impact assessment for TAGRA in April 2016. Additional work would be needed to transfer the model to Data Zones 2011 whenever TAGRA decides to base the NRAC formula on the Data Zones 2011.  </w:t>
            </w:r>
          </w:p>
        </w:tc>
      </w:tr>
      <w:tr w:rsidR="00BB78C8" w:rsidRPr="00411891" w:rsidTr="00D425FD">
        <w:tc>
          <w:tcPr>
            <w:tcW w:w="1065" w:type="pct"/>
          </w:tcPr>
          <w:p w:rsidR="00BB78C8" w:rsidRDefault="009C0A8D" w:rsidP="00DD25E1">
            <w:pPr>
              <w:jc w:val="both"/>
            </w:pPr>
            <w:r>
              <w:rPr>
                <w:rFonts w:ascii="Arial" w:hAnsi="Arial" w:cs="Arial"/>
              </w:rPr>
              <w:t>2. Use Data Zones 2011 for the</w:t>
            </w:r>
            <w:r w:rsidRPr="00411891">
              <w:rPr>
                <w:rFonts w:ascii="Arial" w:hAnsi="Arial" w:cs="Arial"/>
              </w:rPr>
              <w:t xml:space="preserve"> </w:t>
            </w:r>
            <w:r>
              <w:rPr>
                <w:rFonts w:ascii="Arial" w:hAnsi="Arial" w:cs="Arial"/>
              </w:rPr>
              <w:t>Acute MLC Review. Limit the potential indicators to those that are available at this geography at the time of the release of the m</w:t>
            </w:r>
            <w:r w:rsidRPr="0094270E">
              <w:rPr>
                <w:rFonts w:ascii="Arial" w:hAnsi="Arial" w:cs="Arial"/>
              </w:rPr>
              <w:t>id-year population estimates</w:t>
            </w:r>
            <w:r>
              <w:rPr>
                <w:rFonts w:ascii="Arial" w:hAnsi="Arial" w:cs="Arial"/>
              </w:rPr>
              <w:t xml:space="preserve"> at the new geographies</w:t>
            </w:r>
            <w:r w:rsidRPr="0094270E">
              <w:rPr>
                <w:rFonts w:ascii="Arial" w:hAnsi="Arial" w:cs="Arial"/>
              </w:rPr>
              <w:t xml:space="preserve"> </w:t>
            </w:r>
            <w:r>
              <w:rPr>
                <w:rFonts w:ascii="Arial" w:hAnsi="Arial" w:cs="Arial"/>
              </w:rPr>
              <w:t xml:space="preserve">(anticipated for </w:t>
            </w:r>
            <w:r w:rsidRPr="0094270E">
              <w:rPr>
                <w:rFonts w:ascii="Arial" w:hAnsi="Arial" w:cs="Arial"/>
              </w:rPr>
              <w:t>August 2015</w:t>
            </w:r>
            <w:r>
              <w:rPr>
                <w:rFonts w:ascii="Arial" w:hAnsi="Arial" w:cs="Arial"/>
              </w:rPr>
              <w:t>)</w:t>
            </w:r>
            <w:r w:rsidRPr="0094270E">
              <w:rPr>
                <w:rFonts w:ascii="Arial" w:hAnsi="Arial" w:cs="Arial"/>
              </w:rPr>
              <w:t>.</w:t>
            </w:r>
          </w:p>
        </w:tc>
        <w:tc>
          <w:tcPr>
            <w:tcW w:w="1990" w:type="pct"/>
          </w:tcPr>
          <w:p w:rsidR="009C0A8D" w:rsidRPr="009C0A8D" w:rsidRDefault="00DE249F" w:rsidP="00DD25E1">
            <w:pPr>
              <w:pStyle w:val="ListParagraph"/>
              <w:numPr>
                <w:ilvl w:val="0"/>
                <w:numId w:val="15"/>
              </w:numPr>
              <w:jc w:val="both"/>
            </w:pPr>
            <w:r>
              <w:rPr>
                <w:rFonts w:ascii="Arial" w:hAnsi="Arial" w:cs="Arial"/>
              </w:rPr>
              <w:t xml:space="preserve">SIMD data at the Data Zones 2011 will not be released until 2016. </w:t>
            </w:r>
            <w:r w:rsidRPr="004041DB">
              <w:rPr>
                <w:rFonts w:ascii="Arial" w:hAnsi="Arial" w:cs="Arial"/>
              </w:rPr>
              <w:t>This would have the effect of excluding the SIMD 2012 overall score and domain scores.</w:t>
            </w:r>
          </w:p>
          <w:p w:rsidR="008247B8" w:rsidRPr="0094270E" w:rsidRDefault="009F4C49" w:rsidP="00DD25E1">
            <w:pPr>
              <w:pStyle w:val="ListParagraph"/>
              <w:numPr>
                <w:ilvl w:val="0"/>
                <w:numId w:val="15"/>
              </w:numPr>
              <w:jc w:val="both"/>
            </w:pPr>
            <w:r>
              <w:rPr>
                <w:rFonts w:ascii="Arial" w:hAnsi="Arial" w:cs="Arial"/>
              </w:rPr>
              <w:t>The extent to which such reduction is problematic depends on the extent to which SIMD overall score and domain scores are viewed as appropriate potential indicators of need</w:t>
            </w:r>
            <w:r w:rsidR="00362E58">
              <w:rPr>
                <w:rFonts w:ascii="Arial" w:hAnsi="Arial" w:cs="Arial"/>
              </w:rPr>
              <w:t>.</w:t>
            </w:r>
          </w:p>
        </w:tc>
        <w:tc>
          <w:tcPr>
            <w:tcW w:w="1945" w:type="pct"/>
          </w:tcPr>
          <w:p w:rsidR="008247B8" w:rsidRDefault="00A04A1D" w:rsidP="00DD25E1">
            <w:pPr>
              <w:jc w:val="both"/>
              <w:rPr>
                <w:rFonts w:ascii="Arial" w:hAnsi="Arial" w:cs="Arial"/>
              </w:rPr>
            </w:pPr>
            <w:r>
              <w:rPr>
                <w:rFonts w:ascii="Arial" w:hAnsi="Arial" w:cs="Arial"/>
              </w:rPr>
              <w:t xml:space="preserve">SIGNFICANT </w:t>
            </w:r>
            <w:r w:rsidR="00220EB6">
              <w:rPr>
                <w:rFonts w:ascii="Arial" w:hAnsi="Arial" w:cs="Arial"/>
              </w:rPr>
              <w:t>CHANGE TO</w:t>
            </w:r>
            <w:r w:rsidR="00B11372">
              <w:rPr>
                <w:rFonts w:ascii="Arial" w:hAnsi="Arial" w:cs="Arial"/>
              </w:rPr>
              <w:t xml:space="preserve"> WORK PLAN</w:t>
            </w:r>
            <w:r w:rsidR="008B4028">
              <w:rPr>
                <w:rFonts w:ascii="Arial" w:hAnsi="Arial" w:cs="Arial"/>
              </w:rPr>
              <w:t xml:space="preserve"> AND TIMESCALES</w:t>
            </w:r>
            <w:r w:rsidR="00220EB6">
              <w:rPr>
                <w:rFonts w:ascii="Arial" w:hAnsi="Arial" w:cs="Arial"/>
              </w:rPr>
              <w:t>.</w:t>
            </w:r>
            <w:r w:rsidR="00B11372">
              <w:rPr>
                <w:rFonts w:ascii="Arial" w:hAnsi="Arial" w:cs="Arial"/>
              </w:rPr>
              <w:t xml:space="preserve"> </w:t>
            </w:r>
          </w:p>
          <w:p w:rsidR="00BB78C8" w:rsidRDefault="00A04A1D" w:rsidP="00DD25E1">
            <w:pPr>
              <w:jc w:val="both"/>
              <w:rPr>
                <w:rFonts w:ascii="Arial" w:hAnsi="Arial" w:cs="Arial"/>
              </w:rPr>
            </w:pPr>
            <w:r>
              <w:rPr>
                <w:rFonts w:ascii="Arial" w:hAnsi="Arial" w:cs="Arial"/>
              </w:rPr>
              <w:t xml:space="preserve">Due to population data </w:t>
            </w:r>
            <w:r w:rsidR="00220EB6">
              <w:rPr>
                <w:rFonts w:ascii="Arial" w:hAnsi="Arial" w:cs="Arial"/>
              </w:rPr>
              <w:t>unavailability</w:t>
            </w:r>
            <w:r w:rsidR="00C75BD2">
              <w:rPr>
                <w:rFonts w:ascii="Arial" w:hAnsi="Arial" w:cs="Arial"/>
              </w:rPr>
              <w:t xml:space="preserve">, the </w:t>
            </w:r>
            <w:r w:rsidR="00C66161">
              <w:rPr>
                <w:rFonts w:ascii="Arial" w:hAnsi="Arial" w:cs="Arial"/>
              </w:rPr>
              <w:t xml:space="preserve">analytical work </w:t>
            </w:r>
            <w:r w:rsidR="00C75BD2">
              <w:rPr>
                <w:rFonts w:ascii="Arial" w:hAnsi="Arial" w:cs="Arial"/>
              </w:rPr>
              <w:t>would need to be postp</w:t>
            </w:r>
            <w:r w:rsidR="00DE249F">
              <w:rPr>
                <w:rFonts w:ascii="Arial" w:hAnsi="Arial" w:cs="Arial"/>
              </w:rPr>
              <w:t xml:space="preserve">oned at least until August 2015. </w:t>
            </w:r>
            <w:r w:rsidR="00C75BD2">
              <w:rPr>
                <w:rFonts w:ascii="Arial" w:hAnsi="Arial" w:cs="Arial"/>
              </w:rPr>
              <w:t>This would lead to a delay in the r</w:t>
            </w:r>
            <w:r w:rsidR="00DE249F">
              <w:rPr>
                <w:rFonts w:ascii="Arial" w:hAnsi="Arial" w:cs="Arial"/>
              </w:rPr>
              <w:t>eport to TAGRA to at least August</w:t>
            </w:r>
            <w:r w:rsidR="00C75BD2">
              <w:rPr>
                <w:rFonts w:ascii="Arial" w:hAnsi="Arial" w:cs="Arial"/>
              </w:rPr>
              <w:t xml:space="preserve"> 2016 and would consequently </w:t>
            </w:r>
            <w:r w:rsidR="008B4028">
              <w:rPr>
                <w:rFonts w:ascii="Arial" w:hAnsi="Arial" w:cs="Arial"/>
              </w:rPr>
              <w:t xml:space="preserve">impact on the timing of the impact assessment (likely to be </w:t>
            </w:r>
            <w:r w:rsidR="00DE249F">
              <w:rPr>
                <w:rFonts w:ascii="Arial" w:hAnsi="Arial" w:cs="Arial"/>
              </w:rPr>
              <w:t xml:space="preserve">December </w:t>
            </w:r>
            <w:r w:rsidR="0019656B">
              <w:rPr>
                <w:rFonts w:ascii="Arial" w:hAnsi="Arial" w:cs="Arial"/>
              </w:rPr>
              <w:t>2016).</w:t>
            </w:r>
            <w:r w:rsidR="00DE249F">
              <w:rPr>
                <w:rFonts w:ascii="Arial" w:hAnsi="Arial" w:cs="Arial"/>
              </w:rPr>
              <w:t xml:space="preserve"> The new MLC adjustment would then not be incorporated into the formula run until summer 2017 and would thus not be reflected in the target shares calculated until 2018/19.</w:t>
            </w:r>
          </w:p>
          <w:p w:rsidR="005A79E9" w:rsidRPr="00411891" w:rsidRDefault="005A79E9" w:rsidP="00DD25E1">
            <w:pPr>
              <w:jc w:val="both"/>
              <w:rPr>
                <w:rFonts w:ascii="Arial" w:hAnsi="Arial" w:cs="Arial"/>
              </w:rPr>
            </w:pPr>
          </w:p>
        </w:tc>
      </w:tr>
      <w:tr w:rsidR="00BB78C8" w:rsidTr="00D425FD">
        <w:tc>
          <w:tcPr>
            <w:tcW w:w="1065" w:type="pct"/>
          </w:tcPr>
          <w:p w:rsidR="00BB78C8" w:rsidRPr="00411891" w:rsidRDefault="00B11372" w:rsidP="00DD25E1">
            <w:pPr>
              <w:jc w:val="both"/>
              <w:rPr>
                <w:rFonts w:ascii="Arial" w:hAnsi="Arial" w:cs="Arial"/>
              </w:rPr>
            </w:pPr>
            <w:r>
              <w:rPr>
                <w:rFonts w:ascii="Arial" w:hAnsi="Arial" w:cs="Arial"/>
              </w:rPr>
              <w:t>3</w:t>
            </w:r>
            <w:r w:rsidR="00BB78C8">
              <w:rPr>
                <w:rFonts w:ascii="Arial" w:hAnsi="Arial" w:cs="Arial"/>
              </w:rPr>
              <w:t xml:space="preserve">. </w:t>
            </w:r>
            <w:r w:rsidR="00BB78C8" w:rsidRPr="00411891">
              <w:rPr>
                <w:rFonts w:ascii="Arial" w:hAnsi="Arial" w:cs="Arial"/>
              </w:rPr>
              <w:t xml:space="preserve">Postpone Acute MLC review until SIMD 2016 is released based on </w:t>
            </w:r>
            <w:r w:rsidR="00F642F4">
              <w:rPr>
                <w:rFonts w:ascii="Arial" w:hAnsi="Arial" w:cs="Arial"/>
              </w:rPr>
              <w:t>Data Zones 2011</w:t>
            </w:r>
            <w:r w:rsidR="00BB78C8" w:rsidRPr="00411891">
              <w:rPr>
                <w:rFonts w:ascii="Arial" w:hAnsi="Arial" w:cs="Arial"/>
              </w:rPr>
              <w:t>.</w:t>
            </w:r>
          </w:p>
          <w:p w:rsidR="00BB78C8" w:rsidRDefault="00BB78C8" w:rsidP="00DD25E1">
            <w:pPr>
              <w:jc w:val="both"/>
            </w:pPr>
          </w:p>
        </w:tc>
        <w:tc>
          <w:tcPr>
            <w:tcW w:w="1990" w:type="pct"/>
          </w:tcPr>
          <w:p w:rsidR="00362E58" w:rsidRDefault="00362E58" w:rsidP="00DD25E1">
            <w:pPr>
              <w:pStyle w:val="ListParagraph"/>
              <w:numPr>
                <w:ilvl w:val="0"/>
                <w:numId w:val="15"/>
              </w:numPr>
              <w:jc w:val="both"/>
            </w:pPr>
            <w:r w:rsidRPr="0094270E">
              <w:rPr>
                <w:rFonts w:ascii="Arial" w:hAnsi="Arial" w:cs="Arial"/>
              </w:rPr>
              <w:t>The extent to which such a delay would be</w:t>
            </w:r>
            <w:r>
              <w:rPr>
                <w:rFonts w:ascii="Arial" w:hAnsi="Arial" w:cs="Arial"/>
              </w:rPr>
              <w:t xml:space="preserve"> justifiable depends on the extent to which SIMD overall score and domain scores are viewed as appropriate potential indicators of need.</w:t>
            </w:r>
          </w:p>
        </w:tc>
        <w:tc>
          <w:tcPr>
            <w:tcW w:w="1945" w:type="pct"/>
          </w:tcPr>
          <w:p w:rsidR="008247B8" w:rsidRDefault="008B4028" w:rsidP="00DD25E1">
            <w:pPr>
              <w:jc w:val="both"/>
              <w:rPr>
                <w:rFonts w:ascii="Arial" w:hAnsi="Arial" w:cs="Arial"/>
              </w:rPr>
            </w:pPr>
            <w:r>
              <w:rPr>
                <w:rFonts w:ascii="Arial" w:hAnsi="Arial" w:cs="Arial"/>
              </w:rPr>
              <w:t>MAJOR</w:t>
            </w:r>
            <w:r w:rsidR="00BB78C8">
              <w:rPr>
                <w:rFonts w:ascii="Arial" w:hAnsi="Arial" w:cs="Arial"/>
              </w:rPr>
              <w:t xml:space="preserve"> </w:t>
            </w:r>
            <w:r>
              <w:rPr>
                <w:rFonts w:ascii="Arial" w:hAnsi="Arial" w:cs="Arial"/>
              </w:rPr>
              <w:t>CHANGE</w:t>
            </w:r>
            <w:r w:rsidR="00BB78C8">
              <w:rPr>
                <w:rFonts w:ascii="Arial" w:hAnsi="Arial" w:cs="Arial"/>
              </w:rPr>
              <w:t xml:space="preserve"> ON WORK PLAN AND TIMESCALES</w:t>
            </w:r>
            <w:r>
              <w:rPr>
                <w:rFonts w:ascii="Arial" w:hAnsi="Arial" w:cs="Arial"/>
              </w:rPr>
              <w:t>.</w:t>
            </w:r>
          </w:p>
          <w:p w:rsidR="005A79E9" w:rsidRPr="00D425FD" w:rsidRDefault="0019656B" w:rsidP="00DD25E1">
            <w:pPr>
              <w:jc w:val="both"/>
              <w:rPr>
                <w:rFonts w:ascii="Arial" w:hAnsi="Arial" w:cs="Arial"/>
              </w:rPr>
            </w:pPr>
            <w:r>
              <w:rPr>
                <w:rFonts w:ascii="Arial" w:hAnsi="Arial" w:cs="Arial"/>
              </w:rPr>
              <w:t>T</w:t>
            </w:r>
            <w:r w:rsidR="008B4028">
              <w:rPr>
                <w:rFonts w:ascii="Arial" w:hAnsi="Arial" w:cs="Arial"/>
              </w:rPr>
              <w:t xml:space="preserve">he analytical work would need to be postponed </w:t>
            </w:r>
            <w:r>
              <w:rPr>
                <w:rFonts w:ascii="Arial" w:hAnsi="Arial" w:cs="Arial"/>
              </w:rPr>
              <w:t xml:space="preserve">to </w:t>
            </w:r>
            <w:r w:rsidR="008B4028">
              <w:rPr>
                <w:rFonts w:ascii="Arial" w:hAnsi="Arial" w:cs="Arial"/>
              </w:rPr>
              <w:t xml:space="preserve">at least </w:t>
            </w:r>
            <w:r>
              <w:rPr>
                <w:rFonts w:ascii="Arial" w:hAnsi="Arial" w:cs="Arial"/>
              </w:rPr>
              <w:t>the end of 2016 which would mean that the report to TAGRA woul</w:t>
            </w:r>
            <w:r w:rsidR="00DE249F">
              <w:rPr>
                <w:rFonts w:ascii="Arial" w:hAnsi="Arial" w:cs="Arial"/>
              </w:rPr>
              <w:t>d be delayed until December 2017</w:t>
            </w:r>
            <w:r>
              <w:rPr>
                <w:rFonts w:ascii="Arial" w:hAnsi="Arial" w:cs="Arial"/>
              </w:rPr>
              <w:t xml:space="preserve">. This would consequently impact on the timing of the impact assessment (likely to be April </w:t>
            </w:r>
            <w:r w:rsidR="00DE249F">
              <w:rPr>
                <w:rFonts w:ascii="Arial" w:hAnsi="Arial" w:cs="Arial"/>
              </w:rPr>
              <w:t>2018</w:t>
            </w:r>
            <w:r w:rsidR="00811116">
              <w:rPr>
                <w:rFonts w:ascii="Arial" w:hAnsi="Arial" w:cs="Arial"/>
              </w:rPr>
              <w:t xml:space="preserve">). </w:t>
            </w:r>
            <w:r>
              <w:rPr>
                <w:rFonts w:ascii="Arial" w:hAnsi="Arial" w:cs="Arial"/>
              </w:rPr>
              <w:t>The new MLC adjustment would then not be incorporated into t</w:t>
            </w:r>
            <w:r w:rsidR="00DE249F">
              <w:rPr>
                <w:rFonts w:ascii="Arial" w:hAnsi="Arial" w:cs="Arial"/>
              </w:rPr>
              <w:t>he formula run until summer 2018</w:t>
            </w:r>
            <w:r>
              <w:rPr>
                <w:rFonts w:ascii="Arial" w:hAnsi="Arial" w:cs="Arial"/>
              </w:rPr>
              <w:t xml:space="preserve"> and would thus not be reflected in the tar</w:t>
            </w:r>
            <w:r w:rsidR="00DE249F">
              <w:rPr>
                <w:rFonts w:ascii="Arial" w:hAnsi="Arial" w:cs="Arial"/>
              </w:rPr>
              <w:t>get shares calculated until 2019/20</w:t>
            </w:r>
            <w:r w:rsidR="00EA3C03">
              <w:rPr>
                <w:rFonts w:ascii="Arial" w:hAnsi="Arial" w:cs="Arial"/>
              </w:rPr>
              <w:t>.</w:t>
            </w:r>
          </w:p>
        </w:tc>
      </w:tr>
    </w:tbl>
    <w:p w:rsidR="000A755F" w:rsidRDefault="000A755F" w:rsidP="001A490A">
      <w:pPr>
        <w:spacing w:after="0"/>
        <w:jc w:val="both"/>
        <w:rPr>
          <w:rFonts w:ascii="Arial" w:hAnsi="Arial" w:cs="Arial"/>
        </w:rPr>
        <w:sectPr w:rsidR="000A755F" w:rsidSect="008247B8">
          <w:pgSz w:w="16838" w:h="11906" w:orient="landscape" w:code="9"/>
          <w:pgMar w:top="1440" w:right="1440" w:bottom="1440" w:left="1440" w:header="709" w:footer="709" w:gutter="0"/>
          <w:cols w:space="708"/>
          <w:docGrid w:linePitch="360"/>
        </w:sectPr>
      </w:pPr>
    </w:p>
    <w:p w:rsidR="00E9163F" w:rsidRDefault="00E9163F" w:rsidP="00E9163F">
      <w:pPr>
        <w:spacing w:after="0"/>
        <w:rPr>
          <w:rFonts w:ascii="Arial" w:hAnsi="Arial" w:cs="Arial"/>
          <w:i/>
        </w:rPr>
      </w:pPr>
      <w:r w:rsidRPr="00E9163F">
        <w:rPr>
          <w:rFonts w:ascii="Arial" w:hAnsi="Arial" w:cs="Arial"/>
          <w:i/>
        </w:rPr>
        <w:lastRenderedPageBreak/>
        <w:t xml:space="preserve">Table 3: </w:t>
      </w:r>
      <w:r w:rsidR="006717B1">
        <w:rPr>
          <w:rFonts w:ascii="Arial" w:hAnsi="Arial" w:cs="Arial"/>
          <w:i/>
        </w:rPr>
        <w:t>Evaluation of options</w:t>
      </w:r>
      <w:r w:rsidRPr="00E9163F">
        <w:rPr>
          <w:rFonts w:ascii="Arial" w:hAnsi="Arial" w:cs="Arial"/>
          <w:i/>
        </w:rPr>
        <w:t xml:space="preserve"> against TAGRA Core Criteria  </w:t>
      </w:r>
    </w:p>
    <w:p w:rsidR="00E9163F" w:rsidRPr="00E9163F" w:rsidRDefault="00E9163F" w:rsidP="00E9163F">
      <w:pPr>
        <w:spacing w:after="0"/>
        <w:rPr>
          <w:rFonts w:ascii="Arial" w:hAnsi="Arial" w:cs="Arial"/>
          <w:i/>
        </w:rPr>
      </w:pPr>
    </w:p>
    <w:tbl>
      <w:tblPr>
        <w:tblStyle w:val="TableGrid"/>
        <w:tblW w:w="0" w:type="auto"/>
        <w:tblInd w:w="-743" w:type="dxa"/>
        <w:tblLook w:val="04A0"/>
      </w:tblPr>
      <w:tblGrid>
        <w:gridCol w:w="2269"/>
        <w:gridCol w:w="2046"/>
        <w:gridCol w:w="3194"/>
        <w:gridCol w:w="3088"/>
      </w:tblGrid>
      <w:tr w:rsidR="00E9163F" w:rsidRPr="00E9163F" w:rsidTr="00E9163F">
        <w:tc>
          <w:tcPr>
            <w:tcW w:w="2269" w:type="dxa"/>
          </w:tcPr>
          <w:p w:rsidR="00E9163F" w:rsidRPr="00E9163F" w:rsidRDefault="00E9163F" w:rsidP="00625454">
            <w:pPr>
              <w:jc w:val="center"/>
              <w:rPr>
                <w:rFonts w:ascii="Arial" w:hAnsi="Arial" w:cs="Arial"/>
                <w:b/>
              </w:rPr>
            </w:pPr>
            <w:r w:rsidRPr="00E9163F">
              <w:rPr>
                <w:rFonts w:ascii="Arial" w:hAnsi="Arial" w:cs="Arial"/>
                <w:b/>
              </w:rPr>
              <w:t>Criterion</w:t>
            </w:r>
          </w:p>
        </w:tc>
        <w:tc>
          <w:tcPr>
            <w:tcW w:w="2046" w:type="dxa"/>
          </w:tcPr>
          <w:p w:rsidR="00E9163F" w:rsidRPr="00E9163F" w:rsidRDefault="00E9163F" w:rsidP="00625454">
            <w:pPr>
              <w:jc w:val="center"/>
              <w:rPr>
                <w:rFonts w:ascii="Arial" w:hAnsi="Arial" w:cs="Arial"/>
                <w:b/>
              </w:rPr>
            </w:pPr>
            <w:r w:rsidRPr="00E9163F">
              <w:rPr>
                <w:rFonts w:ascii="Arial" w:hAnsi="Arial" w:cs="Arial"/>
                <w:b/>
              </w:rPr>
              <w:t>Option 1</w:t>
            </w:r>
          </w:p>
        </w:tc>
        <w:tc>
          <w:tcPr>
            <w:tcW w:w="0" w:type="auto"/>
          </w:tcPr>
          <w:p w:rsidR="00E9163F" w:rsidRPr="00E9163F" w:rsidRDefault="00E9163F" w:rsidP="00625454">
            <w:pPr>
              <w:jc w:val="center"/>
              <w:rPr>
                <w:rFonts w:ascii="Arial" w:hAnsi="Arial" w:cs="Arial"/>
                <w:b/>
              </w:rPr>
            </w:pPr>
            <w:r w:rsidRPr="00E9163F">
              <w:rPr>
                <w:rFonts w:ascii="Arial" w:hAnsi="Arial" w:cs="Arial"/>
                <w:b/>
              </w:rPr>
              <w:t>Option 2</w:t>
            </w:r>
          </w:p>
        </w:tc>
        <w:tc>
          <w:tcPr>
            <w:tcW w:w="0" w:type="auto"/>
          </w:tcPr>
          <w:p w:rsidR="00E9163F" w:rsidRPr="00E9163F" w:rsidRDefault="00E9163F" w:rsidP="00625454">
            <w:pPr>
              <w:jc w:val="center"/>
              <w:rPr>
                <w:rFonts w:ascii="Arial" w:hAnsi="Arial" w:cs="Arial"/>
                <w:b/>
              </w:rPr>
            </w:pPr>
            <w:r w:rsidRPr="00E9163F">
              <w:rPr>
                <w:rFonts w:ascii="Arial" w:hAnsi="Arial" w:cs="Arial"/>
                <w:b/>
              </w:rPr>
              <w:t xml:space="preserve">Option </w:t>
            </w:r>
            <w:r>
              <w:rPr>
                <w:rFonts w:ascii="Arial" w:hAnsi="Arial" w:cs="Arial"/>
                <w:b/>
              </w:rPr>
              <w:t>3</w:t>
            </w:r>
          </w:p>
        </w:tc>
      </w:tr>
      <w:tr w:rsidR="00E9163F" w:rsidRPr="00E9163F" w:rsidTr="00E9163F">
        <w:tc>
          <w:tcPr>
            <w:tcW w:w="2269" w:type="dxa"/>
          </w:tcPr>
          <w:p w:rsidR="00E9163F" w:rsidRPr="00E9163F" w:rsidRDefault="00E9163F" w:rsidP="00625454">
            <w:pPr>
              <w:rPr>
                <w:rFonts w:ascii="Arial" w:hAnsi="Arial" w:cs="Arial"/>
              </w:rPr>
            </w:pPr>
            <w:r w:rsidRPr="00E9163F">
              <w:rPr>
                <w:rStyle w:val="s17"/>
                <w:rFonts w:ascii="Arial" w:hAnsi="Arial" w:cs="Arial"/>
                <w:bCs/>
              </w:rPr>
              <w:t>Equity</w:t>
            </w:r>
            <w:r w:rsidRPr="00E9163F">
              <w:rPr>
                <w:rStyle w:val="s14"/>
                <w:rFonts w:ascii="Arial" w:hAnsi="Arial" w:cs="Arial"/>
              </w:rPr>
              <w:t> </w:t>
            </w:r>
          </w:p>
        </w:tc>
        <w:tc>
          <w:tcPr>
            <w:tcW w:w="2046" w:type="dxa"/>
          </w:tcPr>
          <w:p w:rsidR="00E9163F" w:rsidRPr="00E9163F" w:rsidRDefault="0056658E" w:rsidP="0056658E">
            <w:pPr>
              <w:rPr>
                <w:rFonts w:ascii="Arial" w:hAnsi="Arial" w:cs="Arial"/>
              </w:rPr>
            </w:pPr>
            <w:r>
              <w:rPr>
                <w:rFonts w:ascii="Arial" w:hAnsi="Arial" w:cs="Arial"/>
              </w:rPr>
              <w:t xml:space="preserve">- A model based on </w:t>
            </w:r>
            <w:r w:rsidR="00E9163F" w:rsidRPr="00E9163F">
              <w:rPr>
                <w:rFonts w:ascii="Arial" w:hAnsi="Arial" w:cs="Arial"/>
              </w:rPr>
              <w:t>Data Zones</w:t>
            </w:r>
            <w:r>
              <w:rPr>
                <w:rFonts w:ascii="Arial" w:hAnsi="Arial" w:cs="Arial"/>
              </w:rPr>
              <w:t xml:space="preserve"> 2001</w:t>
            </w:r>
            <w:r w:rsidR="00E9163F" w:rsidRPr="00E9163F">
              <w:rPr>
                <w:rFonts w:ascii="Arial" w:hAnsi="Arial" w:cs="Arial"/>
              </w:rPr>
              <w:t xml:space="preserve"> may not be optimal for Data Zones</w:t>
            </w:r>
            <w:r>
              <w:rPr>
                <w:rFonts w:ascii="Arial" w:hAnsi="Arial" w:cs="Arial"/>
              </w:rPr>
              <w:t xml:space="preserve"> 2011</w:t>
            </w:r>
            <w:r w:rsidR="00E9163F" w:rsidRPr="00E9163F">
              <w:rPr>
                <w:rFonts w:ascii="Arial" w:hAnsi="Arial" w:cs="Arial"/>
              </w:rPr>
              <w:t>, even with recalculated coefficients</w:t>
            </w:r>
          </w:p>
        </w:tc>
        <w:tc>
          <w:tcPr>
            <w:tcW w:w="0" w:type="auto"/>
          </w:tcPr>
          <w:p w:rsidR="00E9163F" w:rsidRDefault="00E9163F" w:rsidP="00625454">
            <w:pPr>
              <w:rPr>
                <w:rFonts w:ascii="Arial" w:hAnsi="Arial" w:cs="Arial"/>
              </w:rPr>
            </w:pPr>
            <w:r w:rsidRPr="00E9163F">
              <w:rPr>
                <w:rFonts w:ascii="Arial" w:hAnsi="Arial" w:cs="Arial"/>
              </w:rPr>
              <w:t>+ Uses the most recent Data Zones capturing the current population distribution across Scotland</w:t>
            </w:r>
          </w:p>
          <w:p w:rsidR="00811116" w:rsidRPr="00E9163F" w:rsidRDefault="00811116" w:rsidP="00625454">
            <w:pPr>
              <w:rPr>
                <w:rFonts w:ascii="Arial" w:hAnsi="Arial" w:cs="Arial"/>
              </w:rPr>
            </w:pPr>
            <w:r w:rsidRPr="00E9163F">
              <w:rPr>
                <w:rFonts w:ascii="Arial" w:hAnsi="Arial" w:cs="Arial"/>
              </w:rPr>
              <w:t>- If the review is postponed, the corresponding improvement in equity is also postponed</w:t>
            </w:r>
          </w:p>
        </w:tc>
        <w:tc>
          <w:tcPr>
            <w:tcW w:w="0" w:type="auto"/>
          </w:tcPr>
          <w:p w:rsidR="00E9163F" w:rsidRPr="00E9163F" w:rsidRDefault="00E9163F" w:rsidP="00625454">
            <w:pPr>
              <w:rPr>
                <w:rFonts w:ascii="Arial" w:hAnsi="Arial" w:cs="Arial"/>
              </w:rPr>
            </w:pPr>
            <w:r w:rsidRPr="00E9163F">
              <w:rPr>
                <w:rFonts w:ascii="Arial" w:hAnsi="Arial" w:cs="Arial"/>
              </w:rPr>
              <w:t>- If the review is postponed, the corresponding improvement in equity is also postponed</w:t>
            </w:r>
          </w:p>
        </w:tc>
      </w:tr>
      <w:tr w:rsidR="00E9163F" w:rsidRPr="00E9163F" w:rsidTr="00E9163F">
        <w:tc>
          <w:tcPr>
            <w:tcW w:w="2269" w:type="dxa"/>
          </w:tcPr>
          <w:p w:rsidR="00E9163F" w:rsidRPr="00E9163F" w:rsidRDefault="00E9163F" w:rsidP="00625454">
            <w:pPr>
              <w:rPr>
                <w:rFonts w:ascii="Arial" w:hAnsi="Arial" w:cs="Arial"/>
              </w:rPr>
            </w:pPr>
            <w:r w:rsidRPr="00E9163F">
              <w:rPr>
                <w:rFonts w:ascii="Arial" w:hAnsi="Arial" w:cs="Arial"/>
              </w:rPr>
              <w:t>Practicality</w:t>
            </w:r>
          </w:p>
        </w:tc>
        <w:tc>
          <w:tcPr>
            <w:tcW w:w="2046" w:type="dxa"/>
          </w:tcPr>
          <w:p w:rsidR="00E9163F" w:rsidRPr="00E9163F" w:rsidRDefault="00E9163F" w:rsidP="00811116">
            <w:pPr>
              <w:rPr>
                <w:rFonts w:ascii="Arial" w:hAnsi="Arial" w:cs="Arial"/>
              </w:rPr>
            </w:pPr>
            <w:r w:rsidRPr="00E9163F">
              <w:rPr>
                <w:rFonts w:ascii="Arial" w:hAnsi="Arial" w:cs="Arial"/>
              </w:rPr>
              <w:t xml:space="preserve">+ </w:t>
            </w:r>
            <w:r w:rsidR="00811116">
              <w:rPr>
                <w:rFonts w:ascii="Arial" w:hAnsi="Arial" w:cs="Arial"/>
              </w:rPr>
              <w:t>Minor</w:t>
            </w:r>
            <w:r w:rsidR="00811116" w:rsidRPr="00E9163F">
              <w:rPr>
                <w:rFonts w:ascii="Arial" w:hAnsi="Arial" w:cs="Arial"/>
              </w:rPr>
              <w:t xml:space="preserve"> </w:t>
            </w:r>
            <w:r w:rsidRPr="00E9163F">
              <w:rPr>
                <w:rFonts w:ascii="Arial" w:hAnsi="Arial" w:cs="Arial"/>
              </w:rPr>
              <w:t>change to work plan and timescales</w:t>
            </w:r>
          </w:p>
        </w:tc>
        <w:tc>
          <w:tcPr>
            <w:tcW w:w="0" w:type="auto"/>
          </w:tcPr>
          <w:p w:rsidR="00E9163F" w:rsidRPr="00E9163F" w:rsidRDefault="00E9163F" w:rsidP="00811116">
            <w:pPr>
              <w:rPr>
                <w:rFonts w:ascii="Arial" w:hAnsi="Arial" w:cs="Arial"/>
              </w:rPr>
            </w:pPr>
            <w:r>
              <w:rPr>
                <w:rFonts w:ascii="Arial" w:hAnsi="Arial" w:cs="Arial"/>
              </w:rPr>
              <w:t xml:space="preserve">- </w:t>
            </w:r>
            <w:r w:rsidR="0056658E">
              <w:rPr>
                <w:rFonts w:ascii="Arial" w:hAnsi="Arial" w:cs="Arial"/>
              </w:rPr>
              <w:t>Significant</w:t>
            </w:r>
            <w:r w:rsidR="00811116">
              <w:rPr>
                <w:rFonts w:ascii="Arial" w:hAnsi="Arial" w:cs="Arial"/>
              </w:rPr>
              <w:t xml:space="preserve"> </w:t>
            </w:r>
            <w:r>
              <w:rPr>
                <w:rFonts w:ascii="Arial" w:hAnsi="Arial" w:cs="Arial"/>
              </w:rPr>
              <w:t>impact on</w:t>
            </w:r>
            <w:r w:rsidRPr="00E9163F">
              <w:rPr>
                <w:rFonts w:ascii="Arial" w:hAnsi="Arial" w:cs="Arial"/>
              </w:rPr>
              <w:t xml:space="preserve"> work plan and timescales</w:t>
            </w:r>
          </w:p>
        </w:tc>
        <w:tc>
          <w:tcPr>
            <w:tcW w:w="0" w:type="auto"/>
          </w:tcPr>
          <w:p w:rsidR="00E9163F" w:rsidRPr="00E9163F" w:rsidRDefault="0056658E" w:rsidP="00625454">
            <w:pPr>
              <w:rPr>
                <w:rFonts w:ascii="Arial" w:hAnsi="Arial" w:cs="Arial"/>
              </w:rPr>
            </w:pPr>
            <w:r>
              <w:rPr>
                <w:rFonts w:ascii="Arial" w:hAnsi="Arial" w:cs="Arial"/>
              </w:rPr>
              <w:t>- Major</w:t>
            </w:r>
            <w:r w:rsidR="00E9163F" w:rsidRPr="00E9163F">
              <w:rPr>
                <w:rFonts w:ascii="Arial" w:hAnsi="Arial" w:cs="Arial"/>
              </w:rPr>
              <w:t xml:space="preserve"> impact on timescales</w:t>
            </w:r>
          </w:p>
        </w:tc>
      </w:tr>
      <w:tr w:rsidR="0087509C" w:rsidRPr="00E9163F" w:rsidTr="00E9163F">
        <w:tc>
          <w:tcPr>
            <w:tcW w:w="2269" w:type="dxa"/>
          </w:tcPr>
          <w:p w:rsidR="0087509C" w:rsidRPr="00E9163F" w:rsidRDefault="0087509C" w:rsidP="00625454">
            <w:pPr>
              <w:rPr>
                <w:rFonts w:ascii="Arial" w:hAnsi="Arial" w:cs="Arial"/>
              </w:rPr>
            </w:pPr>
            <w:r w:rsidRPr="00E9163F">
              <w:rPr>
                <w:rFonts w:ascii="Arial" w:hAnsi="Arial" w:cs="Arial"/>
              </w:rPr>
              <w:t>Transparency</w:t>
            </w:r>
          </w:p>
        </w:tc>
        <w:tc>
          <w:tcPr>
            <w:tcW w:w="2046" w:type="dxa"/>
          </w:tcPr>
          <w:p w:rsidR="0087509C" w:rsidRPr="00E9163F" w:rsidRDefault="0087509C" w:rsidP="000B22AD">
            <w:pPr>
              <w:rPr>
                <w:rFonts w:ascii="Arial" w:hAnsi="Arial" w:cs="Arial"/>
              </w:rPr>
            </w:pPr>
            <w:r>
              <w:rPr>
                <w:rFonts w:ascii="Arial" w:hAnsi="Arial" w:cs="Arial"/>
              </w:rPr>
              <w:t>- More complex option involving transfer of model at a later date</w:t>
            </w:r>
          </w:p>
        </w:tc>
        <w:tc>
          <w:tcPr>
            <w:tcW w:w="0" w:type="auto"/>
          </w:tcPr>
          <w:p w:rsidR="0087509C" w:rsidRPr="00E9163F" w:rsidRDefault="0087509C" w:rsidP="0087509C">
            <w:pPr>
              <w:rPr>
                <w:rFonts w:ascii="Arial" w:hAnsi="Arial" w:cs="Arial"/>
              </w:rPr>
            </w:pPr>
            <w:r w:rsidRPr="00E9163F">
              <w:rPr>
                <w:rFonts w:ascii="Arial" w:hAnsi="Arial" w:cs="Arial"/>
              </w:rPr>
              <w:t>+ More straightforward option using  Data Zones</w:t>
            </w:r>
            <w:r>
              <w:rPr>
                <w:rFonts w:ascii="Arial" w:hAnsi="Arial" w:cs="Arial"/>
              </w:rPr>
              <w:t xml:space="preserve"> 2011 only</w:t>
            </w:r>
          </w:p>
        </w:tc>
        <w:tc>
          <w:tcPr>
            <w:tcW w:w="0" w:type="auto"/>
          </w:tcPr>
          <w:p w:rsidR="0087509C" w:rsidRPr="00E9163F" w:rsidRDefault="0087509C" w:rsidP="00625454">
            <w:pPr>
              <w:rPr>
                <w:rFonts w:ascii="Arial" w:hAnsi="Arial" w:cs="Arial"/>
              </w:rPr>
            </w:pPr>
            <w:r w:rsidRPr="00E9163F">
              <w:rPr>
                <w:rFonts w:ascii="Arial" w:hAnsi="Arial" w:cs="Arial"/>
              </w:rPr>
              <w:t xml:space="preserve">+ More straightforward option using  Data Zones </w:t>
            </w:r>
            <w:r>
              <w:rPr>
                <w:rFonts w:ascii="Arial" w:hAnsi="Arial" w:cs="Arial"/>
              </w:rPr>
              <w:t xml:space="preserve">2011 </w:t>
            </w:r>
            <w:r w:rsidRPr="00E9163F">
              <w:rPr>
                <w:rFonts w:ascii="Arial" w:hAnsi="Arial" w:cs="Arial"/>
              </w:rPr>
              <w:t>only</w:t>
            </w:r>
          </w:p>
        </w:tc>
      </w:tr>
      <w:tr w:rsidR="0087509C" w:rsidRPr="00E9163F" w:rsidTr="00E9163F">
        <w:tc>
          <w:tcPr>
            <w:tcW w:w="2269" w:type="dxa"/>
          </w:tcPr>
          <w:p w:rsidR="0087509C" w:rsidRPr="00E9163F" w:rsidRDefault="0087509C" w:rsidP="00625454">
            <w:pPr>
              <w:rPr>
                <w:rFonts w:ascii="Arial" w:hAnsi="Arial" w:cs="Arial"/>
              </w:rPr>
            </w:pPr>
            <w:r w:rsidRPr="00E9163F">
              <w:rPr>
                <w:rFonts w:ascii="Arial" w:hAnsi="Arial" w:cs="Arial"/>
              </w:rPr>
              <w:t>Objectivity</w:t>
            </w:r>
          </w:p>
        </w:tc>
        <w:tc>
          <w:tcPr>
            <w:tcW w:w="2046" w:type="dxa"/>
          </w:tcPr>
          <w:p w:rsidR="0087509C" w:rsidRPr="00E9163F" w:rsidRDefault="0087509C" w:rsidP="00625454">
            <w:pPr>
              <w:rPr>
                <w:rFonts w:ascii="Arial" w:hAnsi="Arial" w:cs="Arial"/>
              </w:rPr>
            </w:pPr>
            <w:r w:rsidRPr="00E9163F">
              <w:rPr>
                <w:rFonts w:ascii="Arial" w:hAnsi="Arial" w:cs="Arial"/>
              </w:rPr>
              <w:t>- Does not make full use of the most recent Data Zones</w:t>
            </w:r>
          </w:p>
        </w:tc>
        <w:tc>
          <w:tcPr>
            <w:tcW w:w="0" w:type="auto"/>
          </w:tcPr>
          <w:p w:rsidR="0087509C" w:rsidRPr="00E9163F" w:rsidRDefault="0087509C" w:rsidP="00625454">
            <w:pPr>
              <w:rPr>
                <w:rFonts w:ascii="Arial" w:hAnsi="Arial" w:cs="Arial"/>
              </w:rPr>
            </w:pPr>
            <w:r w:rsidRPr="00E9163F">
              <w:rPr>
                <w:rFonts w:ascii="Arial" w:hAnsi="Arial" w:cs="Arial"/>
              </w:rPr>
              <w:t>+ Uses the most recent Data Zones</w:t>
            </w:r>
          </w:p>
        </w:tc>
        <w:tc>
          <w:tcPr>
            <w:tcW w:w="0" w:type="auto"/>
          </w:tcPr>
          <w:p w:rsidR="0087509C" w:rsidRPr="00E9163F" w:rsidRDefault="0087509C" w:rsidP="00625454">
            <w:pPr>
              <w:rPr>
                <w:rFonts w:ascii="Arial" w:hAnsi="Arial" w:cs="Arial"/>
              </w:rPr>
            </w:pPr>
            <w:r w:rsidRPr="00E9163F">
              <w:rPr>
                <w:rFonts w:ascii="Arial" w:hAnsi="Arial" w:cs="Arial"/>
              </w:rPr>
              <w:t>+ Uses the most recent Data Zones</w:t>
            </w:r>
          </w:p>
        </w:tc>
      </w:tr>
      <w:tr w:rsidR="0087509C" w:rsidRPr="00E9163F" w:rsidTr="0056658E">
        <w:tc>
          <w:tcPr>
            <w:tcW w:w="2269" w:type="dxa"/>
          </w:tcPr>
          <w:p w:rsidR="0087509C" w:rsidRPr="00E9163F" w:rsidRDefault="0087509C" w:rsidP="00625454">
            <w:pPr>
              <w:rPr>
                <w:rFonts w:ascii="Arial" w:hAnsi="Arial" w:cs="Arial"/>
              </w:rPr>
            </w:pPr>
            <w:r w:rsidRPr="00E9163F">
              <w:rPr>
                <w:rFonts w:ascii="Arial" w:hAnsi="Arial" w:cs="Arial"/>
              </w:rPr>
              <w:t>Avoiding perverse incentives</w:t>
            </w:r>
          </w:p>
        </w:tc>
        <w:tc>
          <w:tcPr>
            <w:tcW w:w="7716" w:type="dxa"/>
            <w:gridSpan w:val="3"/>
          </w:tcPr>
          <w:p w:rsidR="0087509C" w:rsidRPr="00E9163F" w:rsidRDefault="0087509C" w:rsidP="0056658E">
            <w:pPr>
              <w:jc w:val="center"/>
              <w:rPr>
                <w:rFonts w:ascii="Arial" w:hAnsi="Arial" w:cs="Arial"/>
              </w:rPr>
            </w:pPr>
            <w:r>
              <w:rPr>
                <w:rFonts w:ascii="Arial" w:hAnsi="Arial" w:cs="Arial"/>
              </w:rPr>
              <w:t>Cannot differentiate between options</w:t>
            </w:r>
          </w:p>
        </w:tc>
      </w:tr>
      <w:tr w:rsidR="0087509C" w:rsidRPr="00E9163F" w:rsidTr="00E9163F">
        <w:tc>
          <w:tcPr>
            <w:tcW w:w="2269" w:type="dxa"/>
          </w:tcPr>
          <w:p w:rsidR="0087509C" w:rsidRPr="00E9163F" w:rsidRDefault="0087509C" w:rsidP="00625454">
            <w:pPr>
              <w:rPr>
                <w:rFonts w:ascii="Arial" w:hAnsi="Arial" w:cs="Arial"/>
              </w:rPr>
            </w:pPr>
            <w:r w:rsidRPr="00E9163F">
              <w:rPr>
                <w:rFonts w:ascii="Arial" w:hAnsi="Arial" w:cs="Arial"/>
              </w:rPr>
              <w:t>Relevance</w:t>
            </w:r>
          </w:p>
        </w:tc>
        <w:tc>
          <w:tcPr>
            <w:tcW w:w="2046" w:type="dxa"/>
          </w:tcPr>
          <w:p w:rsidR="0087509C" w:rsidRPr="00E9163F" w:rsidRDefault="0087509C" w:rsidP="00625454">
            <w:pPr>
              <w:rPr>
                <w:rFonts w:ascii="Arial" w:hAnsi="Arial" w:cs="Arial"/>
              </w:rPr>
            </w:pPr>
            <w:r w:rsidRPr="00E9163F">
              <w:rPr>
                <w:rFonts w:ascii="Arial" w:hAnsi="Arial" w:cs="Arial"/>
              </w:rPr>
              <w:t>- Does not make full use of the most recent Data Zones</w:t>
            </w:r>
          </w:p>
        </w:tc>
        <w:tc>
          <w:tcPr>
            <w:tcW w:w="0" w:type="auto"/>
          </w:tcPr>
          <w:p w:rsidR="0087509C" w:rsidRDefault="0087509C" w:rsidP="00625454">
            <w:pPr>
              <w:rPr>
                <w:rFonts w:ascii="Arial" w:hAnsi="Arial" w:cs="Arial"/>
              </w:rPr>
            </w:pPr>
            <w:r w:rsidRPr="00E9163F">
              <w:rPr>
                <w:rFonts w:ascii="Arial" w:hAnsi="Arial" w:cs="Arial"/>
              </w:rPr>
              <w:t>+ Uses the most recent Data Zones</w:t>
            </w:r>
          </w:p>
          <w:p w:rsidR="0087509C" w:rsidRDefault="0087509C" w:rsidP="0087509C">
            <w:pPr>
              <w:rPr>
                <w:rFonts w:ascii="Arial" w:hAnsi="Arial" w:cs="Arial"/>
              </w:rPr>
            </w:pPr>
            <w:r>
              <w:rPr>
                <w:rFonts w:ascii="Arial" w:hAnsi="Arial" w:cs="Arial"/>
              </w:rPr>
              <w:t>- Precludes the exploration of SIMD scores as indicators of need</w:t>
            </w:r>
          </w:p>
          <w:p w:rsidR="0087509C" w:rsidRPr="00E9163F" w:rsidRDefault="0087509C" w:rsidP="00625454">
            <w:pPr>
              <w:rPr>
                <w:rFonts w:ascii="Arial" w:hAnsi="Arial" w:cs="Arial"/>
              </w:rPr>
            </w:pPr>
          </w:p>
        </w:tc>
        <w:tc>
          <w:tcPr>
            <w:tcW w:w="0" w:type="auto"/>
          </w:tcPr>
          <w:p w:rsidR="0087509C" w:rsidRDefault="0087509C" w:rsidP="0087509C">
            <w:pPr>
              <w:rPr>
                <w:rFonts w:ascii="Arial" w:hAnsi="Arial" w:cs="Arial"/>
              </w:rPr>
            </w:pPr>
            <w:r w:rsidRPr="00E9163F">
              <w:rPr>
                <w:rFonts w:ascii="Arial" w:hAnsi="Arial" w:cs="Arial"/>
              </w:rPr>
              <w:t>+ Uses the most recent Data Zones</w:t>
            </w:r>
          </w:p>
          <w:p w:rsidR="0087509C" w:rsidRPr="00E9163F" w:rsidRDefault="0087509C" w:rsidP="00625454">
            <w:pPr>
              <w:rPr>
                <w:rFonts w:ascii="Arial" w:hAnsi="Arial" w:cs="Arial"/>
              </w:rPr>
            </w:pPr>
            <w:r>
              <w:rPr>
                <w:rFonts w:ascii="Arial" w:hAnsi="Arial" w:cs="Arial"/>
              </w:rPr>
              <w:t>+ Allows for the exploration of SIMD scores as indicators of need</w:t>
            </w:r>
          </w:p>
        </w:tc>
      </w:tr>
      <w:tr w:rsidR="0087509C" w:rsidRPr="00E9163F" w:rsidTr="00E9163F">
        <w:tc>
          <w:tcPr>
            <w:tcW w:w="2269" w:type="dxa"/>
          </w:tcPr>
          <w:p w:rsidR="0087509C" w:rsidRPr="00E9163F" w:rsidRDefault="0087509C" w:rsidP="00625454">
            <w:pPr>
              <w:rPr>
                <w:rFonts w:ascii="Arial" w:hAnsi="Arial" w:cs="Arial"/>
              </w:rPr>
            </w:pPr>
            <w:r w:rsidRPr="00E9163F">
              <w:rPr>
                <w:rFonts w:ascii="Arial" w:hAnsi="Arial" w:cs="Arial"/>
              </w:rPr>
              <w:t>Stability</w:t>
            </w:r>
          </w:p>
        </w:tc>
        <w:tc>
          <w:tcPr>
            <w:tcW w:w="2046" w:type="dxa"/>
          </w:tcPr>
          <w:p w:rsidR="0087509C" w:rsidRPr="00E9163F" w:rsidRDefault="0087509C" w:rsidP="00625454">
            <w:pPr>
              <w:rPr>
                <w:rFonts w:ascii="Arial" w:hAnsi="Arial" w:cs="Arial"/>
              </w:rPr>
            </w:pPr>
            <w:r>
              <w:rPr>
                <w:rFonts w:ascii="Arial" w:hAnsi="Arial" w:cs="Arial"/>
              </w:rPr>
              <w:t>?</w:t>
            </w:r>
            <w:r w:rsidRPr="00E9163F">
              <w:rPr>
                <w:rFonts w:ascii="Arial" w:hAnsi="Arial" w:cs="Arial"/>
              </w:rPr>
              <w:t xml:space="preserve"> Introduces a series of changes rather than a single large change</w:t>
            </w:r>
          </w:p>
        </w:tc>
        <w:tc>
          <w:tcPr>
            <w:tcW w:w="0" w:type="auto"/>
          </w:tcPr>
          <w:p w:rsidR="0087509C" w:rsidRPr="00E9163F" w:rsidRDefault="0087509C" w:rsidP="00625454">
            <w:pPr>
              <w:rPr>
                <w:rFonts w:ascii="Arial" w:hAnsi="Arial" w:cs="Arial"/>
              </w:rPr>
            </w:pPr>
            <w:r w:rsidRPr="00E9163F">
              <w:rPr>
                <w:rFonts w:ascii="Arial" w:hAnsi="Arial" w:cs="Arial"/>
              </w:rPr>
              <w:t>+ Uses the most recent Data Zones which are not likely to be changed in the next 10 years</w:t>
            </w:r>
          </w:p>
        </w:tc>
        <w:tc>
          <w:tcPr>
            <w:tcW w:w="0" w:type="auto"/>
          </w:tcPr>
          <w:p w:rsidR="0087509C" w:rsidRPr="00E9163F" w:rsidRDefault="0087509C" w:rsidP="00625454">
            <w:pPr>
              <w:rPr>
                <w:rFonts w:ascii="Arial" w:hAnsi="Arial" w:cs="Arial"/>
              </w:rPr>
            </w:pPr>
            <w:r w:rsidRPr="00E9163F">
              <w:rPr>
                <w:rFonts w:ascii="Arial" w:hAnsi="Arial" w:cs="Arial"/>
              </w:rPr>
              <w:t>+ Uses the most recent Data Zones which are not likely to be changed in the next 10 years</w:t>
            </w:r>
          </w:p>
        </w:tc>
      </w:tr>
      <w:tr w:rsidR="0087509C" w:rsidRPr="00E9163F" w:rsidTr="00E71D76">
        <w:tc>
          <w:tcPr>
            <w:tcW w:w="2269" w:type="dxa"/>
          </w:tcPr>
          <w:p w:rsidR="0087509C" w:rsidRPr="00E9163F" w:rsidRDefault="0087509C" w:rsidP="00625454">
            <w:pPr>
              <w:rPr>
                <w:rFonts w:ascii="Arial" w:hAnsi="Arial" w:cs="Arial"/>
              </w:rPr>
            </w:pPr>
            <w:r w:rsidRPr="00E9163F">
              <w:rPr>
                <w:rFonts w:ascii="Arial" w:hAnsi="Arial" w:cs="Arial"/>
              </w:rPr>
              <w:t>Responsiveness</w:t>
            </w:r>
          </w:p>
        </w:tc>
        <w:tc>
          <w:tcPr>
            <w:tcW w:w="2046" w:type="dxa"/>
          </w:tcPr>
          <w:p w:rsidR="0087509C" w:rsidRDefault="0087509C" w:rsidP="000B22AD">
            <w:pPr>
              <w:rPr>
                <w:rFonts w:ascii="Arial" w:hAnsi="Arial" w:cs="Arial"/>
              </w:rPr>
            </w:pPr>
            <w:r>
              <w:rPr>
                <w:rFonts w:ascii="Arial" w:hAnsi="Arial" w:cs="Arial"/>
              </w:rPr>
              <w:t>+Makes the first update as soon as practicable</w:t>
            </w:r>
          </w:p>
          <w:p w:rsidR="0087509C" w:rsidRDefault="0087509C" w:rsidP="000B22AD">
            <w:pPr>
              <w:rPr>
                <w:rFonts w:ascii="Arial" w:hAnsi="Arial" w:cs="Arial"/>
              </w:rPr>
            </w:pPr>
            <w:r w:rsidRPr="00E9163F">
              <w:rPr>
                <w:rFonts w:ascii="Arial" w:hAnsi="Arial" w:cs="Arial"/>
              </w:rPr>
              <w:t xml:space="preserve">- </w:t>
            </w:r>
            <w:r>
              <w:rPr>
                <w:rFonts w:ascii="Arial" w:hAnsi="Arial" w:cs="Arial"/>
              </w:rPr>
              <w:t xml:space="preserve">Unlikely to then </w:t>
            </w:r>
            <w:r w:rsidRPr="00E9163F">
              <w:rPr>
                <w:rFonts w:ascii="Arial" w:hAnsi="Arial" w:cs="Arial"/>
              </w:rPr>
              <w:t xml:space="preserve">make use of the new </w:t>
            </w:r>
            <w:r>
              <w:rPr>
                <w:rFonts w:ascii="Arial" w:hAnsi="Arial" w:cs="Arial"/>
              </w:rPr>
              <w:t>population data until 2016</w:t>
            </w:r>
          </w:p>
          <w:p w:rsidR="0087509C" w:rsidRPr="00E9163F" w:rsidRDefault="0087509C" w:rsidP="000B22AD">
            <w:pPr>
              <w:rPr>
                <w:rFonts w:ascii="Arial" w:hAnsi="Arial" w:cs="Arial"/>
              </w:rPr>
            </w:pPr>
          </w:p>
        </w:tc>
        <w:tc>
          <w:tcPr>
            <w:tcW w:w="0" w:type="auto"/>
          </w:tcPr>
          <w:p w:rsidR="0087509C" w:rsidRDefault="0087509C" w:rsidP="000B22AD">
            <w:pPr>
              <w:rPr>
                <w:rFonts w:ascii="Arial" w:hAnsi="Arial" w:cs="Arial"/>
              </w:rPr>
            </w:pPr>
            <w:r>
              <w:rPr>
                <w:rFonts w:ascii="Arial" w:hAnsi="Arial" w:cs="Arial"/>
              </w:rPr>
              <w:t>+Makes use of the new population data as soon as practicable</w:t>
            </w:r>
          </w:p>
          <w:p w:rsidR="0087509C" w:rsidRDefault="0087509C" w:rsidP="000B22AD">
            <w:pPr>
              <w:rPr>
                <w:rFonts w:ascii="Arial" w:hAnsi="Arial" w:cs="Arial"/>
              </w:rPr>
            </w:pPr>
            <w:r>
              <w:rPr>
                <w:rFonts w:ascii="Arial" w:hAnsi="Arial" w:cs="Arial"/>
              </w:rPr>
              <w:t xml:space="preserve">- Delays the indicator update (and any improvements) </w:t>
            </w:r>
          </w:p>
          <w:p w:rsidR="0087509C" w:rsidRPr="00E9163F" w:rsidRDefault="0087509C" w:rsidP="000B22AD">
            <w:pPr>
              <w:rPr>
                <w:rFonts w:ascii="Arial" w:hAnsi="Arial" w:cs="Arial"/>
              </w:rPr>
            </w:pPr>
          </w:p>
        </w:tc>
        <w:tc>
          <w:tcPr>
            <w:tcW w:w="0" w:type="auto"/>
          </w:tcPr>
          <w:p w:rsidR="0087509C" w:rsidRDefault="0087509C" w:rsidP="000B22AD">
            <w:pPr>
              <w:rPr>
                <w:rFonts w:ascii="Arial" w:hAnsi="Arial" w:cs="Arial"/>
              </w:rPr>
            </w:pPr>
            <w:r>
              <w:rPr>
                <w:rFonts w:ascii="Arial" w:hAnsi="Arial" w:cs="Arial"/>
              </w:rPr>
              <w:t xml:space="preserve">- Delays the indicator update (and any improvements) </w:t>
            </w:r>
          </w:p>
          <w:p w:rsidR="0087509C" w:rsidRDefault="0087509C" w:rsidP="000B22AD">
            <w:pPr>
              <w:rPr>
                <w:rFonts w:ascii="Arial" w:hAnsi="Arial" w:cs="Arial"/>
              </w:rPr>
            </w:pPr>
            <w:r w:rsidRPr="00E9163F">
              <w:rPr>
                <w:rFonts w:ascii="Arial" w:hAnsi="Arial" w:cs="Arial"/>
              </w:rPr>
              <w:t xml:space="preserve">- Does not make use of the new </w:t>
            </w:r>
            <w:r>
              <w:rPr>
                <w:rFonts w:ascii="Arial" w:hAnsi="Arial" w:cs="Arial"/>
              </w:rPr>
              <w:t xml:space="preserve">population </w:t>
            </w:r>
            <w:r w:rsidRPr="00E9163F">
              <w:rPr>
                <w:rFonts w:ascii="Arial" w:hAnsi="Arial" w:cs="Arial"/>
              </w:rPr>
              <w:t>data until 2017</w:t>
            </w:r>
          </w:p>
          <w:p w:rsidR="0087509C" w:rsidRPr="00E9163F" w:rsidRDefault="0087509C" w:rsidP="000B22AD">
            <w:pPr>
              <w:rPr>
                <w:rFonts w:ascii="Arial" w:hAnsi="Arial" w:cs="Arial"/>
              </w:rPr>
            </w:pPr>
          </w:p>
        </w:tc>
      </w:tr>
      <w:tr w:rsidR="0087509C" w:rsidRPr="00E9163F" w:rsidTr="00C11089">
        <w:tc>
          <w:tcPr>
            <w:tcW w:w="2269" w:type="dxa"/>
            <w:tcBorders>
              <w:bottom w:val="single" w:sz="4" w:space="0" w:color="auto"/>
            </w:tcBorders>
          </w:tcPr>
          <w:p w:rsidR="0087509C" w:rsidRPr="00E9163F" w:rsidRDefault="0087509C" w:rsidP="008247B8">
            <w:pPr>
              <w:rPr>
                <w:rFonts w:ascii="Arial" w:hAnsi="Arial" w:cs="Arial"/>
              </w:rPr>
            </w:pPr>
            <w:r w:rsidRPr="00E9163F">
              <w:rPr>
                <w:rFonts w:ascii="Arial" w:hAnsi="Arial" w:cs="Arial"/>
              </w:rPr>
              <w:t>Face validity</w:t>
            </w:r>
          </w:p>
        </w:tc>
        <w:tc>
          <w:tcPr>
            <w:tcW w:w="2046" w:type="dxa"/>
          </w:tcPr>
          <w:p w:rsidR="0087509C" w:rsidRPr="00E9163F" w:rsidRDefault="0087509C" w:rsidP="008247B8">
            <w:pPr>
              <w:rPr>
                <w:rFonts w:ascii="Arial" w:hAnsi="Arial" w:cs="Arial"/>
              </w:rPr>
            </w:pPr>
            <w:r w:rsidRPr="00E9163F">
              <w:rPr>
                <w:rFonts w:ascii="Arial" w:hAnsi="Arial" w:cs="Arial"/>
              </w:rPr>
              <w:t>- Does not make full use of the most recent Data Zones</w:t>
            </w:r>
          </w:p>
        </w:tc>
        <w:tc>
          <w:tcPr>
            <w:tcW w:w="0" w:type="auto"/>
          </w:tcPr>
          <w:p w:rsidR="0087509C" w:rsidRDefault="0087509C" w:rsidP="008247B8">
            <w:pPr>
              <w:rPr>
                <w:rFonts w:ascii="Arial" w:hAnsi="Arial" w:cs="Arial"/>
              </w:rPr>
            </w:pPr>
            <w:r w:rsidRPr="00E9163F">
              <w:rPr>
                <w:rFonts w:ascii="Arial" w:hAnsi="Arial" w:cs="Arial"/>
              </w:rPr>
              <w:t>+ Uses the most recent Data Zones</w:t>
            </w:r>
          </w:p>
          <w:p w:rsidR="0087509C" w:rsidRPr="00E9163F" w:rsidRDefault="0087509C" w:rsidP="008247B8">
            <w:pPr>
              <w:rPr>
                <w:rFonts w:ascii="Arial" w:hAnsi="Arial" w:cs="Arial"/>
              </w:rPr>
            </w:pPr>
            <w:r w:rsidRPr="00E9163F">
              <w:rPr>
                <w:rFonts w:ascii="Arial" w:hAnsi="Arial" w:cs="Arial"/>
              </w:rPr>
              <w:t xml:space="preserve"> </w:t>
            </w:r>
            <w:r>
              <w:rPr>
                <w:rFonts w:ascii="Arial" w:hAnsi="Arial" w:cs="Arial"/>
              </w:rPr>
              <w:t>- Precludes the exploration of SIMD scores as indicators of need</w:t>
            </w:r>
          </w:p>
        </w:tc>
        <w:tc>
          <w:tcPr>
            <w:tcW w:w="0" w:type="auto"/>
          </w:tcPr>
          <w:p w:rsidR="0087509C" w:rsidRDefault="0087509C" w:rsidP="008247B8">
            <w:pPr>
              <w:rPr>
                <w:rFonts w:ascii="Arial" w:hAnsi="Arial" w:cs="Arial"/>
              </w:rPr>
            </w:pPr>
            <w:r w:rsidRPr="00E9163F">
              <w:rPr>
                <w:rFonts w:ascii="Arial" w:hAnsi="Arial" w:cs="Arial"/>
              </w:rPr>
              <w:t>+ Uses the most recent Data Zones</w:t>
            </w:r>
          </w:p>
          <w:p w:rsidR="0087509C" w:rsidRPr="00E9163F" w:rsidRDefault="0087509C" w:rsidP="008247B8">
            <w:pPr>
              <w:rPr>
                <w:rFonts w:ascii="Arial" w:hAnsi="Arial" w:cs="Arial"/>
              </w:rPr>
            </w:pPr>
            <w:r w:rsidRPr="00E9163F">
              <w:rPr>
                <w:rFonts w:ascii="Arial" w:hAnsi="Arial" w:cs="Arial"/>
              </w:rPr>
              <w:t>- Does not make use of the new data until 2017</w:t>
            </w:r>
          </w:p>
        </w:tc>
      </w:tr>
    </w:tbl>
    <w:p w:rsidR="00E71D76" w:rsidRDefault="00E71D76" w:rsidP="001908F6">
      <w:pPr>
        <w:spacing w:after="0"/>
        <w:jc w:val="both"/>
        <w:rPr>
          <w:rFonts w:ascii="Arial" w:hAnsi="Arial" w:cs="Arial"/>
          <w:b/>
        </w:rPr>
      </w:pPr>
    </w:p>
    <w:p w:rsidR="00E71D76" w:rsidRDefault="00E71D76">
      <w:pPr>
        <w:rPr>
          <w:rFonts w:ascii="Arial" w:hAnsi="Arial" w:cs="Arial"/>
          <w:b/>
        </w:rPr>
      </w:pPr>
      <w:r>
        <w:rPr>
          <w:rFonts w:ascii="Arial" w:hAnsi="Arial" w:cs="Arial"/>
          <w:b/>
        </w:rPr>
        <w:br w:type="page"/>
      </w:r>
    </w:p>
    <w:p w:rsidR="00811116" w:rsidRDefault="00E71D76" w:rsidP="001908F6">
      <w:pPr>
        <w:spacing w:after="0"/>
        <w:jc w:val="both"/>
        <w:rPr>
          <w:rFonts w:ascii="Arial" w:hAnsi="Arial" w:cs="Arial"/>
          <w:b/>
        </w:rPr>
      </w:pPr>
      <w:r>
        <w:rPr>
          <w:rFonts w:ascii="Arial" w:hAnsi="Arial" w:cs="Arial"/>
          <w:b/>
        </w:rPr>
        <w:lastRenderedPageBreak/>
        <w:t>Based on the strength</w:t>
      </w:r>
      <w:r w:rsidR="00BF6500">
        <w:rPr>
          <w:rFonts w:ascii="Arial" w:hAnsi="Arial" w:cs="Arial"/>
          <w:b/>
        </w:rPr>
        <w:t>s</w:t>
      </w:r>
      <w:r>
        <w:rPr>
          <w:rFonts w:ascii="Arial" w:hAnsi="Arial" w:cs="Arial"/>
          <w:b/>
        </w:rPr>
        <w:t xml:space="preserve"> and the weaknesses presented in the table above, making a recommendation is challenging.</w:t>
      </w:r>
    </w:p>
    <w:p w:rsidR="00E71D76" w:rsidRPr="001908F6" w:rsidRDefault="00E71D76" w:rsidP="001908F6">
      <w:pPr>
        <w:spacing w:after="0"/>
        <w:jc w:val="both"/>
        <w:rPr>
          <w:rFonts w:ascii="Arial" w:hAnsi="Arial" w:cs="Arial"/>
          <w:b/>
        </w:rPr>
      </w:pPr>
    </w:p>
    <w:p w:rsidR="00A005D0" w:rsidRDefault="00135AC6">
      <w:pPr>
        <w:pStyle w:val="ListParagraph"/>
        <w:numPr>
          <w:ilvl w:val="0"/>
          <w:numId w:val="22"/>
        </w:numPr>
        <w:spacing w:after="0"/>
        <w:jc w:val="both"/>
        <w:rPr>
          <w:rFonts w:ascii="Arial" w:hAnsi="Arial" w:cs="Arial"/>
          <w:b/>
        </w:rPr>
      </w:pPr>
      <w:r w:rsidRPr="00135AC6">
        <w:rPr>
          <w:rFonts w:ascii="Arial" w:hAnsi="Arial" w:cs="Arial"/>
          <w:b/>
        </w:rPr>
        <w:t xml:space="preserve">If Option 1 is chosen as the best option for the Acute MLC Review, the </w:t>
      </w:r>
      <w:r w:rsidR="00805AA2">
        <w:rPr>
          <w:rFonts w:ascii="Arial" w:hAnsi="Arial" w:cs="Arial"/>
          <w:b/>
        </w:rPr>
        <w:t>validity</w:t>
      </w:r>
      <w:r w:rsidR="00805AA2" w:rsidRPr="00135AC6">
        <w:rPr>
          <w:rFonts w:ascii="Arial" w:hAnsi="Arial" w:cs="Arial"/>
          <w:b/>
        </w:rPr>
        <w:t xml:space="preserve"> </w:t>
      </w:r>
      <w:r w:rsidRPr="00135AC6">
        <w:rPr>
          <w:rFonts w:ascii="Arial" w:hAnsi="Arial" w:cs="Arial"/>
          <w:b/>
        </w:rPr>
        <w:t xml:space="preserve">of the constructed model can be questioned due to the redistribution of population since the Data Zones 2001 release but there will be no </w:t>
      </w:r>
      <w:r w:rsidR="00740B2A">
        <w:rPr>
          <w:rFonts w:ascii="Arial" w:hAnsi="Arial" w:cs="Arial"/>
          <w:b/>
        </w:rPr>
        <w:t xml:space="preserve">substantial </w:t>
      </w:r>
      <w:r w:rsidRPr="00135AC6">
        <w:rPr>
          <w:rFonts w:ascii="Arial" w:hAnsi="Arial" w:cs="Arial"/>
          <w:b/>
        </w:rPr>
        <w:t xml:space="preserve">delay in the work plan. </w:t>
      </w:r>
      <w:r w:rsidR="00805AA2">
        <w:rPr>
          <w:rFonts w:ascii="Arial" w:hAnsi="Arial" w:cs="Arial"/>
          <w:b/>
        </w:rPr>
        <w:t>If Intermediate Zones are selected as the geographical basis for modelling, thi</w:t>
      </w:r>
      <w:r w:rsidR="00740B2A">
        <w:rPr>
          <w:rFonts w:ascii="Arial" w:hAnsi="Arial" w:cs="Arial"/>
          <w:b/>
        </w:rPr>
        <w:t>s likely reduces</w:t>
      </w:r>
      <w:r w:rsidR="00805AA2">
        <w:rPr>
          <w:rFonts w:ascii="Arial" w:hAnsi="Arial" w:cs="Arial"/>
          <w:b/>
        </w:rPr>
        <w:t xml:space="preserve"> the impact of the redistribution,</w:t>
      </w:r>
      <w:r w:rsidR="00740B2A">
        <w:rPr>
          <w:rFonts w:ascii="Arial" w:hAnsi="Arial" w:cs="Arial"/>
          <w:b/>
        </w:rPr>
        <w:t xml:space="preserve"> but to what extent is not clear.</w:t>
      </w:r>
      <w:r w:rsidR="00805AA2">
        <w:rPr>
          <w:rFonts w:ascii="Arial" w:hAnsi="Arial" w:cs="Arial"/>
          <w:b/>
        </w:rPr>
        <w:t xml:space="preserve"> </w:t>
      </w:r>
    </w:p>
    <w:p w:rsidR="00A005D0" w:rsidRDefault="00135AC6">
      <w:pPr>
        <w:pStyle w:val="ListParagraph"/>
        <w:numPr>
          <w:ilvl w:val="0"/>
          <w:numId w:val="22"/>
        </w:numPr>
        <w:spacing w:after="0"/>
        <w:jc w:val="both"/>
        <w:rPr>
          <w:rFonts w:ascii="Arial" w:hAnsi="Arial" w:cs="Arial"/>
          <w:b/>
        </w:rPr>
      </w:pPr>
      <w:r w:rsidRPr="00135AC6">
        <w:rPr>
          <w:rFonts w:ascii="Arial" w:hAnsi="Arial" w:cs="Arial"/>
          <w:b/>
        </w:rPr>
        <w:t xml:space="preserve">If Option 2 is chosen, the Acute MLC Review will be postponed at least until August 2015 </w:t>
      </w:r>
      <w:r w:rsidR="00811116" w:rsidRPr="00811116">
        <w:rPr>
          <w:rFonts w:ascii="Arial" w:hAnsi="Arial" w:cs="Arial"/>
          <w:b/>
        </w:rPr>
        <w:t>but the constructed model will capture the redistribution of the population in the last ten years</w:t>
      </w:r>
      <w:r w:rsidR="00805AA2">
        <w:rPr>
          <w:rFonts w:ascii="Arial" w:hAnsi="Arial" w:cs="Arial"/>
          <w:b/>
        </w:rPr>
        <w:t xml:space="preserve">. However it </w:t>
      </w:r>
      <w:r w:rsidRPr="00135AC6">
        <w:rPr>
          <w:rFonts w:ascii="Arial" w:hAnsi="Arial" w:cs="Arial"/>
          <w:b/>
        </w:rPr>
        <w:t xml:space="preserve">will exclude SIMD scores from the list of potential needs indicators. </w:t>
      </w:r>
    </w:p>
    <w:p w:rsidR="00805AA2" w:rsidRDefault="00135AC6" w:rsidP="00805AA2">
      <w:pPr>
        <w:pStyle w:val="ListParagraph"/>
        <w:numPr>
          <w:ilvl w:val="0"/>
          <w:numId w:val="22"/>
        </w:numPr>
        <w:spacing w:after="0"/>
        <w:jc w:val="both"/>
        <w:rPr>
          <w:rFonts w:ascii="Arial" w:hAnsi="Arial" w:cs="Arial"/>
          <w:b/>
        </w:rPr>
      </w:pPr>
      <w:r w:rsidRPr="00135AC6">
        <w:rPr>
          <w:rFonts w:ascii="Arial" w:hAnsi="Arial" w:cs="Arial"/>
          <w:b/>
        </w:rPr>
        <w:t xml:space="preserve">If Option 3 is chosen, the Acute MLC Review will be postponed until the end of 2016 but the constructed model will capture the redistribution of the population in the last ten years and </w:t>
      </w:r>
      <w:r w:rsidR="00805AA2">
        <w:rPr>
          <w:rFonts w:ascii="Arial" w:hAnsi="Arial" w:cs="Arial"/>
          <w:b/>
        </w:rPr>
        <w:t xml:space="preserve">it </w:t>
      </w:r>
      <w:r w:rsidRPr="00135AC6">
        <w:rPr>
          <w:rFonts w:ascii="Arial" w:hAnsi="Arial" w:cs="Arial"/>
          <w:b/>
        </w:rPr>
        <w:t xml:space="preserve">will </w:t>
      </w:r>
      <w:r w:rsidR="00805AA2">
        <w:rPr>
          <w:rFonts w:ascii="Arial" w:hAnsi="Arial" w:cs="Arial"/>
          <w:b/>
        </w:rPr>
        <w:t xml:space="preserve">be possible to </w:t>
      </w:r>
      <w:r w:rsidRPr="00135AC6">
        <w:rPr>
          <w:rFonts w:ascii="Arial" w:hAnsi="Arial" w:cs="Arial"/>
          <w:b/>
        </w:rPr>
        <w:t xml:space="preserve">include SIMD scores in the list of potential variables. </w:t>
      </w:r>
    </w:p>
    <w:p w:rsidR="00921A77" w:rsidRDefault="00921A77">
      <w:pPr>
        <w:spacing w:after="0"/>
        <w:ind w:left="720"/>
        <w:jc w:val="both"/>
        <w:rPr>
          <w:rFonts w:ascii="Arial" w:hAnsi="Arial" w:cs="Arial"/>
        </w:rPr>
      </w:pPr>
    </w:p>
    <w:p w:rsidR="00921A77" w:rsidRDefault="0051371C">
      <w:pPr>
        <w:spacing w:after="0"/>
        <w:jc w:val="both"/>
        <w:rPr>
          <w:rFonts w:ascii="Arial" w:hAnsi="Arial" w:cs="Arial"/>
        </w:rPr>
      </w:pPr>
      <w:r w:rsidRPr="0051371C">
        <w:rPr>
          <w:rFonts w:ascii="Arial" w:hAnsi="Arial" w:cs="Arial"/>
        </w:rPr>
        <w:t>The essential trade off would seem to be between the practical timing arguments in favour of Option 1, versus objectivity and face validity arguments in favour of Options 2/3. The trade-off between Option 2 and Option 3 then depends largely on the extent to which SIMD domain scores are</w:t>
      </w:r>
      <w:r w:rsidR="00740B2A">
        <w:rPr>
          <w:rFonts w:ascii="Arial" w:hAnsi="Arial" w:cs="Arial"/>
        </w:rPr>
        <w:t xml:space="preserve"> considered suitable</w:t>
      </w:r>
      <w:r w:rsidRPr="0051371C">
        <w:rPr>
          <w:rFonts w:ascii="Arial" w:hAnsi="Arial" w:cs="Arial"/>
        </w:rPr>
        <w:t xml:space="preserve"> to explore as potential indicators of need.</w:t>
      </w:r>
    </w:p>
    <w:p w:rsidR="00811116" w:rsidRDefault="00811116" w:rsidP="00811116">
      <w:pPr>
        <w:pStyle w:val="ListParagraph"/>
        <w:spacing w:after="0"/>
        <w:jc w:val="both"/>
        <w:rPr>
          <w:rFonts w:ascii="Arial" w:hAnsi="Arial" w:cs="Arial"/>
          <w:b/>
        </w:rPr>
      </w:pPr>
    </w:p>
    <w:p w:rsidR="00921A77" w:rsidRPr="00037760" w:rsidRDefault="0051371C">
      <w:pPr>
        <w:spacing w:after="0"/>
        <w:jc w:val="both"/>
        <w:rPr>
          <w:rFonts w:ascii="Arial" w:hAnsi="Arial" w:cs="Arial"/>
          <w:b/>
        </w:rPr>
      </w:pPr>
      <w:r w:rsidRPr="00037760">
        <w:rPr>
          <w:rFonts w:ascii="Arial" w:hAnsi="Arial" w:cs="Arial"/>
          <w:b/>
        </w:rPr>
        <w:t>Decision required from subgroup</w:t>
      </w:r>
      <w:r w:rsidR="00037760" w:rsidRPr="00037760">
        <w:rPr>
          <w:rFonts w:ascii="Arial" w:hAnsi="Arial" w:cs="Arial"/>
          <w:b/>
        </w:rPr>
        <w:t>:</w:t>
      </w:r>
    </w:p>
    <w:p w:rsidR="00037760" w:rsidRDefault="00037760">
      <w:pPr>
        <w:spacing w:after="0"/>
        <w:jc w:val="both"/>
        <w:rPr>
          <w:rFonts w:ascii="Arial" w:hAnsi="Arial" w:cs="Arial"/>
          <w:b/>
          <w:i/>
        </w:rPr>
      </w:pPr>
    </w:p>
    <w:p w:rsidR="00805AA2" w:rsidRPr="00037760" w:rsidRDefault="0051371C" w:rsidP="00037760">
      <w:pPr>
        <w:pStyle w:val="ListParagraph"/>
        <w:numPr>
          <w:ilvl w:val="0"/>
          <w:numId w:val="24"/>
        </w:numPr>
        <w:spacing w:after="0"/>
        <w:jc w:val="both"/>
        <w:rPr>
          <w:rFonts w:ascii="Arial" w:hAnsi="Arial" w:cs="Arial"/>
        </w:rPr>
      </w:pPr>
      <w:r w:rsidRPr="00037760">
        <w:rPr>
          <w:rFonts w:ascii="Arial" w:hAnsi="Arial" w:cs="Arial"/>
        </w:rPr>
        <w:t>The subgroup is asked to consider the issues outlined above and agree on their preferred option in terms of the future analytical work in relation to the Acute MLC review.</w:t>
      </w:r>
    </w:p>
    <w:p w:rsidR="00811116" w:rsidRDefault="00811116" w:rsidP="00553F4C">
      <w:pPr>
        <w:spacing w:after="0"/>
        <w:jc w:val="both"/>
        <w:rPr>
          <w:rFonts w:ascii="Arial" w:hAnsi="Arial" w:cs="Arial"/>
          <w:b/>
          <w:i/>
        </w:rPr>
      </w:pPr>
    </w:p>
    <w:p w:rsidR="00811116" w:rsidRDefault="00811116" w:rsidP="00553F4C">
      <w:pPr>
        <w:spacing w:after="0"/>
        <w:jc w:val="both"/>
        <w:rPr>
          <w:rFonts w:ascii="Arial" w:hAnsi="Arial" w:cs="Arial"/>
          <w:b/>
          <w:i/>
        </w:rPr>
      </w:pPr>
    </w:p>
    <w:p w:rsidR="00553F4C" w:rsidRDefault="00553F4C" w:rsidP="00553F4C">
      <w:pPr>
        <w:spacing w:after="0"/>
        <w:jc w:val="both"/>
        <w:rPr>
          <w:rFonts w:ascii="Arial" w:hAnsi="Arial" w:cs="Arial"/>
          <w:b/>
          <w:i/>
        </w:rPr>
      </w:pPr>
      <w:r>
        <w:rPr>
          <w:rFonts w:ascii="Arial" w:hAnsi="Arial" w:cs="Arial"/>
          <w:b/>
          <w:i/>
        </w:rPr>
        <w:t xml:space="preserve">5. Potential Candidate Variables </w:t>
      </w:r>
    </w:p>
    <w:p w:rsidR="00553F4C" w:rsidRDefault="00553F4C" w:rsidP="00553F4C">
      <w:pPr>
        <w:spacing w:after="0"/>
        <w:jc w:val="both"/>
        <w:rPr>
          <w:rFonts w:ascii="Arial" w:hAnsi="Arial" w:cs="Arial"/>
          <w:b/>
          <w:i/>
        </w:rPr>
      </w:pPr>
    </w:p>
    <w:p w:rsidR="00553F4C" w:rsidRDefault="00553F4C" w:rsidP="00553F4C">
      <w:pPr>
        <w:spacing w:after="0"/>
        <w:jc w:val="both"/>
        <w:rPr>
          <w:rFonts w:ascii="Arial" w:hAnsi="Arial" w:cs="Arial"/>
        </w:rPr>
      </w:pPr>
      <w:r>
        <w:rPr>
          <w:rFonts w:ascii="Arial" w:hAnsi="Arial" w:cs="Arial"/>
        </w:rPr>
        <w:t>An updated version of the paper of Potential Candidate Variables was presented to the Acute MLC subgroup on Wednesday 14</w:t>
      </w:r>
      <w:r w:rsidRPr="00A43C09">
        <w:rPr>
          <w:rFonts w:ascii="Arial" w:hAnsi="Arial" w:cs="Arial"/>
          <w:vertAlign w:val="superscript"/>
        </w:rPr>
        <w:t>th</w:t>
      </w:r>
      <w:r>
        <w:rPr>
          <w:rFonts w:ascii="Arial" w:hAnsi="Arial" w:cs="Arial"/>
        </w:rPr>
        <w:t xml:space="preserve"> May 2014 (paper TAMLC09). After much discussion by the subgroup, it was agreed that waiting times should no longer be considered as a measure of supply.</w:t>
      </w:r>
      <w:r w:rsidRPr="00CF4C09">
        <w:rPr>
          <w:rFonts w:ascii="Arial" w:hAnsi="Arial" w:cs="Arial"/>
        </w:rPr>
        <w:t xml:space="preserve"> </w:t>
      </w:r>
      <w:r>
        <w:rPr>
          <w:rFonts w:ascii="Arial" w:hAnsi="Arial" w:cs="Arial"/>
        </w:rPr>
        <w:t>Also, it was agreed that before ruling out ethnicity, some analysis will be carried out to get a better understanding of the number of Intermediate Data zones with zero activity. Since the last Acute MLC subgroup meeting, this</w:t>
      </w:r>
      <w:r w:rsidRPr="00D7789B">
        <w:rPr>
          <w:rFonts w:ascii="Arial" w:hAnsi="Arial" w:cs="Arial"/>
        </w:rPr>
        <w:t xml:space="preserve"> paper</w:t>
      </w:r>
      <w:r>
        <w:rPr>
          <w:rFonts w:ascii="Arial" w:hAnsi="Arial" w:cs="Arial"/>
        </w:rPr>
        <w:t xml:space="preserve"> </w:t>
      </w:r>
      <w:r w:rsidRPr="00D7789B">
        <w:rPr>
          <w:rFonts w:ascii="Arial" w:hAnsi="Arial" w:cs="Arial"/>
        </w:rPr>
        <w:t>provides</w:t>
      </w:r>
      <w:r>
        <w:rPr>
          <w:rFonts w:ascii="Arial" w:hAnsi="Arial" w:cs="Arial"/>
        </w:rPr>
        <w:t xml:space="preserve"> an update of the</w:t>
      </w:r>
      <w:r w:rsidRPr="00D7789B">
        <w:rPr>
          <w:rFonts w:ascii="Arial" w:hAnsi="Arial" w:cs="Arial"/>
        </w:rPr>
        <w:t xml:space="preserve"> information</w:t>
      </w:r>
      <w:r>
        <w:rPr>
          <w:rFonts w:ascii="Arial" w:hAnsi="Arial" w:cs="Arial"/>
        </w:rPr>
        <w:t xml:space="preserve"> available</w:t>
      </w:r>
      <w:r w:rsidRPr="00D7789B">
        <w:rPr>
          <w:rFonts w:ascii="Arial" w:hAnsi="Arial" w:cs="Arial"/>
        </w:rPr>
        <w:t xml:space="preserve"> </w:t>
      </w:r>
      <w:r>
        <w:rPr>
          <w:rFonts w:ascii="Arial" w:hAnsi="Arial" w:cs="Arial"/>
        </w:rPr>
        <w:t xml:space="preserve">on </w:t>
      </w:r>
      <w:r w:rsidRPr="00D7789B">
        <w:rPr>
          <w:rFonts w:ascii="Arial" w:hAnsi="Arial" w:cs="Arial"/>
        </w:rPr>
        <w:t xml:space="preserve">indicators </w:t>
      </w:r>
      <w:r>
        <w:rPr>
          <w:rFonts w:ascii="Arial" w:hAnsi="Arial" w:cs="Arial"/>
        </w:rPr>
        <w:t>of needs.</w:t>
      </w:r>
    </w:p>
    <w:p w:rsidR="00553F4C" w:rsidRDefault="00553F4C" w:rsidP="00553F4C">
      <w:pPr>
        <w:spacing w:after="0"/>
        <w:jc w:val="both"/>
        <w:rPr>
          <w:rFonts w:ascii="Arial" w:hAnsi="Arial" w:cs="Arial"/>
        </w:rPr>
      </w:pPr>
      <w:r>
        <w:rPr>
          <w:rFonts w:ascii="Arial" w:hAnsi="Arial" w:cs="Arial"/>
        </w:rPr>
        <w:t xml:space="preserve"> </w:t>
      </w:r>
    </w:p>
    <w:p w:rsidR="00553F4C" w:rsidRDefault="00553F4C" w:rsidP="00553F4C">
      <w:pPr>
        <w:spacing w:after="0"/>
        <w:jc w:val="both"/>
        <w:rPr>
          <w:rFonts w:ascii="Arial" w:hAnsi="Arial" w:cs="Arial"/>
        </w:rPr>
      </w:pPr>
      <w:r>
        <w:rPr>
          <w:rFonts w:ascii="Arial" w:hAnsi="Arial" w:cs="Arial"/>
        </w:rPr>
        <w:t>The following new indicators of need were investigated:</w:t>
      </w:r>
    </w:p>
    <w:p w:rsidR="00553F4C" w:rsidRDefault="00553F4C" w:rsidP="00553F4C">
      <w:pPr>
        <w:spacing w:after="0"/>
        <w:jc w:val="both"/>
        <w:rPr>
          <w:rFonts w:ascii="Arial" w:hAnsi="Arial" w:cs="Arial"/>
        </w:rPr>
      </w:pPr>
    </w:p>
    <w:p w:rsidR="00553F4C" w:rsidRDefault="00553F4C" w:rsidP="00553F4C">
      <w:pPr>
        <w:pStyle w:val="ListParagraph"/>
        <w:numPr>
          <w:ilvl w:val="0"/>
          <w:numId w:val="8"/>
        </w:numPr>
        <w:spacing w:after="0"/>
        <w:jc w:val="both"/>
        <w:rPr>
          <w:rFonts w:ascii="Arial" w:hAnsi="Arial" w:cs="Arial"/>
        </w:rPr>
      </w:pPr>
      <w:r w:rsidRPr="004C3B73">
        <w:rPr>
          <w:rFonts w:ascii="Arial" w:hAnsi="Arial" w:cs="Arial"/>
          <w:b/>
        </w:rPr>
        <w:t>High Resource Individuals Count</w:t>
      </w:r>
      <w:r w:rsidR="009C0A8D">
        <w:rPr>
          <w:rFonts w:ascii="Arial" w:hAnsi="Arial" w:cs="Arial"/>
        </w:rPr>
        <w:t xml:space="preserve"> – </w:t>
      </w:r>
      <w:r>
        <w:rPr>
          <w:rFonts w:ascii="Arial" w:hAnsi="Arial" w:cs="Arial"/>
        </w:rPr>
        <w:t>Counts</w:t>
      </w:r>
      <w:r w:rsidR="009C0A8D">
        <w:rPr>
          <w:rFonts w:ascii="Arial" w:hAnsi="Arial" w:cs="Arial"/>
        </w:rPr>
        <w:t xml:space="preserve"> </w:t>
      </w:r>
      <w:r>
        <w:rPr>
          <w:rFonts w:ascii="Arial" w:hAnsi="Arial" w:cs="Arial"/>
        </w:rPr>
        <w:t>of High Resource Individuals at Data Zone level</w:t>
      </w:r>
      <w:r w:rsidRPr="004C3B73">
        <w:rPr>
          <w:rFonts w:ascii="Arial" w:hAnsi="Arial" w:cs="Arial"/>
        </w:rPr>
        <w:t xml:space="preserve"> are available for ages 18-64 and over 65. </w:t>
      </w:r>
    </w:p>
    <w:p w:rsidR="00553F4C" w:rsidRPr="00322547" w:rsidRDefault="00553F4C" w:rsidP="00553F4C">
      <w:pPr>
        <w:pStyle w:val="ListParagraph"/>
        <w:spacing w:after="0"/>
        <w:jc w:val="both"/>
        <w:rPr>
          <w:rFonts w:ascii="Arial" w:hAnsi="Arial" w:cs="Arial"/>
          <w:i/>
        </w:rPr>
      </w:pPr>
      <w:r w:rsidRPr="00322547">
        <w:rPr>
          <w:rFonts w:ascii="Arial" w:hAnsi="Arial" w:cs="Arial"/>
          <w:i/>
        </w:rPr>
        <w:t xml:space="preserve">This variable is suggested for further investigation.  </w:t>
      </w:r>
    </w:p>
    <w:p w:rsidR="00553F4C" w:rsidRPr="009778B9" w:rsidRDefault="00553F4C" w:rsidP="00553F4C">
      <w:pPr>
        <w:pStyle w:val="ListParagraph"/>
        <w:spacing w:after="0"/>
        <w:jc w:val="both"/>
        <w:rPr>
          <w:rFonts w:ascii="Arial" w:hAnsi="Arial" w:cs="Arial"/>
        </w:rPr>
      </w:pPr>
    </w:p>
    <w:p w:rsidR="00553F4C" w:rsidRPr="00322547" w:rsidRDefault="00553F4C" w:rsidP="00553F4C">
      <w:pPr>
        <w:pStyle w:val="ListParagraph"/>
        <w:numPr>
          <w:ilvl w:val="0"/>
          <w:numId w:val="1"/>
        </w:numPr>
        <w:spacing w:after="0"/>
        <w:jc w:val="both"/>
        <w:rPr>
          <w:rFonts w:ascii="Arial" w:hAnsi="Arial" w:cs="Arial"/>
          <w:b/>
        </w:rPr>
      </w:pPr>
      <w:r w:rsidRPr="004C3B73">
        <w:rPr>
          <w:rFonts w:ascii="Arial" w:hAnsi="Arial" w:cs="Arial"/>
          <w:b/>
        </w:rPr>
        <w:t>Did Not Attend Count</w:t>
      </w:r>
      <w:r>
        <w:rPr>
          <w:rFonts w:ascii="Arial" w:hAnsi="Arial" w:cs="Arial"/>
          <w:b/>
        </w:rPr>
        <w:t xml:space="preserve"> </w:t>
      </w:r>
      <w:r>
        <w:rPr>
          <w:rFonts w:ascii="Arial" w:hAnsi="Arial" w:cs="Arial"/>
        </w:rPr>
        <w:t xml:space="preserve">– Count of ‘Did Not Attend’ outpatient appointments by Data Zone are available. </w:t>
      </w:r>
    </w:p>
    <w:p w:rsidR="00553F4C" w:rsidRPr="00322547" w:rsidRDefault="00553F4C" w:rsidP="00553F4C">
      <w:pPr>
        <w:pStyle w:val="ListParagraph"/>
        <w:spacing w:after="0"/>
        <w:ind w:left="765"/>
        <w:jc w:val="both"/>
        <w:rPr>
          <w:rFonts w:ascii="Arial" w:hAnsi="Arial" w:cs="Arial"/>
          <w:b/>
          <w:i/>
        </w:rPr>
      </w:pPr>
      <w:r w:rsidRPr="00322547">
        <w:rPr>
          <w:rFonts w:ascii="Arial" w:hAnsi="Arial" w:cs="Arial"/>
          <w:i/>
        </w:rPr>
        <w:t>The variable is suggested for further investigation.</w:t>
      </w:r>
    </w:p>
    <w:p w:rsidR="00553F4C" w:rsidRPr="004C3B73" w:rsidRDefault="00553F4C" w:rsidP="00553F4C">
      <w:pPr>
        <w:pStyle w:val="ListParagraph"/>
        <w:spacing w:after="0"/>
        <w:ind w:left="765"/>
        <w:jc w:val="both"/>
        <w:rPr>
          <w:rFonts w:ascii="Arial" w:hAnsi="Arial" w:cs="Arial"/>
          <w:b/>
        </w:rPr>
      </w:pPr>
    </w:p>
    <w:p w:rsidR="00553F4C" w:rsidRPr="00322547" w:rsidRDefault="00553F4C" w:rsidP="00553F4C">
      <w:pPr>
        <w:pStyle w:val="ListParagraph"/>
        <w:numPr>
          <w:ilvl w:val="0"/>
          <w:numId w:val="1"/>
        </w:numPr>
        <w:spacing w:after="0"/>
        <w:jc w:val="both"/>
        <w:rPr>
          <w:rFonts w:ascii="Arial" w:hAnsi="Arial" w:cs="Arial"/>
        </w:rPr>
      </w:pPr>
      <w:r w:rsidRPr="004C3B73">
        <w:rPr>
          <w:rFonts w:ascii="Arial" w:hAnsi="Arial" w:cs="Arial"/>
          <w:b/>
        </w:rPr>
        <w:t>Life Expectancy</w:t>
      </w:r>
      <w:r>
        <w:rPr>
          <w:rFonts w:ascii="Arial" w:hAnsi="Arial" w:cs="Arial"/>
        </w:rPr>
        <w:t xml:space="preserve"> </w:t>
      </w:r>
      <w:r w:rsidRPr="004C3B73">
        <w:rPr>
          <w:rFonts w:ascii="Arial" w:hAnsi="Arial" w:cs="Arial"/>
          <w:b/>
        </w:rPr>
        <w:t>(LE)</w:t>
      </w:r>
      <w:r>
        <w:rPr>
          <w:rFonts w:ascii="Arial" w:hAnsi="Arial" w:cs="Arial"/>
        </w:rPr>
        <w:t xml:space="preserve"> – LE is </w:t>
      </w:r>
      <w:r w:rsidRPr="00507087">
        <w:rPr>
          <w:rFonts w:ascii="Arial" w:hAnsi="Arial" w:cs="Arial"/>
          <w:szCs w:val="20"/>
          <w:shd w:val="clear" w:color="auto" w:fill="FFFFFF"/>
        </w:rPr>
        <w:t>an estimate of how many years a person might be expected to live</w:t>
      </w:r>
      <w:r>
        <w:rPr>
          <w:rFonts w:ascii="Arial" w:hAnsi="Arial" w:cs="Arial"/>
          <w:szCs w:val="20"/>
          <w:shd w:val="clear" w:color="auto" w:fill="FFFFFF"/>
        </w:rPr>
        <w:t xml:space="preserve">. Data are </w:t>
      </w:r>
      <w:r w:rsidRPr="0047319E">
        <w:rPr>
          <w:rFonts w:ascii="Arial" w:hAnsi="Arial" w:cs="Arial"/>
          <w:szCs w:val="20"/>
        </w:rPr>
        <w:t>available at i</w:t>
      </w:r>
      <w:r>
        <w:rPr>
          <w:rFonts w:ascii="Arial" w:hAnsi="Arial" w:cs="Arial"/>
          <w:szCs w:val="20"/>
        </w:rPr>
        <w:t>ntermediate geography level only and</w:t>
      </w:r>
      <w:r w:rsidRPr="0047319E">
        <w:rPr>
          <w:rFonts w:ascii="Arial" w:hAnsi="Arial" w:cs="Arial"/>
          <w:szCs w:val="20"/>
        </w:rPr>
        <w:t xml:space="preserve"> for five time periods: 1994-98, 1996-2000, 1999-2003, 2001-05 and 2003-07</w:t>
      </w:r>
      <w:r>
        <w:rPr>
          <w:rFonts w:ascii="Arial" w:hAnsi="Arial" w:cs="Arial"/>
          <w:szCs w:val="20"/>
        </w:rPr>
        <w:t xml:space="preserve">. </w:t>
      </w:r>
    </w:p>
    <w:p w:rsidR="00553F4C" w:rsidRPr="00322547" w:rsidRDefault="00553F4C" w:rsidP="00553F4C">
      <w:pPr>
        <w:pStyle w:val="ListParagraph"/>
        <w:spacing w:after="0"/>
        <w:ind w:left="765"/>
        <w:jc w:val="both"/>
        <w:rPr>
          <w:rFonts w:ascii="Arial" w:hAnsi="Arial" w:cs="Arial"/>
          <w:i/>
        </w:rPr>
      </w:pPr>
      <w:r w:rsidRPr="00322547">
        <w:rPr>
          <w:rFonts w:ascii="Arial" w:hAnsi="Arial" w:cs="Arial"/>
          <w:i/>
          <w:szCs w:val="20"/>
        </w:rPr>
        <w:t xml:space="preserve">The subgroup is asked to discuss whether LE meets the requirements for candidate variables since the most recent data is from 2003-07 and the variable is available only at intermediate geographies.  </w:t>
      </w:r>
    </w:p>
    <w:p w:rsidR="00553F4C" w:rsidRDefault="00553F4C" w:rsidP="00553F4C">
      <w:pPr>
        <w:pStyle w:val="ListParagraph"/>
        <w:spacing w:after="0"/>
        <w:ind w:left="765"/>
        <w:jc w:val="both"/>
        <w:rPr>
          <w:rFonts w:ascii="Arial" w:hAnsi="Arial" w:cs="Arial"/>
        </w:rPr>
      </w:pPr>
    </w:p>
    <w:p w:rsidR="00553F4C" w:rsidRPr="00322547" w:rsidRDefault="00553F4C" w:rsidP="00553F4C">
      <w:pPr>
        <w:pStyle w:val="ListParagraph"/>
        <w:numPr>
          <w:ilvl w:val="0"/>
          <w:numId w:val="1"/>
        </w:numPr>
        <w:spacing w:after="0"/>
        <w:jc w:val="both"/>
        <w:rPr>
          <w:rFonts w:ascii="Arial" w:hAnsi="Arial" w:cs="Arial"/>
        </w:rPr>
      </w:pPr>
      <w:r w:rsidRPr="009778B9">
        <w:rPr>
          <w:rFonts w:ascii="Arial" w:hAnsi="Arial" w:cs="Arial"/>
          <w:b/>
        </w:rPr>
        <w:t>Healthy Life Expectancy</w:t>
      </w:r>
      <w:r w:rsidRPr="009778B9">
        <w:rPr>
          <w:rFonts w:ascii="Arial" w:hAnsi="Arial" w:cs="Arial"/>
        </w:rPr>
        <w:t xml:space="preserve"> </w:t>
      </w:r>
      <w:r w:rsidRPr="009778B9">
        <w:rPr>
          <w:rFonts w:ascii="Arial" w:hAnsi="Arial" w:cs="Arial"/>
          <w:b/>
        </w:rPr>
        <w:t>(HLE)</w:t>
      </w:r>
      <w:r w:rsidRPr="009778B9">
        <w:rPr>
          <w:rFonts w:ascii="Arial" w:hAnsi="Arial" w:cs="Arial"/>
        </w:rPr>
        <w:t xml:space="preserve"> – HLE is </w:t>
      </w:r>
      <w:r w:rsidRPr="009778B9">
        <w:rPr>
          <w:rFonts w:ascii="Arial" w:hAnsi="Arial" w:cs="Arial"/>
          <w:szCs w:val="20"/>
          <w:shd w:val="clear" w:color="auto" w:fill="FFFFFF"/>
        </w:rPr>
        <w:t>an estim</w:t>
      </w:r>
      <w:r>
        <w:rPr>
          <w:rFonts w:ascii="Arial" w:hAnsi="Arial" w:cs="Arial"/>
          <w:szCs w:val="20"/>
          <w:shd w:val="clear" w:color="auto" w:fill="FFFFFF"/>
        </w:rPr>
        <w:t>ate of how many years a person might</w:t>
      </w:r>
      <w:r w:rsidRPr="009778B9">
        <w:rPr>
          <w:rFonts w:ascii="Arial" w:hAnsi="Arial" w:cs="Arial"/>
          <w:szCs w:val="20"/>
          <w:shd w:val="clear" w:color="auto" w:fill="FFFFFF"/>
        </w:rPr>
        <w:t xml:space="preserve"> live in a 'healthy' state. It is </w:t>
      </w:r>
      <w:r>
        <w:rPr>
          <w:rFonts w:ascii="Arial" w:hAnsi="Arial" w:cs="Arial"/>
          <w:szCs w:val="20"/>
          <w:shd w:val="clear" w:color="auto" w:fill="FFFFFF"/>
        </w:rPr>
        <w:t>not estimated for</w:t>
      </w:r>
      <w:r w:rsidRPr="009778B9">
        <w:rPr>
          <w:rFonts w:ascii="Arial" w:hAnsi="Arial" w:cs="Arial"/>
          <w:szCs w:val="20"/>
          <w:shd w:val="clear" w:color="auto" w:fill="FFFFFF"/>
        </w:rPr>
        <w:t xml:space="preserve"> small areas </w:t>
      </w:r>
      <w:r w:rsidR="001B4E79">
        <w:rPr>
          <w:rFonts w:ascii="Arial" w:hAnsi="Arial" w:cs="Arial"/>
          <w:szCs w:val="20"/>
          <w:shd w:val="clear" w:color="auto" w:fill="FFFFFF"/>
        </w:rPr>
        <w:t xml:space="preserve">such </w:t>
      </w:r>
      <w:r w:rsidRPr="009778B9">
        <w:rPr>
          <w:rFonts w:ascii="Arial" w:hAnsi="Arial" w:cs="Arial"/>
          <w:szCs w:val="20"/>
          <w:shd w:val="clear" w:color="auto" w:fill="FFFFFF"/>
        </w:rPr>
        <w:t xml:space="preserve">as </w:t>
      </w:r>
      <w:r w:rsidR="001B4E79">
        <w:rPr>
          <w:rFonts w:ascii="Arial" w:hAnsi="Arial" w:cs="Arial"/>
          <w:szCs w:val="20"/>
          <w:shd w:val="clear" w:color="auto" w:fill="FFFFFF"/>
        </w:rPr>
        <w:t>Data Zone</w:t>
      </w:r>
      <w:r w:rsidRPr="009778B9">
        <w:rPr>
          <w:rFonts w:ascii="Arial" w:hAnsi="Arial" w:cs="Arial"/>
          <w:szCs w:val="20"/>
          <w:shd w:val="clear" w:color="auto" w:fill="FFFFFF"/>
        </w:rPr>
        <w:t xml:space="preserve">s or </w:t>
      </w:r>
      <w:r w:rsidR="001B4E79">
        <w:rPr>
          <w:rFonts w:ascii="Arial" w:hAnsi="Arial" w:cs="Arial"/>
          <w:szCs w:val="20"/>
          <w:shd w:val="clear" w:color="auto" w:fill="FFFFFF"/>
        </w:rPr>
        <w:t>Intermediate Zone</w:t>
      </w:r>
      <w:r w:rsidRPr="009778B9">
        <w:rPr>
          <w:rFonts w:ascii="Arial" w:hAnsi="Arial" w:cs="Arial"/>
          <w:szCs w:val="20"/>
          <w:shd w:val="clear" w:color="auto" w:fill="FFFFFF"/>
        </w:rPr>
        <w:t>s due to the severe instability</w:t>
      </w:r>
      <w:r>
        <w:rPr>
          <w:rFonts w:ascii="Arial" w:hAnsi="Arial" w:cs="Arial"/>
          <w:szCs w:val="20"/>
          <w:shd w:val="clear" w:color="auto" w:fill="FFFFFF"/>
        </w:rPr>
        <w:t xml:space="preserve">. </w:t>
      </w:r>
    </w:p>
    <w:p w:rsidR="00553F4C" w:rsidRPr="00322547" w:rsidRDefault="00553F4C" w:rsidP="00553F4C">
      <w:pPr>
        <w:pStyle w:val="ListParagraph"/>
        <w:spacing w:after="0"/>
        <w:ind w:left="765"/>
        <w:jc w:val="both"/>
        <w:rPr>
          <w:rFonts w:ascii="Arial" w:hAnsi="Arial" w:cs="Arial"/>
          <w:i/>
        </w:rPr>
      </w:pPr>
      <w:r w:rsidRPr="00322547">
        <w:rPr>
          <w:rFonts w:ascii="Arial" w:hAnsi="Arial" w:cs="Arial"/>
          <w:i/>
          <w:szCs w:val="20"/>
          <w:shd w:val="clear" w:color="auto" w:fill="FFFFFF"/>
        </w:rPr>
        <w:t xml:space="preserve">This variable is not suggested for further investigation.   </w:t>
      </w:r>
    </w:p>
    <w:p w:rsidR="00553F4C" w:rsidRPr="0037015B" w:rsidRDefault="00553F4C" w:rsidP="00553F4C">
      <w:pPr>
        <w:spacing w:after="0"/>
        <w:jc w:val="both"/>
        <w:rPr>
          <w:rFonts w:ascii="Arial" w:hAnsi="Arial" w:cs="Arial"/>
        </w:rPr>
      </w:pPr>
    </w:p>
    <w:p w:rsidR="00553F4C" w:rsidRDefault="00553F4C" w:rsidP="00553F4C">
      <w:pPr>
        <w:pStyle w:val="ListParagraph"/>
        <w:numPr>
          <w:ilvl w:val="0"/>
          <w:numId w:val="1"/>
        </w:numPr>
        <w:spacing w:after="0"/>
        <w:jc w:val="both"/>
        <w:rPr>
          <w:rFonts w:ascii="Arial" w:hAnsi="Arial" w:cs="Arial"/>
        </w:rPr>
      </w:pPr>
      <w:r w:rsidRPr="0037015B">
        <w:rPr>
          <w:rFonts w:ascii="Arial" w:hAnsi="Arial" w:cs="Arial"/>
          <w:b/>
        </w:rPr>
        <w:t>Drug counts</w:t>
      </w:r>
      <w:r w:rsidRPr="0037015B">
        <w:rPr>
          <w:rFonts w:ascii="Arial" w:hAnsi="Arial" w:cs="Arial"/>
        </w:rPr>
        <w:t xml:space="preserve"> </w:t>
      </w:r>
      <w:r>
        <w:rPr>
          <w:rFonts w:ascii="Arial" w:hAnsi="Arial" w:cs="Arial"/>
        </w:rPr>
        <w:t>– This variable was</w:t>
      </w:r>
      <w:r w:rsidRPr="0037015B">
        <w:rPr>
          <w:rFonts w:ascii="Arial" w:hAnsi="Arial" w:cs="Arial"/>
        </w:rPr>
        <w:t xml:space="preserve"> suggested as a potential indicator of need by Professor Bruce Guthrie at the previous Acute MLC meeting. The availability of the data is still under investigation.</w:t>
      </w:r>
    </w:p>
    <w:p w:rsidR="00553F4C" w:rsidRDefault="00553F4C" w:rsidP="00553F4C">
      <w:pPr>
        <w:spacing w:after="0"/>
        <w:jc w:val="both"/>
        <w:rPr>
          <w:rFonts w:ascii="Arial" w:hAnsi="Arial" w:cs="Arial"/>
          <w:b/>
        </w:rPr>
      </w:pPr>
    </w:p>
    <w:p w:rsidR="00553F4C" w:rsidRDefault="00037760" w:rsidP="00553F4C">
      <w:pPr>
        <w:spacing w:after="0"/>
        <w:jc w:val="both"/>
        <w:rPr>
          <w:rFonts w:ascii="Arial" w:hAnsi="Arial" w:cs="Arial"/>
          <w:b/>
        </w:rPr>
      </w:pPr>
      <w:r>
        <w:rPr>
          <w:rFonts w:ascii="Arial" w:hAnsi="Arial" w:cs="Arial"/>
          <w:b/>
        </w:rPr>
        <w:t>Decision required from s</w:t>
      </w:r>
      <w:r w:rsidR="00553F4C" w:rsidRPr="0089737F">
        <w:rPr>
          <w:rFonts w:ascii="Arial" w:hAnsi="Arial" w:cs="Arial"/>
          <w:b/>
        </w:rPr>
        <w:t>ubgroup:</w:t>
      </w:r>
    </w:p>
    <w:p w:rsidR="00037760" w:rsidRDefault="00037760" w:rsidP="00553F4C">
      <w:pPr>
        <w:spacing w:after="0"/>
        <w:jc w:val="both"/>
        <w:rPr>
          <w:rFonts w:ascii="Arial" w:hAnsi="Arial" w:cs="Arial"/>
          <w:b/>
        </w:rPr>
      </w:pPr>
    </w:p>
    <w:p w:rsidR="00553F4C" w:rsidRPr="0089737F" w:rsidRDefault="00553F4C" w:rsidP="00553F4C">
      <w:pPr>
        <w:pStyle w:val="ListParagraph"/>
        <w:numPr>
          <w:ilvl w:val="0"/>
          <w:numId w:val="1"/>
        </w:numPr>
        <w:spacing w:after="0"/>
        <w:jc w:val="both"/>
        <w:rPr>
          <w:rFonts w:ascii="Arial" w:hAnsi="Arial" w:cs="Arial"/>
          <w:b/>
        </w:rPr>
      </w:pPr>
      <w:r>
        <w:rPr>
          <w:rFonts w:ascii="Arial" w:hAnsi="Arial" w:cs="Arial"/>
        </w:rPr>
        <w:t xml:space="preserve">Agree on the variables </w:t>
      </w:r>
      <w:r w:rsidR="00EF5B96">
        <w:rPr>
          <w:rFonts w:ascii="Arial" w:hAnsi="Arial" w:cs="Arial"/>
        </w:rPr>
        <w:t xml:space="preserve">in Section 5 </w:t>
      </w:r>
      <w:r>
        <w:rPr>
          <w:rFonts w:ascii="Arial" w:hAnsi="Arial" w:cs="Arial"/>
        </w:rPr>
        <w:t xml:space="preserve">which </w:t>
      </w:r>
      <w:r w:rsidR="00EF5B96">
        <w:rPr>
          <w:rFonts w:ascii="Arial" w:hAnsi="Arial" w:cs="Arial"/>
        </w:rPr>
        <w:t>should be investigated further</w:t>
      </w:r>
      <w:r>
        <w:rPr>
          <w:rFonts w:ascii="Arial" w:hAnsi="Arial" w:cs="Arial"/>
        </w:rPr>
        <w:t>.</w:t>
      </w:r>
    </w:p>
    <w:p w:rsidR="00553F4C" w:rsidRPr="0016356B" w:rsidRDefault="00553F4C" w:rsidP="00553F4C">
      <w:pPr>
        <w:spacing w:after="0"/>
        <w:jc w:val="both"/>
        <w:rPr>
          <w:rFonts w:ascii="Arial" w:hAnsi="Arial" w:cs="Arial"/>
        </w:rPr>
      </w:pPr>
    </w:p>
    <w:p w:rsidR="00553F4C" w:rsidRPr="00553F4C" w:rsidRDefault="00553F4C" w:rsidP="00553F4C">
      <w:pPr>
        <w:spacing w:after="0"/>
        <w:jc w:val="both"/>
        <w:rPr>
          <w:rFonts w:ascii="Arial" w:hAnsi="Arial" w:cs="Arial"/>
          <w:b/>
        </w:rPr>
      </w:pPr>
    </w:p>
    <w:p w:rsidR="00A03139" w:rsidRPr="007E145D" w:rsidRDefault="00A03139" w:rsidP="005052BE">
      <w:pPr>
        <w:pStyle w:val="ListParagraph"/>
        <w:jc w:val="both"/>
        <w:rPr>
          <w:rFonts w:ascii="Arial" w:hAnsi="Arial" w:cs="Arial"/>
        </w:rPr>
      </w:pPr>
    </w:p>
    <w:p w:rsidR="00A03139" w:rsidRDefault="00A03139" w:rsidP="00A03139">
      <w:pPr>
        <w:spacing w:after="0"/>
        <w:ind w:left="720"/>
        <w:jc w:val="both"/>
        <w:rPr>
          <w:rFonts w:ascii="Arial" w:hAnsi="Arial" w:cs="Arial"/>
        </w:rPr>
      </w:pPr>
    </w:p>
    <w:p w:rsidR="00E12FB5" w:rsidRDefault="00E12FB5" w:rsidP="005052BE">
      <w:pPr>
        <w:spacing w:after="0"/>
        <w:jc w:val="both"/>
        <w:rPr>
          <w:rFonts w:ascii="Arial" w:hAnsi="Arial" w:cs="Arial"/>
        </w:rPr>
      </w:pPr>
    </w:p>
    <w:p w:rsidR="00344EBE" w:rsidRDefault="00344EBE" w:rsidP="005052BE">
      <w:pPr>
        <w:spacing w:after="0"/>
        <w:jc w:val="both"/>
        <w:rPr>
          <w:rFonts w:ascii="Arial" w:hAnsi="Arial" w:cs="Arial"/>
        </w:rPr>
      </w:pPr>
    </w:p>
    <w:p w:rsidR="000B781C" w:rsidRDefault="00D10F60" w:rsidP="001A490A">
      <w:pPr>
        <w:pStyle w:val="ListParagraph"/>
        <w:spacing w:after="0"/>
        <w:rPr>
          <w:rFonts w:ascii="Arial" w:hAnsi="Arial" w:cs="Arial"/>
        </w:rPr>
      </w:pPr>
      <w:r w:rsidRPr="001A490A">
        <w:rPr>
          <w:rFonts w:ascii="Arial" w:hAnsi="Arial" w:cs="Arial"/>
        </w:rPr>
        <w:t>.</w:t>
      </w:r>
    </w:p>
    <w:p w:rsidR="00720EFE" w:rsidRPr="00C73590" w:rsidRDefault="000B781C">
      <w:pPr>
        <w:rPr>
          <w:rFonts w:ascii="Arial" w:hAnsi="Arial" w:cs="Arial"/>
          <w:b/>
          <w:i/>
        </w:rPr>
      </w:pPr>
      <w:r>
        <w:rPr>
          <w:rFonts w:ascii="Arial" w:hAnsi="Arial" w:cs="Arial"/>
        </w:rPr>
        <w:br w:type="page"/>
      </w:r>
      <w:r w:rsidRPr="00C73590">
        <w:rPr>
          <w:rFonts w:ascii="Arial" w:hAnsi="Arial" w:cs="Arial"/>
          <w:b/>
          <w:i/>
        </w:rPr>
        <w:lastRenderedPageBreak/>
        <w:t>Appendix A</w:t>
      </w:r>
      <w:r w:rsidR="00D042E5" w:rsidRPr="00C73590">
        <w:rPr>
          <w:rFonts w:ascii="Arial" w:hAnsi="Arial" w:cs="Arial"/>
          <w:b/>
          <w:i/>
        </w:rPr>
        <w:t>: Population distribution over time</w:t>
      </w:r>
    </w:p>
    <w:p w:rsidR="00AB047F" w:rsidRDefault="00C47811" w:rsidP="00AB047F">
      <w:pPr>
        <w:jc w:val="both"/>
        <w:rPr>
          <w:rFonts w:ascii="Arial" w:hAnsi="Arial" w:cs="Arial"/>
          <w:b/>
        </w:rPr>
      </w:pPr>
      <w:r>
        <w:rPr>
          <w:rFonts w:ascii="Arial" w:hAnsi="Arial" w:cs="Arial"/>
          <w:noProof/>
          <w:lang w:eastAsia="en-GB"/>
        </w:rPr>
        <w:drawing>
          <wp:anchor distT="0" distB="0" distL="114300" distR="114300" simplePos="0" relativeHeight="251658752" behindDoc="0" locked="0" layoutInCell="1" allowOverlap="1">
            <wp:simplePos x="0" y="0"/>
            <wp:positionH relativeFrom="column">
              <wp:posOffset>2880360</wp:posOffset>
            </wp:positionH>
            <wp:positionV relativeFrom="paragraph">
              <wp:posOffset>945515</wp:posOffset>
            </wp:positionV>
            <wp:extent cx="3954780" cy="3419475"/>
            <wp:effectExtent l="19050" t="0" r="7620" b="0"/>
            <wp:wrapThrough wrapText="bothSides">
              <wp:wrapPolygon edited="0">
                <wp:start x="-104" y="0"/>
                <wp:lineTo x="-104" y="21540"/>
                <wp:lineTo x="21642" y="21540"/>
                <wp:lineTo x="21642" y="0"/>
                <wp:lineTo x="-104" y="0"/>
              </wp:wrapPolygon>
            </wp:wrapThrough>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3954780" cy="3419475"/>
                    </a:xfrm>
                    <a:prstGeom prst="rect">
                      <a:avLst/>
                    </a:prstGeom>
                    <a:noFill/>
                    <a:ln w="9525">
                      <a:noFill/>
                      <a:miter lim="800000"/>
                      <a:headEnd/>
                      <a:tailEnd/>
                    </a:ln>
                  </pic:spPr>
                </pic:pic>
              </a:graphicData>
            </a:graphic>
          </wp:anchor>
        </w:drawing>
      </w:r>
      <w:r w:rsidR="00733D1F">
        <w:rPr>
          <w:rFonts w:ascii="Arial" w:hAnsi="Arial" w:cs="Arial"/>
          <w:noProof/>
          <w:lang w:eastAsia="en-GB"/>
        </w:rPr>
        <w:drawing>
          <wp:anchor distT="0" distB="0" distL="114300" distR="114300" simplePos="0" relativeHeight="251655680" behindDoc="0" locked="0" layoutInCell="1" allowOverlap="1">
            <wp:simplePos x="0" y="0"/>
            <wp:positionH relativeFrom="column">
              <wp:posOffset>-386715</wp:posOffset>
            </wp:positionH>
            <wp:positionV relativeFrom="paragraph">
              <wp:posOffset>945515</wp:posOffset>
            </wp:positionV>
            <wp:extent cx="3956685" cy="3419475"/>
            <wp:effectExtent l="19050" t="0" r="5715" b="0"/>
            <wp:wrapThrough wrapText="bothSides">
              <wp:wrapPolygon edited="0">
                <wp:start x="-104" y="0"/>
                <wp:lineTo x="-104" y="21540"/>
                <wp:lineTo x="21631" y="21540"/>
                <wp:lineTo x="21631" y="0"/>
                <wp:lineTo x="-10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956685" cy="3419475"/>
                    </a:xfrm>
                    <a:prstGeom prst="rect">
                      <a:avLst/>
                    </a:prstGeom>
                    <a:noFill/>
                    <a:ln w="9525">
                      <a:noFill/>
                      <a:miter lim="800000"/>
                      <a:headEnd/>
                      <a:tailEnd/>
                    </a:ln>
                  </pic:spPr>
                </pic:pic>
              </a:graphicData>
            </a:graphic>
          </wp:anchor>
        </w:drawing>
      </w:r>
      <w:r w:rsidR="00AB047F">
        <w:rPr>
          <w:rFonts w:ascii="Arial" w:hAnsi="Arial" w:cs="Arial"/>
        </w:rPr>
        <w:t xml:space="preserve">Histograms of the Data Zone and Intermediate Zone populations are shown below, for 2005 (left) and 2013 (right). Vertical dashed lines show the original limits of the population according to the definition. The mean and standard deviation are also stated on each plot. These plots visualise the statistical migration of the population over time. The distribution in both cases becomes wider and less symmetric. </w:t>
      </w:r>
    </w:p>
    <w:p w:rsidR="00720EFE" w:rsidRDefault="00C47811">
      <w:pPr>
        <w:rPr>
          <w:noProof/>
          <w:lang w:eastAsia="en-GB"/>
        </w:rPr>
      </w:pPr>
      <w:r>
        <w:rPr>
          <w:noProof/>
          <w:lang w:eastAsia="en-GB"/>
        </w:rPr>
        <w:drawing>
          <wp:anchor distT="0" distB="0" distL="114300" distR="114300" simplePos="0" relativeHeight="251657728" behindDoc="0" locked="0" layoutInCell="1" allowOverlap="1">
            <wp:simplePos x="0" y="0"/>
            <wp:positionH relativeFrom="column">
              <wp:posOffset>2947035</wp:posOffset>
            </wp:positionH>
            <wp:positionV relativeFrom="paragraph">
              <wp:posOffset>370205</wp:posOffset>
            </wp:positionV>
            <wp:extent cx="3956050" cy="3419475"/>
            <wp:effectExtent l="19050" t="0" r="6350" b="0"/>
            <wp:wrapThrough wrapText="bothSides">
              <wp:wrapPolygon edited="0">
                <wp:start x="-104" y="0"/>
                <wp:lineTo x="-104" y="21540"/>
                <wp:lineTo x="21635" y="21540"/>
                <wp:lineTo x="21635" y="0"/>
                <wp:lineTo x="-104" y="0"/>
              </wp:wrapPolygon>
            </wp:wrapThrough>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3956050" cy="3419475"/>
                    </a:xfrm>
                    <a:prstGeom prst="rect">
                      <a:avLst/>
                    </a:prstGeom>
                    <a:noFill/>
                    <a:ln w="9525">
                      <a:noFill/>
                      <a:miter lim="800000"/>
                      <a:headEnd/>
                      <a:tailEnd/>
                    </a:ln>
                  </pic:spPr>
                </pic:pic>
              </a:graphicData>
            </a:graphic>
          </wp:anchor>
        </w:drawing>
      </w:r>
    </w:p>
    <w:p w:rsidR="00F26AE3" w:rsidRPr="00F26AE3" w:rsidRDefault="00C47811">
      <w:pPr>
        <w:rPr>
          <w:rFonts w:ascii="Arial" w:hAnsi="Arial" w:cs="Arial"/>
        </w:rPr>
      </w:pPr>
      <w:r>
        <w:rPr>
          <w:rFonts w:ascii="Arial" w:hAnsi="Arial" w:cs="Arial"/>
          <w:b/>
          <w:noProof/>
          <w:lang w:eastAsia="en-GB"/>
        </w:rPr>
        <w:drawing>
          <wp:anchor distT="0" distB="0" distL="114300" distR="114300" simplePos="0" relativeHeight="251656704" behindDoc="0" locked="0" layoutInCell="1" allowOverlap="1">
            <wp:simplePos x="0" y="0"/>
            <wp:positionH relativeFrom="column">
              <wp:posOffset>-386715</wp:posOffset>
            </wp:positionH>
            <wp:positionV relativeFrom="paragraph">
              <wp:posOffset>47625</wp:posOffset>
            </wp:positionV>
            <wp:extent cx="3956685" cy="3419475"/>
            <wp:effectExtent l="19050" t="0" r="5715" b="0"/>
            <wp:wrapThrough wrapText="bothSides">
              <wp:wrapPolygon edited="0">
                <wp:start x="-104" y="0"/>
                <wp:lineTo x="-104" y="21540"/>
                <wp:lineTo x="21631" y="21540"/>
                <wp:lineTo x="21631" y="0"/>
                <wp:lineTo x="-10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3956685" cy="3419475"/>
                    </a:xfrm>
                    <a:prstGeom prst="rect">
                      <a:avLst/>
                    </a:prstGeom>
                    <a:noFill/>
                    <a:ln w="9525">
                      <a:noFill/>
                      <a:miter lim="800000"/>
                      <a:headEnd/>
                      <a:tailEnd/>
                    </a:ln>
                  </pic:spPr>
                </pic:pic>
              </a:graphicData>
            </a:graphic>
          </wp:anchor>
        </w:drawing>
      </w:r>
      <w:r w:rsidR="000B781C" w:rsidRPr="000B781C">
        <w:rPr>
          <w:rFonts w:ascii="Arial" w:hAnsi="Arial" w:cs="Arial"/>
          <w:b/>
        </w:rPr>
        <w:br w:type="page"/>
      </w:r>
    </w:p>
    <w:p w:rsidR="002B70F2" w:rsidRPr="001A490A" w:rsidRDefault="002B70F2" w:rsidP="001A490A">
      <w:pPr>
        <w:pStyle w:val="ListParagraph"/>
        <w:spacing w:after="0"/>
        <w:rPr>
          <w:rFonts w:ascii="Arial" w:hAnsi="Arial" w:cs="Arial"/>
        </w:rPr>
        <w:sectPr w:rsidR="002B70F2" w:rsidRPr="001A490A" w:rsidSect="000D4122">
          <w:pgSz w:w="11906" w:h="16838" w:code="9"/>
          <w:pgMar w:top="1440" w:right="1134" w:bottom="1440" w:left="1134" w:header="709" w:footer="709" w:gutter="0"/>
          <w:cols w:space="708"/>
          <w:docGrid w:linePitch="360"/>
        </w:sectPr>
      </w:pPr>
    </w:p>
    <w:p w:rsidR="00D57457" w:rsidRPr="00C73590" w:rsidRDefault="00383550" w:rsidP="000C0998">
      <w:pPr>
        <w:spacing w:after="0"/>
        <w:rPr>
          <w:rFonts w:ascii="Arial" w:hAnsi="Arial" w:cs="Arial"/>
          <w:b/>
          <w:i/>
        </w:rPr>
      </w:pPr>
      <w:r>
        <w:rPr>
          <w:rFonts w:ascii="Arial" w:hAnsi="Arial" w:cs="Arial"/>
          <w:b/>
          <w:i/>
          <w:noProof/>
          <w:lang w:eastAsia="en-G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1.75pt;margin-top:-9.5pt;width:685.7pt;height:515.75pt;z-index:-251656704;mso-position-horizontal-relative:text;mso-position-vertical-relative:text">
            <v:imagedata r:id="rId15" o:title=""/>
          </v:shape>
          <o:OLEObject Type="Embed" ProgID="PowerPoint.Slide.12" ShapeID="_x0000_s1027" DrawAspect="Content" ObjectID="_1482578122" r:id="rId16"/>
        </w:pict>
      </w:r>
      <w:r w:rsidR="002E2834" w:rsidRPr="00C73590">
        <w:rPr>
          <w:rFonts w:ascii="Arial" w:hAnsi="Arial" w:cs="Arial"/>
          <w:b/>
          <w:i/>
        </w:rPr>
        <w:t>Appendix B</w:t>
      </w:r>
      <w:r w:rsidR="00A56E13" w:rsidRPr="00C73590">
        <w:rPr>
          <w:rFonts w:ascii="Arial" w:hAnsi="Arial" w:cs="Arial"/>
          <w:b/>
          <w:i/>
        </w:rPr>
        <w:t>: SIMD structure</w:t>
      </w:r>
    </w:p>
    <w:p w:rsidR="00A56E13" w:rsidRPr="00C73590" w:rsidRDefault="00D57457" w:rsidP="00A56E13">
      <w:pPr>
        <w:spacing w:after="0"/>
        <w:rPr>
          <w:rFonts w:ascii="Arial" w:hAnsi="Arial" w:cs="Arial"/>
          <w:b/>
          <w:i/>
        </w:rPr>
      </w:pPr>
      <w:r>
        <w:rPr>
          <w:rFonts w:ascii="Arial" w:hAnsi="Arial" w:cs="Arial"/>
          <w:b/>
        </w:rPr>
        <w:br w:type="page"/>
      </w:r>
      <w:r w:rsidR="000B781C" w:rsidRPr="00C73590">
        <w:rPr>
          <w:rFonts w:ascii="Arial" w:hAnsi="Arial" w:cs="Arial"/>
          <w:b/>
          <w:i/>
        </w:rPr>
        <w:lastRenderedPageBreak/>
        <w:t>Appendix C</w:t>
      </w:r>
      <w:r w:rsidR="00A56E13" w:rsidRPr="00C73590">
        <w:rPr>
          <w:rFonts w:ascii="Arial" w:hAnsi="Arial" w:cs="Arial"/>
          <w:b/>
          <w:i/>
        </w:rPr>
        <w:t>: List of potential indicators</w:t>
      </w:r>
    </w:p>
    <w:p w:rsidR="000C0998" w:rsidRDefault="000C0998" w:rsidP="002E2834">
      <w:pPr>
        <w:rPr>
          <w:rFonts w:ascii="Arial" w:hAnsi="Arial" w:cs="Arial"/>
          <w:b/>
        </w:rPr>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9"/>
        <w:gridCol w:w="844"/>
        <w:gridCol w:w="1827"/>
        <w:gridCol w:w="1525"/>
        <w:gridCol w:w="1976"/>
        <w:gridCol w:w="1232"/>
        <w:gridCol w:w="2596"/>
      </w:tblGrid>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u w:val="single"/>
              </w:rPr>
            </w:pPr>
            <w:r w:rsidRPr="003C7E80">
              <w:rPr>
                <w:rFonts w:ascii="Arial" w:hAnsi="Arial" w:cs="Arial"/>
                <w:b/>
                <w:u w:val="single"/>
              </w:rPr>
              <w:t>Indicator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u w:val="single"/>
              </w:rPr>
            </w:pPr>
            <w:r w:rsidRPr="003C7E80">
              <w:rPr>
                <w:rFonts w:ascii="Arial" w:hAnsi="Arial" w:cs="Arial"/>
                <w:b/>
                <w:u w:val="single"/>
              </w:rPr>
              <w:t>Data Zone</w:t>
            </w:r>
            <w:r w:rsidR="00F642F4">
              <w:rPr>
                <w:rFonts w:ascii="Arial" w:hAnsi="Arial" w:cs="Arial"/>
                <w:b/>
                <w:u w:val="single"/>
              </w:rPr>
              <w:t xml:space="preserve"> 2001</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u w:val="single"/>
              </w:rPr>
            </w:pPr>
            <w:r w:rsidRPr="003C7E80">
              <w:rPr>
                <w:rFonts w:ascii="Arial" w:hAnsi="Arial" w:cs="Arial"/>
                <w:b/>
                <w:u w:val="single"/>
              </w:rPr>
              <w:t>Intermediate Geography</w:t>
            </w:r>
            <w:r w:rsidR="00F642F4">
              <w:rPr>
                <w:rFonts w:ascii="Arial" w:hAnsi="Arial" w:cs="Arial"/>
                <w:b/>
                <w:u w:val="single"/>
              </w:rPr>
              <w:t xml:space="preserve"> 2001</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b/>
                <w:u w:val="single"/>
              </w:rPr>
            </w:pPr>
            <w:r w:rsidRPr="003C7E80">
              <w:rPr>
                <w:rFonts w:ascii="Arial" w:hAnsi="Arial" w:cs="Arial"/>
                <w:b/>
                <w:u w:val="single"/>
              </w:rPr>
              <w:t>Data</w:t>
            </w:r>
            <w:r w:rsidR="00F642F4">
              <w:rPr>
                <w:rFonts w:ascii="Arial" w:hAnsi="Arial" w:cs="Arial"/>
                <w:b/>
                <w:u w:val="single"/>
              </w:rPr>
              <w:t xml:space="preserve"> </w:t>
            </w:r>
            <w:r w:rsidRPr="003C7E80">
              <w:rPr>
                <w:rFonts w:ascii="Arial" w:hAnsi="Arial" w:cs="Arial"/>
                <w:b/>
                <w:u w:val="single"/>
              </w:rPr>
              <w:t>Zone</w:t>
            </w:r>
            <w:r w:rsidR="000F3E9E">
              <w:rPr>
                <w:rFonts w:ascii="Arial" w:hAnsi="Arial" w:cs="Arial"/>
                <w:b/>
                <w:u w:val="single"/>
              </w:rPr>
              <w:t xml:space="preserve"> and Intermediate Geography</w:t>
            </w:r>
            <w:r w:rsidR="00F642F4">
              <w:rPr>
                <w:rFonts w:ascii="Arial" w:hAnsi="Arial" w:cs="Arial"/>
                <w:b/>
                <w:u w:val="single"/>
              </w:rPr>
              <w:t xml:space="preserve"> 2011</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u w:val="single"/>
              </w:rPr>
            </w:pPr>
            <w:r w:rsidRPr="003C7E80">
              <w:rPr>
                <w:rFonts w:ascii="Arial" w:hAnsi="Arial" w:cs="Arial"/>
                <w:b/>
                <w:u w:val="single"/>
              </w:rPr>
              <w:t>Timescale</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u w:val="single"/>
              </w:rPr>
            </w:pPr>
            <w:r w:rsidRPr="003C7E80">
              <w:rPr>
                <w:rFonts w:ascii="Arial" w:hAnsi="Arial" w:cs="Arial"/>
                <w:b/>
                <w:u w:val="single"/>
              </w:rPr>
              <w:t>Data Source</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b/>
                <w:u w:val="single"/>
              </w:rPr>
            </w:pPr>
            <w:r w:rsidRPr="003C7E80">
              <w:rPr>
                <w:rFonts w:ascii="Arial" w:hAnsi="Arial" w:cs="Arial"/>
                <w:b/>
                <w:u w:val="single"/>
              </w:rPr>
              <w:t>Notes</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i/>
              </w:rPr>
            </w:pPr>
            <w:r w:rsidRPr="003C7E80">
              <w:rPr>
                <w:rFonts w:ascii="Arial" w:hAnsi="Arial" w:cs="Arial"/>
                <w:b/>
                <w:i/>
              </w:rPr>
              <w:t>SIMD</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color w:val="000000"/>
                <w:shd w:val="clear" w:color="auto" w:fill="FFFFFF"/>
              </w:rPr>
            </w:pPr>
            <w:r w:rsidRPr="003C7E80">
              <w:rPr>
                <w:rFonts w:ascii="Arial" w:hAnsi="Arial" w:cs="Arial"/>
                <w:b/>
                <w:color w:val="000000"/>
                <w:shd w:val="clear" w:color="auto" w:fill="FFFFFF"/>
              </w:rPr>
              <w:t>Employment Domain</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Working Age Unemployment Claimant Count averaged over 12 months</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Working Age Incapacity Benefit recipients or Employment and Support Allowance recipients</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Working Age Severe Disablement Allowance recipients</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shd w:val="clear" w:color="auto" w:fill="FFFFFF"/>
              </w:rPr>
            </w:pPr>
            <w:r w:rsidRPr="003C7E80">
              <w:rPr>
                <w:rFonts w:ascii="Arial" w:hAnsi="Arial" w:cs="Arial"/>
                <w:color w:val="FF0000"/>
                <w:shd w:val="clear" w:color="auto" w:fill="FFFFFF"/>
              </w:rPr>
              <w:t>Employment Domain Rate</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color w:val="FF0000"/>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shd w:val="clear" w:color="auto" w:fill="FFFFFF"/>
              </w:rPr>
            </w:pPr>
            <w:r w:rsidRPr="003C7E80">
              <w:rPr>
                <w:rFonts w:ascii="Arial" w:hAnsi="Arial" w:cs="Arial"/>
                <w:color w:val="FF0000"/>
                <w:shd w:val="clear" w:color="auto" w:fill="FFFFFF"/>
              </w:rPr>
              <w:t>Count of Employment Deprived People (rounded 5)</w:t>
            </w:r>
          </w:p>
        </w:tc>
        <w:tc>
          <w:tcPr>
            <w:tcW w:w="844" w:type="dxa"/>
            <w:tcBorders>
              <w:top w:val="single" w:sz="4" w:space="0" w:color="auto"/>
              <w:left w:val="single" w:sz="4" w:space="0" w:color="auto"/>
              <w:bottom w:val="single" w:sz="4" w:space="0" w:color="auto"/>
              <w:right w:val="single" w:sz="4" w:space="0" w:color="auto"/>
            </w:tcBorders>
            <w:hideMark/>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F876A8" w:rsidRDefault="00F876A8" w:rsidP="00031788">
            <w:pPr>
              <w:spacing w:after="0" w:line="240" w:lineRule="auto"/>
              <w:jc w:val="center"/>
              <w:rPr>
                <w:rFonts w:ascii="Arial" w:hAnsi="Arial" w:cs="Arial"/>
                <w:color w:val="FF0000"/>
              </w:rPr>
            </w:pPr>
            <w:r w:rsidRPr="00F876A8">
              <w:rPr>
                <w:rFonts w:ascii="Arial" w:hAnsi="Arial" w:cs="Arial"/>
                <w:color w:val="FF0000"/>
              </w:rPr>
              <w:t>x</w:t>
            </w:r>
          </w:p>
        </w:tc>
        <w:tc>
          <w:tcPr>
            <w:tcW w:w="1525" w:type="dxa"/>
            <w:tcBorders>
              <w:top w:val="single" w:sz="4" w:space="0" w:color="auto"/>
              <w:left w:val="single" w:sz="4" w:space="0" w:color="auto"/>
              <w:bottom w:val="single" w:sz="4" w:space="0" w:color="auto"/>
              <w:right w:val="single" w:sz="4" w:space="0" w:color="auto"/>
            </w:tcBorders>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F876A8" w:rsidP="00031788">
            <w:pPr>
              <w:spacing w:after="0" w:line="240" w:lineRule="auto"/>
              <w:rPr>
                <w:rFonts w:ascii="Arial" w:hAnsi="Arial" w:cs="Arial"/>
                <w:color w:val="FF0000"/>
              </w:rPr>
            </w:pPr>
            <w:r>
              <w:rPr>
                <w:rFonts w:ascii="Arial" w:hAnsi="Arial" w:cs="Arial"/>
                <w:color w:val="FF0000"/>
              </w:rPr>
              <w:t>Probabilistically rounded to base</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color w:val="000000"/>
                <w:shd w:val="clear" w:color="auto" w:fill="FFFFFF"/>
              </w:rPr>
            </w:pPr>
            <w:r w:rsidRPr="003C7E80">
              <w:rPr>
                <w:rFonts w:ascii="Arial" w:hAnsi="Arial" w:cs="Arial"/>
                <w:b/>
                <w:color w:val="000000"/>
                <w:shd w:val="clear" w:color="auto" w:fill="FFFFFF"/>
              </w:rPr>
              <w:t>Income Domain</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Number of Adults (aged 16-59) receiving Income Support or Income-based Employment and Support Allowance</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Number of Adults (aged 60 plus) receiving Guaranteed Pension Credit</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Number of Children (aged 0-15) dependent on a recipient of Income Support, Jobseekers Allowance or Employment and Support Allowance</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Number of Adults receiving (all) Job Seekers Allowance</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Number of Children (aged 0-15) dependent on a recipient of Job Seekers Allowance (all)</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Number of Adults and Children in Tax Credit Families on low incomes</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shd w:val="clear" w:color="auto" w:fill="FFFFFF"/>
              </w:rPr>
            </w:pPr>
            <w:r w:rsidRPr="003C7E80">
              <w:rPr>
                <w:rFonts w:ascii="Arial" w:hAnsi="Arial" w:cs="Arial"/>
                <w:color w:val="FF0000"/>
                <w:shd w:val="clear" w:color="auto" w:fill="FFFFFF"/>
              </w:rPr>
              <w:t xml:space="preserve">Income Domain Rate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color w:val="FF0000"/>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shd w:val="clear" w:color="auto" w:fill="FFFFFF"/>
              </w:rPr>
            </w:pPr>
            <w:r w:rsidRPr="003C7E80">
              <w:rPr>
                <w:rFonts w:ascii="Arial" w:hAnsi="Arial" w:cs="Arial"/>
                <w:color w:val="FF0000"/>
                <w:shd w:val="clear" w:color="auto" w:fill="FFFFFF"/>
              </w:rPr>
              <w:t>Count of Income Deprived People (rounded 5)</w:t>
            </w:r>
          </w:p>
        </w:tc>
        <w:tc>
          <w:tcPr>
            <w:tcW w:w="844" w:type="dxa"/>
            <w:tcBorders>
              <w:top w:val="single" w:sz="4" w:space="0" w:color="auto"/>
              <w:left w:val="single" w:sz="4" w:space="0" w:color="auto"/>
              <w:bottom w:val="single" w:sz="4" w:space="0" w:color="auto"/>
              <w:right w:val="single" w:sz="4" w:space="0" w:color="auto"/>
            </w:tcBorders>
            <w:hideMark/>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F876A8" w:rsidRDefault="00F876A8" w:rsidP="00031788">
            <w:pPr>
              <w:spacing w:after="0" w:line="240" w:lineRule="auto"/>
              <w:jc w:val="center"/>
              <w:rPr>
                <w:rFonts w:ascii="Arial" w:hAnsi="Arial" w:cs="Arial"/>
                <w:color w:val="FF0000"/>
              </w:rPr>
            </w:pPr>
            <w:r w:rsidRPr="00F876A8">
              <w:rPr>
                <w:rFonts w:ascii="Arial" w:hAnsi="Arial" w:cs="Arial"/>
                <w:color w:val="FF0000"/>
              </w:rPr>
              <w:t>x</w:t>
            </w:r>
          </w:p>
        </w:tc>
        <w:tc>
          <w:tcPr>
            <w:tcW w:w="1525" w:type="dxa"/>
            <w:tcBorders>
              <w:top w:val="single" w:sz="4" w:space="0" w:color="auto"/>
              <w:left w:val="single" w:sz="4" w:space="0" w:color="auto"/>
              <w:bottom w:val="single" w:sz="4" w:space="0" w:color="auto"/>
              <w:right w:val="single" w:sz="4" w:space="0" w:color="auto"/>
            </w:tcBorders>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F876A8" w:rsidP="00031788">
            <w:pPr>
              <w:spacing w:after="0" w:line="240" w:lineRule="auto"/>
              <w:rPr>
                <w:rFonts w:ascii="Arial" w:hAnsi="Arial" w:cs="Arial"/>
                <w:color w:val="FF0000"/>
              </w:rPr>
            </w:pPr>
            <w:r>
              <w:rPr>
                <w:rFonts w:ascii="Arial" w:hAnsi="Arial" w:cs="Arial"/>
                <w:color w:val="FF0000"/>
              </w:rPr>
              <w:t>Probabilistically rounded to base</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color w:val="000000"/>
                <w:shd w:val="clear" w:color="auto" w:fill="FFFFFF"/>
              </w:rPr>
            </w:pPr>
            <w:r w:rsidRPr="003C7E80">
              <w:rPr>
                <w:rFonts w:ascii="Arial" w:hAnsi="Arial" w:cs="Arial"/>
                <w:b/>
                <w:color w:val="000000"/>
                <w:shd w:val="clear" w:color="auto" w:fill="FFFFFF"/>
              </w:rPr>
              <w:t>Health Domain</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Standardised mortality ratio (Source:</w:t>
            </w:r>
            <w:r w:rsidRPr="003C7E80">
              <w:rPr>
                <w:rStyle w:val="apple-converted-space"/>
                <w:rFonts w:ascii="Arial" w:hAnsi="Arial" w:cs="Arial"/>
                <w:color w:val="000000"/>
                <w:shd w:val="clear" w:color="auto" w:fill="FFFFFF"/>
              </w:rPr>
              <w:t> </w:t>
            </w:r>
            <w:r w:rsidRPr="003C7E80">
              <w:rPr>
                <w:rStyle w:val="HTMLAcronym"/>
                <w:rFonts w:ascii="Arial" w:hAnsi="Arial" w:cs="Arial"/>
                <w:color w:val="000000"/>
              </w:rPr>
              <w:t>ISD</w:t>
            </w:r>
            <w:r w:rsidRPr="003C7E80">
              <w:rPr>
                <w:rFonts w:ascii="Arial" w:hAnsi="Arial" w:cs="Arial"/>
                <w:color w:val="000000"/>
                <w:shd w:val="clear" w:color="auto" w:fill="FFFFFF"/>
              </w:rPr>
              <w:t>, 2007-2010)</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lastRenderedPageBreak/>
              <w:t>Hospital stays (Continuous Inpatient Stays [</w:t>
            </w:r>
            <w:r w:rsidRPr="003C7E80">
              <w:rPr>
                <w:rStyle w:val="HTMLAcronym"/>
                <w:rFonts w:ascii="Arial" w:hAnsi="Arial" w:cs="Arial"/>
                <w:color w:val="000000"/>
              </w:rPr>
              <w:t>CIS</w:t>
            </w:r>
            <w:r w:rsidRPr="003C7E80">
              <w:rPr>
                <w:rFonts w:ascii="Arial" w:hAnsi="Arial" w:cs="Arial"/>
                <w:color w:val="000000"/>
                <w:shd w:val="clear" w:color="auto" w:fill="FFFFFF"/>
              </w:rPr>
              <w:t>]) related to alcohol misuse: standardised ratio</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Hospital stays (</w:t>
            </w:r>
            <w:r w:rsidRPr="003C7E80">
              <w:rPr>
                <w:rStyle w:val="HTMLAcronym"/>
                <w:rFonts w:ascii="Arial" w:hAnsi="Arial" w:cs="Arial"/>
                <w:color w:val="000000"/>
              </w:rPr>
              <w:t>CIS</w:t>
            </w:r>
            <w:r w:rsidRPr="003C7E80">
              <w:rPr>
                <w:rFonts w:ascii="Arial" w:hAnsi="Arial" w:cs="Arial"/>
                <w:color w:val="000000"/>
                <w:shd w:val="clear" w:color="auto" w:fill="FFFFFF"/>
              </w:rPr>
              <w:t>) related to drug misuse: standardised ratio</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Comparative Illness Factor: standardised ratio</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Emergency stays (</w:t>
            </w:r>
            <w:r w:rsidRPr="003C7E80">
              <w:rPr>
                <w:rStyle w:val="HTMLAcronym"/>
                <w:rFonts w:ascii="Arial" w:hAnsi="Arial" w:cs="Arial"/>
                <w:color w:val="000000"/>
              </w:rPr>
              <w:t>CIS</w:t>
            </w:r>
            <w:r w:rsidRPr="003C7E80">
              <w:rPr>
                <w:rFonts w:ascii="Arial" w:hAnsi="Arial" w:cs="Arial"/>
                <w:color w:val="000000"/>
                <w:shd w:val="clear" w:color="auto" w:fill="FFFFFF"/>
              </w:rPr>
              <w:t>) in hospital: standardised ratio</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Estimated proportion of population being prescribed drugs for anxiety, depression or psychosis</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Proportion of live singleton births of low birth weight</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shd w:val="clear" w:color="auto" w:fill="FFFFFF"/>
              </w:rPr>
            </w:pPr>
            <w:r w:rsidRPr="003C7E80">
              <w:rPr>
                <w:rFonts w:ascii="Arial" w:hAnsi="Arial" w:cs="Arial"/>
                <w:color w:val="FF0000"/>
                <w:shd w:val="clear" w:color="auto" w:fill="FFFFFF"/>
              </w:rPr>
              <w:t>Health Domain Score</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color w:val="FF0000"/>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color w:val="000000"/>
                <w:shd w:val="clear" w:color="auto" w:fill="FFFFFF"/>
              </w:rPr>
            </w:pPr>
            <w:r w:rsidRPr="003C7E80">
              <w:rPr>
                <w:rFonts w:ascii="Arial" w:hAnsi="Arial" w:cs="Arial"/>
                <w:b/>
                <w:color w:val="000000"/>
                <w:shd w:val="clear" w:color="auto" w:fill="FFFFFF"/>
              </w:rPr>
              <w:t>Education Domain</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School pupil absences</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 xml:space="preserve">Pupil performance on </w:t>
            </w:r>
            <w:r w:rsidRPr="003C7E80">
              <w:rPr>
                <w:rStyle w:val="HTMLAcronym"/>
                <w:rFonts w:ascii="Arial" w:hAnsi="Arial" w:cs="Arial"/>
                <w:color w:val="000000"/>
              </w:rPr>
              <w:t>SQA</w:t>
            </w:r>
            <w:r w:rsidRPr="003C7E80">
              <w:rPr>
                <w:rStyle w:val="apple-converted-space"/>
                <w:rFonts w:ascii="Arial" w:hAnsi="Arial" w:cs="Arial"/>
                <w:color w:val="000000"/>
                <w:shd w:val="clear" w:color="auto" w:fill="FFFFFF"/>
              </w:rPr>
              <w:t> </w:t>
            </w:r>
            <w:r w:rsidRPr="003C7E80">
              <w:rPr>
                <w:rFonts w:ascii="Arial" w:hAnsi="Arial" w:cs="Arial"/>
                <w:color w:val="000000"/>
                <w:shd w:val="clear" w:color="auto" w:fill="FFFFFF"/>
              </w:rPr>
              <w:t>at stage 4</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Working age people with no qualifications</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Census 2001 Data used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17-21 year olds enrolling into full time higher education</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People aged 16-19 not in full time education, employment or training</w:t>
            </w:r>
            <w:r w:rsidRPr="003C7E80">
              <w:rPr>
                <w:rStyle w:val="apple-converted-space"/>
                <w:rFonts w:ascii="Arial" w:hAnsi="Arial" w:cs="Arial"/>
                <w:color w:val="000000"/>
                <w:shd w:val="clear" w:color="auto" w:fill="FFFFFF"/>
              </w:rPr>
              <w:t> rate</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shd w:val="clear" w:color="auto" w:fill="FFFFFF"/>
              </w:rPr>
            </w:pPr>
            <w:r w:rsidRPr="003C7E80">
              <w:rPr>
                <w:rFonts w:ascii="Arial" w:hAnsi="Arial" w:cs="Arial"/>
                <w:color w:val="FF0000"/>
                <w:shd w:val="clear" w:color="auto" w:fill="FFFFFF"/>
              </w:rPr>
              <w:t>Education Domain Score</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color w:val="FF0000"/>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824065" w:rsidP="00031788">
            <w:pPr>
              <w:spacing w:after="0" w:line="240" w:lineRule="auto"/>
              <w:rPr>
                <w:rFonts w:ascii="Arial" w:hAnsi="Arial" w:cs="Arial"/>
                <w:b/>
              </w:rPr>
            </w:pPr>
            <w:r>
              <w:rPr>
                <w:rFonts w:ascii="Arial" w:hAnsi="Arial" w:cs="Arial"/>
                <w:b/>
              </w:rPr>
              <w:t>Access</w:t>
            </w:r>
            <w:r w:rsidR="000C0998" w:rsidRPr="003C7E80">
              <w:rPr>
                <w:rFonts w:ascii="Arial" w:hAnsi="Arial" w:cs="Arial"/>
                <w:b/>
              </w:rPr>
              <w:t xml:space="preserve"> Domain </w:t>
            </w:r>
            <w:r w:rsidR="000C0998" w:rsidRPr="003C7E80">
              <w:rPr>
                <w:rFonts w:ascii="Arial" w:hAnsi="Arial" w:cs="Arial"/>
                <w:b/>
                <w:color w:val="FF0000"/>
              </w:rPr>
              <w:t xml:space="preserve">(Limit times to 240 </w:t>
            </w:r>
            <w:proofErr w:type="spellStart"/>
            <w:r w:rsidR="000C0998" w:rsidRPr="003C7E80">
              <w:rPr>
                <w:rFonts w:ascii="Arial" w:hAnsi="Arial" w:cs="Arial"/>
                <w:b/>
                <w:color w:val="FF0000"/>
              </w:rPr>
              <w:t>mins</w:t>
            </w:r>
            <w:proofErr w:type="spellEnd"/>
            <w:r w:rsidR="000C0998" w:rsidRPr="003C7E80">
              <w:rPr>
                <w:rFonts w:ascii="Arial" w:hAnsi="Arial" w:cs="Arial"/>
                <w:b/>
                <w:color w:val="FF0000"/>
              </w:rPr>
              <w:t xml:space="preserve"> absolute journeys)</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Drive time to GP Surgery (</w:t>
            </w:r>
            <w:proofErr w:type="spellStart"/>
            <w:r w:rsidRPr="003C7E80">
              <w:rPr>
                <w:rFonts w:ascii="Arial" w:hAnsi="Arial" w:cs="Arial"/>
              </w:rPr>
              <w:t>mins</w:t>
            </w:r>
            <w:proofErr w:type="spellEnd"/>
            <w:r w:rsidRPr="003C7E80">
              <w:rPr>
                <w:rFonts w:ascii="Arial" w:hAnsi="Arial" w:cs="Arial"/>
              </w:rPr>
              <w:t>)</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Drive time to Post Office (</w:t>
            </w:r>
            <w:proofErr w:type="spellStart"/>
            <w:r w:rsidRPr="003C7E80">
              <w:rPr>
                <w:rFonts w:ascii="Arial" w:hAnsi="Arial" w:cs="Arial"/>
              </w:rPr>
              <w:t>mins</w:t>
            </w:r>
            <w:proofErr w:type="spellEnd"/>
            <w:r w:rsidRPr="003C7E80">
              <w:rPr>
                <w:rFonts w:ascii="Arial" w:hAnsi="Arial" w:cs="Arial"/>
              </w:rPr>
              <w:t>)</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Drive time to Retail Centre (</w:t>
            </w:r>
            <w:proofErr w:type="spellStart"/>
            <w:r w:rsidRPr="003C7E80">
              <w:rPr>
                <w:rFonts w:ascii="Arial" w:hAnsi="Arial" w:cs="Arial"/>
              </w:rPr>
              <w:t>mins</w:t>
            </w:r>
            <w:proofErr w:type="spellEnd"/>
            <w:r w:rsidRPr="003C7E80">
              <w:rPr>
                <w:rFonts w:ascii="Arial" w:hAnsi="Arial" w:cs="Arial"/>
              </w:rPr>
              <w:t>)</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Drive time to Primary School (</w:t>
            </w:r>
            <w:proofErr w:type="spellStart"/>
            <w:r w:rsidRPr="003C7E80">
              <w:rPr>
                <w:rFonts w:ascii="Arial" w:hAnsi="Arial" w:cs="Arial"/>
              </w:rPr>
              <w:t>mins</w:t>
            </w:r>
            <w:proofErr w:type="spellEnd"/>
            <w:r w:rsidRPr="003C7E80">
              <w:rPr>
                <w:rFonts w:ascii="Arial" w:hAnsi="Arial" w:cs="Arial"/>
              </w:rPr>
              <w:t>)</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Drive time to Secondary School (</w:t>
            </w:r>
            <w:proofErr w:type="spellStart"/>
            <w:r w:rsidRPr="003C7E80">
              <w:rPr>
                <w:rFonts w:ascii="Arial" w:hAnsi="Arial" w:cs="Arial"/>
              </w:rPr>
              <w:t>mins</w:t>
            </w:r>
            <w:proofErr w:type="spellEnd"/>
            <w:r w:rsidRPr="003C7E80">
              <w:rPr>
                <w:rFonts w:ascii="Arial" w:hAnsi="Arial" w:cs="Arial"/>
              </w:rPr>
              <w:t>)</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Drive time to Petrol Station (</w:t>
            </w:r>
            <w:proofErr w:type="spellStart"/>
            <w:r w:rsidRPr="003C7E80">
              <w:rPr>
                <w:rFonts w:ascii="Arial" w:hAnsi="Arial" w:cs="Arial"/>
              </w:rPr>
              <w:t>mins</w:t>
            </w:r>
            <w:proofErr w:type="spellEnd"/>
            <w:r w:rsidRPr="003C7E80">
              <w:rPr>
                <w:rFonts w:ascii="Arial" w:hAnsi="Arial" w:cs="Arial"/>
              </w:rPr>
              <w:t>)</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Public Transport to GP Surgery (</w:t>
            </w:r>
            <w:proofErr w:type="spellStart"/>
            <w:r w:rsidRPr="003C7E80">
              <w:rPr>
                <w:rFonts w:ascii="Arial" w:hAnsi="Arial" w:cs="Arial"/>
              </w:rPr>
              <w:t>mins</w:t>
            </w:r>
            <w:proofErr w:type="spellEnd"/>
            <w:r w:rsidRPr="003C7E80">
              <w:rPr>
                <w:rFonts w:ascii="Arial" w:hAnsi="Arial" w:cs="Arial"/>
              </w:rPr>
              <w:t>)</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Public Transport to Post Office (</w:t>
            </w:r>
            <w:proofErr w:type="spellStart"/>
            <w:r w:rsidRPr="003C7E80">
              <w:rPr>
                <w:rFonts w:ascii="Arial" w:hAnsi="Arial" w:cs="Arial"/>
              </w:rPr>
              <w:t>mins</w:t>
            </w:r>
            <w:proofErr w:type="spellEnd"/>
            <w:r w:rsidRPr="003C7E80">
              <w:rPr>
                <w:rFonts w:ascii="Arial" w:hAnsi="Arial" w:cs="Arial"/>
              </w:rPr>
              <w:t>)</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Public Transport to Retail Centre (</w:t>
            </w:r>
            <w:proofErr w:type="spellStart"/>
            <w:r w:rsidRPr="003C7E80">
              <w:rPr>
                <w:rFonts w:ascii="Arial" w:hAnsi="Arial" w:cs="Arial"/>
              </w:rPr>
              <w:t>mins</w:t>
            </w:r>
            <w:proofErr w:type="spellEnd"/>
            <w:r w:rsidRPr="003C7E80">
              <w:rPr>
                <w:rFonts w:ascii="Arial" w:hAnsi="Arial" w:cs="Arial"/>
              </w:rPr>
              <w:t>)</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C74696" w:rsidP="00031788">
            <w:pPr>
              <w:spacing w:after="0" w:line="240" w:lineRule="auto"/>
              <w:rPr>
                <w:rFonts w:ascii="Arial" w:hAnsi="Arial" w:cs="Arial"/>
                <w:color w:val="FF0000"/>
              </w:rPr>
            </w:pPr>
            <w:r>
              <w:rPr>
                <w:rFonts w:ascii="Arial" w:hAnsi="Arial" w:cs="Arial"/>
                <w:color w:val="FF0000"/>
              </w:rPr>
              <w:t>Access</w:t>
            </w:r>
            <w:r w:rsidR="000C0998" w:rsidRPr="003C7E80">
              <w:rPr>
                <w:rFonts w:ascii="Arial" w:hAnsi="Arial" w:cs="Arial"/>
                <w:color w:val="FF0000"/>
              </w:rPr>
              <w:t xml:space="preserve"> Domain Score</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color w:val="FF0000"/>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color w:val="000000"/>
                <w:shd w:val="clear" w:color="auto" w:fill="FFFFFF"/>
              </w:rPr>
            </w:pPr>
            <w:r w:rsidRPr="003C7E80">
              <w:rPr>
                <w:rFonts w:ascii="Arial" w:hAnsi="Arial" w:cs="Arial"/>
                <w:b/>
                <w:color w:val="000000"/>
                <w:shd w:val="clear" w:color="auto" w:fill="FFFFFF"/>
              </w:rPr>
              <w:t>Crime Domain</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Recorded Crimes of Violence</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Recorded Sexual Offences</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Recorded Domestic housebreaking</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Recorded Vandalism</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Recorded Drugs Offences</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lastRenderedPageBreak/>
              <w:t>Recorded Common Assault</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shd w:val="clear" w:color="auto" w:fill="FFFFFF"/>
              </w:rPr>
            </w:pPr>
            <w:r w:rsidRPr="003C7E80">
              <w:rPr>
                <w:rFonts w:ascii="Arial" w:hAnsi="Arial" w:cs="Arial"/>
                <w:color w:val="FF0000"/>
                <w:shd w:val="clear" w:color="auto" w:fill="FFFFFF"/>
              </w:rPr>
              <w:t>Crime Count</w:t>
            </w:r>
          </w:p>
        </w:tc>
        <w:tc>
          <w:tcPr>
            <w:tcW w:w="844" w:type="dxa"/>
            <w:tcBorders>
              <w:top w:val="single" w:sz="4" w:space="0" w:color="auto"/>
              <w:left w:val="single" w:sz="4" w:space="0" w:color="auto"/>
              <w:bottom w:val="single" w:sz="4" w:space="0" w:color="auto"/>
              <w:right w:val="single" w:sz="4" w:space="0" w:color="auto"/>
            </w:tcBorders>
            <w:hideMark/>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F876A8" w:rsidRDefault="00F876A8" w:rsidP="00031788">
            <w:pPr>
              <w:spacing w:after="0" w:line="240" w:lineRule="auto"/>
              <w:jc w:val="center"/>
              <w:rPr>
                <w:rFonts w:ascii="Arial" w:hAnsi="Arial" w:cs="Arial"/>
                <w:color w:val="FF0000"/>
              </w:rPr>
            </w:pPr>
            <w:r w:rsidRPr="00F876A8">
              <w:rPr>
                <w:rFonts w:ascii="Arial" w:hAnsi="Arial" w:cs="Arial"/>
                <w:color w:val="FF0000"/>
              </w:rPr>
              <w:t>x</w:t>
            </w:r>
          </w:p>
        </w:tc>
        <w:tc>
          <w:tcPr>
            <w:tcW w:w="1525" w:type="dxa"/>
            <w:tcBorders>
              <w:top w:val="single" w:sz="4" w:space="0" w:color="auto"/>
              <w:left w:val="single" w:sz="4" w:space="0" w:color="auto"/>
              <w:bottom w:val="single" w:sz="4" w:space="0" w:color="auto"/>
              <w:right w:val="single" w:sz="4" w:space="0" w:color="auto"/>
            </w:tcBorders>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F876A8" w:rsidRDefault="000C0998" w:rsidP="00031788">
            <w:pPr>
              <w:spacing w:after="0" w:line="240" w:lineRule="auto"/>
              <w:jc w:val="center"/>
              <w:rPr>
                <w:rFonts w:ascii="Arial" w:hAnsi="Arial" w:cs="Arial"/>
                <w:color w:val="FF0000"/>
              </w:rPr>
            </w:pPr>
            <w:r w:rsidRPr="00F876A8">
              <w:rPr>
                <w:rFonts w:ascii="Arial" w:hAnsi="Arial" w:cs="Arial"/>
                <w:color w:val="FF0000"/>
              </w:rPr>
              <w:t>SIMD</w:t>
            </w:r>
          </w:p>
        </w:tc>
        <w:tc>
          <w:tcPr>
            <w:tcW w:w="2596" w:type="dxa"/>
            <w:tcBorders>
              <w:top w:val="single" w:sz="4" w:space="0" w:color="auto"/>
              <w:left w:val="single" w:sz="4" w:space="0" w:color="auto"/>
              <w:bottom w:val="single" w:sz="4" w:space="0" w:color="auto"/>
              <w:right w:val="single" w:sz="4" w:space="0" w:color="auto"/>
            </w:tcBorders>
          </w:tcPr>
          <w:p w:rsidR="000C0998" w:rsidRPr="00F876A8" w:rsidRDefault="00F876A8" w:rsidP="00031788">
            <w:pPr>
              <w:spacing w:after="0" w:line="240" w:lineRule="auto"/>
              <w:rPr>
                <w:rFonts w:ascii="Arial" w:hAnsi="Arial" w:cs="Arial"/>
                <w:color w:val="FF0000"/>
              </w:rPr>
            </w:pPr>
            <w:r>
              <w:rPr>
                <w:rFonts w:ascii="Arial" w:hAnsi="Arial" w:cs="Arial"/>
                <w:color w:val="FF0000"/>
              </w:rPr>
              <w:t xml:space="preserve">Crime count of 5 or less is a missing value at </w:t>
            </w:r>
            <w:r w:rsidR="001B4E79">
              <w:rPr>
                <w:rFonts w:ascii="Arial" w:hAnsi="Arial" w:cs="Arial"/>
                <w:color w:val="FF0000"/>
              </w:rPr>
              <w:t>Data Zone</w:t>
            </w:r>
            <w:r>
              <w:rPr>
                <w:rFonts w:ascii="Arial" w:hAnsi="Arial" w:cs="Arial"/>
                <w:color w:val="FF0000"/>
              </w:rPr>
              <w:t xml:space="preserve"> level</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color w:val="000000"/>
                <w:shd w:val="clear" w:color="auto" w:fill="FFFFFF"/>
              </w:rPr>
            </w:pPr>
            <w:r w:rsidRPr="003C7E80">
              <w:rPr>
                <w:rFonts w:ascii="Arial" w:hAnsi="Arial" w:cs="Arial"/>
                <w:b/>
                <w:color w:val="000000"/>
                <w:shd w:val="clear" w:color="auto" w:fill="FFFFFF"/>
              </w:rPr>
              <w:t>Housing Domain</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Persons in households that are overcrowded</w:t>
            </w:r>
            <w:r w:rsidRPr="003C7E80">
              <w:rPr>
                <w:rStyle w:val="apple-converted-space"/>
                <w:rFonts w:ascii="Arial" w:hAnsi="Arial" w:cs="Arial"/>
                <w:color w:val="000000"/>
                <w:shd w:val="clear" w:color="auto" w:fill="FFFFFF"/>
              </w:rPr>
              <w:t>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Census 2001 data used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color w:val="000000"/>
                <w:shd w:val="clear" w:color="auto" w:fill="FFFFFF"/>
              </w:rPr>
              <w:t>Persons in households without central heating</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SIMD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Census 2011 data used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i/>
              </w:rPr>
            </w:pPr>
            <w:r w:rsidRPr="003C7E80">
              <w:rPr>
                <w:rFonts w:ascii="Arial" w:hAnsi="Arial" w:cs="Arial"/>
                <w:b/>
                <w:i/>
              </w:rPr>
              <w:t>Morbidity</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Low birth weight births</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2011/12 and 2012/13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color w:val="FF0000"/>
              </w:rPr>
            </w:pPr>
            <w:r w:rsidRPr="003C7E80">
              <w:rPr>
                <w:rFonts w:ascii="Arial" w:hAnsi="Arial" w:cs="Arial"/>
                <w:color w:val="FF0000"/>
              </w:rPr>
              <w:t>13/14 data is still not available</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Death rate under 75</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Death rate under 75 cancer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Death rate under 75 CHD</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Death rate under 75 stroke</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All cause SMR 65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All cause SMR 70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All cause SMR 75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Cancer SMR 65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Cancer SMR 70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Cancer SMR 75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Heart Disease SMR 65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Heart Disease SMR 70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Heart Disease SMR 75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Respiratory SMR 65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Respiratory SMR 70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Respiratory SMR 75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Digestive System SMR  65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Digestive System SMR 70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Digestive System SMR 75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Poison &amp; Injury SMR 65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Poison &amp; Injury SMR 70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Poison &amp; Injury SMR 75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Other SMR 65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Other SMR 70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Other SMR 75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lastRenderedPageBreak/>
              <w:t>Outpatient SMR 65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Outpatient SMR 70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Outpatient SMR 75 and under</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rPr>
            </w:pPr>
            <w:r w:rsidRPr="003C7E80">
              <w:rPr>
                <w:rFonts w:ascii="Arial" w:hAnsi="Arial" w:cs="Arial"/>
                <w:color w:val="FF0000"/>
              </w:rPr>
              <w:t xml:space="preserve">High Resource Individuals </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C12455"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3C784B" w:rsidP="00031788">
            <w:pPr>
              <w:spacing w:after="0" w:line="240" w:lineRule="auto"/>
              <w:jc w:val="center"/>
              <w:rPr>
                <w:rFonts w:ascii="Arial" w:hAnsi="Arial" w:cs="Arial"/>
              </w:rPr>
            </w:pPr>
            <w:r>
              <w:rPr>
                <w:rFonts w:ascii="Arial" w:hAnsi="Arial" w:cs="Arial"/>
              </w:rPr>
              <w:t>2011-2012</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84B" w:rsidRDefault="003C784B" w:rsidP="00031788">
            <w:pPr>
              <w:spacing w:after="0" w:line="240" w:lineRule="auto"/>
              <w:jc w:val="center"/>
              <w:rPr>
                <w:rFonts w:ascii="Arial" w:hAnsi="Arial" w:cs="Arial"/>
                <w:color w:val="FF0000"/>
              </w:rPr>
            </w:pPr>
            <w:r w:rsidRPr="003C784B">
              <w:rPr>
                <w:rFonts w:ascii="Arial" w:hAnsi="Arial" w:cs="Arial"/>
                <w:color w:val="FF0000"/>
              </w:rPr>
              <w:t xml:space="preserve">2013 data </w:t>
            </w:r>
            <w:r w:rsidR="00C7538C">
              <w:rPr>
                <w:rFonts w:ascii="Arial" w:hAnsi="Arial" w:cs="Arial"/>
                <w:color w:val="FF0000"/>
              </w:rPr>
              <w:t xml:space="preserve">available </w:t>
            </w:r>
            <w:r w:rsidRPr="003C784B">
              <w:rPr>
                <w:rFonts w:ascii="Arial" w:hAnsi="Arial" w:cs="Arial"/>
                <w:color w:val="FF0000"/>
              </w:rPr>
              <w:t>after April 2015</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rPr>
            </w:pPr>
            <w:r w:rsidRPr="003C7E80">
              <w:rPr>
                <w:rFonts w:ascii="Arial" w:hAnsi="Arial" w:cs="Arial"/>
                <w:color w:val="FF0000"/>
              </w:rPr>
              <w:t>Did Not Attend</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rPr>
            </w:pPr>
            <w:r w:rsidRPr="003C7E80">
              <w:rPr>
                <w:rFonts w:ascii="Arial" w:hAnsi="Arial" w:cs="Arial"/>
                <w:color w:val="FF0000"/>
              </w:rPr>
              <w:t>Life Expectancy</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x</w:t>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2003-2007</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color w:val="FF0000"/>
              </w:rPr>
            </w:pPr>
            <w:r w:rsidRPr="003C7E80">
              <w:rPr>
                <w:rFonts w:ascii="Arial" w:hAnsi="Arial" w:cs="Arial"/>
                <w:color w:val="FF0000"/>
              </w:rPr>
              <w:t>Drug counts</w:t>
            </w:r>
          </w:p>
        </w:tc>
        <w:tc>
          <w:tcPr>
            <w:tcW w:w="10000" w:type="dxa"/>
            <w:gridSpan w:val="6"/>
            <w:tcBorders>
              <w:top w:val="single" w:sz="4" w:space="0" w:color="auto"/>
              <w:left w:val="single" w:sz="4" w:space="0" w:color="auto"/>
              <w:bottom w:val="single" w:sz="4" w:space="0" w:color="auto"/>
            </w:tcBorders>
          </w:tcPr>
          <w:p w:rsidR="000C0998" w:rsidRPr="003C7E80" w:rsidRDefault="000C0998" w:rsidP="00031788">
            <w:pPr>
              <w:spacing w:after="0" w:line="240" w:lineRule="auto"/>
              <w:rPr>
                <w:rFonts w:ascii="Arial" w:hAnsi="Arial" w:cs="Arial"/>
              </w:rPr>
            </w:pPr>
            <w:r w:rsidRPr="003C7E80">
              <w:rPr>
                <w:rFonts w:ascii="Arial" w:hAnsi="Arial" w:cs="Arial"/>
              </w:rPr>
              <w:t>Under investigation</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i/>
              </w:rPr>
            </w:pPr>
            <w:r w:rsidRPr="003C7E80">
              <w:rPr>
                <w:rFonts w:ascii="Arial" w:hAnsi="Arial" w:cs="Arial"/>
                <w:b/>
                <w:i/>
              </w:rPr>
              <w:t>Health/Morbidity Unpaid Care</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Respondent long-term illness</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Census</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Requested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Limited activity</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Census</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Requested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Unemployed permanent sick</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Census</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Requested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b/>
                <w:i/>
              </w:rPr>
            </w:pP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i/>
              </w:rPr>
            </w:pPr>
            <w:r w:rsidRPr="003C7E80">
              <w:rPr>
                <w:rFonts w:ascii="Arial" w:hAnsi="Arial" w:cs="Arial"/>
                <w:b/>
                <w:i/>
              </w:rPr>
              <w:t>Ethnicity</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White</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Census</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Requested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South Asian</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Census</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Requested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Chinese</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Census</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Requested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Black</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Census</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Requested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Mixed and other ethnic</w:t>
            </w:r>
          </w:p>
        </w:tc>
        <w:tc>
          <w:tcPr>
            <w:tcW w:w="844"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2011</w:t>
            </w:r>
          </w:p>
        </w:tc>
        <w:tc>
          <w:tcPr>
            <w:tcW w:w="1232"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jc w:val="center"/>
              <w:rPr>
                <w:rFonts w:ascii="Arial" w:hAnsi="Arial" w:cs="Arial"/>
              </w:rPr>
            </w:pPr>
            <w:r w:rsidRPr="003C7E80">
              <w:rPr>
                <w:rFonts w:ascii="Arial" w:hAnsi="Arial" w:cs="Arial"/>
              </w:rPr>
              <w:t>Census</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Requested</w:t>
            </w: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i/>
              </w:rPr>
            </w:pPr>
            <w:r w:rsidRPr="003C7E80">
              <w:rPr>
                <w:rFonts w:ascii="Arial" w:hAnsi="Arial" w:cs="Arial"/>
                <w:b/>
                <w:i/>
              </w:rPr>
              <w:t>Health Board Dummy Variables</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b/>
                <w:i/>
              </w:rPr>
            </w:pP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b/>
                <w:i/>
              </w:rPr>
            </w:pPr>
            <w:r w:rsidRPr="003C7E80">
              <w:rPr>
                <w:rFonts w:ascii="Arial" w:hAnsi="Arial" w:cs="Arial"/>
                <w:b/>
                <w:i/>
              </w:rPr>
              <w:t>Supply Variables</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 xml:space="preserve">GP Supply 1km </w:t>
            </w:r>
            <w:proofErr w:type="spellStart"/>
            <w:r w:rsidRPr="003C7E80">
              <w:rPr>
                <w:rFonts w:ascii="Arial" w:hAnsi="Arial" w:cs="Arial"/>
              </w:rPr>
              <w:t>intrazonal</w:t>
            </w:r>
            <w:proofErr w:type="spellEnd"/>
            <w:r w:rsidRPr="003C7E80">
              <w:rPr>
                <w:rFonts w:ascii="Arial" w:hAnsi="Arial" w:cs="Arial"/>
              </w:rPr>
              <w:t xml:space="preserve"> cost</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 xml:space="preserve">GP Supply 5km </w:t>
            </w:r>
            <w:proofErr w:type="spellStart"/>
            <w:r w:rsidRPr="003C7E80">
              <w:rPr>
                <w:rFonts w:ascii="Arial" w:hAnsi="Arial" w:cs="Arial"/>
              </w:rPr>
              <w:t>intrazonal</w:t>
            </w:r>
            <w:proofErr w:type="spellEnd"/>
            <w:r w:rsidRPr="003C7E80">
              <w:rPr>
                <w:rFonts w:ascii="Arial" w:hAnsi="Arial" w:cs="Arial"/>
              </w:rPr>
              <w:t xml:space="preserve"> cost</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 xml:space="preserve">GP Supply 10km </w:t>
            </w:r>
            <w:proofErr w:type="spellStart"/>
            <w:r w:rsidRPr="003C7E80">
              <w:rPr>
                <w:rFonts w:ascii="Arial" w:hAnsi="Arial" w:cs="Arial"/>
              </w:rPr>
              <w:t>intrazonal</w:t>
            </w:r>
            <w:proofErr w:type="spellEnd"/>
            <w:r w:rsidRPr="003C7E80">
              <w:rPr>
                <w:rFonts w:ascii="Arial" w:hAnsi="Arial" w:cs="Arial"/>
              </w:rPr>
              <w:t xml:space="preserve"> cost</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IPAC Inpatient supply dist only</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 xml:space="preserve">IPACX Inpatient supply dist &amp; </w:t>
            </w:r>
            <w:proofErr w:type="spellStart"/>
            <w:r w:rsidRPr="003C7E80">
              <w:rPr>
                <w:rFonts w:ascii="Arial" w:hAnsi="Arial" w:cs="Arial"/>
              </w:rPr>
              <w:t>popln</w:t>
            </w:r>
            <w:proofErr w:type="spellEnd"/>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OPAC Outpatient supply dist only</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 xml:space="preserve">OPACX Outpatient supply dist &amp; </w:t>
            </w:r>
            <w:proofErr w:type="spellStart"/>
            <w:r w:rsidRPr="003C7E80">
              <w:rPr>
                <w:rFonts w:ascii="Arial" w:hAnsi="Arial" w:cs="Arial"/>
              </w:rPr>
              <w:t>popln</w:t>
            </w:r>
            <w:proofErr w:type="spellEnd"/>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Inpatient Access – nearest hospital</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Outpatient Access – nearest hospital</w:t>
            </w:r>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r w:rsidR="000C0998" w:rsidRPr="003C7E80" w:rsidTr="00471064">
        <w:trPr>
          <w:jc w:val="center"/>
        </w:trPr>
        <w:tc>
          <w:tcPr>
            <w:tcW w:w="6019" w:type="dxa"/>
            <w:tcBorders>
              <w:top w:val="single" w:sz="4" w:space="0" w:color="auto"/>
              <w:left w:val="single" w:sz="4" w:space="0" w:color="auto"/>
              <w:bottom w:val="single" w:sz="4" w:space="0" w:color="auto"/>
              <w:right w:val="single" w:sz="4" w:space="0" w:color="auto"/>
            </w:tcBorders>
            <w:hideMark/>
          </w:tcPr>
          <w:p w:rsidR="000C0998" w:rsidRPr="003C7E80" w:rsidRDefault="000C0998" w:rsidP="00031788">
            <w:pPr>
              <w:spacing w:after="0" w:line="240" w:lineRule="auto"/>
              <w:rPr>
                <w:rFonts w:ascii="Arial" w:hAnsi="Arial" w:cs="Arial"/>
              </w:rPr>
            </w:pPr>
            <w:r w:rsidRPr="003C7E80">
              <w:rPr>
                <w:rFonts w:ascii="Arial" w:hAnsi="Arial" w:cs="Arial"/>
              </w:rPr>
              <w:t xml:space="preserve">Number of GPs serving </w:t>
            </w:r>
            <w:proofErr w:type="spellStart"/>
            <w:r w:rsidRPr="003C7E80">
              <w:rPr>
                <w:rFonts w:ascii="Arial" w:hAnsi="Arial" w:cs="Arial"/>
              </w:rPr>
              <w:t>intzone</w:t>
            </w:r>
            <w:proofErr w:type="spellEnd"/>
          </w:p>
        </w:tc>
        <w:tc>
          <w:tcPr>
            <w:tcW w:w="844"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827"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525"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sym w:font="Wingdings" w:char="00FC"/>
            </w:r>
          </w:p>
        </w:tc>
        <w:tc>
          <w:tcPr>
            <w:tcW w:w="197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2011-2012-2013</w:t>
            </w:r>
          </w:p>
        </w:tc>
        <w:tc>
          <w:tcPr>
            <w:tcW w:w="1232"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jc w:val="center"/>
              <w:rPr>
                <w:rFonts w:ascii="Arial" w:hAnsi="Arial" w:cs="Arial"/>
              </w:rPr>
            </w:pPr>
            <w:r w:rsidRPr="003C7E80">
              <w:rPr>
                <w:rFonts w:ascii="Arial" w:hAnsi="Arial" w:cs="Arial"/>
              </w:rPr>
              <w:t>ISD</w:t>
            </w:r>
          </w:p>
        </w:tc>
        <w:tc>
          <w:tcPr>
            <w:tcW w:w="2596" w:type="dxa"/>
            <w:tcBorders>
              <w:top w:val="single" w:sz="4" w:space="0" w:color="auto"/>
              <w:left w:val="single" w:sz="4" w:space="0" w:color="auto"/>
              <w:bottom w:val="single" w:sz="4" w:space="0" w:color="auto"/>
              <w:right w:val="single" w:sz="4" w:space="0" w:color="auto"/>
            </w:tcBorders>
          </w:tcPr>
          <w:p w:rsidR="000C0998" w:rsidRPr="003C7E80" w:rsidRDefault="000C0998" w:rsidP="00031788">
            <w:pPr>
              <w:spacing w:after="0" w:line="240" w:lineRule="auto"/>
              <w:rPr>
                <w:rFonts w:ascii="Arial" w:hAnsi="Arial" w:cs="Arial"/>
              </w:rPr>
            </w:pPr>
          </w:p>
        </w:tc>
      </w:tr>
    </w:tbl>
    <w:p w:rsidR="005B240B" w:rsidRPr="00734B48" w:rsidRDefault="005B240B" w:rsidP="002E2834">
      <w:pPr>
        <w:tabs>
          <w:tab w:val="left" w:pos="10425"/>
        </w:tabs>
        <w:rPr>
          <w:rFonts w:ascii="Arial" w:hAnsi="Arial" w:cs="Arial"/>
          <w:b/>
        </w:rPr>
      </w:pPr>
    </w:p>
    <w:sectPr w:rsidR="005B240B" w:rsidRPr="00734B48" w:rsidSect="002E2834">
      <w:headerReference w:type="default" r:id="rId17"/>
      <w:pgSz w:w="16838" w:h="11906" w:orient="landscape" w:code="9"/>
      <w:pgMar w:top="1134"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122" w:rsidRDefault="000D4122" w:rsidP="005052BE">
      <w:pPr>
        <w:spacing w:after="0" w:line="240" w:lineRule="auto"/>
      </w:pPr>
      <w:r>
        <w:separator/>
      </w:r>
    </w:p>
  </w:endnote>
  <w:endnote w:type="continuationSeparator" w:id="0">
    <w:p w:rsidR="000D4122" w:rsidRDefault="000D4122" w:rsidP="005052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5532"/>
      <w:docPartObj>
        <w:docPartGallery w:val="Page Numbers (Bottom of Page)"/>
        <w:docPartUnique/>
      </w:docPartObj>
    </w:sdtPr>
    <w:sdtContent>
      <w:p w:rsidR="000D4122" w:rsidRDefault="00383550">
        <w:pPr>
          <w:pStyle w:val="Footer"/>
          <w:jc w:val="center"/>
        </w:pPr>
        <w:fldSimple w:instr=" PAGE   \* MERGEFORMAT ">
          <w:r w:rsidR="00471064">
            <w:rPr>
              <w:noProof/>
            </w:rPr>
            <w:t>14</w:t>
          </w:r>
        </w:fldSimple>
      </w:p>
    </w:sdtContent>
  </w:sdt>
  <w:p w:rsidR="000D4122" w:rsidRDefault="000D41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122" w:rsidRDefault="000D4122" w:rsidP="005052BE">
      <w:pPr>
        <w:spacing w:after="0" w:line="240" w:lineRule="auto"/>
      </w:pPr>
      <w:r>
        <w:separator/>
      </w:r>
    </w:p>
  </w:footnote>
  <w:footnote w:type="continuationSeparator" w:id="0">
    <w:p w:rsidR="000D4122" w:rsidRDefault="000D4122" w:rsidP="005052BE">
      <w:pPr>
        <w:spacing w:after="0" w:line="240" w:lineRule="auto"/>
      </w:pPr>
      <w:r>
        <w:continuationSeparator/>
      </w:r>
    </w:p>
  </w:footnote>
  <w:footnote w:id="1">
    <w:p w:rsidR="000D4122" w:rsidRDefault="000D4122" w:rsidP="006717B1">
      <w:pPr>
        <w:pStyle w:val="FootnoteText"/>
      </w:pPr>
      <w:r>
        <w:rPr>
          <w:rStyle w:val="FootnoteReference"/>
        </w:rPr>
        <w:footnoteRef/>
      </w:r>
      <w:r>
        <w:t xml:space="preserve"> REVIEW OF THE RESOURCE ALLOCATION ADJUSTMENT FOR HEALTHCARE NEEDS DUE TO MORBIDITY AND LIFE CIRCUMSTANCES AND OTHER FACTORS (Technical Report D), Carr-Hill, R. and Dixon, P., May 2006 (available </w:t>
      </w:r>
      <w:hyperlink r:id="rId1" w:history="1">
        <w:r w:rsidRPr="008E1A8C">
          <w:rPr>
            <w:rStyle w:val="Hyperlink"/>
          </w:rPr>
          <w:t>here</w:t>
        </w:r>
      </w:hyperlink>
      <w:r>
        <w:t>)</w:t>
      </w:r>
    </w:p>
  </w:footnote>
  <w:footnote w:id="2">
    <w:p w:rsidR="000D4122" w:rsidRDefault="000D4122" w:rsidP="006717B1">
      <w:pPr>
        <w:pStyle w:val="FootnoteText"/>
      </w:pPr>
      <w:r>
        <w:rPr>
          <w:rStyle w:val="FootnoteReference"/>
        </w:rPr>
        <w:footnoteRef/>
      </w:r>
      <w:r>
        <w:t xml:space="preserve"> </w:t>
      </w:r>
      <w:r w:rsidRPr="008E1A8C">
        <w:t>NRAC formula - MLC adjustment: Mental Health and Learning Difficulties Care Programme - Final Report, TAGRA MLC (Morbidity &amp; Life Circumstances) Sub-Group, December 2012</w:t>
      </w:r>
    </w:p>
  </w:footnote>
  <w:footnote w:id="3">
    <w:p w:rsidR="000D4122" w:rsidRDefault="000D4122" w:rsidP="004826D9">
      <w:pPr>
        <w:pStyle w:val="FootnoteText"/>
      </w:pPr>
      <w:r>
        <w:rPr>
          <w:rStyle w:val="FootnoteReference"/>
        </w:rPr>
        <w:footnoteRef/>
      </w:r>
      <w:r>
        <w:t xml:space="preserve"> Source of table 1: SCOTTISH INDEX OF MULTIPLE DEPRIVATION 2012: A National Statistics Publication for Scotland, Scottish Government, December 2012 (Available </w:t>
      </w:r>
      <w:hyperlink r:id="rId2" w:history="1">
        <w:r w:rsidRPr="004826D9">
          <w:rPr>
            <w:rStyle w:val="Hyperlink"/>
          </w:rPr>
          <w:t>here</w:t>
        </w:r>
      </w:hyperlink>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22" w:rsidRPr="0091481D" w:rsidRDefault="000D4122" w:rsidP="0091481D">
    <w:pPr>
      <w:pStyle w:val="Header"/>
      <w:jc w:val="right"/>
      <w:rPr>
        <w:rFonts w:ascii="Arial" w:hAnsi="Arial" w:cs="Arial"/>
      </w:rPr>
    </w:pPr>
    <w:r w:rsidRPr="0091481D">
      <w:rPr>
        <w:rFonts w:ascii="Arial" w:hAnsi="Arial" w:cs="Arial"/>
        <w:i/>
        <w:sz w:val="24"/>
      </w:rPr>
      <w:t>TAMLC20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122" w:rsidRPr="0091481D" w:rsidRDefault="000D4122" w:rsidP="0091481D">
    <w:pPr>
      <w:pStyle w:val="Header"/>
      <w:jc w:val="right"/>
      <w:rPr>
        <w:rFonts w:ascii="Arial" w:hAnsi="Arial" w:cs="Arial"/>
        <w:i/>
        <w:sz w:val="24"/>
      </w:rPr>
    </w:pPr>
    <w:r w:rsidRPr="0091481D">
      <w:rPr>
        <w:rFonts w:ascii="Arial" w:hAnsi="Arial" w:cs="Arial"/>
        <w:i/>
        <w:sz w:val="24"/>
      </w:rPr>
      <w:t>TAMLC20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5FF3"/>
    <w:multiLevelType w:val="hybridMultilevel"/>
    <w:tmpl w:val="6F7C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C09F5"/>
    <w:multiLevelType w:val="hybridMultilevel"/>
    <w:tmpl w:val="36B42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242D8"/>
    <w:multiLevelType w:val="hybridMultilevel"/>
    <w:tmpl w:val="11FC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9A14B3"/>
    <w:multiLevelType w:val="hybridMultilevel"/>
    <w:tmpl w:val="B554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94094"/>
    <w:multiLevelType w:val="hybridMultilevel"/>
    <w:tmpl w:val="C3983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72052A6"/>
    <w:multiLevelType w:val="hybridMultilevel"/>
    <w:tmpl w:val="054EEC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CA159D"/>
    <w:multiLevelType w:val="hybridMultilevel"/>
    <w:tmpl w:val="A236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C50710"/>
    <w:multiLevelType w:val="hybridMultilevel"/>
    <w:tmpl w:val="23F84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BE5C6A"/>
    <w:multiLevelType w:val="hybridMultilevel"/>
    <w:tmpl w:val="9DEE2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E61CDD"/>
    <w:multiLevelType w:val="hybridMultilevel"/>
    <w:tmpl w:val="F2FC2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3936B9"/>
    <w:multiLevelType w:val="hybridMultilevel"/>
    <w:tmpl w:val="1B28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FE1688"/>
    <w:multiLevelType w:val="hybridMultilevel"/>
    <w:tmpl w:val="8874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5517A90"/>
    <w:multiLevelType w:val="hybridMultilevel"/>
    <w:tmpl w:val="6576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793700"/>
    <w:multiLevelType w:val="hybridMultilevel"/>
    <w:tmpl w:val="1D2EEC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9A84387"/>
    <w:multiLevelType w:val="hybridMultilevel"/>
    <w:tmpl w:val="72F2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20637B"/>
    <w:multiLevelType w:val="hybridMultilevel"/>
    <w:tmpl w:val="9A983B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nsid w:val="6D581817"/>
    <w:multiLevelType w:val="hybridMultilevel"/>
    <w:tmpl w:val="C576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116ED2"/>
    <w:multiLevelType w:val="hybridMultilevel"/>
    <w:tmpl w:val="FA40175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75B14FAD"/>
    <w:multiLevelType w:val="hybridMultilevel"/>
    <w:tmpl w:val="0AA48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E13069"/>
    <w:multiLevelType w:val="hybridMultilevel"/>
    <w:tmpl w:val="B1C8F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13"/>
  </w:num>
  <w:num w:numId="4">
    <w:abstractNumId w:val="11"/>
  </w:num>
  <w:num w:numId="5">
    <w:abstractNumId w:val="12"/>
  </w:num>
  <w:num w:numId="6">
    <w:abstractNumId w:val="2"/>
  </w:num>
  <w:num w:numId="7">
    <w:abstractNumId w:val="19"/>
  </w:num>
  <w:num w:numId="8">
    <w:abstractNumId w:val="1"/>
  </w:num>
  <w:num w:numId="9">
    <w:abstractNumId w:val="4"/>
  </w:num>
  <w:num w:numId="10">
    <w:abstractNumId w:val="18"/>
  </w:num>
  <w:num w:numId="11">
    <w:abstractNumId w:val="9"/>
  </w:num>
  <w:num w:numId="12">
    <w:abstractNumId w:val="5"/>
  </w:num>
  <w:num w:numId="13">
    <w:abstractNumId w:val="3"/>
  </w:num>
  <w:num w:numId="14">
    <w:abstractNumId w:val="14"/>
  </w:num>
  <w:num w:numId="15">
    <w:abstractNumId w:val="0"/>
  </w:num>
  <w:num w:numId="16">
    <w:abstractNumId w:val="6"/>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 w:numId="23">
    <w:abstractNumId w:val="8"/>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rsids>
    <w:rsidRoot w:val="00193EA9"/>
    <w:rsid w:val="000004FB"/>
    <w:rsid w:val="000017BC"/>
    <w:rsid w:val="00020377"/>
    <w:rsid w:val="00020A4E"/>
    <w:rsid w:val="0002379D"/>
    <w:rsid w:val="000277ED"/>
    <w:rsid w:val="00031788"/>
    <w:rsid w:val="00037760"/>
    <w:rsid w:val="00044B7E"/>
    <w:rsid w:val="00051B78"/>
    <w:rsid w:val="00066C65"/>
    <w:rsid w:val="00090A82"/>
    <w:rsid w:val="00095411"/>
    <w:rsid w:val="000A20B0"/>
    <w:rsid w:val="000A755F"/>
    <w:rsid w:val="000B22AD"/>
    <w:rsid w:val="000B781C"/>
    <w:rsid w:val="000C0998"/>
    <w:rsid w:val="000C6837"/>
    <w:rsid w:val="000C7447"/>
    <w:rsid w:val="000D4122"/>
    <w:rsid w:val="000E3786"/>
    <w:rsid w:val="000E447D"/>
    <w:rsid w:val="000F0D7F"/>
    <w:rsid w:val="000F360F"/>
    <w:rsid w:val="000F3E9E"/>
    <w:rsid w:val="000F5F78"/>
    <w:rsid w:val="000F62C7"/>
    <w:rsid w:val="000F7229"/>
    <w:rsid w:val="0010038C"/>
    <w:rsid w:val="0010052A"/>
    <w:rsid w:val="00102CD0"/>
    <w:rsid w:val="001072F7"/>
    <w:rsid w:val="00115775"/>
    <w:rsid w:val="00126380"/>
    <w:rsid w:val="00135AC6"/>
    <w:rsid w:val="001423CC"/>
    <w:rsid w:val="00153079"/>
    <w:rsid w:val="00162636"/>
    <w:rsid w:val="0016356B"/>
    <w:rsid w:val="00165AA1"/>
    <w:rsid w:val="00165D62"/>
    <w:rsid w:val="001677F6"/>
    <w:rsid w:val="00183C2A"/>
    <w:rsid w:val="00184A35"/>
    <w:rsid w:val="001908F6"/>
    <w:rsid w:val="00193EA9"/>
    <w:rsid w:val="00194672"/>
    <w:rsid w:val="0019656B"/>
    <w:rsid w:val="001A490A"/>
    <w:rsid w:val="001B00A2"/>
    <w:rsid w:val="001B4E79"/>
    <w:rsid w:val="001B65CB"/>
    <w:rsid w:val="001C4208"/>
    <w:rsid w:val="001D153A"/>
    <w:rsid w:val="001D2E5D"/>
    <w:rsid w:val="001F421A"/>
    <w:rsid w:val="002105B4"/>
    <w:rsid w:val="00210BEC"/>
    <w:rsid w:val="00212D71"/>
    <w:rsid w:val="00220EB6"/>
    <w:rsid w:val="00232D10"/>
    <w:rsid w:val="00234FF5"/>
    <w:rsid w:val="00245316"/>
    <w:rsid w:val="00254C41"/>
    <w:rsid w:val="002578A1"/>
    <w:rsid w:val="00276B42"/>
    <w:rsid w:val="00283149"/>
    <w:rsid w:val="002859C0"/>
    <w:rsid w:val="00297266"/>
    <w:rsid w:val="002B1469"/>
    <w:rsid w:val="002B5DA2"/>
    <w:rsid w:val="002B70F2"/>
    <w:rsid w:val="002E09FD"/>
    <w:rsid w:val="002E2834"/>
    <w:rsid w:val="002F6066"/>
    <w:rsid w:val="002F68A6"/>
    <w:rsid w:val="00321CFD"/>
    <w:rsid w:val="00322547"/>
    <w:rsid w:val="003340D7"/>
    <w:rsid w:val="00335952"/>
    <w:rsid w:val="00340DDE"/>
    <w:rsid w:val="00342C67"/>
    <w:rsid w:val="00343F8D"/>
    <w:rsid w:val="00344EBE"/>
    <w:rsid w:val="00362E58"/>
    <w:rsid w:val="00365203"/>
    <w:rsid w:val="0037015B"/>
    <w:rsid w:val="00370636"/>
    <w:rsid w:val="00372A78"/>
    <w:rsid w:val="0037379C"/>
    <w:rsid w:val="00383550"/>
    <w:rsid w:val="00391C78"/>
    <w:rsid w:val="003A34F8"/>
    <w:rsid w:val="003A7EC7"/>
    <w:rsid w:val="003C08F4"/>
    <w:rsid w:val="003C784B"/>
    <w:rsid w:val="003C7E80"/>
    <w:rsid w:val="003F4721"/>
    <w:rsid w:val="003F5995"/>
    <w:rsid w:val="003F6D1B"/>
    <w:rsid w:val="003F7804"/>
    <w:rsid w:val="00405A90"/>
    <w:rsid w:val="00406C7E"/>
    <w:rsid w:val="004152D3"/>
    <w:rsid w:val="00415E88"/>
    <w:rsid w:val="00425907"/>
    <w:rsid w:val="00460EF8"/>
    <w:rsid w:val="00471064"/>
    <w:rsid w:val="0047319E"/>
    <w:rsid w:val="0047490B"/>
    <w:rsid w:val="004826D9"/>
    <w:rsid w:val="004866B7"/>
    <w:rsid w:val="0049221E"/>
    <w:rsid w:val="004A20C3"/>
    <w:rsid w:val="004C3B73"/>
    <w:rsid w:val="004F0F86"/>
    <w:rsid w:val="004F1F67"/>
    <w:rsid w:val="004F395E"/>
    <w:rsid w:val="004F42C7"/>
    <w:rsid w:val="005052BE"/>
    <w:rsid w:val="00507087"/>
    <w:rsid w:val="0051371C"/>
    <w:rsid w:val="00513C23"/>
    <w:rsid w:val="00514A83"/>
    <w:rsid w:val="0051635E"/>
    <w:rsid w:val="00526DD0"/>
    <w:rsid w:val="0053227C"/>
    <w:rsid w:val="00553F4C"/>
    <w:rsid w:val="0056658E"/>
    <w:rsid w:val="00577861"/>
    <w:rsid w:val="0059522D"/>
    <w:rsid w:val="005A1F7D"/>
    <w:rsid w:val="005A633A"/>
    <w:rsid w:val="005A66BF"/>
    <w:rsid w:val="005A79E9"/>
    <w:rsid w:val="005B240B"/>
    <w:rsid w:val="005C3DFA"/>
    <w:rsid w:val="005D762E"/>
    <w:rsid w:val="005D7AE2"/>
    <w:rsid w:val="005E2D08"/>
    <w:rsid w:val="005F1DFB"/>
    <w:rsid w:val="005F64F9"/>
    <w:rsid w:val="005F7765"/>
    <w:rsid w:val="006164C9"/>
    <w:rsid w:val="006221B8"/>
    <w:rsid w:val="00623406"/>
    <w:rsid w:val="00625454"/>
    <w:rsid w:val="00630212"/>
    <w:rsid w:val="00633D81"/>
    <w:rsid w:val="006342ED"/>
    <w:rsid w:val="006409BA"/>
    <w:rsid w:val="006709B6"/>
    <w:rsid w:val="006717B1"/>
    <w:rsid w:val="00684EB3"/>
    <w:rsid w:val="00694971"/>
    <w:rsid w:val="006A159E"/>
    <w:rsid w:val="006C4B13"/>
    <w:rsid w:val="006D1575"/>
    <w:rsid w:val="006D21FD"/>
    <w:rsid w:val="006D6F44"/>
    <w:rsid w:val="006F32E5"/>
    <w:rsid w:val="00710B26"/>
    <w:rsid w:val="00711AF8"/>
    <w:rsid w:val="007149C8"/>
    <w:rsid w:val="00720EFE"/>
    <w:rsid w:val="00721989"/>
    <w:rsid w:val="007329C5"/>
    <w:rsid w:val="00733D1F"/>
    <w:rsid w:val="00734AAD"/>
    <w:rsid w:val="00734B48"/>
    <w:rsid w:val="007354B1"/>
    <w:rsid w:val="00740B2A"/>
    <w:rsid w:val="007542D4"/>
    <w:rsid w:val="00763824"/>
    <w:rsid w:val="00772C10"/>
    <w:rsid w:val="00790FAA"/>
    <w:rsid w:val="007B0200"/>
    <w:rsid w:val="007B04CB"/>
    <w:rsid w:val="007C637A"/>
    <w:rsid w:val="007C6A3C"/>
    <w:rsid w:val="007D0B3C"/>
    <w:rsid w:val="007D2D53"/>
    <w:rsid w:val="007D50CE"/>
    <w:rsid w:val="007E0D3F"/>
    <w:rsid w:val="007E145D"/>
    <w:rsid w:val="007E39E1"/>
    <w:rsid w:val="007F6C23"/>
    <w:rsid w:val="007F6D08"/>
    <w:rsid w:val="007F75E4"/>
    <w:rsid w:val="007F792F"/>
    <w:rsid w:val="00805AA2"/>
    <w:rsid w:val="00805FCB"/>
    <w:rsid w:val="00811116"/>
    <w:rsid w:val="008124B7"/>
    <w:rsid w:val="0081478D"/>
    <w:rsid w:val="00821348"/>
    <w:rsid w:val="00821DB6"/>
    <w:rsid w:val="00824065"/>
    <w:rsid w:val="00824734"/>
    <w:rsid w:val="008247B8"/>
    <w:rsid w:val="0082775C"/>
    <w:rsid w:val="008310C5"/>
    <w:rsid w:val="00843DB1"/>
    <w:rsid w:val="00844428"/>
    <w:rsid w:val="00850E9B"/>
    <w:rsid w:val="0085226E"/>
    <w:rsid w:val="008546DB"/>
    <w:rsid w:val="00857D5C"/>
    <w:rsid w:val="008622B4"/>
    <w:rsid w:val="0086381E"/>
    <w:rsid w:val="00866186"/>
    <w:rsid w:val="00866231"/>
    <w:rsid w:val="0087509C"/>
    <w:rsid w:val="00875D34"/>
    <w:rsid w:val="008779D5"/>
    <w:rsid w:val="00893594"/>
    <w:rsid w:val="0089737F"/>
    <w:rsid w:val="008A5F7E"/>
    <w:rsid w:val="008A6421"/>
    <w:rsid w:val="008B4028"/>
    <w:rsid w:val="008C42B1"/>
    <w:rsid w:val="008E4FA5"/>
    <w:rsid w:val="009009ED"/>
    <w:rsid w:val="00901A9B"/>
    <w:rsid w:val="00903140"/>
    <w:rsid w:val="00904C1B"/>
    <w:rsid w:val="00914594"/>
    <w:rsid w:val="0091481D"/>
    <w:rsid w:val="0091691E"/>
    <w:rsid w:val="00921A77"/>
    <w:rsid w:val="00925447"/>
    <w:rsid w:val="009271E6"/>
    <w:rsid w:val="00941CF7"/>
    <w:rsid w:val="0094270E"/>
    <w:rsid w:val="0095423F"/>
    <w:rsid w:val="00964652"/>
    <w:rsid w:val="009778B9"/>
    <w:rsid w:val="009921CA"/>
    <w:rsid w:val="0099253E"/>
    <w:rsid w:val="00995EDB"/>
    <w:rsid w:val="00996241"/>
    <w:rsid w:val="009B5529"/>
    <w:rsid w:val="009C0A8D"/>
    <w:rsid w:val="009D2066"/>
    <w:rsid w:val="009D5B56"/>
    <w:rsid w:val="009E1EC7"/>
    <w:rsid w:val="009F34B6"/>
    <w:rsid w:val="009F35B9"/>
    <w:rsid w:val="009F4C49"/>
    <w:rsid w:val="00A005D0"/>
    <w:rsid w:val="00A03139"/>
    <w:rsid w:val="00A04A1D"/>
    <w:rsid w:val="00A05E1D"/>
    <w:rsid w:val="00A257F5"/>
    <w:rsid w:val="00A26D03"/>
    <w:rsid w:val="00A36193"/>
    <w:rsid w:val="00A40EE2"/>
    <w:rsid w:val="00A414F4"/>
    <w:rsid w:val="00A56E13"/>
    <w:rsid w:val="00A63F9B"/>
    <w:rsid w:val="00A66F88"/>
    <w:rsid w:val="00A720BC"/>
    <w:rsid w:val="00A75195"/>
    <w:rsid w:val="00A75C81"/>
    <w:rsid w:val="00AA056F"/>
    <w:rsid w:val="00AB047F"/>
    <w:rsid w:val="00AB17DA"/>
    <w:rsid w:val="00AB703D"/>
    <w:rsid w:val="00AC502F"/>
    <w:rsid w:val="00AF71AD"/>
    <w:rsid w:val="00B11372"/>
    <w:rsid w:val="00B24896"/>
    <w:rsid w:val="00B2739B"/>
    <w:rsid w:val="00B30ACE"/>
    <w:rsid w:val="00B35AF2"/>
    <w:rsid w:val="00B400D4"/>
    <w:rsid w:val="00B41983"/>
    <w:rsid w:val="00B428ED"/>
    <w:rsid w:val="00B51108"/>
    <w:rsid w:val="00B542F7"/>
    <w:rsid w:val="00B65597"/>
    <w:rsid w:val="00B80546"/>
    <w:rsid w:val="00B82748"/>
    <w:rsid w:val="00B94836"/>
    <w:rsid w:val="00B95C0F"/>
    <w:rsid w:val="00BA075C"/>
    <w:rsid w:val="00BA50F5"/>
    <w:rsid w:val="00BB11AC"/>
    <w:rsid w:val="00BB78C8"/>
    <w:rsid w:val="00BC16B2"/>
    <w:rsid w:val="00BC7F28"/>
    <w:rsid w:val="00BD58A8"/>
    <w:rsid w:val="00BD6D78"/>
    <w:rsid w:val="00BF6500"/>
    <w:rsid w:val="00C11089"/>
    <w:rsid w:val="00C11D2F"/>
    <w:rsid w:val="00C12455"/>
    <w:rsid w:val="00C160ED"/>
    <w:rsid w:val="00C27FAF"/>
    <w:rsid w:val="00C3566A"/>
    <w:rsid w:val="00C41387"/>
    <w:rsid w:val="00C47811"/>
    <w:rsid w:val="00C47A8C"/>
    <w:rsid w:val="00C52180"/>
    <w:rsid w:val="00C544FC"/>
    <w:rsid w:val="00C64DD3"/>
    <w:rsid w:val="00C65410"/>
    <w:rsid w:val="00C66161"/>
    <w:rsid w:val="00C73590"/>
    <w:rsid w:val="00C74696"/>
    <w:rsid w:val="00C74D31"/>
    <w:rsid w:val="00C7538C"/>
    <w:rsid w:val="00C75BD2"/>
    <w:rsid w:val="00C7689C"/>
    <w:rsid w:val="00C8273B"/>
    <w:rsid w:val="00C94390"/>
    <w:rsid w:val="00CA4658"/>
    <w:rsid w:val="00CB5CEC"/>
    <w:rsid w:val="00CE1A94"/>
    <w:rsid w:val="00CE2DEA"/>
    <w:rsid w:val="00CF618C"/>
    <w:rsid w:val="00CF713B"/>
    <w:rsid w:val="00D042E5"/>
    <w:rsid w:val="00D10F60"/>
    <w:rsid w:val="00D114EC"/>
    <w:rsid w:val="00D15E3D"/>
    <w:rsid w:val="00D31557"/>
    <w:rsid w:val="00D346D8"/>
    <w:rsid w:val="00D425FD"/>
    <w:rsid w:val="00D5125F"/>
    <w:rsid w:val="00D57457"/>
    <w:rsid w:val="00D628C9"/>
    <w:rsid w:val="00D715E3"/>
    <w:rsid w:val="00D72427"/>
    <w:rsid w:val="00D90F81"/>
    <w:rsid w:val="00DA1AAB"/>
    <w:rsid w:val="00DA4840"/>
    <w:rsid w:val="00DD25E1"/>
    <w:rsid w:val="00DD6FFA"/>
    <w:rsid w:val="00DE1760"/>
    <w:rsid w:val="00DE249F"/>
    <w:rsid w:val="00DE460F"/>
    <w:rsid w:val="00DE65C7"/>
    <w:rsid w:val="00DF4DE6"/>
    <w:rsid w:val="00E0705F"/>
    <w:rsid w:val="00E12FB5"/>
    <w:rsid w:val="00E26BE8"/>
    <w:rsid w:val="00E41191"/>
    <w:rsid w:val="00E41D3E"/>
    <w:rsid w:val="00E631B4"/>
    <w:rsid w:val="00E63CFA"/>
    <w:rsid w:val="00E665CF"/>
    <w:rsid w:val="00E67E28"/>
    <w:rsid w:val="00E71D76"/>
    <w:rsid w:val="00E80DCD"/>
    <w:rsid w:val="00E82F11"/>
    <w:rsid w:val="00E9163F"/>
    <w:rsid w:val="00E9634E"/>
    <w:rsid w:val="00EA3C03"/>
    <w:rsid w:val="00EA7783"/>
    <w:rsid w:val="00EB306A"/>
    <w:rsid w:val="00ED17A5"/>
    <w:rsid w:val="00ED6FAF"/>
    <w:rsid w:val="00ED7AEB"/>
    <w:rsid w:val="00EE2FFF"/>
    <w:rsid w:val="00EF5B96"/>
    <w:rsid w:val="00F26AE3"/>
    <w:rsid w:val="00F517AA"/>
    <w:rsid w:val="00F6141D"/>
    <w:rsid w:val="00F63EE6"/>
    <w:rsid w:val="00F642F4"/>
    <w:rsid w:val="00F757CA"/>
    <w:rsid w:val="00F81F90"/>
    <w:rsid w:val="00F8341C"/>
    <w:rsid w:val="00F876A8"/>
    <w:rsid w:val="00FA2C18"/>
    <w:rsid w:val="00FA6909"/>
    <w:rsid w:val="00FC5E1F"/>
    <w:rsid w:val="00FC6202"/>
    <w:rsid w:val="00FD4025"/>
    <w:rsid w:val="00FF14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4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40B"/>
    <w:pPr>
      <w:ind w:left="720"/>
      <w:contextualSpacing/>
    </w:pPr>
  </w:style>
  <w:style w:type="character" w:styleId="CommentReference">
    <w:name w:val="annotation reference"/>
    <w:basedOn w:val="DefaultParagraphFont"/>
    <w:uiPriority w:val="99"/>
    <w:semiHidden/>
    <w:unhideWhenUsed/>
    <w:rsid w:val="00E41D3E"/>
    <w:rPr>
      <w:sz w:val="16"/>
      <w:szCs w:val="16"/>
    </w:rPr>
  </w:style>
  <w:style w:type="paragraph" w:styleId="CommentText">
    <w:name w:val="annotation text"/>
    <w:basedOn w:val="Normal"/>
    <w:link w:val="CommentTextChar"/>
    <w:uiPriority w:val="99"/>
    <w:unhideWhenUsed/>
    <w:rsid w:val="00E41D3E"/>
    <w:pPr>
      <w:spacing w:line="240" w:lineRule="auto"/>
    </w:pPr>
    <w:rPr>
      <w:sz w:val="20"/>
      <w:szCs w:val="20"/>
    </w:rPr>
  </w:style>
  <w:style w:type="character" w:customStyle="1" w:styleId="CommentTextChar">
    <w:name w:val="Comment Text Char"/>
    <w:basedOn w:val="DefaultParagraphFont"/>
    <w:link w:val="CommentText"/>
    <w:uiPriority w:val="99"/>
    <w:rsid w:val="00E41D3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1D3E"/>
    <w:rPr>
      <w:b/>
      <w:bCs/>
    </w:rPr>
  </w:style>
  <w:style w:type="character" w:customStyle="1" w:styleId="CommentSubjectChar">
    <w:name w:val="Comment Subject Char"/>
    <w:basedOn w:val="CommentTextChar"/>
    <w:link w:val="CommentSubject"/>
    <w:uiPriority w:val="99"/>
    <w:semiHidden/>
    <w:rsid w:val="00E41D3E"/>
    <w:rPr>
      <w:b/>
      <w:bCs/>
    </w:rPr>
  </w:style>
  <w:style w:type="paragraph" w:styleId="BalloonText">
    <w:name w:val="Balloon Text"/>
    <w:basedOn w:val="Normal"/>
    <w:link w:val="BalloonTextChar"/>
    <w:uiPriority w:val="99"/>
    <w:semiHidden/>
    <w:unhideWhenUsed/>
    <w:rsid w:val="00E4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D3E"/>
    <w:rPr>
      <w:rFonts w:ascii="Tahoma" w:eastAsia="Calibri" w:hAnsi="Tahoma" w:cs="Tahoma"/>
      <w:sz w:val="16"/>
      <w:szCs w:val="16"/>
    </w:rPr>
  </w:style>
  <w:style w:type="paragraph" w:styleId="Header">
    <w:name w:val="header"/>
    <w:basedOn w:val="Normal"/>
    <w:link w:val="HeaderChar"/>
    <w:uiPriority w:val="99"/>
    <w:semiHidden/>
    <w:unhideWhenUsed/>
    <w:rsid w:val="005052B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52BE"/>
    <w:rPr>
      <w:rFonts w:ascii="Calibri" w:eastAsia="Calibri" w:hAnsi="Calibri" w:cs="Times New Roman"/>
    </w:rPr>
  </w:style>
  <w:style w:type="paragraph" w:styleId="Footer">
    <w:name w:val="footer"/>
    <w:basedOn w:val="Normal"/>
    <w:link w:val="FooterChar"/>
    <w:uiPriority w:val="99"/>
    <w:unhideWhenUsed/>
    <w:rsid w:val="00505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2BE"/>
    <w:rPr>
      <w:rFonts w:ascii="Calibri" w:eastAsia="Calibri" w:hAnsi="Calibri" w:cs="Times New Roman"/>
    </w:rPr>
  </w:style>
  <w:style w:type="character" w:customStyle="1" w:styleId="apple-converted-space">
    <w:name w:val="apple-converted-space"/>
    <w:basedOn w:val="DefaultParagraphFont"/>
    <w:rsid w:val="000C0998"/>
  </w:style>
  <w:style w:type="character" w:styleId="HTMLAcronym">
    <w:name w:val="HTML Acronym"/>
    <w:basedOn w:val="DefaultParagraphFont"/>
    <w:uiPriority w:val="99"/>
    <w:semiHidden/>
    <w:unhideWhenUsed/>
    <w:rsid w:val="000C0998"/>
  </w:style>
  <w:style w:type="paragraph" w:styleId="Caption">
    <w:name w:val="caption"/>
    <w:basedOn w:val="Normal"/>
    <w:next w:val="Normal"/>
    <w:uiPriority w:val="35"/>
    <w:semiHidden/>
    <w:unhideWhenUsed/>
    <w:qFormat/>
    <w:rsid w:val="004F395E"/>
    <w:pPr>
      <w:spacing w:line="240" w:lineRule="auto"/>
    </w:pPr>
    <w:rPr>
      <w:b/>
      <w:bCs/>
      <w:color w:val="4F81BD" w:themeColor="accent1"/>
      <w:sz w:val="18"/>
      <w:szCs w:val="18"/>
    </w:rPr>
  </w:style>
  <w:style w:type="table" w:styleId="TableGrid">
    <w:name w:val="Table Grid"/>
    <w:basedOn w:val="TableNormal"/>
    <w:uiPriority w:val="59"/>
    <w:rsid w:val="00BB7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7">
    <w:name w:val="s17"/>
    <w:basedOn w:val="DefaultParagraphFont"/>
    <w:rsid w:val="00E9163F"/>
  </w:style>
  <w:style w:type="character" w:customStyle="1" w:styleId="s14">
    <w:name w:val="s14"/>
    <w:basedOn w:val="DefaultParagraphFont"/>
    <w:rsid w:val="00E9163F"/>
  </w:style>
  <w:style w:type="paragraph" w:styleId="FootnoteText">
    <w:name w:val="footnote text"/>
    <w:basedOn w:val="Normal"/>
    <w:link w:val="FootnoteTextChar"/>
    <w:uiPriority w:val="99"/>
    <w:semiHidden/>
    <w:unhideWhenUsed/>
    <w:rsid w:val="006717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7B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717B1"/>
    <w:rPr>
      <w:vertAlign w:val="superscript"/>
    </w:rPr>
  </w:style>
  <w:style w:type="character" w:styleId="Hyperlink">
    <w:name w:val="Hyperlink"/>
    <w:basedOn w:val="DefaultParagraphFont"/>
    <w:uiPriority w:val="99"/>
    <w:unhideWhenUsed/>
    <w:rsid w:val="006717B1"/>
    <w:rPr>
      <w:color w:val="0000FF" w:themeColor="hyperlink"/>
      <w:u w:val="single"/>
    </w:rPr>
  </w:style>
  <w:style w:type="character" w:styleId="FollowedHyperlink">
    <w:name w:val="FollowedHyperlink"/>
    <w:basedOn w:val="DefaultParagraphFont"/>
    <w:uiPriority w:val="99"/>
    <w:semiHidden/>
    <w:unhideWhenUsed/>
    <w:rsid w:val="004826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6623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package" Target="embeddings/Microsoft_Office_PowerPoint_Slide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22fa0f74501b902c9f11-8b3fbddfa1e1fab453a8e75cb14f3396.r26.cf3.rackcdn.com/simd_448749_v7_20121217.pdf" TargetMode="External"/><Relationship Id="rId1" Type="http://schemas.openxmlformats.org/officeDocument/2006/relationships/hyperlink" Target="http://www.nrac.scot.nhs.uk/wp-content/uploads/docs/consultation/Technical%20Report%20D%20-%20Review%20of%20ML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14CE5-A893-41E6-BF41-AEFA74027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17</Pages>
  <Words>5093</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34056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Petya Kindalova</dc:creator>
  <cp:keywords/>
  <dc:description/>
  <cp:lastModifiedBy>Petya Kindalova</cp:lastModifiedBy>
  <cp:revision>284</cp:revision>
  <cp:lastPrinted>2015-01-09T15:47:00Z</cp:lastPrinted>
  <dcterms:created xsi:type="dcterms:W3CDTF">2014-12-18T09:13:00Z</dcterms:created>
  <dcterms:modified xsi:type="dcterms:W3CDTF">2015-01-12T14:29:00Z</dcterms:modified>
</cp:coreProperties>
</file>