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CFC" w:rsidRPr="00180CFC" w:rsidRDefault="00180CFC" w:rsidP="00180CFC">
      <w:pPr>
        <w:rPr>
          <w:rFonts w:ascii="Arial" w:hAnsi="Arial" w:cs="Arial"/>
          <w:b/>
        </w:rPr>
      </w:pPr>
      <w:r w:rsidRPr="00180CFC">
        <w:rPr>
          <w:rFonts w:ascii="Arial" w:hAnsi="Arial" w:cs="Arial"/>
          <w:b/>
        </w:rPr>
        <w:t>TAGRA ACUTE MLC SUBGROUP</w:t>
      </w:r>
      <w:r w:rsidRPr="00180CFC">
        <w:rPr>
          <w:rFonts w:ascii="Arial" w:hAnsi="Arial" w:cs="Arial"/>
          <w:b/>
        </w:rPr>
        <w:tab/>
      </w:r>
      <w:r w:rsidRPr="00180CFC">
        <w:rPr>
          <w:rFonts w:ascii="Arial" w:hAnsi="Arial" w:cs="Arial"/>
          <w:b/>
        </w:rPr>
        <w:tab/>
      </w:r>
      <w:r w:rsidRPr="00180CFC">
        <w:rPr>
          <w:rFonts w:ascii="Arial" w:hAnsi="Arial" w:cs="Arial"/>
          <w:b/>
        </w:rPr>
        <w:tab/>
      </w:r>
      <w:r w:rsidRPr="00180CFC">
        <w:rPr>
          <w:rFonts w:ascii="Arial" w:hAnsi="Arial" w:cs="Arial"/>
          <w:b/>
        </w:rPr>
        <w:tab/>
        <w:t>Thursday 19</w:t>
      </w:r>
      <w:r w:rsidRPr="00180CFC">
        <w:rPr>
          <w:rFonts w:ascii="Arial" w:hAnsi="Arial" w:cs="Arial"/>
          <w:b/>
          <w:vertAlign w:val="superscript"/>
        </w:rPr>
        <w:t>th</w:t>
      </w:r>
      <w:r w:rsidRPr="00180CFC">
        <w:rPr>
          <w:rFonts w:ascii="Arial" w:hAnsi="Arial" w:cs="Arial"/>
          <w:b/>
        </w:rPr>
        <w:t xml:space="preserve"> March 2015</w:t>
      </w:r>
    </w:p>
    <w:p w:rsidR="00180CFC" w:rsidRDefault="004D37F7" w:rsidP="00180CFC">
      <w:pPr>
        <w:rPr>
          <w:rFonts w:ascii="Arial" w:hAnsi="Arial" w:cs="Arial"/>
          <w:b/>
        </w:rPr>
      </w:pPr>
      <w:r>
        <w:rPr>
          <w:rFonts w:ascii="Arial" w:hAnsi="Arial" w:cs="Arial"/>
          <w:b/>
        </w:rPr>
        <w:t xml:space="preserve">GEOGRAPHY, TIME SPAN </w:t>
      </w:r>
      <w:r w:rsidR="00EB3D4A">
        <w:rPr>
          <w:rFonts w:ascii="Arial" w:hAnsi="Arial" w:cs="Arial"/>
          <w:b/>
        </w:rPr>
        <w:t>AND SIMD</w:t>
      </w:r>
      <w:r w:rsidRPr="004D37F7">
        <w:rPr>
          <w:rFonts w:ascii="Arial" w:hAnsi="Arial" w:cs="Arial"/>
          <w:b/>
        </w:rPr>
        <w:t xml:space="preserve"> </w:t>
      </w:r>
      <w:r>
        <w:rPr>
          <w:rFonts w:ascii="Arial" w:hAnsi="Arial" w:cs="Arial"/>
          <w:b/>
        </w:rPr>
        <w:t>EVALUATION</w:t>
      </w:r>
    </w:p>
    <w:p w:rsidR="001F335E" w:rsidRDefault="001F335E" w:rsidP="00EB3D4A">
      <w:pPr>
        <w:rPr>
          <w:rFonts w:ascii="Arial" w:hAnsi="Arial" w:cs="Arial"/>
          <w:b/>
        </w:rPr>
      </w:pPr>
    </w:p>
    <w:p w:rsidR="00EB3D4A" w:rsidRDefault="00EB3D4A" w:rsidP="00EB3D4A">
      <w:pPr>
        <w:rPr>
          <w:rFonts w:ascii="Arial" w:hAnsi="Arial" w:cs="Arial"/>
          <w:b/>
        </w:rPr>
      </w:pPr>
      <w:r>
        <w:rPr>
          <w:rFonts w:ascii="Arial" w:hAnsi="Arial" w:cs="Arial"/>
          <w:b/>
        </w:rPr>
        <w:t>Background</w:t>
      </w:r>
    </w:p>
    <w:p w:rsidR="00EB3D4A" w:rsidRDefault="00EB3D4A" w:rsidP="00EB3D4A">
      <w:pPr>
        <w:jc w:val="both"/>
        <w:rPr>
          <w:rFonts w:ascii="Arial" w:hAnsi="Arial" w:cs="Arial"/>
        </w:rPr>
      </w:pPr>
      <w:r w:rsidRPr="00F96236">
        <w:rPr>
          <w:rFonts w:ascii="Arial" w:hAnsi="Arial" w:cs="Arial"/>
        </w:rPr>
        <w:t>The</w:t>
      </w:r>
      <w:r>
        <w:rPr>
          <w:rFonts w:ascii="Arial" w:hAnsi="Arial" w:cs="Arial"/>
        </w:rPr>
        <w:t xml:space="preserve"> Morbidity and Life Circumstances (MLC)</w:t>
      </w:r>
      <w:r w:rsidRPr="00F96236">
        <w:rPr>
          <w:rFonts w:ascii="Arial" w:hAnsi="Arial" w:cs="Arial"/>
        </w:rPr>
        <w:t xml:space="preserve"> </w:t>
      </w:r>
      <w:r>
        <w:rPr>
          <w:rFonts w:ascii="Arial" w:hAnsi="Arial" w:cs="Arial"/>
        </w:rPr>
        <w:t xml:space="preserve">adjustment corrects the NRAC target shares for each NHS Board according to the value of a needs index, which was developed to represent the additional needs of the population over and above those due to age and sex. The indicators within the current needs index for the Acute care programme are: all-cause standardised mortality ratio (SMR) in ages 0-74, obtained from death records; and limiting long-term illness (LLTI) ratio (age-sex standardised) from the 2001 </w:t>
      </w:r>
      <w:r w:rsidR="004D37F7">
        <w:rPr>
          <w:rFonts w:ascii="Arial" w:hAnsi="Arial" w:cs="Arial"/>
        </w:rPr>
        <w:t>C</w:t>
      </w:r>
      <w:r>
        <w:rPr>
          <w:rFonts w:ascii="Arial" w:hAnsi="Arial" w:cs="Arial"/>
        </w:rPr>
        <w:t xml:space="preserve">ensus. The correction is derived from a regression analysis used to quantify the relationship between these needs indicators and healthcare utilisation, based on </w:t>
      </w:r>
      <w:r w:rsidR="004D37F7">
        <w:rPr>
          <w:rFonts w:ascii="Arial" w:hAnsi="Arial" w:cs="Arial"/>
        </w:rPr>
        <w:t>one</w:t>
      </w:r>
      <w:r>
        <w:rPr>
          <w:rFonts w:ascii="Arial" w:hAnsi="Arial" w:cs="Arial"/>
        </w:rPr>
        <w:t xml:space="preserve"> year of data at </w:t>
      </w:r>
      <w:r w:rsidR="000C0999">
        <w:rPr>
          <w:rFonts w:ascii="Arial" w:hAnsi="Arial" w:cs="Arial"/>
        </w:rPr>
        <w:t>I</w:t>
      </w:r>
      <w:r>
        <w:rPr>
          <w:rFonts w:ascii="Arial" w:hAnsi="Arial" w:cs="Arial"/>
        </w:rPr>
        <w:t xml:space="preserve">ntermediate </w:t>
      </w:r>
      <w:r w:rsidR="000C0999">
        <w:rPr>
          <w:rFonts w:ascii="Arial" w:hAnsi="Arial" w:cs="Arial"/>
        </w:rPr>
        <w:t>Z</w:t>
      </w:r>
      <w:r>
        <w:rPr>
          <w:rFonts w:ascii="Arial" w:hAnsi="Arial" w:cs="Arial"/>
        </w:rPr>
        <w:t>ones.</w:t>
      </w:r>
    </w:p>
    <w:p w:rsidR="00EB3D4A" w:rsidRDefault="00EB3D4A" w:rsidP="00EB3D4A">
      <w:pPr>
        <w:jc w:val="both"/>
        <w:rPr>
          <w:rFonts w:ascii="Arial" w:hAnsi="Arial" w:cs="Arial"/>
        </w:rPr>
      </w:pPr>
      <w:r>
        <w:rPr>
          <w:rFonts w:ascii="Arial" w:hAnsi="Arial" w:cs="Arial"/>
        </w:rPr>
        <w:t>The current Acute MLC Review is concerned with developing an up-to-date needs index</w:t>
      </w:r>
      <w:r w:rsidRPr="006A1059">
        <w:rPr>
          <w:rFonts w:ascii="Arial" w:hAnsi="Arial" w:cs="Arial"/>
        </w:rPr>
        <w:t xml:space="preserve"> </w:t>
      </w:r>
      <w:r w:rsidRPr="00F96236">
        <w:rPr>
          <w:rFonts w:ascii="Arial" w:hAnsi="Arial" w:cs="Arial"/>
        </w:rPr>
        <w:t xml:space="preserve">for </w:t>
      </w:r>
      <w:r>
        <w:rPr>
          <w:rFonts w:ascii="Arial" w:hAnsi="Arial" w:cs="Arial"/>
        </w:rPr>
        <w:t>the Acute</w:t>
      </w:r>
      <w:r w:rsidRPr="00F96236">
        <w:rPr>
          <w:rFonts w:ascii="Arial" w:hAnsi="Arial" w:cs="Arial"/>
        </w:rPr>
        <w:t xml:space="preserve"> care programme</w:t>
      </w:r>
      <w:r>
        <w:rPr>
          <w:rFonts w:ascii="Arial" w:hAnsi="Arial" w:cs="Arial"/>
        </w:rPr>
        <w:t>, by</w:t>
      </w:r>
      <w:r w:rsidRPr="00F96236">
        <w:rPr>
          <w:rFonts w:ascii="Arial" w:hAnsi="Arial" w:cs="Arial"/>
        </w:rPr>
        <w:t xml:space="preserve"> looking for the factors that best explain variation in the </w:t>
      </w:r>
      <w:r>
        <w:rPr>
          <w:rFonts w:ascii="Arial" w:hAnsi="Arial" w:cs="Arial"/>
        </w:rPr>
        <w:t>utilisation</w:t>
      </w:r>
      <w:r w:rsidRPr="00F96236">
        <w:rPr>
          <w:rFonts w:ascii="Arial" w:hAnsi="Arial" w:cs="Arial"/>
        </w:rPr>
        <w:t xml:space="preserve"> of healthcare </w:t>
      </w:r>
      <w:r>
        <w:rPr>
          <w:rFonts w:ascii="Arial" w:hAnsi="Arial" w:cs="Arial"/>
        </w:rPr>
        <w:t>between</w:t>
      </w:r>
      <w:r w:rsidRPr="00F96236">
        <w:rPr>
          <w:rFonts w:ascii="Arial" w:hAnsi="Arial" w:cs="Arial"/>
        </w:rPr>
        <w:t xml:space="preserve"> small areas</w:t>
      </w:r>
      <w:r>
        <w:rPr>
          <w:rFonts w:ascii="Arial" w:hAnsi="Arial" w:cs="Arial"/>
        </w:rPr>
        <w:t>,</w:t>
      </w:r>
      <w:r w:rsidRPr="00F96236">
        <w:rPr>
          <w:rFonts w:ascii="Arial" w:hAnsi="Arial" w:cs="Arial"/>
        </w:rPr>
        <w:t xml:space="preserve"> using statistical regression analysis. </w:t>
      </w:r>
      <w:r>
        <w:rPr>
          <w:rFonts w:ascii="Arial" w:hAnsi="Arial" w:cs="Arial"/>
        </w:rPr>
        <w:t xml:space="preserve">The temporal and geographical basis for the </w:t>
      </w:r>
      <w:r w:rsidR="001F335E">
        <w:rPr>
          <w:rFonts w:ascii="Arial" w:hAnsi="Arial" w:cs="Arial"/>
        </w:rPr>
        <w:t>Review</w:t>
      </w:r>
      <w:r>
        <w:rPr>
          <w:rFonts w:ascii="Arial" w:hAnsi="Arial" w:cs="Arial"/>
        </w:rPr>
        <w:t xml:space="preserve"> is also to be reconsidered, as well as the granularity in terms of the seven diagnostic groupings (Cancer, </w:t>
      </w:r>
      <w:r w:rsidR="004D37F7">
        <w:rPr>
          <w:rFonts w:ascii="Arial" w:hAnsi="Arial" w:cs="Arial"/>
        </w:rPr>
        <w:t xml:space="preserve">Heart, </w:t>
      </w:r>
      <w:r>
        <w:rPr>
          <w:rFonts w:ascii="Arial" w:hAnsi="Arial" w:cs="Arial"/>
        </w:rPr>
        <w:t>Digestive,</w:t>
      </w:r>
      <w:r w:rsidR="004D37F7">
        <w:rPr>
          <w:rFonts w:ascii="Arial" w:hAnsi="Arial" w:cs="Arial"/>
        </w:rPr>
        <w:t xml:space="preserve"> Injury</w:t>
      </w:r>
      <w:r>
        <w:rPr>
          <w:rFonts w:ascii="Arial" w:hAnsi="Arial" w:cs="Arial"/>
        </w:rPr>
        <w:t xml:space="preserve">, </w:t>
      </w:r>
      <w:r w:rsidRPr="00B6246F">
        <w:rPr>
          <w:rFonts w:ascii="Arial" w:hAnsi="Arial" w:cs="Arial"/>
        </w:rPr>
        <w:t>Other</w:t>
      </w:r>
      <w:r>
        <w:rPr>
          <w:rFonts w:ascii="Arial" w:hAnsi="Arial" w:cs="Arial"/>
        </w:rPr>
        <w:t xml:space="preserve">, </w:t>
      </w:r>
      <w:r w:rsidR="004D37F7" w:rsidRPr="00B6246F">
        <w:rPr>
          <w:rFonts w:ascii="Arial" w:hAnsi="Arial" w:cs="Arial"/>
        </w:rPr>
        <w:t>Respiratory</w:t>
      </w:r>
      <w:r w:rsidR="004D37F7">
        <w:rPr>
          <w:rFonts w:ascii="Arial" w:hAnsi="Arial" w:cs="Arial"/>
        </w:rPr>
        <w:t>,</w:t>
      </w:r>
      <w:r w:rsidR="004D37F7" w:rsidRPr="00B6246F">
        <w:rPr>
          <w:rFonts w:ascii="Arial" w:hAnsi="Arial" w:cs="Arial"/>
        </w:rPr>
        <w:t xml:space="preserve"> </w:t>
      </w:r>
      <w:r w:rsidR="004D37F7">
        <w:rPr>
          <w:rFonts w:ascii="Arial" w:hAnsi="Arial" w:cs="Arial"/>
        </w:rPr>
        <w:t>and</w:t>
      </w:r>
      <w:r w:rsidR="004D37F7" w:rsidRPr="00B6246F">
        <w:rPr>
          <w:rFonts w:ascii="Arial" w:hAnsi="Arial" w:cs="Arial"/>
        </w:rPr>
        <w:t xml:space="preserve"> </w:t>
      </w:r>
      <w:r w:rsidRPr="00B6246F">
        <w:rPr>
          <w:rFonts w:ascii="Arial" w:hAnsi="Arial" w:cs="Arial"/>
        </w:rPr>
        <w:t>Outpatients</w:t>
      </w:r>
      <w:r>
        <w:rPr>
          <w:rFonts w:ascii="Arial" w:hAnsi="Arial" w:cs="Arial"/>
        </w:rPr>
        <w:t>) in the Acute programme.</w:t>
      </w:r>
    </w:p>
    <w:p w:rsidR="00EB3D4A" w:rsidRDefault="00EB3D4A" w:rsidP="00EB3D4A">
      <w:pPr>
        <w:jc w:val="both"/>
        <w:rPr>
          <w:rFonts w:ascii="Arial" w:hAnsi="Arial" w:cs="Arial"/>
        </w:rPr>
      </w:pPr>
      <w:r>
        <w:rPr>
          <w:rFonts w:ascii="Arial" w:hAnsi="Arial" w:cs="Arial"/>
        </w:rPr>
        <w:t xml:space="preserve">At the previous Acute MLC subgroup meeting, there was extensive discussion around the issues of data availability arising from the redrawn Data Zones (see paper TAMLC20). It was decided that the Review should be conducted at the new geography, meaning a delay to the main work until August 2015 and the exclusion of the Scottish Index of Multiple Deprivation (SIMD) from the list of candidate variables, since it will not be available at the new geography until 2016. Although statistical concerns were highlighted around the use of the SIMD’s composite scores as predictor variables, concerns were also raised about its outright exclusion. AST were therefore asked to investigate the significance of SIMD </w:t>
      </w:r>
      <w:r w:rsidR="001F335E">
        <w:rPr>
          <w:rFonts w:ascii="Arial" w:hAnsi="Arial" w:cs="Arial"/>
        </w:rPr>
        <w:t xml:space="preserve">2012 </w:t>
      </w:r>
      <w:r>
        <w:rPr>
          <w:rFonts w:ascii="Arial" w:hAnsi="Arial" w:cs="Arial"/>
        </w:rPr>
        <w:t xml:space="preserve">as a predictor of need using the current data and report back to the subgroup. </w:t>
      </w:r>
    </w:p>
    <w:p w:rsidR="00EB3D4A" w:rsidRDefault="00EB3D4A" w:rsidP="00EB3D4A">
      <w:pPr>
        <w:jc w:val="both"/>
        <w:rPr>
          <w:rFonts w:ascii="Arial" w:hAnsi="Arial" w:cs="Arial"/>
        </w:rPr>
      </w:pPr>
      <w:r>
        <w:rPr>
          <w:rFonts w:ascii="Arial" w:hAnsi="Arial" w:cs="Arial"/>
        </w:rPr>
        <w:t xml:space="preserve">AST were also asked to investigate two possible age splits (at 65 and 75) for the regression analysis, following discussion of the paper TAMLC19. AST have subsequently identified higher priorities in refreshing the data on which the current needs index is based, analysing the adequacy of this index in preparation for comparisons with new candidate variables, and exploring the results of using different geography and time aggregations in preparation for decisions on those. The age split analysis will be performed and reported at </w:t>
      </w:r>
      <w:r w:rsidR="00066930">
        <w:rPr>
          <w:rFonts w:ascii="Arial" w:hAnsi="Arial" w:cs="Arial"/>
        </w:rPr>
        <w:t>a future</w:t>
      </w:r>
      <w:r>
        <w:rPr>
          <w:rFonts w:ascii="Arial" w:hAnsi="Arial" w:cs="Arial"/>
        </w:rPr>
        <w:t xml:space="preserve"> Acute MLC subgroup meeting</w:t>
      </w:r>
      <w:r w:rsidR="00066930">
        <w:rPr>
          <w:rFonts w:ascii="Arial" w:hAnsi="Arial" w:cs="Arial"/>
        </w:rPr>
        <w:t>, as well analysis on granularity in terms of diagnostic groupings</w:t>
      </w:r>
      <w:r>
        <w:rPr>
          <w:rFonts w:ascii="Arial" w:hAnsi="Arial" w:cs="Arial"/>
        </w:rPr>
        <w:t>.</w:t>
      </w:r>
    </w:p>
    <w:p w:rsidR="00EB3D4A" w:rsidRDefault="00EB3D4A" w:rsidP="00EB3D4A">
      <w:pPr>
        <w:jc w:val="both"/>
        <w:rPr>
          <w:rFonts w:ascii="Arial" w:hAnsi="Arial" w:cs="Arial"/>
        </w:rPr>
      </w:pPr>
      <w:r>
        <w:rPr>
          <w:rFonts w:ascii="Arial" w:hAnsi="Arial" w:cs="Arial"/>
        </w:rPr>
        <w:t>It</w:t>
      </w:r>
      <w:r w:rsidRPr="00180CFC">
        <w:rPr>
          <w:rFonts w:ascii="Arial" w:hAnsi="Arial" w:cs="Arial"/>
        </w:rPr>
        <w:t xml:space="preserve"> was suggested to </w:t>
      </w:r>
      <w:r w:rsidR="001F335E">
        <w:rPr>
          <w:rFonts w:ascii="Arial" w:hAnsi="Arial" w:cs="Arial"/>
        </w:rPr>
        <w:t xml:space="preserve">look at the actual Acute MLC expenditure by diagnostic group, in order to </w:t>
      </w:r>
      <w:r>
        <w:rPr>
          <w:rFonts w:ascii="Arial" w:hAnsi="Arial" w:cs="Arial"/>
        </w:rPr>
        <w:t>select the most</w:t>
      </w:r>
      <w:r w:rsidRPr="00180CFC">
        <w:rPr>
          <w:rFonts w:ascii="Arial" w:hAnsi="Arial" w:cs="Arial"/>
        </w:rPr>
        <w:t xml:space="preserve"> ‘expensive’ diagnostic groups for the initial age split analysis.</w:t>
      </w:r>
      <w:r>
        <w:rPr>
          <w:rFonts w:ascii="Arial" w:hAnsi="Arial" w:cs="Arial"/>
        </w:rPr>
        <w:t xml:space="preserve"> Examining the actual Acute MLC spend is also useful for the interpretation of the regression results included in the current paper, so this is presented </w:t>
      </w:r>
      <w:r w:rsidR="004D37F7">
        <w:rPr>
          <w:rFonts w:ascii="Arial" w:hAnsi="Arial" w:cs="Arial"/>
        </w:rPr>
        <w:t>in</w:t>
      </w:r>
      <w:r>
        <w:rPr>
          <w:rFonts w:ascii="Arial" w:hAnsi="Arial" w:cs="Arial"/>
        </w:rPr>
        <w:t xml:space="preserve"> </w:t>
      </w:r>
      <w:r w:rsidR="004D37F7">
        <w:rPr>
          <w:rFonts w:ascii="Arial" w:hAnsi="Arial" w:cs="Arial"/>
        </w:rPr>
        <w:t xml:space="preserve">Annex </w:t>
      </w:r>
      <w:r w:rsidR="005C1566">
        <w:rPr>
          <w:rFonts w:ascii="Arial" w:hAnsi="Arial" w:cs="Arial"/>
        </w:rPr>
        <w:t>A</w:t>
      </w:r>
      <w:r>
        <w:rPr>
          <w:rFonts w:ascii="Arial" w:hAnsi="Arial" w:cs="Arial"/>
        </w:rPr>
        <w:t xml:space="preserve">. </w:t>
      </w:r>
    </w:p>
    <w:p w:rsidR="005F30B5" w:rsidRDefault="005F30B5" w:rsidP="00EB3D4A">
      <w:pPr>
        <w:jc w:val="both"/>
        <w:rPr>
          <w:rFonts w:ascii="Arial" w:hAnsi="Arial" w:cs="Arial"/>
        </w:rPr>
      </w:pPr>
    </w:p>
    <w:p w:rsidR="005F30B5" w:rsidRDefault="005F30B5" w:rsidP="00EB3D4A">
      <w:pPr>
        <w:jc w:val="both"/>
        <w:rPr>
          <w:rFonts w:ascii="Arial" w:hAnsi="Arial" w:cs="Arial"/>
        </w:rPr>
      </w:pPr>
    </w:p>
    <w:p w:rsidR="00EB3D4A" w:rsidRPr="004A018D" w:rsidRDefault="00EB3D4A" w:rsidP="00EB3D4A">
      <w:pPr>
        <w:jc w:val="both"/>
        <w:rPr>
          <w:rFonts w:ascii="Arial" w:hAnsi="Arial" w:cs="Arial"/>
          <w:b/>
        </w:rPr>
      </w:pPr>
      <w:r w:rsidRPr="004A018D">
        <w:rPr>
          <w:rFonts w:ascii="Arial" w:hAnsi="Arial" w:cs="Arial"/>
          <w:b/>
        </w:rPr>
        <w:lastRenderedPageBreak/>
        <w:t>1.</w:t>
      </w:r>
      <w:r>
        <w:rPr>
          <w:rFonts w:ascii="Arial" w:hAnsi="Arial" w:cs="Arial"/>
          <w:b/>
        </w:rPr>
        <w:t xml:space="preserve"> </w:t>
      </w:r>
      <w:r w:rsidRPr="004A018D">
        <w:rPr>
          <w:rFonts w:ascii="Arial" w:hAnsi="Arial" w:cs="Arial"/>
          <w:b/>
        </w:rPr>
        <w:t>Summary</w:t>
      </w:r>
    </w:p>
    <w:p w:rsidR="00EB3D4A" w:rsidRDefault="00EB3D4A" w:rsidP="00EB3D4A">
      <w:pPr>
        <w:jc w:val="both"/>
        <w:rPr>
          <w:rFonts w:ascii="Arial" w:hAnsi="Arial" w:cs="Arial"/>
        </w:rPr>
      </w:pPr>
      <w:r>
        <w:rPr>
          <w:rFonts w:ascii="Arial" w:hAnsi="Arial" w:cs="Arial"/>
        </w:rPr>
        <w:t xml:space="preserve">This paper demonstrates the current strengths and weaknesses of the ‘reference model’ for the Acute MLC adjustment, </w:t>
      </w:r>
      <w:r w:rsidR="00A15B3A">
        <w:rPr>
          <w:rFonts w:ascii="Arial" w:hAnsi="Arial" w:cs="Arial"/>
        </w:rPr>
        <w:t>then considers the imp</w:t>
      </w:r>
      <w:r w:rsidR="00C14DDE">
        <w:rPr>
          <w:rFonts w:ascii="Arial" w:hAnsi="Arial" w:cs="Arial"/>
        </w:rPr>
        <w:t xml:space="preserve">lications of geography and time </w:t>
      </w:r>
      <w:r w:rsidR="00A15B3A">
        <w:rPr>
          <w:rFonts w:ascii="Arial" w:hAnsi="Arial" w:cs="Arial"/>
        </w:rPr>
        <w:t xml:space="preserve">span </w:t>
      </w:r>
      <w:r>
        <w:rPr>
          <w:rFonts w:ascii="Arial" w:hAnsi="Arial" w:cs="Arial"/>
        </w:rPr>
        <w:t>before presenting the results of testing the significance of Scottish Index of Multiple Deprivation</w:t>
      </w:r>
      <w:r w:rsidR="00A15B3A">
        <w:rPr>
          <w:rFonts w:ascii="Arial" w:hAnsi="Arial" w:cs="Arial"/>
        </w:rPr>
        <w:t xml:space="preserve"> (SIMD)</w:t>
      </w:r>
      <w:r>
        <w:rPr>
          <w:rFonts w:ascii="Arial" w:hAnsi="Arial" w:cs="Arial"/>
        </w:rPr>
        <w:t xml:space="preserve"> </w:t>
      </w:r>
      <w:r w:rsidR="001F335E">
        <w:rPr>
          <w:rFonts w:ascii="Arial" w:hAnsi="Arial" w:cs="Arial"/>
        </w:rPr>
        <w:t xml:space="preserve">2012 </w:t>
      </w:r>
      <w:r>
        <w:rPr>
          <w:rFonts w:ascii="Arial" w:hAnsi="Arial" w:cs="Arial"/>
        </w:rPr>
        <w:t>variables as predictors of healthcare utilisation.</w:t>
      </w:r>
    </w:p>
    <w:p w:rsidR="00EB3D4A" w:rsidRDefault="00EB3D4A" w:rsidP="00EB3D4A">
      <w:pPr>
        <w:jc w:val="both"/>
        <w:rPr>
          <w:rFonts w:ascii="Arial" w:hAnsi="Arial" w:cs="Arial"/>
        </w:rPr>
      </w:pPr>
      <w:r>
        <w:rPr>
          <w:rFonts w:ascii="Arial" w:hAnsi="Arial" w:cs="Arial"/>
        </w:rPr>
        <w:t>In Section 2, the results of a new up-to-date analysis using the current Acute MLC needs index, at the 2001 Data Zones and Intermediate Zones, are presented. This has</w:t>
      </w:r>
      <w:r w:rsidR="001F335E">
        <w:rPr>
          <w:rFonts w:ascii="Arial" w:hAnsi="Arial" w:cs="Arial"/>
        </w:rPr>
        <w:t xml:space="preserve"> been carried out to provide a </w:t>
      </w:r>
      <w:r>
        <w:rPr>
          <w:rFonts w:ascii="Arial" w:hAnsi="Arial" w:cs="Arial"/>
        </w:rPr>
        <w:t xml:space="preserve">benchmark with which to compare both the SIMD analysis and the future results with new candidate variables at the new 2011 geographies. The most recent healthcare cost data is used, and the current indicators of need – the </w:t>
      </w:r>
      <w:r w:rsidRPr="00180CFC">
        <w:rPr>
          <w:rFonts w:ascii="Arial" w:hAnsi="Arial" w:cs="Arial"/>
        </w:rPr>
        <w:t xml:space="preserve">Standardised </w:t>
      </w:r>
      <w:r>
        <w:rPr>
          <w:rFonts w:ascii="Arial" w:hAnsi="Arial" w:cs="Arial"/>
        </w:rPr>
        <w:t>M</w:t>
      </w:r>
      <w:r w:rsidRPr="00180CFC">
        <w:rPr>
          <w:rFonts w:ascii="Arial" w:hAnsi="Arial" w:cs="Arial"/>
        </w:rPr>
        <w:t xml:space="preserve">ortality </w:t>
      </w:r>
      <w:r>
        <w:rPr>
          <w:rFonts w:ascii="Arial" w:hAnsi="Arial" w:cs="Arial"/>
        </w:rPr>
        <w:t>R</w:t>
      </w:r>
      <w:r w:rsidRPr="00180CFC">
        <w:rPr>
          <w:rFonts w:ascii="Arial" w:hAnsi="Arial" w:cs="Arial"/>
        </w:rPr>
        <w:t>atio (SMR)</w:t>
      </w:r>
      <w:r>
        <w:rPr>
          <w:rFonts w:ascii="Arial" w:hAnsi="Arial" w:cs="Arial"/>
        </w:rPr>
        <w:t xml:space="preserve"> and the </w:t>
      </w:r>
      <w:r w:rsidRPr="00180CFC">
        <w:rPr>
          <w:rFonts w:ascii="Arial" w:hAnsi="Arial" w:cs="Arial"/>
        </w:rPr>
        <w:t xml:space="preserve">Limiting </w:t>
      </w:r>
      <w:r>
        <w:rPr>
          <w:rFonts w:ascii="Arial" w:hAnsi="Arial" w:cs="Arial"/>
        </w:rPr>
        <w:t>L</w:t>
      </w:r>
      <w:r w:rsidRPr="00180CFC">
        <w:rPr>
          <w:rFonts w:ascii="Arial" w:hAnsi="Arial" w:cs="Arial"/>
        </w:rPr>
        <w:t>ong-</w:t>
      </w:r>
      <w:r>
        <w:rPr>
          <w:rFonts w:ascii="Arial" w:hAnsi="Arial" w:cs="Arial"/>
        </w:rPr>
        <w:t>T</w:t>
      </w:r>
      <w:r w:rsidRPr="00180CFC">
        <w:rPr>
          <w:rFonts w:ascii="Arial" w:hAnsi="Arial" w:cs="Arial"/>
        </w:rPr>
        <w:t xml:space="preserve">erm </w:t>
      </w:r>
      <w:r>
        <w:rPr>
          <w:rFonts w:ascii="Arial" w:hAnsi="Arial" w:cs="Arial"/>
        </w:rPr>
        <w:t>Illness (LLTI</w:t>
      </w:r>
      <w:r w:rsidRPr="00180CFC">
        <w:rPr>
          <w:rFonts w:ascii="Arial" w:hAnsi="Arial" w:cs="Arial"/>
        </w:rPr>
        <w:t>)</w:t>
      </w:r>
      <w:r>
        <w:rPr>
          <w:rFonts w:ascii="Arial" w:hAnsi="Arial" w:cs="Arial"/>
        </w:rPr>
        <w:t xml:space="preserve"> ratio – are refreshed with recent data. In order to update the LLTI ratio variable, a new definition of LLTI had to be chosen due to a change in the wording and response options in the relevant Census question. </w:t>
      </w:r>
    </w:p>
    <w:p w:rsidR="00EB3D4A" w:rsidRDefault="00EB3D4A" w:rsidP="00EB3D4A">
      <w:pPr>
        <w:jc w:val="both"/>
        <w:rPr>
          <w:rFonts w:ascii="Arial" w:hAnsi="Arial" w:cs="Arial"/>
        </w:rPr>
      </w:pPr>
      <w:r>
        <w:rPr>
          <w:rFonts w:ascii="Arial" w:hAnsi="Arial" w:cs="Arial"/>
        </w:rPr>
        <w:t xml:space="preserve">Section 3 discusses the implications of the </w:t>
      </w:r>
      <w:r w:rsidR="004D37F7">
        <w:rPr>
          <w:rFonts w:ascii="Arial" w:hAnsi="Arial" w:cs="Arial"/>
        </w:rPr>
        <w:t xml:space="preserve">existing </w:t>
      </w:r>
      <w:r>
        <w:rPr>
          <w:rFonts w:ascii="Arial" w:hAnsi="Arial" w:cs="Arial"/>
        </w:rPr>
        <w:t xml:space="preserve">reference model </w:t>
      </w:r>
      <w:r w:rsidR="001F335E">
        <w:rPr>
          <w:rFonts w:ascii="Arial" w:hAnsi="Arial" w:cs="Arial"/>
        </w:rPr>
        <w:t>performance</w:t>
      </w:r>
      <w:r>
        <w:rPr>
          <w:rFonts w:ascii="Arial" w:hAnsi="Arial" w:cs="Arial"/>
        </w:rPr>
        <w:t xml:space="preserve"> on the time span and geography choice for the </w:t>
      </w:r>
      <w:r w:rsidR="001F335E">
        <w:rPr>
          <w:rFonts w:ascii="Arial" w:hAnsi="Arial" w:cs="Arial"/>
        </w:rPr>
        <w:t xml:space="preserve">Acute MLC </w:t>
      </w:r>
      <w:r>
        <w:rPr>
          <w:rFonts w:ascii="Arial" w:hAnsi="Arial" w:cs="Arial"/>
        </w:rPr>
        <w:t xml:space="preserve">Review, and looks also at the presence of outliers and influential points. </w:t>
      </w:r>
      <w:r w:rsidR="004D37F7">
        <w:rPr>
          <w:rFonts w:ascii="Arial" w:hAnsi="Arial" w:cs="Arial"/>
        </w:rPr>
        <w:t xml:space="preserve">Three options are considered: Data Zone geographies with a single year of data, Data Zone geographies with averaging over three years of data, and Intermediate Zone geographies with a single year of data. </w:t>
      </w:r>
      <w:r w:rsidR="001F335E">
        <w:rPr>
          <w:rFonts w:ascii="Arial" w:hAnsi="Arial" w:cs="Arial"/>
        </w:rPr>
        <w:t>M</w:t>
      </w:r>
      <w:r>
        <w:rPr>
          <w:rFonts w:ascii="Arial" w:hAnsi="Arial" w:cs="Arial"/>
        </w:rPr>
        <w:t xml:space="preserve">odelling based at Intermediate Zones is found to perform best, in terms of higher R-squared values, less frequent violation of the normality assumption for regression residuals, and fewer outlying data points. The decisions taken in the NRAC 2007 Review and in the Mental Health and Learning Difficulties 2011-2012 Review are also noted. </w:t>
      </w:r>
      <w:r w:rsidRPr="007F14F9">
        <w:rPr>
          <w:rFonts w:ascii="Arial" w:hAnsi="Arial" w:cs="Arial"/>
          <w:b/>
        </w:rPr>
        <w:t>The subgroup is asked to consider the issues outline</w:t>
      </w:r>
      <w:r>
        <w:rPr>
          <w:rFonts w:ascii="Arial" w:hAnsi="Arial" w:cs="Arial"/>
          <w:b/>
        </w:rPr>
        <w:t>d</w:t>
      </w:r>
      <w:r w:rsidRPr="007F14F9">
        <w:rPr>
          <w:rFonts w:ascii="Arial" w:hAnsi="Arial" w:cs="Arial"/>
          <w:b/>
        </w:rPr>
        <w:t xml:space="preserve"> and agree on the geography and time basis for the Acute MLC Review.</w:t>
      </w:r>
    </w:p>
    <w:p w:rsidR="00EB3D4A" w:rsidRDefault="00EB3D4A" w:rsidP="00EB3D4A">
      <w:pPr>
        <w:jc w:val="both"/>
        <w:rPr>
          <w:rFonts w:ascii="Arial" w:hAnsi="Arial" w:cs="Arial"/>
        </w:rPr>
      </w:pPr>
      <w:r>
        <w:rPr>
          <w:rFonts w:ascii="Arial" w:hAnsi="Arial" w:cs="Arial"/>
        </w:rPr>
        <w:t>In Section 4, the significance of the SIMD overall score and its domain scores is evaluated.</w:t>
      </w:r>
      <w:r w:rsidRPr="00DC1965">
        <w:rPr>
          <w:rFonts w:ascii="Arial" w:hAnsi="Arial" w:cs="Arial"/>
        </w:rPr>
        <w:t xml:space="preserve"> </w:t>
      </w:r>
      <w:r>
        <w:rPr>
          <w:rFonts w:ascii="Arial" w:hAnsi="Arial" w:cs="Arial"/>
        </w:rPr>
        <w:t xml:space="preserve">SIMD scores at Data Zone level, and ‘local and national shares’ of deprivation at Intermediate Zone level, are used as predictors individually and in combination with LLTI and SMR. </w:t>
      </w:r>
      <w:r w:rsidR="000C0999">
        <w:rPr>
          <w:rFonts w:ascii="Arial" w:hAnsi="Arial" w:cs="Arial"/>
        </w:rPr>
        <w:t>The analysis shows that a</w:t>
      </w:r>
      <w:r>
        <w:rPr>
          <w:rFonts w:ascii="Arial" w:hAnsi="Arial" w:cs="Arial"/>
        </w:rPr>
        <w:t xml:space="preserve">t Data Zones, the SIMD appears equally strong as a predictor compared to LLTI, and nearly as strong as LLTI at Intermediate Zones. In combination with LLTI and SMR, SIMD variables tend to increase the R-squared values by a small amount. </w:t>
      </w:r>
      <w:r w:rsidRPr="007347F0">
        <w:rPr>
          <w:rFonts w:ascii="Arial" w:hAnsi="Arial" w:cs="Arial"/>
          <w:b/>
        </w:rPr>
        <w:t xml:space="preserve">The subgroup is asked to </w:t>
      </w:r>
      <w:r w:rsidR="00D915FA">
        <w:rPr>
          <w:rFonts w:ascii="Arial" w:hAnsi="Arial" w:cs="Arial"/>
          <w:b/>
        </w:rPr>
        <w:t>agree on</w:t>
      </w:r>
      <w:r w:rsidRPr="007347F0">
        <w:rPr>
          <w:rFonts w:ascii="Arial" w:hAnsi="Arial" w:cs="Arial"/>
          <w:b/>
        </w:rPr>
        <w:t xml:space="preserve"> the </w:t>
      </w:r>
      <w:r w:rsidR="00D915FA">
        <w:rPr>
          <w:rFonts w:ascii="Arial" w:hAnsi="Arial" w:cs="Arial"/>
          <w:b/>
        </w:rPr>
        <w:t xml:space="preserve">potential </w:t>
      </w:r>
      <w:r w:rsidRPr="007347F0">
        <w:rPr>
          <w:rFonts w:ascii="Arial" w:hAnsi="Arial" w:cs="Arial"/>
          <w:b/>
        </w:rPr>
        <w:t xml:space="preserve">importance of SIMD as an indicator of need. </w:t>
      </w:r>
      <w:r w:rsidR="00D915FA">
        <w:rPr>
          <w:rFonts w:ascii="Arial" w:hAnsi="Arial" w:cs="Arial"/>
        </w:rPr>
        <w:t>This decision will have a bearing on the time-scale for the remainder of the review (see</w:t>
      </w:r>
      <w:r w:rsidR="000C0999">
        <w:rPr>
          <w:rFonts w:ascii="Arial" w:hAnsi="Arial" w:cs="Arial"/>
        </w:rPr>
        <w:t xml:space="preserve"> previous</w:t>
      </w:r>
      <w:r w:rsidR="00D915FA">
        <w:rPr>
          <w:rFonts w:ascii="Arial" w:hAnsi="Arial" w:cs="Arial"/>
        </w:rPr>
        <w:t xml:space="preserve"> paper TAMLC20</w:t>
      </w:r>
      <w:r w:rsidR="00B77A14">
        <w:rPr>
          <w:rFonts w:ascii="Arial" w:hAnsi="Arial" w:cs="Arial"/>
        </w:rPr>
        <w:t xml:space="preserve"> and </w:t>
      </w:r>
      <w:r w:rsidR="000C0999">
        <w:rPr>
          <w:rFonts w:ascii="Arial" w:hAnsi="Arial" w:cs="Arial"/>
        </w:rPr>
        <w:t>current paper TAMLC2</w:t>
      </w:r>
      <w:r w:rsidR="00D26970">
        <w:rPr>
          <w:rFonts w:ascii="Arial" w:hAnsi="Arial" w:cs="Arial"/>
        </w:rPr>
        <w:t>5</w:t>
      </w:r>
      <w:r w:rsidR="00D915FA">
        <w:rPr>
          <w:rFonts w:ascii="Arial" w:hAnsi="Arial" w:cs="Arial"/>
        </w:rPr>
        <w:t xml:space="preserve">). </w:t>
      </w:r>
    </w:p>
    <w:p w:rsidR="001F335E" w:rsidRPr="00D915FA" w:rsidRDefault="001F335E" w:rsidP="00EB3D4A">
      <w:pPr>
        <w:jc w:val="both"/>
        <w:rPr>
          <w:rFonts w:ascii="Arial" w:hAnsi="Arial" w:cs="Arial"/>
        </w:rPr>
      </w:pPr>
    </w:p>
    <w:p w:rsidR="00180CFC" w:rsidRPr="00180CFC" w:rsidRDefault="003C6BC2" w:rsidP="00F44623">
      <w:pPr>
        <w:jc w:val="both"/>
        <w:rPr>
          <w:rFonts w:ascii="Arial" w:hAnsi="Arial" w:cs="Arial"/>
          <w:b/>
        </w:rPr>
      </w:pPr>
      <w:r>
        <w:rPr>
          <w:rFonts w:ascii="Arial" w:hAnsi="Arial" w:cs="Arial"/>
          <w:b/>
        </w:rPr>
        <w:t>2</w:t>
      </w:r>
      <w:r w:rsidR="002E1E41">
        <w:rPr>
          <w:rFonts w:ascii="Arial" w:hAnsi="Arial" w:cs="Arial"/>
          <w:b/>
        </w:rPr>
        <w:t>. Reference model</w:t>
      </w:r>
    </w:p>
    <w:p w:rsidR="00363C2B" w:rsidRDefault="0075177D" w:rsidP="00180CFC">
      <w:pPr>
        <w:jc w:val="both"/>
        <w:rPr>
          <w:rFonts w:ascii="Arial" w:hAnsi="Arial" w:cs="Arial"/>
        </w:rPr>
      </w:pPr>
      <w:r>
        <w:rPr>
          <w:rFonts w:ascii="Arial" w:hAnsi="Arial" w:cs="Arial"/>
        </w:rPr>
        <w:t>The MLC adjustment takes into account the additional needs of the population over and above those due to age and sex.</w:t>
      </w:r>
      <w:r w:rsidRPr="00F96236">
        <w:rPr>
          <w:rFonts w:ascii="Arial" w:hAnsi="Arial" w:cs="Arial"/>
        </w:rPr>
        <w:t xml:space="preserve"> </w:t>
      </w:r>
      <w:r w:rsidR="00B923B7">
        <w:rPr>
          <w:rFonts w:ascii="Arial" w:hAnsi="Arial" w:cs="Arial"/>
        </w:rPr>
        <w:t>The current Acute MLC</w:t>
      </w:r>
      <w:r w:rsidR="00E43ABA">
        <w:rPr>
          <w:rFonts w:ascii="Arial" w:hAnsi="Arial" w:cs="Arial"/>
        </w:rPr>
        <w:t xml:space="preserve"> </w:t>
      </w:r>
      <w:r w:rsidR="00180CFC" w:rsidRPr="00180CFC">
        <w:rPr>
          <w:rFonts w:ascii="Arial" w:hAnsi="Arial" w:cs="Arial"/>
        </w:rPr>
        <w:t xml:space="preserve">indicators of need </w:t>
      </w:r>
      <w:r w:rsidR="004A018D">
        <w:rPr>
          <w:rFonts w:ascii="Arial" w:hAnsi="Arial" w:cs="Arial"/>
        </w:rPr>
        <w:t xml:space="preserve">are the </w:t>
      </w:r>
      <w:r w:rsidR="00E43ABA">
        <w:rPr>
          <w:rFonts w:ascii="Arial" w:hAnsi="Arial" w:cs="Arial"/>
        </w:rPr>
        <w:t xml:space="preserve">all cause </w:t>
      </w:r>
      <w:r w:rsidR="004A018D" w:rsidRPr="00180CFC">
        <w:rPr>
          <w:rFonts w:ascii="Arial" w:hAnsi="Arial" w:cs="Arial"/>
        </w:rPr>
        <w:t xml:space="preserve">Standardised </w:t>
      </w:r>
      <w:r w:rsidR="004A018D">
        <w:rPr>
          <w:rFonts w:ascii="Arial" w:hAnsi="Arial" w:cs="Arial"/>
        </w:rPr>
        <w:t>M</w:t>
      </w:r>
      <w:r w:rsidR="004A018D" w:rsidRPr="00180CFC">
        <w:rPr>
          <w:rFonts w:ascii="Arial" w:hAnsi="Arial" w:cs="Arial"/>
        </w:rPr>
        <w:t xml:space="preserve">ortality </w:t>
      </w:r>
      <w:r w:rsidR="004A018D">
        <w:rPr>
          <w:rFonts w:ascii="Arial" w:hAnsi="Arial" w:cs="Arial"/>
        </w:rPr>
        <w:t>R</w:t>
      </w:r>
      <w:r w:rsidR="004A018D" w:rsidRPr="00180CFC">
        <w:rPr>
          <w:rFonts w:ascii="Arial" w:hAnsi="Arial" w:cs="Arial"/>
        </w:rPr>
        <w:t>atio (SMR)</w:t>
      </w:r>
      <w:r w:rsidR="00D46BFD">
        <w:rPr>
          <w:rFonts w:ascii="Arial" w:hAnsi="Arial" w:cs="Arial"/>
        </w:rPr>
        <w:t xml:space="preserve"> in</w:t>
      </w:r>
      <w:r w:rsidR="00E43ABA">
        <w:rPr>
          <w:rFonts w:ascii="Arial" w:hAnsi="Arial" w:cs="Arial"/>
        </w:rPr>
        <w:t xml:space="preserve"> ages 0-74</w:t>
      </w:r>
      <w:r w:rsidR="00D46BFD">
        <w:rPr>
          <w:rFonts w:ascii="Arial" w:hAnsi="Arial" w:cs="Arial"/>
        </w:rPr>
        <w:t>,</w:t>
      </w:r>
      <w:r w:rsidR="004A018D" w:rsidRPr="00180CFC">
        <w:rPr>
          <w:rFonts w:ascii="Arial" w:hAnsi="Arial" w:cs="Arial"/>
        </w:rPr>
        <w:t xml:space="preserve"> </w:t>
      </w:r>
      <w:r w:rsidR="004A018D">
        <w:rPr>
          <w:rFonts w:ascii="Arial" w:hAnsi="Arial" w:cs="Arial"/>
        </w:rPr>
        <w:t xml:space="preserve">and the </w:t>
      </w:r>
      <w:r w:rsidR="004A018D" w:rsidRPr="00180CFC">
        <w:rPr>
          <w:rFonts w:ascii="Arial" w:hAnsi="Arial" w:cs="Arial"/>
        </w:rPr>
        <w:t xml:space="preserve">Limiting </w:t>
      </w:r>
      <w:r w:rsidR="004A018D">
        <w:rPr>
          <w:rFonts w:ascii="Arial" w:hAnsi="Arial" w:cs="Arial"/>
        </w:rPr>
        <w:t>L</w:t>
      </w:r>
      <w:r w:rsidR="004A018D" w:rsidRPr="00180CFC">
        <w:rPr>
          <w:rFonts w:ascii="Arial" w:hAnsi="Arial" w:cs="Arial"/>
        </w:rPr>
        <w:t>ong-</w:t>
      </w:r>
      <w:r w:rsidR="004A018D">
        <w:rPr>
          <w:rFonts w:ascii="Arial" w:hAnsi="Arial" w:cs="Arial"/>
        </w:rPr>
        <w:t>T</w:t>
      </w:r>
      <w:r w:rsidR="004A018D" w:rsidRPr="00180CFC">
        <w:rPr>
          <w:rFonts w:ascii="Arial" w:hAnsi="Arial" w:cs="Arial"/>
        </w:rPr>
        <w:t xml:space="preserve">erm </w:t>
      </w:r>
      <w:r w:rsidR="004A018D">
        <w:rPr>
          <w:rFonts w:ascii="Arial" w:hAnsi="Arial" w:cs="Arial"/>
        </w:rPr>
        <w:t>I</w:t>
      </w:r>
      <w:r w:rsidR="00E43ABA">
        <w:rPr>
          <w:rFonts w:ascii="Arial" w:hAnsi="Arial" w:cs="Arial"/>
        </w:rPr>
        <w:t>llness (LLTI</w:t>
      </w:r>
      <w:r w:rsidR="004A018D" w:rsidRPr="00180CFC">
        <w:rPr>
          <w:rFonts w:ascii="Arial" w:hAnsi="Arial" w:cs="Arial"/>
        </w:rPr>
        <w:t>)</w:t>
      </w:r>
      <w:r w:rsidR="00E43ABA">
        <w:rPr>
          <w:rFonts w:ascii="Arial" w:hAnsi="Arial" w:cs="Arial"/>
        </w:rPr>
        <w:t xml:space="preserve"> ratio</w:t>
      </w:r>
      <w:r w:rsidR="004A018D">
        <w:rPr>
          <w:rFonts w:ascii="Arial" w:hAnsi="Arial" w:cs="Arial"/>
        </w:rPr>
        <w:t xml:space="preserve">. </w:t>
      </w:r>
      <w:r w:rsidR="00E43ABA">
        <w:rPr>
          <w:rFonts w:ascii="Arial" w:hAnsi="Arial" w:cs="Arial"/>
        </w:rPr>
        <w:t xml:space="preserve">The sum of the z-scores of these two variables is the </w:t>
      </w:r>
      <w:r w:rsidR="004A018D" w:rsidRPr="00180CFC">
        <w:rPr>
          <w:rFonts w:ascii="Arial" w:hAnsi="Arial" w:cs="Arial"/>
        </w:rPr>
        <w:t>current needs index</w:t>
      </w:r>
      <w:r w:rsidR="00E43ABA">
        <w:rPr>
          <w:rFonts w:ascii="Arial" w:hAnsi="Arial" w:cs="Arial"/>
        </w:rPr>
        <w:t xml:space="preserve"> in the NRAC formula</w:t>
      </w:r>
      <w:r w:rsidR="004A018D" w:rsidRPr="00180CFC">
        <w:rPr>
          <w:rFonts w:ascii="Arial" w:hAnsi="Arial" w:cs="Arial"/>
        </w:rPr>
        <w:t xml:space="preserve">. </w:t>
      </w:r>
      <w:r w:rsidR="004A018D">
        <w:rPr>
          <w:rFonts w:ascii="Arial" w:hAnsi="Arial" w:cs="Arial"/>
        </w:rPr>
        <w:t xml:space="preserve">As part of the Acute MLC Review process, these indicators </w:t>
      </w:r>
      <w:r w:rsidR="00180CFC" w:rsidRPr="00180CFC">
        <w:rPr>
          <w:rFonts w:ascii="Arial" w:hAnsi="Arial" w:cs="Arial"/>
        </w:rPr>
        <w:t xml:space="preserve">have </w:t>
      </w:r>
      <w:r w:rsidR="004A018D">
        <w:rPr>
          <w:rFonts w:ascii="Arial" w:hAnsi="Arial" w:cs="Arial"/>
        </w:rPr>
        <w:t xml:space="preserve">now </w:t>
      </w:r>
      <w:r w:rsidR="00180CFC" w:rsidRPr="00180CFC">
        <w:rPr>
          <w:rFonts w:ascii="Arial" w:hAnsi="Arial" w:cs="Arial"/>
        </w:rPr>
        <w:t xml:space="preserve">been </w:t>
      </w:r>
      <w:r>
        <w:rPr>
          <w:rFonts w:ascii="Arial" w:hAnsi="Arial" w:cs="Arial"/>
        </w:rPr>
        <w:t>refreshed</w:t>
      </w:r>
      <w:r w:rsidRPr="00180CFC">
        <w:rPr>
          <w:rFonts w:ascii="Arial" w:hAnsi="Arial" w:cs="Arial"/>
        </w:rPr>
        <w:t xml:space="preserve"> </w:t>
      </w:r>
      <w:r w:rsidR="00180CFC" w:rsidRPr="00180CFC">
        <w:rPr>
          <w:rFonts w:ascii="Arial" w:hAnsi="Arial" w:cs="Arial"/>
        </w:rPr>
        <w:t>and their</w:t>
      </w:r>
      <w:r w:rsidR="004A018D">
        <w:rPr>
          <w:rFonts w:ascii="Arial" w:hAnsi="Arial" w:cs="Arial"/>
        </w:rPr>
        <w:t xml:space="preserve"> current</w:t>
      </w:r>
      <w:r w:rsidR="00180CFC" w:rsidRPr="00180CFC">
        <w:rPr>
          <w:rFonts w:ascii="Arial" w:hAnsi="Arial" w:cs="Arial"/>
        </w:rPr>
        <w:t xml:space="preserve"> explanatory power </w:t>
      </w:r>
      <w:r>
        <w:rPr>
          <w:rFonts w:ascii="Arial" w:hAnsi="Arial" w:cs="Arial"/>
        </w:rPr>
        <w:t xml:space="preserve">for healthcare utilisation </w:t>
      </w:r>
      <w:r w:rsidR="004A018D">
        <w:rPr>
          <w:rFonts w:ascii="Arial" w:hAnsi="Arial" w:cs="Arial"/>
        </w:rPr>
        <w:t xml:space="preserve">has been </w:t>
      </w:r>
      <w:r w:rsidR="00180CFC" w:rsidRPr="00180CFC">
        <w:rPr>
          <w:rFonts w:ascii="Arial" w:hAnsi="Arial" w:cs="Arial"/>
        </w:rPr>
        <w:t>tested</w:t>
      </w:r>
      <w:r w:rsidR="00CA29F5">
        <w:rPr>
          <w:rFonts w:ascii="Arial" w:hAnsi="Arial" w:cs="Arial"/>
        </w:rPr>
        <w:t>, in order to understand the strengths and weaknesses of the current Acute MLC adjustment</w:t>
      </w:r>
      <w:r w:rsidR="00180CFC" w:rsidRPr="00180CFC">
        <w:rPr>
          <w:rFonts w:ascii="Arial" w:hAnsi="Arial" w:cs="Arial"/>
        </w:rPr>
        <w:t>.</w:t>
      </w:r>
      <w:r w:rsidR="008D7E66">
        <w:rPr>
          <w:rFonts w:ascii="Arial" w:hAnsi="Arial" w:cs="Arial"/>
        </w:rPr>
        <w:t xml:space="preserve"> </w:t>
      </w:r>
      <w:r>
        <w:rPr>
          <w:rFonts w:ascii="Arial" w:hAnsi="Arial" w:cs="Arial"/>
        </w:rPr>
        <w:t>This section presents the results of this testing, and highlights issues discovered around violation of the assumption of normality in the regression residuals.</w:t>
      </w:r>
    </w:p>
    <w:p w:rsidR="0075177D" w:rsidRDefault="0075177D" w:rsidP="0075177D">
      <w:pPr>
        <w:jc w:val="both"/>
        <w:rPr>
          <w:rFonts w:ascii="Arial" w:hAnsi="Arial" w:cs="Arial"/>
        </w:rPr>
      </w:pPr>
      <w:r w:rsidRPr="00F96236">
        <w:rPr>
          <w:rFonts w:ascii="Arial" w:hAnsi="Arial" w:cs="Arial"/>
        </w:rPr>
        <w:lastRenderedPageBreak/>
        <w:t>The utilisation of healthcare</w:t>
      </w:r>
      <w:r w:rsidR="003B796F">
        <w:rPr>
          <w:rFonts w:ascii="Arial" w:hAnsi="Arial" w:cs="Arial"/>
        </w:rPr>
        <w:t>, which is the outcome to be predicted,</w:t>
      </w:r>
      <w:r w:rsidRPr="00F96236">
        <w:rPr>
          <w:rFonts w:ascii="Arial" w:hAnsi="Arial" w:cs="Arial"/>
        </w:rPr>
        <w:t xml:space="preserve"> is represented by the ratio of </w:t>
      </w:r>
      <w:r>
        <w:rPr>
          <w:rFonts w:ascii="Arial" w:hAnsi="Arial" w:cs="Arial"/>
        </w:rPr>
        <w:t xml:space="preserve">the </w:t>
      </w:r>
      <w:r w:rsidRPr="00F96236">
        <w:rPr>
          <w:rFonts w:ascii="Arial" w:hAnsi="Arial" w:cs="Arial"/>
        </w:rPr>
        <w:t xml:space="preserve">actual costs </w:t>
      </w:r>
      <w:r>
        <w:rPr>
          <w:rFonts w:ascii="Arial" w:hAnsi="Arial" w:cs="Arial"/>
        </w:rPr>
        <w:t xml:space="preserve">of healthcare </w:t>
      </w:r>
      <w:r w:rsidRPr="00F96236">
        <w:rPr>
          <w:rFonts w:ascii="Arial" w:hAnsi="Arial" w:cs="Arial"/>
        </w:rPr>
        <w:t xml:space="preserve">(taking into account activity type and length of stay in that specific neighbourhood) to the expected costs (based on the neighbourhood’s population and national age/sex </w:t>
      </w:r>
      <w:r>
        <w:rPr>
          <w:rFonts w:ascii="Arial" w:hAnsi="Arial" w:cs="Arial"/>
        </w:rPr>
        <w:t>average</w:t>
      </w:r>
      <w:r w:rsidRPr="00F96236">
        <w:rPr>
          <w:rFonts w:ascii="Arial" w:hAnsi="Arial" w:cs="Arial"/>
        </w:rPr>
        <w:t xml:space="preserve"> cost per head).</w:t>
      </w:r>
      <w:r>
        <w:rPr>
          <w:rFonts w:ascii="Arial" w:hAnsi="Arial" w:cs="Arial"/>
        </w:rPr>
        <w:t xml:space="preserve"> The </w:t>
      </w:r>
      <w:r w:rsidR="001F335E">
        <w:rPr>
          <w:rFonts w:ascii="Arial" w:hAnsi="Arial" w:cs="Arial"/>
        </w:rPr>
        <w:t xml:space="preserve">Acute </w:t>
      </w:r>
      <w:r>
        <w:rPr>
          <w:rFonts w:ascii="Arial" w:hAnsi="Arial" w:cs="Arial"/>
        </w:rPr>
        <w:t xml:space="preserve">MLC adjustment is based on regression of these cost ratios upon the needs index. Health </w:t>
      </w:r>
      <w:r w:rsidR="001F335E">
        <w:rPr>
          <w:rFonts w:ascii="Arial" w:hAnsi="Arial" w:cs="Arial"/>
        </w:rPr>
        <w:t>b</w:t>
      </w:r>
      <w:r>
        <w:rPr>
          <w:rFonts w:ascii="Arial" w:hAnsi="Arial" w:cs="Arial"/>
        </w:rPr>
        <w:t>oard ‘dummy’ variables and supply variables are included in the regressions, to avoid predicting effects that are largely due to variations in supply; the supply variables (IPACX and OPACX) are statistical measures representing the distance between</w:t>
      </w:r>
      <w:r w:rsidRPr="00363C2B">
        <w:rPr>
          <w:rFonts w:ascii="Arial" w:hAnsi="Arial" w:cs="Arial"/>
        </w:rPr>
        <w:t xml:space="preserve"> the population grid </w:t>
      </w:r>
      <w:proofErr w:type="spellStart"/>
      <w:r w:rsidRPr="00363C2B">
        <w:rPr>
          <w:rFonts w:ascii="Arial" w:hAnsi="Arial" w:cs="Arial"/>
        </w:rPr>
        <w:t>centroid</w:t>
      </w:r>
      <w:proofErr w:type="spellEnd"/>
      <w:r>
        <w:rPr>
          <w:rFonts w:ascii="Arial" w:hAnsi="Arial" w:cs="Arial"/>
        </w:rPr>
        <w:t xml:space="preserve"> and the nearest facility. The health board dummies, supply variables and the needs index are together known as the ‘reference model’.</w:t>
      </w:r>
    </w:p>
    <w:p w:rsidR="006B2A6B" w:rsidRDefault="0075177D" w:rsidP="006B2A6B">
      <w:pPr>
        <w:jc w:val="both"/>
        <w:rPr>
          <w:rFonts w:ascii="Arial" w:hAnsi="Arial" w:cs="Arial"/>
        </w:rPr>
      </w:pPr>
      <w:r>
        <w:rPr>
          <w:rFonts w:ascii="Arial" w:hAnsi="Arial" w:cs="Arial"/>
        </w:rPr>
        <w:t xml:space="preserve">In the current </w:t>
      </w:r>
      <w:r w:rsidR="001F335E">
        <w:rPr>
          <w:rFonts w:ascii="Arial" w:hAnsi="Arial" w:cs="Arial"/>
        </w:rPr>
        <w:t>update</w:t>
      </w:r>
      <w:r>
        <w:rPr>
          <w:rFonts w:ascii="Arial" w:hAnsi="Arial" w:cs="Arial"/>
        </w:rPr>
        <w:t xml:space="preserve">, </w:t>
      </w:r>
      <w:r w:rsidR="003B796F">
        <w:rPr>
          <w:rFonts w:ascii="Arial" w:hAnsi="Arial" w:cs="Arial"/>
        </w:rPr>
        <w:t>the cost ratios for 1 year at Data Zones and 1 year at Intermediate Zones are calculated, using 2012/13 inpatient and outpatient activity data</w:t>
      </w:r>
      <w:r w:rsidR="006B2A6B">
        <w:rPr>
          <w:rFonts w:ascii="Arial" w:hAnsi="Arial" w:cs="Arial"/>
        </w:rPr>
        <w:t>; t</w:t>
      </w:r>
      <w:r w:rsidR="003B796F">
        <w:rPr>
          <w:rFonts w:ascii="Arial" w:hAnsi="Arial" w:cs="Arial"/>
        </w:rPr>
        <w:t xml:space="preserve">he cost ratios for 3 years at Data Zones are calculated as the average of the 2011/12, 2012/13 and 2013/14 cost ratios. </w:t>
      </w:r>
      <w:r w:rsidR="006B2A6B">
        <w:rPr>
          <w:rFonts w:ascii="Arial" w:hAnsi="Arial" w:cs="Arial"/>
        </w:rPr>
        <w:t xml:space="preserve">The </w:t>
      </w:r>
      <w:r w:rsidR="006B2A6B" w:rsidRPr="00180CFC">
        <w:rPr>
          <w:rFonts w:ascii="Arial" w:hAnsi="Arial" w:cs="Arial"/>
        </w:rPr>
        <w:t xml:space="preserve">SMR </w:t>
      </w:r>
      <w:r w:rsidR="00A17F8A">
        <w:rPr>
          <w:rFonts w:ascii="Arial" w:hAnsi="Arial" w:cs="Arial"/>
        </w:rPr>
        <w:t>is</w:t>
      </w:r>
      <w:r w:rsidR="006B2A6B" w:rsidRPr="00180CFC">
        <w:rPr>
          <w:rFonts w:ascii="Arial" w:hAnsi="Arial" w:cs="Arial"/>
        </w:rPr>
        <w:t xml:space="preserve"> </w:t>
      </w:r>
      <w:r w:rsidR="006B2A6B">
        <w:rPr>
          <w:rFonts w:ascii="Arial" w:hAnsi="Arial" w:cs="Arial"/>
        </w:rPr>
        <w:t>re</w:t>
      </w:r>
      <w:r w:rsidR="006B2A6B" w:rsidRPr="00180CFC">
        <w:rPr>
          <w:rFonts w:ascii="Arial" w:hAnsi="Arial" w:cs="Arial"/>
        </w:rPr>
        <w:t>calculated using death records from 2008 to 2012 calendar years</w:t>
      </w:r>
      <w:r w:rsidR="006B2A6B">
        <w:rPr>
          <w:rFonts w:ascii="Arial" w:hAnsi="Arial" w:cs="Arial"/>
        </w:rPr>
        <w:t>,</w:t>
      </w:r>
      <w:r w:rsidR="006B2A6B" w:rsidRPr="00180CFC">
        <w:rPr>
          <w:rFonts w:ascii="Arial" w:hAnsi="Arial" w:cs="Arial"/>
        </w:rPr>
        <w:t xml:space="preserve"> and </w:t>
      </w:r>
      <w:r w:rsidR="006B2A6B">
        <w:rPr>
          <w:rFonts w:ascii="Arial" w:hAnsi="Arial" w:cs="Arial"/>
        </w:rPr>
        <w:t>the LLTI r</w:t>
      </w:r>
      <w:r w:rsidR="006B2A6B" w:rsidRPr="00180CFC">
        <w:rPr>
          <w:rFonts w:ascii="Arial" w:hAnsi="Arial" w:cs="Arial"/>
        </w:rPr>
        <w:t xml:space="preserve">atio </w:t>
      </w:r>
      <w:r w:rsidR="00A17F8A">
        <w:rPr>
          <w:rFonts w:ascii="Arial" w:hAnsi="Arial" w:cs="Arial"/>
        </w:rPr>
        <w:t>is</w:t>
      </w:r>
      <w:r w:rsidR="006B2A6B" w:rsidRPr="00180CFC">
        <w:rPr>
          <w:rFonts w:ascii="Arial" w:hAnsi="Arial" w:cs="Arial"/>
        </w:rPr>
        <w:t xml:space="preserve"> </w:t>
      </w:r>
      <w:r w:rsidR="006B2A6B">
        <w:rPr>
          <w:rFonts w:ascii="Arial" w:hAnsi="Arial" w:cs="Arial"/>
        </w:rPr>
        <w:t>re</w:t>
      </w:r>
      <w:r w:rsidR="006B2A6B" w:rsidRPr="00180CFC">
        <w:rPr>
          <w:rFonts w:ascii="Arial" w:hAnsi="Arial" w:cs="Arial"/>
        </w:rPr>
        <w:t>calculated using 2011 Census data.</w:t>
      </w:r>
      <w:r w:rsidR="006B2A6B">
        <w:rPr>
          <w:rFonts w:ascii="Arial" w:hAnsi="Arial" w:cs="Arial"/>
        </w:rPr>
        <w:t xml:space="preserve"> </w:t>
      </w:r>
      <w:r w:rsidR="00A17F8A">
        <w:rPr>
          <w:rFonts w:ascii="Arial" w:hAnsi="Arial" w:cs="Arial"/>
        </w:rPr>
        <w:t>This required updating the</w:t>
      </w:r>
      <w:r w:rsidR="006B2A6B">
        <w:rPr>
          <w:rFonts w:ascii="Arial" w:hAnsi="Arial" w:cs="Arial"/>
        </w:rPr>
        <w:t xml:space="preserve"> definition of LLTI</w:t>
      </w:r>
      <w:r w:rsidR="00A17F8A">
        <w:rPr>
          <w:rFonts w:ascii="Arial" w:hAnsi="Arial" w:cs="Arial"/>
        </w:rPr>
        <w:t>,</w:t>
      </w:r>
      <w:r w:rsidR="006B2A6B">
        <w:rPr>
          <w:rFonts w:ascii="Arial" w:hAnsi="Arial" w:cs="Arial"/>
        </w:rPr>
        <w:t xml:space="preserve"> due to a change in the response options for the </w:t>
      </w:r>
      <w:r w:rsidR="00A17F8A">
        <w:rPr>
          <w:rFonts w:ascii="Arial" w:hAnsi="Arial" w:cs="Arial"/>
        </w:rPr>
        <w:t xml:space="preserve">relevant Census </w:t>
      </w:r>
      <w:r w:rsidR="006B2A6B">
        <w:rPr>
          <w:rFonts w:ascii="Arial" w:hAnsi="Arial" w:cs="Arial"/>
        </w:rPr>
        <w:t>question</w:t>
      </w:r>
      <w:r w:rsidR="00A17F8A">
        <w:rPr>
          <w:rFonts w:ascii="Arial" w:hAnsi="Arial" w:cs="Arial"/>
        </w:rPr>
        <w:t xml:space="preserve"> </w:t>
      </w:r>
      <w:r w:rsidR="006B2A6B">
        <w:rPr>
          <w:rFonts w:ascii="Arial" w:hAnsi="Arial" w:cs="Arial"/>
        </w:rPr>
        <w:t xml:space="preserve">from a simple “Yes”/“No” to three options: “Yes – a little”, “Yes – a lot” and “No”. The details of the definition and the analysis carried out to support this are given in Annex </w:t>
      </w:r>
      <w:r w:rsidR="005C1566">
        <w:rPr>
          <w:rFonts w:ascii="Arial" w:hAnsi="Arial" w:cs="Arial"/>
        </w:rPr>
        <w:t>B</w:t>
      </w:r>
      <w:r w:rsidR="006B2A6B">
        <w:rPr>
          <w:rFonts w:ascii="Arial" w:hAnsi="Arial" w:cs="Arial"/>
        </w:rPr>
        <w:t>.</w:t>
      </w:r>
      <w:r w:rsidR="006B2A6B" w:rsidRPr="00180CFC">
        <w:rPr>
          <w:rFonts w:ascii="Arial" w:hAnsi="Arial" w:cs="Arial"/>
        </w:rPr>
        <w:t xml:space="preserve"> </w:t>
      </w:r>
      <w:r w:rsidR="006B2A6B">
        <w:rPr>
          <w:rFonts w:ascii="Arial" w:hAnsi="Arial" w:cs="Arial"/>
        </w:rPr>
        <w:t xml:space="preserve">A variable </w:t>
      </w:r>
      <w:r w:rsidR="001F335E">
        <w:rPr>
          <w:rFonts w:ascii="Arial" w:hAnsi="Arial" w:cs="Arial"/>
        </w:rPr>
        <w:t xml:space="preserve">referred to as </w:t>
      </w:r>
      <w:r w:rsidR="006B2A6B">
        <w:rPr>
          <w:rFonts w:ascii="Arial" w:hAnsi="Arial" w:cs="Arial"/>
        </w:rPr>
        <w:t>‘Yes both’ is chosen as the best LLTI ratio variable. It is an age-sex adjusted ratio combining both positive answers with equal weight.</w:t>
      </w:r>
    </w:p>
    <w:p w:rsidR="004A018D" w:rsidRDefault="003B796F" w:rsidP="00180CFC">
      <w:pPr>
        <w:jc w:val="both"/>
        <w:rPr>
          <w:rFonts w:ascii="Arial" w:hAnsi="Arial" w:cs="Arial"/>
        </w:rPr>
      </w:pPr>
      <w:r>
        <w:rPr>
          <w:rFonts w:ascii="Arial" w:hAnsi="Arial" w:cs="Arial"/>
        </w:rPr>
        <w:t>L</w:t>
      </w:r>
      <w:r w:rsidR="008D7E66" w:rsidRPr="00180CFC">
        <w:rPr>
          <w:rFonts w:ascii="Arial" w:hAnsi="Arial" w:cs="Arial"/>
        </w:rPr>
        <w:t xml:space="preserve">inear models are </w:t>
      </w:r>
      <w:r>
        <w:rPr>
          <w:rFonts w:ascii="Arial" w:hAnsi="Arial" w:cs="Arial"/>
        </w:rPr>
        <w:t xml:space="preserve">then </w:t>
      </w:r>
      <w:r w:rsidR="008D7E66" w:rsidRPr="00180CFC">
        <w:rPr>
          <w:rFonts w:ascii="Arial" w:hAnsi="Arial" w:cs="Arial"/>
        </w:rPr>
        <w:t>fitted</w:t>
      </w:r>
      <w:r w:rsidR="00363C2B">
        <w:rPr>
          <w:rFonts w:ascii="Arial" w:hAnsi="Arial" w:cs="Arial"/>
        </w:rPr>
        <w:t>,</w:t>
      </w:r>
      <w:r w:rsidR="008D7E66" w:rsidRPr="00180CFC">
        <w:rPr>
          <w:rFonts w:ascii="Arial" w:hAnsi="Arial" w:cs="Arial"/>
        </w:rPr>
        <w:t xml:space="preserve"> </w:t>
      </w:r>
      <w:r w:rsidR="008D7E66">
        <w:rPr>
          <w:rFonts w:ascii="Arial" w:hAnsi="Arial" w:cs="Arial"/>
        </w:rPr>
        <w:t>using</w:t>
      </w:r>
      <w:r w:rsidR="008D7E66" w:rsidRPr="00180CFC">
        <w:rPr>
          <w:rFonts w:ascii="Arial" w:hAnsi="Arial" w:cs="Arial"/>
        </w:rPr>
        <w:t xml:space="preserve"> </w:t>
      </w:r>
      <w:r w:rsidR="008D7E66">
        <w:rPr>
          <w:rFonts w:ascii="Arial" w:hAnsi="Arial" w:cs="Arial"/>
        </w:rPr>
        <w:t xml:space="preserve">the supply variables and health board dummies </w:t>
      </w:r>
      <w:r w:rsidR="00363C2B">
        <w:rPr>
          <w:rFonts w:ascii="Arial" w:hAnsi="Arial" w:cs="Arial"/>
        </w:rPr>
        <w:t xml:space="preserve">first </w:t>
      </w:r>
      <w:r w:rsidR="008D7E66">
        <w:rPr>
          <w:rFonts w:ascii="Arial" w:hAnsi="Arial" w:cs="Arial"/>
        </w:rPr>
        <w:t xml:space="preserve">as a baseline and </w:t>
      </w:r>
      <w:r w:rsidR="00363C2B">
        <w:rPr>
          <w:rFonts w:ascii="Arial" w:hAnsi="Arial" w:cs="Arial"/>
        </w:rPr>
        <w:t xml:space="preserve">then </w:t>
      </w:r>
      <w:r w:rsidR="008D7E66">
        <w:rPr>
          <w:rFonts w:ascii="Arial" w:hAnsi="Arial" w:cs="Arial"/>
        </w:rPr>
        <w:t xml:space="preserve">adding </w:t>
      </w:r>
      <w:r w:rsidR="00363C2B">
        <w:rPr>
          <w:rFonts w:ascii="Arial" w:hAnsi="Arial" w:cs="Arial"/>
        </w:rPr>
        <w:t xml:space="preserve">in the </w:t>
      </w:r>
      <w:r w:rsidR="00E56001">
        <w:rPr>
          <w:rFonts w:ascii="Arial" w:hAnsi="Arial" w:cs="Arial"/>
        </w:rPr>
        <w:t>SMR and LLTI r</w:t>
      </w:r>
      <w:r w:rsidR="008D7E66" w:rsidRPr="00180CFC">
        <w:rPr>
          <w:rFonts w:ascii="Arial" w:hAnsi="Arial" w:cs="Arial"/>
        </w:rPr>
        <w:t xml:space="preserve">atio </w:t>
      </w:r>
      <w:r w:rsidR="008D7E66">
        <w:rPr>
          <w:rFonts w:ascii="Arial" w:hAnsi="Arial" w:cs="Arial"/>
        </w:rPr>
        <w:t>as explanatory variables</w:t>
      </w:r>
      <w:r w:rsidR="008D7E66" w:rsidRPr="00180CFC">
        <w:rPr>
          <w:rFonts w:ascii="Arial" w:hAnsi="Arial" w:cs="Arial"/>
        </w:rPr>
        <w:t xml:space="preserve">. </w:t>
      </w:r>
      <w:r>
        <w:rPr>
          <w:rFonts w:ascii="Arial" w:hAnsi="Arial" w:cs="Arial"/>
        </w:rPr>
        <w:t>Finally, t</w:t>
      </w:r>
      <w:r w:rsidR="00363C2B">
        <w:rPr>
          <w:rFonts w:ascii="Arial" w:hAnsi="Arial" w:cs="Arial"/>
        </w:rPr>
        <w:t>he full reference model is also reproduced and</w:t>
      </w:r>
      <w:r w:rsidR="0075177D">
        <w:rPr>
          <w:rFonts w:ascii="Arial" w:hAnsi="Arial" w:cs="Arial"/>
        </w:rPr>
        <w:t xml:space="preserve"> tested</w:t>
      </w:r>
      <w:r w:rsidR="008D7E66">
        <w:rPr>
          <w:rFonts w:ascii="Arial" w:hAnsi="Arial" w:cs="Arial"/>
        </w:rPr>
        <w:t>.</w:t>
      </w:r>
    </w:p>
    <w:p w:rsidR="00180CFC" w:rsidRPr="00180CFC" w:rsidRDefault="003C6BC2" w:rsidP="00180CFC">
      <w:pPr>
        <w:rPr>
          <w:rFonts w:ascii="Arial" w:hAnsi="Arial" w:cs="Arial"/>
          <w:b/>
        </w:rPr>
      </w:pPr>
      <w:r>
        <w:rPr>
          <w:rFonts w:ascii="Arial" w:hAnsi="Arial" w:cs="Arial"/>
          <w:b/>
        </w:rPr>
        <w:t>2</w:t>
      </w:r>
      <w:r w:rsidR="00180CFC" w:rsidRPr="00180CFC">
        <w:rPr>
          <w:rFonts w:ascii="Arial" w:hAnsi="Arial" w:cs="Arial"/>
          <w:b/>
        </w:rPr>
        <w:t>.1 Correlations</w:t>
      </w:r>
    </w:p>
    <w:p w:rsidR="00180CFC" w:rsidRPr="000C2A96" w:rsidRDefault="00180CFC" w:rsidP="000C2A96">
      <w:pPr>
        <w:jc w:val="both"/>
        <w:rPr>
          <w:rFonts w:ascii="Arial" w:hAnsi="Arial" w:cs="Arial"/>
        </w:rPr>
      </w:pPr>
      <w:r w:rsidRPr="00180CFC">
        <w:rPr>
          <w:rFonts w:ascii="Arial" w:hAnsi="Arial" w:cs="Arial"/>
        </w:rPr>
        <w:t xml:space="preserve">Correlations between SMR and the </w:t>
      </w:r>
      <w:r w:rsidR="009D785C">
        <w:rPr>
          <w:rFonts w:ascii="Arial" w:hAnsi="Arial" w:cs="Arial"/>
        </w:rPr>
        <w:t>cost r</w:t>
      </w:r>
      <w:r w:rsidRPr="00180CFC">
        <w:rPr>
          <w:rFonts w:ascii="Arial" w:hAnsi="Arial" w:cs="Arial"/>
        </w:rPr>
        <w:t xml:space="preserve">atios </w:t>
      </w:r>
      <w:r w:rsidR="00B117C8">
        <w:rPr>
          <w:rFonts w:ascii="Arial" w:hAnsi="Arial" w:cs="Arial"/>
        </w:rPr>
        <w:t xml:space="preserve">and between LLTI and the </w:t>
      </w:r>
      <w:r w:rsidR="009D785C">
        <w:rPr>
          <w:rFonts w:ascii="Arial" w:hAnsi="Arial" w:cs="Arial"/>
        </w:rPr>
        <w:t>cost r</w:t>
      </w:r>
      <w:r w:rsidR="00B117C8">
        <w:rPr>
          <w:rFonts w:ascii="Arial" w:hAnsi="Arial" w:cs="Arial"/>
        </w:rPr>
        <w:t xml:space="preserve">atios </w:t>
      </w:r>
      <w:r w:rsidRPr="00180CFC">
        <w:rPr>
          <w:rFonts w:ascii="Arial" w:hAnsi="Arial" w:cs="Arial"/>
        </w:rPr>
        <w:t xml:space="preserve">for all diagnostic groups are calculated to get an initial impression of the strength and direction of the relationships. The results are shown in Table </w:t>
      </w:r>
      <w:r w:rsidR="007A0D18">
        <w:rPr>
          <w:rFonts w:ascii="Arial" w:hAnsi="Arial" w:cs="Arial"/>
        </w:rPr>
        <w:t>1</w:t>
      </w:r>
      <w:r w:rsidRPr="00180CFC">
        <w:rPr>
          <w:rFonts w:ascii="Arial" w:hAnsi="Arial" w:cs="Arial"/>
        </w:rPr>
        <w:t xml:space="preserve">.  </w:t>
      </w:r>
    </w:p>
    <w:p w:rsidR="00180CFC" w:rsidRPr="00180CFC" w:rsidRDefault="00180CFC" w:rsidP="00F44623">
      <w:pPr>
        <w:spacing w:after="0"/>
        <w:rPr>
          <w:rFonts w:ascii="Arial" w:hAnsi="Arial" w:cs="Arial"/>
          <w:i/>
        </w:rPr>
      </w:pPr>
      <w:proofErr w:type="gramStart"/>
      <w:r w:rsidRPr="00180CFC">
        <w:rPr>
          <w:rFonts w:ascii="Arial" w:hAnsi="Arial" w:cs="Arial"/>
          <w:i/>
        </w:rPr>
        <w:t xml:space="preserve">Table </w:t>
      </w:r>
      <w:r w:rsidR="007A0D18">
        <w:rPr>
          <w:rFonts w:ascii="Arial" w:hAnsi="Arial" w:cs="Arial"/>
          <w:i/>
        </w:rPr>
        <w:t>1</w:t>
      </w:r>
      <w:r w:rsidRPr="00180CFC">
        <w:rPr>
          <w:rFonts w:ascii="Arial" w:hAnsi="Arial" w:cs="Arial"/>
          <w:i/>
        </w:rPr>
        <w:t>.</w:t>
      </w:r>
      <w:proofErr w:type="gramEnd"/>
      <w:r w:rsidRPr="00180CFC">
        <w:rPr>
          <w:rFonts w:ascii="Arial" w:hAnsi="Arial" w:cs="Arial"/>
          <w:i/>
        </w:rPr>
        <w:t xml:space="preserve"> </w:t>
      </w:r>
      <w:proofErr w:type="gramStart"/>
      <w:r w:rsidRPr="00180CFC">
        <w:rPr>
          <w:rFonts w:ascii="Arial" w:hAnsi="Arial" w:cs="Arial"/>
          <w:i/>
        </w:rPr>
        <w:t>SMR</w:t>
      </w:r>
      <w:r w:rsidR="007A0D18">
        <w:rPr>
          <w:rFonts w:ascii="Arial" w:hAnsi="Arial" w:cs="Arial"/>
          <w:i/>
        </w:rPr>
        <w:t xml:space="preserve"> and LLTI</w:t>
      </w:r>
      <w:r w:rsidRPr="00180CFC">
        <w:rPr>
          <w:rFonts w:ascii="Arial" w:hAnsi="Arial" w:cs="Arial"/>
          <w:i/>
        </w:rPr>
        <w:t xml:space="preserve"> correlations</w:t>
      </w:r>
      <w:r w:rsidR="00A61FCD">
        <w:rPr>
          <w:rFonts w:ascii="Arial" w:hAnsi="Arial" w:cs="Arial"/>
          <w:i/>
        </w:rPr>
        <w:t xml:space="preserve"> to the cost ratios</w:t>
      </w:r>
      <w:r w:rsidRPr="00180CFC">
        <w:rPr>
          <w:rFonts w:ascii="Arial" w:hAnsi="Arial" w:cs="Arial"/>
          <w:i/>
        </w:rPr>
        <w:t>.</w:t>
      </w:r>
      <w:proofErr w:type="gramEnd"/>
      <w:r w:rsidRPr="00180CFC">
        <w:rPr>
          <w:rFonts w:ascii="Arial" w:hAnsi="Arial" w:cs="Arial"/>
          <w:i/>
        </w:rPr>
        <w:t xml:space="preserve"> </w:t>
      </w:r>
    </w:p>
    <w:tbl>
      <w:tblPr>
        <w:tblW w:w="5000" w:type="pct"/>
        <w:tblLook w:val="04A0"/>
      </w:tblPr>
      <w:tblGrid>
        <w:gridCol w:w="1787"/>
        <w:gridCol w:w="616"/>
        <w:gridCol w:w="847"/>
        <w:gridCol w:w="847"/>
        <w:gridCol w:w="1017"/>
        <w:gridCol w:w="847"/>
        <w:gridCol w:w="847"/>
        <w:gridCol w:w="1217"/>
        <w:gridCol w:w="1217"/>
      </w:tblGrid>
      <w:tr w:rsidR="00F44623" w:rsidRPr="009D785C" w:rsidTr="00F44623">
        <w:trPr>
          <w:trHeight w:val="735"/>
        </w:trPr>
        <w:tc>
          <w:tcPr>
            <w:tcW w:w="126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4623" w:rsidRPr="009D785C" w:rsidRDefault="00F44623" w:rsidP="00F44623">
            <w:pPr>
              <w:spacing w:after="0" w:line="240" w:lineRule="auto"/>
              <w:rPr>
                <w:rFonts w:ascii="Arial" w:eastAsia="Times New Roman" w:hAnsi="Arial" w:cs="Arial"/>
                <w:b/>
                <w:bCs/>
                <w:color w:val="000000"/>
                <w:sz w:val="18"/>
                <w:szCs w:val="18"/>
                <w:lang w:eastAsia="en-GB"/>
              </w:rPr>
            </w:pPr>
            <w:r w:rsidRPr="009D785C">
              <w:rPr>
                <w:rFonts w:ascii="Arial" w:eastAsia="Times New Roman" w:hAnsi="Arial" w:cs="Arial"/>
                <w:b/>
                <w:bCs/>
                <w:color w:val="000000"/>
                <w:sz w:val="18"/>
                <w:szCs w:val="18"/>
                <w:lang w:eastAsia="en-GB"/>
              </w:rPr>
              <w:t>Correlations</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F44623" w:rsidRPr="009D785C" w:rsidRDefault="00F44623" w:rsidP="00F44623">
            <w:pPr>
              <w:spacing w:after="0" w:line="240" w:lineRule="auto"/>
              <w:rPr>
                <w:rFonts w:ascii="Arial" w:eastAsia="Times New Roman" w:hAnsi="Arial" w:cs="Arial"/>
                <w:b/>
                <w:bCs/>
                <w:color w:val="000000"/>
                <w:sz w:val="18"/>
                <w:szCs w:val="18"/>
                <w:lang w:eastAsia="en-GB"/>
              </w:rPr>
            </w:pPr>
            <w:r w:rsidRPr="009D785C">
              <w:rPr>
                <w:rFonts w:ascii="Arial" w:eastAsia="Times New Roman" w:hAnsi="Arial" w:cs="Arial"/>
                <w:b/>
                <w:bCs/>
                <w:color w:val="000000"/>
                <w:sz w:val="18"/>
                <w:szCs w:val="18"/>
                <w:lang w:eastAsia="en-GB"/>
              </w:rPr>
              <w:t>Cancer</w:t>
            </w:r>
            <w:r w:rsidRPr="009D785C">
              <w:rPr>
                <w:rFonts w:ascii="Arial" w:eastAsia="Times New Roman" w:hAnsi="Arial" w:cs="Arial"/>
                <w:b/>
                <w:bCs/>
                <w:color w:val="000000"/>
                <w:sz w:val="18"/>
                <w:szCs w:val="18"/>
                <w:lang w:eastAsia="en-GB"/>
              </w:rPr>
              <w:br/>
              <w:t>cost ratios</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F44623" w:rsidRPr="009D785C" w:rsidRDefault="00F44623" w:rsidP="00F44623">
            <w:pPr>
              <w:spacing w:after="0" w:line="240" w:lineRule="auto"/>
              <w:rPr>
                <w:rFonts w:ascii="Arial" w:eastAsia="Times New Roman" w:hAnsi="Arial" w:cs="Arial"/>
                <w:b/>
                <w:bCs/>
                <w:color w:val="000000"/>
                <w:sz w:val="18"/>
                <w:szCs w:val="18"/>
                <w:lang w:eastAsia="en-GB"/>
              </w:rPr>
            </w:pPr>
            <w:r w:rsidRPr="009D785C">
              <w:rPr>
                <w:rFonts w:ascii="Arial" w:eastAsia="Times New Roman" w:hAnsi="Arial" w:cs="Arial"/>
                <w:b/>
                <w:bCs/>
                <w:color w:val="000000"/>
                <w:sz w:val="18"/>
                <w:szCs w:val="18"/>
                <w:lang w:eastAsia="en-GB"/>
              </w:rPr>
              <w:t>Heart</w:t>
            </w:r>
            <w:r w:rsidRPr="009D785C">
              <w:rPr>
                <w:rFonts w:ascii="Arial" w:eastAsia="Times New Roman" w:hAnsi="Arial" w:cs="Arial"/>
                <w:b/>
                <w:bCs/>
                <w:color w:val="000000"/>
                <w:sz w:val="18"/>
                <w:szCs w:val="18"/>
                <w:lang w:eastAsia="en-GB"/>
              </w:rPr>
              <w:br/>
              <w:t>cost ratios</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F44623" w:rsidRPr="009D785C" w:rsidRDefault="00F44623" w:rsidP="00F44623">
            <w:pPr>
              <w:spacing w:after="0" w:line="240" w:lineRule="auto"/>
              <w:rPr>
                <w:rFonts w:ascii="Arial" w:eastAsia="Times New Roman" w:hAnsi="Arial" w:cs="Arial"/>
                <w:b/>
                <w:bCs/>
                <w:color w:val="000000"/>
                <w:sz w:val="18"/>
                <w:szCs w:val="18"/>
                <w:lang w:eastAsia="en-GB"/>
              </w:rPr>
            </w:pPr>
            <w:r w:rsidRPr="009D785C">
              <w:rPr>
                <w:rFonts w:ascii="Arial" w:eastAsia="Times New Roman" w:hAnsi="Arial" w:cs="Arial"/>
                <w:b/>
                <w:bCs/>
                <w:color w:val="000000"/>
                <w:sz w:val="18"/>
                <w:szCs w:val="18"/>
                <w:lang w:eastAsia="en-GB"/>
              </w:rPr>
              <w:t>Digestive</w:t>
            </w:r>
            <w:r w:rsidRPr="009D785C">
              <w:rPr>
                <w:rFonts w:ascii="Arial" w:eastAsia="Times New Roman" w:hAnsi="Arial" w:cs="Arial"/>
                <w:b/>
                <w:bCs/>
                <w:color w:val="000000"/>
                <w:sz w:val="18"/>
                <w:szCs w:val="18"/>
                <w:lang w:eastAsia="en-GB"/>
              </w:rPr>
              <w:br/>
              <w:t>cost ratios</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F44623" w:rsidRPr="009D785C" w:rsidRDefault="00F44623" w:rsidP="00F44623">
            <w:pPr>
              <w:spacing w:after="0" w:line="240" w:lineRule="auto"/>
              <w:rPr>
                <w:rFonts w:ascii="Arial" w:eastAsia="Times New Roman" w:hAnsi="Arial" w:cs="Arial"/>
                <w:b/>
                <w:bCs/>
                <w:color w:val="000000"/>
                <w:sz w:val="18"/>
                <w:szCs w:val="18"/>
                <w:lang w:eastAsia="en-GB"/>
              </w:rPr>
            </w:pPr>
            <w:r w:rsidRPr="009D785C">
              <w:rPr>
                <w:rFonts w:ascii="Arial" w:eastAsia="Times New Roman" w:hAnsi="Arial" w:cs="Arial"/>
                <w:b/>
                <w:bCs/>
                <w:color w:val="000000"/>
                <w:sz w:val="18"/>
                <w:szCs w:val="18"/>
                <w:lang w:eastAsia="en-GB"/>
              </w:rPr>
              <w:t xml:space="preserve">Injury </w:t>
            </w:r>
            <w:r w:rsidRPr="009D785C">
              <w:rPr>
                <w:rFonts w:ascii="Arial" w:eastAsia="Times New Roman" w:hAnsi="Arial" w:cs="Arial"/>
                <w:b/>
                <w:bCs/>
                <w:color w:val="000000"/>
                <w:sz w:val="18"/>
                <w:szCs w:val="18"/>
                <w:lang w:eastAsia="en-GB"/>
              </w:rPr>
              <w:br/>
              <w:t xml:space="preserve">cost </w:t>
            </w:r>
            <w:r w:rsidRPr="009D785C">
              <w:rPr>
                <w:rFonts w:ascii="Arial" w:eastAsia="Times New Roman" w:hAnsi="Arial" w:cs="Arial"/>
                <w:b/>
                <w:bCs/>
                <w:color w:val="000000"/>
                <w:sz w:val="18"/>
                <w:szCs w:val="18"/>
                <w:lang w:eastAsia="en-GB"/>
              </w:rPr>
              <w:br/>
              <w:t>ratios</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F44623" w:rsidRPr="009D785C" w:rsidRDefault="00F44623" w:rsidP="00F44623">
            <w:pPr>
              <w:spacing w:after="0" w:line="240" w:lineRule="auto"/>
              <w:rPr>
                <w:rFonts w:ascii="Arial" w:eastAsia="Times New Roman" w:hAnsi="Arial" w:cs="Arial"/>
                <w:b/>
                <w:bCs/>
                <w:color w:val="000000"/>
                <w:sz w:val="18"/>
                <w:szCs w:val="18"/>
                <w:lang w:eastAsia="en-GB"/>
              </w:rPr>
            </w:pPr>
            <w:r w:rsidRPr="009D785C">
              <w:rPr>
                <w:rFonts w:ascii="Arial" w:eastAsia="Times New Roman" w:hAnsi="Arial" w:cs="Arial"/>
                <w:b/>
                <w:bCs/>
                <w:color w:val="000000"/>
                <w:sz w:val="18"/>
                <w:szCs w:val="18"/>
                <w:lang w:eastAsia="en-GB"/>
              </w:rPr>
              <w:t>Other</w:t>
            </w:r>
            <w:r w:rsidRPr="009D785C">
              <w:rPr>
                <w:rFonts w:ascii="Arial" w:eastAsia="Times New Roman" w:hAnsi="Arial" w:cs="Arial"/>
                <w:b/>
                <w:bCs/>
                <w:color w:val="000000"/>
                <w:sz w:val="18"/>
                <w:szCs w:val="18"/>
                <w:lang w:eastAsia="en-GB"/>
              </w:rPr>
              <w:br/>
              <w:t>cost ratios</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F44623" w:rsidRPr="009D785C" w:rsidRDefault="00F44623" w:rsidP="00F44623">
            <w:pPr>
              <w:spacing w:after="0" w:line="240" w:lineRule="auto"/>
              <w:rPr>
                <w:rFonts w:ascii="Arial" w:eastAsia="Times New Roman" w:hAnsi="Arial" w:cs="Arial"/>
                <w:b/>
                <w:bCs/>
                <w:color w:val="000000"/>
                <w:sz w:val="18"/>
                <w:szCs w:val="18"/>
                <w:lang w:eastAsia="en-GB"/>
              </w:rPr>
            </w:pPr>
            <w:r w:rsidRPr="009D785C">
              <w:rPr>
                <w:rFonts w:ascii="Arial" w:eastAsia="Times New Roman" w:hAnsi="Arial" w:cs="Arial"/>
                <w:b/>
                <w:bCs/>
                <w:color w:val="000000"/>
                <w:sz w:val="18"/>
                <w:szCs w:val="18"/>
                <w:lang w:eastAsia="en-GB"/>
              </w:rPr>
              <w:t>Respiratory</w:t>
            </w:r>
            <w:r w:rsidRPr="009D785C">
              <w:rPr>
                <w:rFonts w:ascii="Arial" w:eastAsia="Times New Roman" w:hAnsi="Arial" w:cs="Arial"/>
                <w:b/>
                <w:bCs/>
                <w:color w:val="000000"/>
                <w:sz w:val="18"/>
                <w:szCs w:val="18"/>
                <w:lang w:eastAsia="en-GB"/>
              </w:rPr>
              <w:br/>
              <w:t>cost ratios</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F44623" w:rsidRPr="009D785C" w:rsidRDefault="00F44623" w:rsidP="00F44623">
            <w:pPr>
              <w:spacing w:after="0" w:line="240" w:lineRule="auto"/>
              <w:rPr>
                <w:rFonts w:ascii="Arial" w:eastAsia="Times New Roman" w:hAnsi="Arial" w:cs="Arial"/>
                <w:b/>
                <w:bCs/>
                <w:color w:val="000000"/>
                <w:sz w:val="18"/>
                <w:szCs w:val="18"/>
                <w:lang w:eastAsia="en-GB"/>
              </w:rPr>
            </w:pPr>
            <w:r w:rsidRPr="009D785C">
              <w:rPr>
                <w:rFonts w:ascii="Arial" w:eastAsia="Times New Roman" w:hAnsi="Arial" w:cs="Arial"/>
                <w:b/>
                <w:bCs/>
                <w:color w:val="000000"/>
                <w:sz w:val="18"/>
                <w:szCs w:val="18"/>
                <w:lang w:eastAsia="en-GB"/>
              </w:rPr>
              <w:t>Outpatients</w:t>
            </w:r>
            <w:r w:rsidRPr="009D785C">
              <w:rPr>
                <w:rFonts w:ascii="Arial" w:eastAsia="Times New Roman" w:hAnsi="Arial" w:cs="Arial"/>
                <w:b/>
                <w:bCs/>
                <w:color w:val="000000"/>
                <w:sz w:val="18"/>
                <w:szCs w:val="18"/>
                <w:lang w:eastAsia="en-GB"/>
              </w:rPr>
              <w:br/>
              <w:t>cost ratios</w:t>
            </w:r>
          </w:p>
        </w:tc>
      </w:tr>
      <w:tr w:rsidR="00F44623" w:rsidRPr="009D785C" w:rsidTr="00F44623">
        <w:trPr>
          <w:trHeight w:val="300"/>
        </w:trPr>
        <w:tc>
          <w:tcPr>
            <w:tcW w:w="9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44623" w:rsidRPr="009D785C" w:rsidRDefault="009D785C" w:rsidP="00F44623">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1 year </w:t>
            </w:r>
            <w:r w:rsidR="00F44623" w:rsidRPr="009D785C">
              <w:rPr>
                <w:rFonts w:ascii="Arial" w:eastAsia="Times New Roman" w:hAnsi="Arial" w:cs="Arial"/>
                <w:color w:val="000000"/>
                <w:sz w:val="18"/>
                <w:szCs w:val="18"/>
                <w:lang w:eastAsia="en-GB"/>
              </w:rPr>
              <w:t>Data Zones</w:t>
            </w:r>
          </w:p>
        </w:tc>
        <w:tc>
          <w:tcPr>
            <w:tcW w:w="320"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rPr>
                <w:rFonts w:ascii="Arial" w:eastAsia="Times New Roman" w:hAnsi="Arial" w:cs="Arial"/>
                <w:b/>
                <w:color w:val="000000"/>
                <w:sz w:val="18"/>
                <w:szCs w:val="18"/>
                <w:lang w:eastAsia="en-GB"/>
              </w:rPr>
            </w:pPr>
            <w:r w:rsidRPr="009D785C">
              <w:rPr>
                <w:rFonts w:ascii="Arial" w:eastAsia="Times New Roman" w:hAnsi="Arial" w:cs="Arial"/>
                <w:b/>
                <w:color w:val="000000"/>
                <w:sz w:val="18"/>
                <w:szCs w:val="18"/>
                <w:lang w:eastAsia="en-GB"/>
              </w:rPr>
              <w:t>SMR</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0.121</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0.227</w:t>
            </w:r>
          </w:p>
        </w:tc>
        <w:tc>
          <w:tcPr>
            <w:tcW w:w="521"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0.330</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0.241</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0.380</w:t>
            </w:r>
          </w:p>
        </w:tc>
        <w:tc>
          <w:tcPr>
            <w:tcW w:w="624"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0.366</w:t>
            </w:r>
          </w:p>
        </w:tc>
        <w:tc>
          <w:tcPr>
            <w:tcW w:w="624"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0.265</w:t>
            </w:r>
          </w:p>
        </w:tc>
      </w:tr>
      <w:tr w:rsidR="00F44623" w:rsidRPr="009D785C" w:rsidTr="00F44623">
        <w:trPr>
          <w:trHeight w:val="300"/>
        </w:trPr>
        <w:tc>
          <w:tcPr>
            <w:tcW w:w="943" w:type="pct"/>
            <w:vMerge/>
            <w:tcBorders>
              <w:top w:val="nil"/>
              <w:left w:val="single" w:sz="4" w:space="0" w:color="auto"/>
              <w:bottom w:val="single" w:sz="4" w:space="0" w:color="auto"/>
              <w:right w:val="single" w:sz="4" w:space="0" w:color="auto"/>
            </w:tcBorders>
            <w:vAlign w:val="center"/>
            <w:hideMark/>
          </w:tcPr>
          <w:p w:rsidR="00F44623" w:rsidRPr="009D785C" w:rsidRDefault="00F44623" w:rsidP="00F44623">
            <w:pPr>
              <w:spacing w:after="0" w:line="240" w:lineRule="auto"/>
              <w:rPr>
                <w:rFonts w:ascii="Arial" w:eastAsia="Times New Roman" w:hAnsi="Arial" w:cs="Arial"/>
                <w:color w:val="000000"/>
                <w:sz w:val="18"/>
                <w:szCs w:val="18"/>
                <w:lang w:eastAsia="en-GB"/>
              </w:rPr>
            </w:pPr>
          </w:p>
        </w:tc>
        <w:tc>
          <w:tcPr>
            <w:tcW w:w="320"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rPr>
                <w:rFonts w:ascii="Arial" w:eastAsia="Times New Roman" w:hAnsi="Arial" w:cs="Arial"/>
                <w:b/>
                <w:color w:val="000000"/>
                <w:sz w:val="18"/>
                <w:szCs w:val="18"/>
                <w:lang w:eastAsia="en-GB"/>
              </w:rPr>
            </w:pPr>
            <w:r w:rsidRPr="009D785C">
              <w:rPr>
                <w:rFonts w:ascii="Arial" w:eastAsia="Times New Roman" w:hAnsi="Arial" w:cs="Arial"/>
                <w:b/>
                <w:color w:val="000000"/>
                <w:sz w:val="18"/>
                <w:szCs w:val="18"/>
                <w:lang w:eastAsia="en-GB"/>
              </w:rPr>
              <w:t>LLTI</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0.152</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0.285</w:t>
            </w:r>
          </w:p>
        </w:tc>
        <w:tc>
          <w:tcPr>
            <w:tcW w:w="521"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0.403</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0.294</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0.474</w:t>
            </w:r>
          </w:p>
        </w:tc>
        <w:tc>
          <w:tcPr>
            <w:tcW w:w="624"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0.445</w:t>
            </w:r>
          </w:p>
        </w:tc>
        <w:tc>
          <w:tcPr>
            <w:tcW w:w="624"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0.359</w:t>
            </w:r>
          </w:p>
        </w:tc>
      </w:tr>
      <w:tr w:rsidR="00F44623" w:rsidRPr="009D785C" w:rsidTr="00F44623">
        <w:trPr>
          <w:trHeight w:val="300"/>
        </w:trPr>
        <w:tc>
          <w:tcPr>
            <w:tcW w:w="9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3 years Data Zones</w:t>
            </w:r>
          </w:p>
        </w:tc>
        <w:tc>
          <w:tcPr>
            <w:tcW w:w="320" w:type="pct"/>
            <w:tcBorders>
              <w:top w:val="nil"/>
              <w:left w:val="nil"/>
              <w:bottom w:val="single" w:sz="4" w:space="0" w:color="auto"/>
              <w:right w:val="single" w:sz="4" w:space="0" w:color="auto"/>
            </w:tcBorders>
            <w:shd w:val="clear" w:color="auto" w:fill="auto"/>
            <w:noWrap/>
            <w:vAlign w:val="bottom"/>
            <w:hideMark/>
          </w:tcPr>
          <w:p w:rsidR="00F44623" w:rsidRPr="009D785C" w:rsidRDefault="00F44623" w:rsidP="00F44623">
            <w:pPr>
              <w:spacing w:after="0" w:line="240" w:lineRule="auto"/>
              <w:rPr>
                <w:rFonts w:ascii="Arial" w:eastAsia="Times New Roman" w:hAnsi="Arial" w:cs="Arial"/>
                <w:b/>
                <w:color w:val="000000"/>
                <w:sz w:val="18"/>
                <w:szCs w:val="18"/>
                <w:lang w:eastAsia="en-GB"/>
              </w:rPr>
            </w:pPr>
            <w:r w:rsidRPr="009D785C">
              <w:rPr>
                <w:rFonts w:ascii="Arial" w:eastAsia="Times New Roman" w:hAnsi="Arial" w:cs="Arial"/>
                <w:b/>
                <w:color w:val="000000"/>
                <w:sz w:val="18"/>
                <w:szCs w:val="18"/>
                <w:lang w:eastAsia="en-GB"/>
              </w:rPr>
              <w:t>SMR</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0.221</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0.349</w:t>
            </w:r>
          </w:p>
        </w:tc>
        <w:tc>
          <w:tcPr>
            <w:tcW w:w="521"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0.439</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0.379</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0.491</w:t>
            </w:r>
          </w:p>
        </w:tc>
        <w:tc>
          <w:tcPr>
            <w:tcW w:w="624"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0.495</w:t>
            </w:r>
          </w:p>
        </w:tc>
        <w:tc>
          <w:tcPr>
            <w:tcW w:w="624"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0.313</w:t>
            </w:r>
          </w:p>
        </w:tc>
      </w:tr>
      <w:tr w:rsidR="00F44623" w:rsidRPr="009D785C" w:rsidTr="00F44623">
        <w:trPr>
          <w:trHeight w:val="300"/>
        </w:trPr>
        <w:tc>
          <w:tcPr>
            <w:tcW w:w="943" w:type="pct"/>
            <w:vMerge/>
            <w:tcBorders>
              <w:top w:val="nil"/>
              <w:left w:val="single" w:sz="4" w:space="0" w:color="auto"/>
              <w:bottom w:val="single" w:sz="4" w:space="0" w:color="auto"/>
              <w:right w:val="single" w:sz="4" w:space="0" w:color="auto"/>
            </w:tcBorders>
            <w:vAlign w:val="center"/>
            <w:hideMark/>
          </w:tcPr>
          <w:p w:rsidR="00F44623" w:rsidRPr="009D785C" w:rsidRDefault="00F44623" w:rsidP="00F44623">
            <w:pPr>
              <w:spacing w:after="0" w:line="240" w:lineRule="auto"/>
              <w:rPr>
                <w:rFonts w:ascii="Arial" w:eastAsia="Times New Roman" w:hAnsi="Arial" w:cs="Arial"/>
                <w:color w:val="000000"/>
                <w:sz w:val="18"/>
                <w:szCs w:val="18"/>
                <w:lang w:eastAsia="en-GB"/>
              </w:rPr>
            </w:pPr>
          </w:p>
        </w:tc>
        <w:tc>
          <w:tcPr>
            <w:tcW w:w="320" w:type="pct"/>
            <w:tcBorders>
              <w:top w:val="nil"/>
              <w:left w:val="nil"/>
              <w:bottom w:val="single" w:sz="4" w:space="0" w:color="auto"/>
              <w:right w:val="single" w:sz="4" w:space="0" w:color="auto"/>
            </w:tcBorders>
            <w:shd w:val="clear" w:color="auto" w:fill="auto"/>
            <w:noWrap/>
            <w:vAlign w:val="bottom"/>
            <w:hideMark/>
          </w:tcPr>
          <w:p w:rsidR="00F44623" w:rsidRPr="009D785C" w:rsidRDefault="00F44623" w:rsidP="00F44623">
            <w:pPr>
              <w:spacing w:after="0" w:line="240" w:lineRule="auto"/>
              <w:rPr>
                <w:rFonts w:ascii="Arial" w:eastAsia="Times New Roman" w:hAnsi="Arial" w:cs="Arial"/>
                <w:b/>
                <w:color w:val="000000"/>
                <w:sz w:val="18"/>
                <w:szCs w:val="18"/>
                <w:lang w:eastAsia="en-GB"/>
              </w:rPr>
            </w:pPr>
            <w:r w:rsidRPr="009D785C">
              <w:rPr>
                <w:rFonts w:ascii="Arial" w:eastAsia="Times New Roman" w:hAnsi="Arial" w:cs="Arial"/>
                <w:b/>
                <w:color w:val="000000"/>
                <w:sz w:val="18"/>
                <w:szCs w:val="18"/>
                <w:lang w:eastAsia="en-GB"/>
              </w:rPr>
              <w:t>LLTI</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0.226</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0.421</w:t>
            </w:r>
          </w:p>
        </w:tc>
        <w:tc>
          <w:tcPr>
            <w:tcW w:w="521"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0.545</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0.461</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0.613</w:t>
            </w:r>
          </w:p>
        </w:tc>
        <w:tc>
          <w:tcPr>
            <w:tcW w:w="624"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0.587</w:t>
            </w:r>
          </w:p>
        </w:tc>
        <w:tc>
          <w:tcPr>
            <w:tcW w:w="624"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0.419</w:t>
            </w:r>
          </w:p>
        </w:tc>
      </w:tr>
      <w:tr w:rsidR="00F44623" w:rsidRPr="009D785C" w:rsidTr="00F44623">
        <w:trPr>
          <w:trHeight w:val="300"/>
        </w:trPr>
        <w:tc>
          <w:tcPr>
            <w:tcW w:w="943" w:type="pct"/>
            <w:vMerge w:val="restart"/>
            <w:tcBorders>
              <w:top w:val="nil"/>
              <w:left w:val="single" w:sz="4" w:space="0" w:color="auto"/>
              <w:bottom w:val="single" w:sz="4" w:space="0" w:color="auto"/>
              <w:right w:val="single" w:sz="4" w:space="0" w:color="auto"/>
            </w:tcBorders>
            <w:shd w:val="clear" w:color="auto" w:fill="auto"/>
            <w:vAlign w:val="center"/>
            <w:hideMark/>
          </w:tcPr>
          <w:p w:rsidR="00F44623" w:rsidRPr="009D785C" w:rsidRDefault="00AC20DC" w:rsidP="00F44623">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1 year </w:t>
            </w:r>
            <w:r w:rsidR="00F44623" w:rsidRPr="009D785C">
              <w:rPr>
                <w:rFonts w:ascii="Arial" w:eastAsia="Times New Roman" w:hAnsi="Arial" w:cs="Arial"/>
                <w:color w:val="000000"/>
                <w:sz w:val="18"/>
                <w:szCs w:val="18"/>
                <w:lang w:eastAsia="en-GB"/>
              </w:rPr>
              <w:t xml:space="preserve">Intermediate </w:t>
            </w:r>
            <w:r w:rsidR="00F44623" w:rsidRPr="009D785C">
              <w:rPr>
                <w:rFonts w:ascii="Arial" w:eastAsia="Times New Roman" w:hAnsi="Arial" w:cs="Arial"/>
                <w:color w:val="000000"/>
                <w:sz w:val="18"/>
                <w:szCs w:val="18"/>
                <w:lang w:eastAsia="en-GB"/>
              </w:rPr>
              <w:br/>
              <w:t>Zones</w:t>
            </w:r>
          </w:p>
        </w:tc>
        <w:tc>
          <w:tcPr>
            <w:tcW w:w="320" w:type="pct"/>
            <w:tcBorders>
              <w:top w:val="nil"/>
              <w:left w:val="nil"/>
              <w:bottom w:val="single" w:sz="4" w:space="0" w:color="auto"/>
              <w:right w:val="single" w:sz="4" w:space="0" w:color="auto"/>
            </w:tcBorders>
            <w:shd w:val="clear" w:color="auto" w:fill="auto"/>
            <w:vAlign w:val="center"/>
            <w:hideMark/>
          </w:tcPr>
          <w:p w:rsidR="00F44623" w:rsidRPr="009D785C" w:rsidRDefault="00F44623" w:rsidP="00F44623">
            <w:pPr>
              <w:spacing w:after="0" w:line="240" w:lineRule="auto"/>
              <w:rPr>
                <w:rFonts w:ascii="Arial" w:eastAsia="Times New Roman" w:hAnsi="Arial" w:cs="Arial"/>
                <w:b/>
                <w:color w:val="000000"/>
                <w:sz w:val="18"/>
                <w:szCs w:val="18"/>
                <w:lang w:eastAsia="en-GB"/>
              </w:rPr>
            </w:pPr>
            <w:r w:rsidRPr="009D785C">
              <w:rPr>
                <w:rFonts w:ascii="Arial" w:eastAsia="Times New Roman" w:hAnsi="Arial" w:cs="Arial"/>
                <w:b/>
                <w:color w:val="000000"/>
                <w:sz w:val="18"/>
                <w:szCs w:val="18"/>
                <w:lang w:eastAsia="en-GB"/>
              </w:rPr>
              <w:t>SMR</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0.285</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0.492</w:t>
            </w:r>
          </w:p>
        </w:tc>
        <w:tc>
          <w:tcPr>
            <w:tcW w:w="521"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0.585</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0.444</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0.645</w:t>
            </w:r>
          </w:p>
        </w:tc>
        <w:tc>
          <w:tcPr>
            <w:tcW w:w="624"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0.674</w:t>
            </w:r>
          </w:p>
        </w:tc>
        <w:tc>
          <w:tcPr>
            <w:tcW w:w="624"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0.424</w:t>
            </w:r>
          </w:p>
        </w:tc>
      </w:tr>
      <w:tr w:rsidR="00F44623" w:rsidRPr="009D785C" w:rsidTr="00F44623">
        <w:trPr>
          <w:trHeight w:val="300"/>
        </w:trPr>
        <w:tc>
          <w:tcPr>
            <w:tcW w:w="943" w:type="pct"/>
            <w:vMerge/>
            <w:tcBorders>
              <w:top w:val="nil"/>
              <w:left w:val="single" w:sz="4" w:space="0" w:color="auto"/>
              <w:bottom w:val="single" w:sz="4" w:space="0" w:color="auto"/>
              <w:right w:val="single" w:sz="4" w:space="0" w:color="auto"/>
            </w:tcBorders>
            <w:vAlign w:val="center"/>
            <w:hideMark/>
          </w:tcPr>
          <w:p w:rsidR="00F44623" w:rsidRPr="009D785C" w:rsidRDefault="00F44623" w:rsidP="00F44623">
            <w:pPr>
              <w:spacing w:after="0" w:line="240" w:lineRule="auto"/>
              <w:rPr>
                <w:rFonts w:ascii="Arial" w:eastAsia="Times New Roman" w:hAnsi="Arial" w:cs="Arial"/>
                <w:color w:val="000000"/>
                <w:sz w:val="18"/>
                <w:szCs w:val="18"/>
                <w:lang w:eastAsia="en-GB"/>
              </w:rPr>
            </w:pPr>
          </w:p>
        </w:tc>
        <w:tc>
          <w:tcPr>
            <w:tcW w:w="320" w:type="pct"/>
            <w:tcBorders>
              <w:top w:val="nil"/>
              <w:left w:val="nil"/>
              <w:bottom w:val="single" w:sz="4" w:space="0" w:color="auto"/>
              <w:right w:val="single" w:sz="4" w:space="0" w:color="auto"/>
            </w:tcBorders>
            <w:shd w:val="clear" w:color="auto" w:fill="auto"/>
            <w:noWrap/>
            <w:vAlign w:val="bottom"/>
            <w:hideMark/>
          </w:tcPr>
          <w:p w:rsidR="00F44623" w:rsidRPr="009D785C" w:rsidRDefault="00F44623" w:rsidP="00F44623">
            <w:pPr>
              <w:spacing w:after="0" w:line="240" w:lineRule="auto"/>
              <w:rPr>
                <w:rFonts w:ascii="Arial" w:eastAsia="Times New Roman" w:hAnsi="Arial" w:cs="Arial"/>
                <w:b/>
                <w:color w:val="000000"/>
                <w:sz w:val="18"/>
                <w:szCs w:val="18"/>
                <w:lang w:eastAsia="en-GB"/>
              </w:rPr>
            </w:pPr>
            <w:r w:rsidRPr="009D785C">
              <w:rPr>
                <w:rFonts w:ascii="Arial" w:eastAsia="Times New Roman" w:hAnsi="Arial" w:cs="Arial"/>
                <w:b/>
                <w:color w:val="000000"/>
                <w:sz w:val="18"/>
                <w:szCs w:val="18"/>
                <w:lang w:eastAsia="en-GB"/>
              </w:rPr>
              <w:t>LLTI</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0.278</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0.502</w:t>
            </w:r>
          </w:p>
        </w:tc>
        <w:tc>
          <w:tcPr>
            <w:tcW w:w="521"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0.623</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0.459</w:t>
            </w:r>
          </w:p>
        </w:tc>
        <w:tc>
          <w:tcPr>
            <w:tcW w:w="492"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0.68</w:t>
            </w:r>
            <w:r w:rsidR="00B117C8" w:rsidRPr="009D785C">
              <w:rPr>
                <w:rFonts w:ascii="Arial" w:eastAsia="Times New Roman" w:hAnsi="Arial" w:cs="Arial"/>
                <w:color w:val="000000"/>
                <w:sz w:val="18"/>
                <w:szCs w:val="18"/>
                <w:lang w:eastAsia="en-GB"/>
              </w:rPr>
              <w:t>0</w:t>
            </w:r>
          </w:p>
        </w:tc>
        <w:tc>
          <w:tcPr>
            <w:tcW w:w="624"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0.706</w:t>
            </w:r>
          </w:p>
        </w:tc>
        <w:tc>
          <w:tcPr>
            <w:tcW w:w="624" w:type="pct"/>
            <w:tcBorders>
              <w:top w:val="nil"/>
              <w:left w:val="nil"/>
              <w:bottom w:val="single" w:sz="4" w:space="0" w:color="auto"/>
              <w:right w:val="single" w:sz="4" w:space="0" w:color="auto"/>
            </w:tcBorders>
            <w:shd w:val="clear" w:color="auto" w:fill="auto"/>
            <w:noWrap/>
            <w:vAlign w:val="center"/>
            <w:hideMark/>
          </w:tcPr>
          <w:p w:rsidR="00F44623" w:rsidRPr="009D785C" w:rsidRDefault="00F44623" w:rsidP="00F44623">
            <w:pPr>
              <w:spacing w:after="0" w:line="240" w:lineRule="auto"/>
              <w:jc w:val="right"/>
              <w:rPr>
                <w:rFonts w:ascii="Arial" w:eastAsia="Times New Roman" w:hAnsi="Arial" w:cs="Arial"/>
                <w:color w:val="000000"/>
                <w:sz w:val="18"/>
                <w:szCs w:val="18"/>
                <w:lang w:eastAsia="en-GB"/>
              </w:rPr>
            </w:pPr>
            <w:r w:rsidRPr="009D785C">
              <w:rPr>
                <w:rFonts w:ascii="Arial" w:eastAsia="Times New Roman" w:hAnsi="Arial" w:cs="Arial"/>
                <w:color w:val="000000"/>
                <w:sz w:val="18"/>
                <w:szCs w:val="18"/>
                <w:lang w:eastAsia="en-GB"/>
              </w:rPr>
              <w:t>0.467</w:t>
            </w:r>
          </w:p>
        </w:tc>
      </w:tr>
    </w:tbl>
    <w:p w:rsidR="00B117C8" w:rsidRDefault="00B117C8" w:rsidP="00B117C8">
      <w:pPr>
        <w:spacing w:after="0"/>
        <w:jc w:val="both"/>
        <w:rPr>
          <w:rFonts w:ascii="Arial" w:hAnsi="Arial" w:cs="Arial"/>
          <w:b/>
        </w:rPr>
      </w:pPr>
    </w:p>
    <w:p w:rsidR="001E4A9F" w:rsidRDefault="009C65CF" w:rsidP="00B117C8">
      <w:pPr>
        <w:spacing w:after="0"/>
        <w:jc w:val="both"/>
        <w:rPr>
          <w:rFonts w:ascii="Arial" w:hAnsi="Arial" w:cs="Arial"/>
        </w:rPr>
      </w:pPr>
      <w:r>
        <w:rPr>
          <w:rFonts w:ascii="Arial" w:hAnsi="Arial" w:cs="Arial"/>
        </w:rPr>
        <w:t>At Data Zone level</w:t>
      </w:r>
      <w:r w:rsidR="001F335E">
        <w:rPr>
          <w:rFonts w:ascii="Arial" w:hAnsi="Arial" w:cs="Arial"/>
        </w:rPr>
        <w:t>,</w:t>
      </w:r>
      <w:r>
        <w:rPr>
          <w:rFonts w:ascii="Arial" w:hAnsi="Arial" w:cs="Arial"/>
        </w:rPr>
        <w:t xml:space="preserve"> LLTI ratio</w:t>
      </w:r>
      <w:r w:rsidR="00180CFC" w:rsidRPr="00180CFC">
        <w:rPr>
          <w:rFonts w:ascii="Arial" w:hAnsi="Arial" w:cs="Arial"/>
        </w:rPr>
        <w:t xml:space="preserve"> is correlated a bit stronger</w:t>
      </w:r>
      <w:r>
        <w:rPr>
          <w:rFonts w:ascii="Arial" w:hAnsi="Arial" w:cs="Arial"/>
        </w:rPr>
        <w:t xml:space="preserve"> to the cost r</w:t>
      </w:r>
      <w:r w:rsidR="007A0D18">
        <w:rPr>
          <w:rFonts w:ascii="Arial" w:hAnsi="Arial" w:cs="Arial"/>
        </w:rPr>
        <w:t>atios than SMR</w:t>
      </w:r>
      <w:r w:rsidR="00D71669">
        <w:rPr>
          <w:rFonts w:ascii="Arial" w:hAnsi="Arial" w:cs="Arial"/>
        </w:rPr>
        <w:t xml:space="preserve"> is</w:t>
      </w:r>
      <w:r w:rsidR="00180CFC" w:rsidRPr="00180CFC">
        <w:rPr>
          <w:rFonts w:ascii="Arial" w:hAnsi="Arial" w:cs="Arial"/>
        </w:rPr>
        <w:t>. At Intermediate Zone level the c</w:t>
      </w:r>
      <w:r w:rsidR="00A61FCD">
        <w:rPr>
          <w:rFonts w:ascii="Arial" w:hAnsi="Arial" w:cs="Arial"/>
        </w:rPr>
        <w:t>orrelation between SMR and the cost r</w:t>
      </w:r>
      <w:r w:rsidR="00180CFC" w:rsidRPr="00180CFC">
        <w:rPr>
          <w:rFonts w:ascii="Arial" w:hAnsi="Arial" w:cs="Arial"/>
        </w:rPr>
        <w:t>atios is higher</w:t>
      </w:r>
      <w:r w:rsidR="00635FC6">
        <w:rPr>
          <w:rFonts w:ascii="Arial" w:hAnsi="Arial" w:cs="Arial"/>
        </w:rPr>
        <w:t xml:space="preserve"> than LLTI</w:t>
      </w:r>
      <w:r w:rsidR="00180CFC" w:rsidRPr="00180CFC">
        <w:rPr>
          <w:rFonts w:ascii="Arial" w:hAnsi="Arial" w:cs="Arial"/>
        </w:rPr>
        <w:t xml:space="preserve"> only for Cancer. </w:t>
      </w:r>
      <w:r w:rsidR="002D189E">
        <w:rPr>
          <w:rFonts w:ascii="Arial" w:hAnsi="Arial" w:cs="Arial"/>
        </w:rPr>
        <w:t>SMR is believed t</w:t>
      </w:r>
      <w:r w:rsidR="002E1E41">
        <w:rPr>
          <w:rFonts w:ascii="Arial" w:hAnsi="Arial" w:cs="Arial"/>
        </w:rPr>
        <w:t xml:space="preserve">o be a strong predictor of need; </w:t>
      </w:r>
      <w:r w:rsidR="002D189E">
        <w:rPr>
          <w:rFonts w:ascii="Arial" w:hAnsi="Arial" w:cs="Arial"/>
        </w:rPr>
        <w:t xml:space="preserve">its strength </w:t>
      </w:r>
      <w:r w:rsidR="002E1E41">
        <w:rPr>
          <w:rFonts w:ascii="Arial" w:hAnsi="Arial" w:cs="Arial"/>
        </w:rPr>
        <w:t>may have</w:t>
      </w:r>
      <w:r w:rsidR="002D189E">
        <w:rPr>
          <w:rFonts w:ascii="Arial" w:hAnsi="Arial" w:cs="Arial"/>
        </w:rPr>
        <w:t xml:space="preserve"> changed over time since</w:t>
      </w:r>
      <w:r w:rsidR="00365BAB">
        <w:rPr>
          <w:rFonts w:ascii="Arial" w:hAnsi="Arial" w:cs="Arial"/>
        </w:rPr>
        <w:t xml:space="preserve"> as the population ages, an</w:t>
      </w:r>
      <w:r w:rsidR="00653507">
        <w:rPr>
          <w:rFonts w:ascii="Arial" w:hAnsi="Arial" w:cs="Arial"/>
        </w:rPr>
        <w:t xml:space="preserve"> increasing proportion of people are living with multiple health conditions</w:t>
      </w:r>
      <w:r w:rsidR="002D189E">
        <w:rPr>
          <w:rFonts w:ascii="Arial" w:hAnsi="Arial" w:cs="Arial"/>
        </w:rPr>
        <w:t xml:space="preserve">. </w:t>
      </w:r>
      <w:r w:rsidR="00180CFC" w:rsidRPr="00180CFC">
        <w:rPr>
          <w:rFonts w:ascii="Arial" w:hAnsi="Arial" w:cs="Arial"/>
        </w:rPr>
        <w:t>Overall, the correlations suggest that LLTI may be a bi</w:t>
      </w:r>
      <w:r w:rsidR="001E4A9F">
        <w:rPr>
          <w:rFonts w:ascii="Arial" w:hAnsi="Arial" w:cs="Arial"/>
        </w:rPr>
        <w:t>t stronger predictor of need</w:t>
      </w:r>
      <w:r w:rsidR="00D71669">
        <w:rPr>
          <w:rFonts w:ascii="Arial" w:hAnsi="Arial" w:cs="Arial"/>
        </w:rPr>
        <w:t>;</w:t>
      </w:r>
      <w:r w:rsidR="00180CFC" w:rsidRPr="00180CFC">
        <w:rPr>
          <w:rFonts w:ascii="Arial" w:hAnsi="Arial" w:cs="Arial"/>
        </w:rPr>
        <w:t xml:space="preserve"> this </w:t>
      </w:r>
      <w:r w:rsidR="00D71669">
        <w:rPr>
          <w:rFonts w:ascii="Arial" w:hAnsi="Arial" w:cs="Arial"/>
        </w:rPr>
        <w:t>is</w:t>
      </w:r>
      <w:r w:rsidR="00180CFC" w:rsidRPr="00180CFC">
        <w:rPr>
          <w:rFonts w:ascii="Arial" w:hAnsi="Arial" w:cs="Arial"/>
        </w:rPr>
        <w:t xml:space="preserve"> formally checked in the regression analysis</w:t>
      </w:r>
      <w:r w:rsidR="00D71669">
        <w:rPr>
          <w:rFonts w:ascii="Arial" w:hAnsi="Arial" w:cs="Arial"/>
        </w:rPr>
        <w:t xml:space="preserve"> in section 2.3</w:t>
      </w:r>
      <w:r w:rsidR="00180CFC" w:rsidRPr="00180CFC">
        <w:rPr>
          <w:rFonts w:ascii="Arial" w:hAnsi="Arial" w:cs="Arial"/>
        </w:rPr>
        <w:t xml:space="preserve">. </w:t>
      </w:r>
      <w:r w:rsidR="00180CFC" w:rsidRPr="00180CFC">
        <w:rPr>
          <w:rFonts w:ascii="Arial" w:hAnsi="Arial" w:cs="Arial"/>
        </w:rPr>
        <w:lastRenderedPageBreak/>
        <w:t>Moreover, SM</w:t>
      </w:r>
      <w:r w:rsidR="007A0D18">
        <w:rPr>
          <w:rFonts w:ascii="Arial" w:hAnsi="Arial" w:cs="Arial"/>
        </w:rPr>
        <w:t>R is highly correlated to LLTI</w:t>
      </w:r>
      <w:r w:rsidR="00180CFC" w:rsidRPr="00180CFC">
        <w:rPr>
          <w:rFonts w:ascii="Arial" w:hAnsi="Arial" w:cs="Arial"/>
        </w:rPr>
        <w:t xml:space="preserve"> (</w:t>
      </w:r>
      <w:r w:rsidR="001F335E">
        <w:rPr>
          <w:rFonts w:ascii="Arial" w:hAnsi="Arial" w:cs="Arial"/>
        </w:rPr>
        <w:t xml:space="preserve">the </w:t>
      </w:r>
      <w:r w:rsidR="007A0D18">
        <w:rPr>
          <w:rFonts w:ascii="Arial" w:hAnsi="Arial" w:cs="Arial"/>
        </w:rPr>
        <w:t xml:space="preserve">correlation </w:t>
      </w:r>
      <w:r w:rsidR="001F335E">
        <w:rPr>
          <w:rFonts w:ascii="Arial" w:hAnsi="Arial" w:cs="Arial"/>
        </w:rPr>
        <w:t>is</w:t>
      </w:r>
      <w:r w:rsidR="007A0D18">
        <w:rPr>
          <w:rFonts w:ascii="Arial" w:hAnsi="Arial" w:cs="Arial"/>
        </w:rPr>
        <w:t xml:space="preserve"> </w:t>
      </w:r>
      <w:r w:rsidR="00180CFC" w:rsidRPr="00180CFC">
        <w:rPr>
          <w:rFonts w:ascii="Arial" w:hAnsi="Arial" w:cs="Arial"/>
        </w:rPr>
        <w:t xml:space="preserve">0.71 at Data Zone level and 0.89 at Intermediate Zone level) which means these two variables are collinear and they explain </w:t>
      </w:r>
      <w:r w:rsidR="006A0F93">
        <w:rPr>
          <w:rFonts w:ascii="Arial" w:hAnsi="Arial" w:cs="Arial"/>
        </w:rPr>
        <w:t xml:space="preserve">approximately </w:t>
      </w:r>
      <w:r w:rsidR="00180CFC" w:rsidRPr="00180CFC">
        <w:rPr>
          <w:rFonts w:ascii="Arial" w:hAnsi="Arial" w:cs="Arial"/>
        </w:rPr>
        <w:t>the same amount of the cost ratios’ variation.</w:t>
      </w:r>
      <w:r>
        <w:rPr>
          <w:rFonts w:ascii="Arial" w:hAnsi="Arial" w:cs="Arial"/>
        </w:rPr>
        <w:t xml:space="preserve"> This suggests the inclusion of one of them in the models </w:t>
      </w:r>
      <w:r w:rsidR="00D71669">
        <w:rPr>
          <w:rFonts w:ascii="Arial" w:hAnsi="Arial" w:cs="Arial"/>
        </w:rPr>
        <w:t xml:space="preserve">may be appropriate </w:t>
      </w:r>
      <w:r>
        <w:rPr>
          <w:rFonts w:ascii="Arial" w:hAnsi="Arial" w:cs="Arial"/>
        </w:rPr>
        <w:t>rather than both of them.</w:t>
      </w:r>
      <w:r w:rsidR="00180CFC" w:rsidRPr="00180CFC">
        <w:rPr>
          <w:rFonts w:ascii="Arial" w:hAnsi="Arial" w:cs="Arial"/>
        </w:rPr>
        <w:t xml:space="preserve"> </w:t>
      </w:r>
    </w:p>
    <w:p w:rsidR="00180CFC" w:rsidRPr="00180CFC" w:rsidRDefault="00180CFC" w:rsidP="00B117C8">
      <w:pPr>
        <w:spacing w:after="0"/>
        <w:jc w:val="both"/>
        <w:rPr>
          <w:rFonts w:ascii="Arial" w:hAnsi="Arial" w:cs="Arial"/>
        </w:rPr>
      </w:pPr>
      <w:r w:rsidRPr="00180CFC">
        <w:rPr>
          <w:rFonts w:ascii="Arial" w:hAnsi="Arial" w:cs="Arial"/>
        </w:rPr>
        <w:t xml:space="preserve">  </w:t>
      </w:r>
    </w:p>
    <w:p w:rsidR="00180CFC" w:rsidRPr="00180CFC" w:rsidRDefault="003C6BC2" w:rsidP="00180CFC">
      <w:pPr>
        <w:jc w:val="both"/>
        <w:rPr>
          <w:rFonts w:ascii="Arial" w:hAnsi="Arial" w:cs="Arial"/>
          <w:b/>
        </w:rPr>
      </w:pPr>
      <w:r>
        <w:rPr>
          <w:rFonts w:ascii="Arial" w:hAnsi="Arial" w:cs="Arial"/>
          <w:b/>
        </w:rPr>
        <w:t>2</w:t>
      </w:r>
      <w:r w:rsidR="00180CFC" w:rsidRPr="00180CFC">
        <w:rPr>
          <w:rFonts w:ascii="Arial" w:hAnsi="Arial" w:cs="Arial"/>
          <w:b/>
        </w:rPr>
        <w:t>.2 Scatter plots</w:t>
      </w:r>
    </w:p>
    <w:p w:rsidR="00180CFC" w:rsidRPr="00180CFC" w:rsidRDefault="009C65CF" w:rsidP="00180CFC">
      <w:pPr>
        <w:autoSpaceDE w:val="0"/>
        <w:autoSpaceDN w:val="0"/>
        <w:adjustRightInd w:val="0"/>
        <w:jc w:val="both"/>
        <w:rPr>
          <w:rFonts w:ascii="Arial" w:hAnsi="Arial" w:cs="Arial"/>
        </w:rPr>
      </w:pPr>
      <w:r>
        <w:rPr>
          <w:rFonts w:ascii="Arial" w:hAnsi="Arial" w:cs="Arial"/>
        </w:rPr>
        <w:t>Scatter plots of cost r</w:t>
      </w:r>
      <w:r w:rsidR="00180CFC" w:rsidRPr="00180CFC">
        <w:rPr>
          <w:rFonts w:ascii="Arial" w:hAnsi="Arial" w:cs="Arial"/>
        </w:rPr>
        <w:t xml:space="preserve">atios against </w:t>
      </w:r>
      <w:r w:rsidR="00D71669">
        <w:rPr>
          <w:rFonts w:ascii="Arial" w:hAnsi="Arial" w:cs="Arial"/>
        </w:rPr>
        <w:t xml:space="preserve">both </w:t>
      </w:r>
      <w:r w:rsidR="00180CFC" w:rsidRPr="00180CFC">
        <w:rPr>
          <w:rFonts w:ascii="Arial" w:hAnsi="Arial" w:cs="Arial"/>
        </w:rPr>
        <w:t xml:space="preserve">SMR </w:t>
      </w:r>
      <w:r w:rsidR="00D71669">
        <w:rPr>
          <w:rFonts w:ascii="Arial" w:hAnsi="Arial" w:cs="Arial"/>
        </w:rPr>
        <w:t xml:space="preserve">and </w:t>
      </w:r>
      <w:r w:rsidR="001E4A9F">
        <w:rPr>
          <w:rFonts w:ascii="Arial" w:hAnsi="Arial" w:cs="Arial"/>
        </w:rPr>
        <w:t xml:space="preserve">LLTI </w:t>
      </w:r>
      <w:r w:rsidR="007A0D18">
        <w:rPr>
          <w:rFonts w:ascii="Arial" w:hAnsi="Arial" w:cs="Arial"/>
        </w:rPr>
        <w:t>have been</w:t>
      </w:r>
      <w:r w:rsidR="00180CFC" w:rsidRPr="00180CFC">
        <w:rPr>
          <w:rFonts w:ascii="Arial" w:hAnsi="Arial" w:cs="Arial"/>
        </w:rPr>
        <w:t xml:space="preserve"> produced for all diagnostic groups at Data Zone </w:t>
      </w:r>
      <w:r>
        <w:rPr>
          <w:rFonts w:ascii="Arial" w:hAnsi="Arial" w:cs="Arial"/>
        </w:rPr>
        <w:t xml:space="preserve">level </w:t>
      </w:r>
      <w:r w:rsidR="00180CFC" w:rsidRPr="00180CFC">
        <w:rPr>
          <w:rFonts w:ascii="Arial" w:hAnsi="Arial" w:cs="Arial"/>
        </w:rPr>
        <w:t xml:space="preserve">and Intermediate Zone level. All scatter plots suggest the same overall impression that there is a positive relationship between </w:t>
      </w:r>
      <w:r w:rsidR="001E4A9F">
        <w:rPr>
          <w:rFonts w:ascii="Arial" w:hAnsi="Arial" w:cs="Arial"/>
        </w:rPr>
        <w:t>the exp</w:t>
      </w:r>
      <w:r>
        <w:rPr>
          <w:rFonts w:ascii="Arial" w:hAnsi="Arial" w:cs="Arial"/>
        </w:rPr>
        <w:t>lanatory variables and the cost r</w:t>
      </w:r>
      <w:r w:rsidR="001E4A9F">
        <w:rPr>
          <w:rFonts w:ascii="Arial" w:hAnsi="Arial" w:cs="Arial"/>
        </w:rPr>
        <w:t>atios</w:t>
      </w:r>
      <w:r w:rsidR="00180CFC" w:rsidRPr="00180CFC">
        <w:rPr>
          <w:rFonts w:ascii="Arial" w:hAnsi="Arial" w:cs="Arial"/>
        </w:rPr>
        <w:t xml:space="preserve">. The strength of the relationship </w:t>
      </w:r>
      <w:r w:rsidR="00D71669">
        <w:rPr>
          <w:rFonts w:ascii="Arial" w:hAnsi="Arial" w:cs="Arial"/>
        </w:rPr>
        <w:t>appears</w:t>
      </w:r>
      <w:r w:rsidR="00D71669" w:rsidRPr="00180CFC">
        <w:rPr>
          <w:rFonts w:ascii="Arial" w:hAnsi="Arial" w:cs="Arial"/>
        </w:rPr>
        <w:t xml:space="preserve"> </w:t>
      </w:r>
      <w:r w:rsidR="00180CFC" w:rsidRPr="00180CFC">
        <w:rPr>
          <w:rFonts w:ascii="Arial" w:hAnsi="Arial" w:cs="Arial"/>
        </w:rPr>
        <w:t xml:space="preserve">higher at Intermediate Zones (as already suggested by the correlations in Table </w:t>
      </w:r>
      <w:r w:rsidR="007A0D18">
        <w:rPr>
          <w:rFonts w:ascii="Arial" w:hAnsi="Arial" w:cs="Arial"/>
        </w:rPr>
        <w:t>1</w:t>
      </w:r>
      <w:r w:rsidR="00180CFC" w:rsidRPr="00180CFC">
        <w:rPr>
          <w:rFonts w:ascii="Arial" w:hAnsi="Arial" w:cs="Arial"/>
        </w:rPr>
        <w:t>).</w:t>
      </w:r>
      <w:r w:rsidR="007A0D18">
        <w:rPr>
          <w:rFonts w:ascii="Arial" w:hAnsi="Arial" w:cs="Arial"/>
        </w:rPr>
        <w:t xml:space="preserve"> </w:t>
      </w:r>
      <w:r w:rsidR="0066482C">
        <w:rPr>
          <w:rFonts w:ascii="Arial" w:hAnsi="Arial" w:cs="Arial"/>
        </w:rPr>
        <w:t xml:space="preserve">The most expensive diagnostic group, </w:t>
      </w:r>
      <w:r w:rsidR="007A0D18">
        <w:rPr>
          <w:rFonts w:ascii="Arial" w:hAnsi="Arial" w:cs="Arial"/>
        </w:rPr>
        <w:t>‘</w:t>
      </w:r>
      <w:r w:rsidR="00180CFC" w:rsidRPr="00180CFC">
        <w:rPr>
          <w:rFonts w:ascii="Arial" w:hAnsi="Arial" w:cs="Arial"/>
        </w:rPr>
        <w:t>Other</w:t>
      </w:r>
      <w:r w:rsidR="007A0D18">
        <w:rPr>
          <w:rFonts w:ascii="Arial" w:hAnsi="Arial" w:cs="Arial"/>
        </w:rPr>
        <w:t>’</w:t>
      </w:r>
      <w:r w:rsidR="0066482C">
        <w:rPr>
          <w:rFonts w:ascii="Arial" w:hAnsi="Arial" w:cs="Arial"/>
        </w:rPr>
        <w:t>, is</w:t>
      </w:r>
      <w:r w:rsidR="00180CFC" w:rsidRPr="00180CFC">
        <w:rPr>
          <w:rFonts w:ascii="Arial" w:hAnsi="Arial" w:cs="Arial"/>
        </w:rPr>
        <w:t xml:space="preserve"> chosen as an example</w:t>
      </w:r>
      <w:r w:rsidR="007A0D18">
        <w:rPr>
          <w:rFonts w:ascii="Arial" w:hAnsi="Arial" w:cs="Arial"/>
        </w:rPr>
        <w:t>,</w:t>
      </w:r>
      <w:r w:rsidR="00180CFC" w:rsidRPr="00180CFC">
        <w:rPr>
          <w:rFonts w:ascii="Arial" w:hAnsi="Arial" w:cs="Arial"/>
        </w:rPr>
        <w:t xml:space="preserve"> </w:t>
      </w:r>
      <w:r w:rsidR="00D71669">
        <w:rPr>
          <w:rFonts w:ascii="Arial" w:hAnsi="Arial" w:cs="Arial"/>
        </w:rPr>
        <w:t xml:space="preserve">for which scatter plots are </w:t>
      </w:r>
      <w:r w:rsidR="007A0D18">
        <w:rPr>
          <w:rFonts w:ascii="Arial" w:hAnsi="Arial" w:cs="Arial"/>
        </w:rPr>
        <w:t>shown</w:t>
      </w:r>
      <w:r w:rsidR="00B57E4A">
        <w:rPr>
          <w:rFonts w:ascii="Arial" w:hAnsi="Arial" w:cs="Arial"/>
        </w:rPr>
        <w:t xml:space="preserve"> below (Figure 1</w:t>
      </w:r>
      <w:r w:rsidR="00180CFC" w:rsidRPr="00180CFC">
        <w:rPr>
          <w:rFonts w:ascii="Arial" w:hAnsi="Arial" w:cs="Arial"/>
        </w:rPr>
        <w:t xml:space="preserve">) at both geography levels. </w:t>
      </w:r>
      <w:r w:rsidR="0066482C" w:rsidRPr="0066482C">
        <w:rPr>
          <w:rFonts w:ascii="Arial" w:hAnsi="Arial" w:cs="Arial"/>
        </w:rPr>
        <w:t xml:space="preserve">(See Annex </w:t>
      </w:r>
      <w:r w:rsidR="005C1566">
        <w:rPr>
          <w:rFonts w:ascii="Arial" w:hAnsi="Arial" w:cs="Arial"/>
        </w:rPr>
        <w:t>A</w:t>
      </w:r>
      <w:r w:rsidR="0066482C" w:rsidRPr="0066482C">
        <w:rPr>
          <w:rFonts w:ascii="Arial" w:hAnsi="Arial" w:cs="Arial"/>
        </w:rPr>
        <w:t xml:space="preserve"> for the actual </w:t>
      </w:r>
      <w:proofErr w:type="gramStart"/>
      <w:r w:rsidR="0066482C" w:rsidRPr="0066482C">
        <w:rPr>
          <w:rFonts w:ascii="Arial" w:hAnsi="Arial" w:cs="Arial"/>
        </w:rPr>
        <w:t>spend</w:t>
      </w:r>
      <w:proofErr w:type="gramEnd"/>
      <w:r w:rsidR="0066482C" w:rsidRPr="0066482C">
        <w:rPr>
          <w:rFonts w:ascii="Arial" w:hAnsi="Arial" w:cs="Arial"/>
        </w:rPr>
        <w:t xml:space="preserve"> in each diagnostic group.)</w:t>
      </w:r>
    </w:p>
    <w:p w:rsidR="004470A8" w:rsidRDefault="00D71669" w:rsidP="004470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79744" behindDoc="1" locked="0" layoutInCell="1" allowOverlap="1">
            <wp:simplePos x="0" y="0"/>
            <wp:positionH relativeFrom="column">
              <wp:posOffset>2628900</wp:posOffset>
            </wp:positionH>
            <wp:positionV relativeFrom="paragraph">
              <wp:posOffset>23495</wp:posOffset>
            </wp:positionV>
            <wp:extent cx="2914650" cy="2524125"/>
            <wp:effectExtent l="1905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914650" cy="252412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en-GB"/>
        </w:rPr>
        <w:drawing>
          <wp:anchor distT="0" distB="0" distL="114300" distR="114300" simplePos="0" relativeHeight="251680768" behindDoc="1" locked="0" layoutInCell="1" allowOverlap="1">
            <wp:simplePos x="0" y="0"/>
            <wp:positionH relativeFrom="column">
              <wp:posOffset>-466725</wp:posOffset>
            </wp:positionH>
            <wp:positionV relativeFrom="paragraph">
              <wp:posOffset>23495</wp:posOffset>
            </wp:positionV>
            <wp:extent cx="2914650" cy="2524125"/>
            <wp:effectExtent l="19050" t="0" r="0" b="0"/>
            <wp:wrapNone/>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914650" cy="2524125"/>
                    </a:xfrm>
                    <a:prstGeom prst="rect">
                      <a:avLst/>
                    </a:prstGeom>
                    <a:noFill/>
                    <a:ln w="9525">
                      <a:noFill/>
                      <a:miter lim="800000"/>
                      <a:headEnd/>
                      <a:tailEnd/>
                    </a:ln>
                  </pic:spPr>
                </pic:pic>
              </a:graphicData>
            </a:graphic>
          </wp:anchor>
        </w:drawing>
      </w:r>
    </w:p>
    <w:p w:rsidR="00EB34EE" w:rsidRDefault="00EB34EE" w:rsidP="00EB34EE">
      <w:pPr>
        <w:autoSpaceDE w:val="0"/>
        <w:autoSpaceDN w:val="0"/>
        <w:adjustRightInd w:val="0"/>
        <w:spacing w:after="0" w:line="240" w:lineRule="auto"/>
        <w:rPr>
          <w:rFonts w:ascii="Times New Roman" w:hAnsi="Times New Roman" w:cs="Times New Roman"/>
          <w:sz w:val="24"/>
          <w:szCs w:val="24"/>
        </w:rPr>
      </w:pPr>
    </w:p>
    <w:p w:rsidR="00EB34EE" w:rsidRDefault="00EB34EE" w:rsidP="00EB34EE">
      <w:pPr>
        <w:autoSpaceDE w:val="0"/>
        <w:autoSpaceDN w:val="0"/>
        <w:adjustRightInd w:val="0"/>
        <w:spacing w:after="0" w:line="240" w:lineRule="auto"/>
        <w:rPr>
          <w:rFonts w:ascii="Times New Roman" w:hAnsi="Times New Roman" w:cs="Times New Roman"/>
          <w:sz w:val="24"/>
          <w:szCs w:val="24"/>
        </w:rPr>
      </w:pPr>
    </w:p>
    <w:p w:rsidR="00EB34EE" w:rsidRDefault="00EB34EE" w:rsidP="00EB34EE">
      <w:pPr>
        <w:autoSpaceDE w:val="0"/>
        <w:autoSpaceDN w:val="0"/>
        <w:adjustRightInd w:val="0"/>
        <w:spacing w:after="0" w:line="400" w:lineRule="atLeast"/>
        <w:rPr>
          <w:rFonts w:ascii="Times New Roman" w:hAnsi="Times New Roman" w:cs="Times New Roman"/>
          <w:sz w:val="24"/>
          <w:szCs w:val="24"/>
        </w:rPr>
      </w:pPr>
    </w:p>
    <w:p w:rsidR="004470A8" w:rsidRDefault="004470A8" w:rsidP="004470A8">
      <w:pPr>
        <w:autoSpaceDE w:val="0"/>
        <w:autoSpaceDN w:val="0"/>
        <w:adjustRightInd w:val="0"/>
        <w:spacing w:after="0" w:line="240" w:lineRule="auto"/>
        <w:rPr>
          <w:rFonts w:ascii="Times New Roman" w:hAnsi="Times New Roman" w:cs="Times New Roman"/>
          <w:sz w:val="24"/>
          <w:szCs w:val="24"/>
        </w:rPr>
      </w:pPr>
    </w:p>
    <w:p w:rsidR="004470A8" w:rsidRDefault="004470A8" w:rsidP="004470A8">
      <w:pPr>
        <w:autoSpaceDE w:val="0"/>
        <w:autoSpaceDN w:val="0"/>
        <w:adjustRightInd w:val="0"/>
        <w:spacing w:after="0" w:line="400" w:lineRule="atLeast"/>
        <w:rPr>
          <w:rFonts w:ascii="Times New Roman" w:hAnsi="Times New Roman" w:cs="Times New Roman"/>
          <w:sz w:val="24"/>
          <w:szCs w:val="24"/>
        </w:rPr>
      </w:pPr>
    </w:p>
    <w:p w:rsidR="00FC75AD" w:rsidRDefault="00FC75AD" w:rsidP="00180CFC">
      <w:pPr>
        <w:autoSpaceDE w:val="0"/>
        <w:autoSpaceDN w:val="0"/>
        <w:adjustRightInd w:val="0"/>
        <w:rPr>
          <w:rFonts w:ascii="Arial" w:hAnsi="Arial" w:cs="Arial"/>
          <w:i/>
        </w:rPr>
      </w:pPr>
    </w:p>
    <w:p w:rsidR="004470A8" w:rsidRDefault="004470A8" w:rsidP="004470A8">
      <w:pPr>
        <w:autoSpaceDE w:val="0"/>
        <w:autoSpaceDN w:val="0"/>
        <w:adjustRightInd w:val="0"/>
        <w:spacing w:after="0" w:line="240" w:lineRule="auto"/>
        <w:rPr>
          <w:rFonts w:ascii="Times New Roman" w:hAnsi="Times New Roman" w:cs="Times New Roman"/>
          <w:sz w:val="24"/>
          <w:szCs w:val="24"/>
        </w:rPr>
      </w:pPr>
    </w:p>
    <w:p w:rsidR="004470A8" w:rsidRDefault="004470A8" w:rsidP="004470A8">
      <w:pPr>
        <w:autoSpaceDE w:val="0"/>
        <w:autoSpaceDN w:val="0"/>
        <w:adjustRightInd w:val="0"/>
        <w:spacing w:after="0" w:line="240" w:lineRule="auto"/>
        <w:rPr>
          <w:rFonts w:ascii="Times New Roman" w:hAnsi="Times New Roman" w:cs="Times New Roman"/>
          <w:sz w:val="24"/>
          <w:szCs w:val="24"/>
        </w:rPr>
      </w:pPr>
    </w:p>
    <w:p w:rsidR="004470A8" w:rsidRDefault="004470A8" w:rsidP="004470A8">
      <w:pPr>
        <w:autoSpaceDE w:val="0"/>
        <w:autoSpaceDN w:val="0"/>
        <w:adjustRightInd w:val="0"/>
        <w:spacing w:after="0" w:line="400" w:lineRule="atLeast"/>
        <w:rPr>
          <w:rFonts w:ascii="Times New Roman" w:hAnsi="Times New Roman" w:cs="Times New Roman"/>
          <w:sz w:val="24"/>
          <w:szCs w:val="24"/>
        </w:rPr>
      </w:pPr>
    </w:p>
    <w:p w:rsidR="00FC75AD" w:rsidRDefault="00FC75AD" w:rsidP="00180CFC">
      <w:pPr>
        <w:autoSpaceDE w:val="0"/>
        <w:autoSpaceDN w:val="0"/>
        <w:adjustRightInd w:val="0"/>
        <w:rPr>
          <w:rFonts w:ascii="Arial" w:hAnsi="Arial" w:cs="Arial"/>
          <w:i/>
        </w:rPr>
      </w:pPr>
    </w:p>
    <w:p w:rsidR="004470A8" w:rsidRDefault="004470A8" w:rsidP="004470A8">
      <w:pPr>
        <w:autoSpaceDE w:val="0"/>
        <w:autoSpaceDN w:val="0"/>
        <w:adjustRightInd w:val="0"/>
        <w:spacing w:after="0" w:line="240" w:lineRule="auto"/>
        <w:rPr>
          <w:rFonts w:ascii="Times New Roman" w:hAnsi="Times New Roman" w:cs="Times New Roman"/>
          <w:sz w:val="24"/>
          <w:szCs w:val="24"/>
        </w:rPr>
      </w:pPr>
    </w:p>
    <w:p w:rsidR="004470A8" w:rsidRDefault="004470A8" w:rsidP="004470A8">
      <w:pPr>
        <w:autoSpaceDE w:val="0"/>
        <w:autoSpaceDN w:val="0"/>
        <w:adjustRightInd w:val="0"/>
        <w:spacing w:after="0" w:line="240" w:lineRule="auto"/>
        <w:rPr>
          <w:rFonts w:ascii="Times New Roman" w:hAnsi="Times New Roman" w:cs="Times New Roman"/>
          <w:sz w:val="24"/>
          <w:szCs w:val="24"/>
        </w:rPr>
      </w:pPr>
    </w:p>
    <w:p w:rsidR="004470A8" w:rsidRDefault="008F6335" w:rsidP="004470A8">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77696" behindDoc="1" locked="0" layoutInCell="1" allowOverlap="1">
            <wp:simplePos x="0" y="0"/>
            <wp:positionH relativeFrom="column">
              <wp:posOffset>-466725</wp:posOffset>
            </wp:positionH>
            <wp:positionV relativeFrom="paragraph">
              <wp:posOffset>41275</wp:posOffset>
            </wp:positionV>
            <wp:extent cx="2914650" cy="2524125"/>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14650" cy="252412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en-GB"/>
        </w:rPr>
        <w:drawing>
          <wp:anchor distT="0" distB="0" distL="114300" distR="114300" simplePos="0" relativeHeight="251678720" behindDoc="1" locked="0" layoutInCell="1" allowOverlap="1">
            <wp:simplePos x="0" y="0"/>
            <wp:positionH relativeFrom="column">
              <wp:posOffset>2581275</wp:posOffset>
            </wp:positionH>
            <wp:positionV relativeFrom="paragraph">
              <wp:posOffset>41275</wp:posOffset>
            </wp:positionV>
            <wp:extent cx="2914650" cy="2524125"/>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914650" cy="2524125"/>
                    </a:xfrm>
                    <a:prstGeom prst="rect">
                      <a:avLst/>
                    </a:prstGeom>
                    <a:noFill/>
                    <a:ln w="9525">
                      <a:noFill/>
                      <a:miter lim="800000"/>
                      <a:headEnd/>
                      <a:tailEnd/>
                    </a:ln>
                  </pic:spPr>
                </pic:pic>
              </a:graphicData>
            </a:graphic>
          </wp:anchor>
        </w:drawing>
      </w:r>
    </w:p>
    <w:p w:rsidR="00FC75AD" w:rsidRDefault="00FC75AD" w:rsidP="004470A8">
      <w:pPr>
        <w:autoSpaceDE w:val="0"/>
        <w:autoSpaceDN w:val="0"/>
        <w:adjustRightInd w:val="0"/>
        <w:jc w:val="center"/>
        <w:rPr>
          <w:rFonts w:ascii="Arial" w:hAnsi="Arial" w:cs="Arial"/>
          <w:i/>
        </w:rPr>
      </w:pPr>
    </w:p>
    <w:p w:rsidR="009615FA" w:rsidRDefault="009615FA" w:rsidP="00180CFC">
      <w:pPr>
        <w:autoSpaceDE w:val="0"/>
        <w:autoSpaceDN w:val="0"/>
        <w:adjustRightInd w:val="0"/>
        <w:rPr>
          <w:rFonts w:ascii="Arial" w:hAnsi="Arial" w:cs="Arial"/>
          <w:i/>
        </w:rPr>
      </w:pPr>
    </w:p>
    <w:p w:rsidR="009615FA" w:rsidRDefault="009615FA" w:rsidP="00180CFC">
      <w:pPr>
        <w:autoSpaceDE w:val="0"/>
        <w:autoSpaceDN w:val="0"/>
        <w:adjustRightInd w:val="0"/>
        <w:rPr>
          <w:rFonts w:ascii="Arial" w:hAnsi="Arial" w:cs="Arial"/>
          <w:i/>
        </w:rPr>
      </w:pPr>
    </w:p>
    <w:p w:rsidR="009615FA" w:rsidRDefault="009615FA" w:rsidP="00180CFC">
      <w:pPr>
        <w:autoSpaceDE w:val="0"/>
        <w:autoSpaceDN w:val="0"/>
        <w:adjustRightInd w:val="0"/>
        <w:rPr>
          <w:rFonts w:ascii="Arial" w:hAnsi="Arial" w:cs="Arial"/>
          <w:i/>
        </w:rPr>
      </w:pPr>
    </w:p>
    <w:p w:rsidR="009615FA" w:rsidRDefault="009615FA" w:rsidP="00180CFC">
      <w:pPr>
        <w:autoSpaceDE w:val="0"/>
        <w:autoSpaceDN w:val="0"/>
        <w:adjustRightInd w:val="0"/>
        <w:rPr>
          <w:rFonts w:ascii="Arial" w:hAnsi="Arial" w:cs="Arial"/>
          <w:i/>
        </w:rPr>
      </w:pPr>
    </w:p>
    <w:p w:rsidR="005F30B5" w:rsidRDefault="005F30B5" w:rsidP="00180CFC">
      <w:pPr>
        <w:autoSpaceDE w:val="0"/>
        <w:autoSpaceDN w:val="0"/>
        <w:adjustRightInd w:val="0"/>
        <w:rPr>
          <w:rFonts w:ascii="Arial" w:hAnsi="Arial" w:cs="Arial"/>
          <w:i/>
        </w:rPr>
      </w:pPr>
    </w:p>
    <w:p w:rsidR="005F30B5" w:rsidRDefault="005F30B5" w:rsidP="00180CFC">
      <w:pPr>
        <w:autoSpaceDE w:val="0"/>
        <w:autoSpaceDN w:val="0"/>
        <w:adjustRightInd w:val="0"/>
        <w:rPr>
          <w:rFonts w:ascii="Arial" w:hAnsi="Arial" w:cs="Arial"/>
          <w:i/>
        </w:rPr>
      </w:pPr>
    </w:p>
    <w:p w:rsidR="001042B6" w:rsidRPr="001042B6" w:rsidRDefault="008F6335" w:rsidP="00180CFC">
      <w:pPr>
        <w:autoSpaceDE w:val="0"/>
        <w:autoSpaceDN w:val="0"/>
        <w:adjustRightInd w:val="0"/>
        <w:rPr>
          <w:rFonts w:ascii="Arial" w:hAnsi="Arial" w:cs="Arial"/>
          <w:i/>
        </w:rPr>
      </w:pPr>
      <w:r>
        <w:rPr>
          <w:rFonts w:ascii="Arial" w:hAnsi="Arial" w:cs="Arial"/>
          <w:i/>
          <w:noProof/>
          <w:lang w:eastAsia="en-GB"/>
        </w:rPr>
        <w:lastRenderedPageBreak/>
        <w:drawing>
          <wp:anchor distT="0" distB="0" distL="114300" distR="114300" simplePos="0" relativeHeight="251676672" behindDoc="0" locked="0" layoutInCell="1" allowOverlap="1">
            <wp:simplePos x="0" y="0"/>
            <wp:positionH relativeFrom="column">
              <wp:posOffset>2628900</wp:posOffset>
            </wp:positionH>
            <wp:positionV relativeFrom="paragraph">
              <wp:posOffset>-171450</wp:posOffset>
            </wp:positionV>
            <wp:extent cx="2914650" cy="2524125"/>
            <wp:effectExtent l="19050" t="0" r="0" b="0"/>
            <wp:wrapThrough wrapText="bothSides">
              <wp:wrapPolygon edited="0">
                <wp:start x="-141" y="0"/>
                <wp:lineTo x="-141" y="21518"/>
                <wp:lineTo x="21600" y="21518"/>
                <wp:lineTo x="21600" y="0"/>
                <wp:lineTo x="-141" y="0"/>
              </wp:wrapPolygon>
            </wp:wrapThrough>
            <wp:docPr id="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2914650" cy="2524125"/>
                    </a:xfrm>
                    <a:prstGeom prst="rect">
                      <a:avLst/>
                    </a:prstGeom>
                    <a:noFill/>
                    <a:ln w="9525">
                      <a:noFill/>
                      <a:miter lim="800000"/>
                      <a:headEnd/>
                      <a:tailEnd/>
                    </a:ln>
                  </pic:spPr>
                </pic:pic>
              </a:graphicData>
            </a:graphic>
          </wp:anchor>
        </w:drawing>
      </w:r>
      <w:r>
        <w:rPr>
          <w:rFonts w:ascii="Arial" w:hAnsi="Arial" w:cs="Arial"/>
          <w:i/>
          <w:noProof/>
          <w:lang w:eastAsia="en-GB"/>
        </w:rPr>
        <w:drawing>
          <wp:anchor distT="0" distB="0" distL="114300" distR="114300" simplePos="0" relativeHeight="251660288" behindDoc="0" locked="0" layoutInCell="1" allowOverlap="1">
            <wp:simplePos x="0" y="0"/>
            <wp:positionH relativeFrom="column">
              <wp:posOffset>-523875</wp:posOffset>
            </wp:positionH>
            <wp:positionV relativeFrom="paragraph">
              <wp:posOffset>-171450</wp:posOffset>
            </wp:positionV>
            <wp:extent cx="2914650" cy="2524125"/>
            <wp:effectExtent l="19050" t="0" r="0" b="0"/>
            <wp:wrapThrough wrapText="bothSides">
              <wp:wrapPolygon edited="0">
                <wp:start x="-141" y="0"/>
                <wp:lineTo x="-141" y="21518"/>
                <wp:lineTo x="21600" y="21518"/>
                <wp:lineTo x="21600" y="0"/>
                <wp:lineTo x="-141"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914650" cy="2524125"/>
                    </a:xfrm>
                    <a:prstGeom prst="rect">
                      <a:avLst/>
                    </a:prstGeom>
                    <a:noFill/>
                    <a:ln w="9525">
                      <a:noFill/>
                      <a:miter lim="800000"/>
                      <a:headEnd/>
                      <a:tailEnd/>
                    </a:ln>
                  </pic:spPr>
                </pic:pic>
              </a:graphicData>
            </a:graphic>
          </wp:anchor>
        </w:drawing>
      </w:r>
      <w:proofErr w:type="gramStart"/>
      <w:r w:rsidR="00B57E4A">
        <w:rPr>
          <w:rFonts w:ascii="Arial" w:hAnsi="Arial" w:cs="Arial"/>
          <w:i/>
        </w:rPr>
        <w:t>Figure 1</w:t>
      </w:r>
      <w:r w:rsidR="00085390">
        <w:rPr>
          <w:rFonts w:ascii="Arial" w:hAnsi="Arial" w:cs="Arial"/>
          <w:i/>
        </w:rPr>
        <w:t>.</w:t>
      </w:r>
      <w:proofErr w:type="gramEnd"/>
      <w:r w:rsidR="00085390">
        <w:rPr>
          <w:rFonts w:ascii="Arial" w:hAnsi="Arial" w:cs="Arial"/>
          <w:i/>
        </w:rPr>
        <w:t xml:space="preserve"> Scatter plots of </w:t>
      </w:r>
      <w:proofErr w:type="gramStart"/>
      <w:r w:rsidR="00085390">
        <w:rPr>
          <w:rFonts w:ascii="Arial" w:hAnsi="Arial" w:cs="Arial"/>
          <w:i/>
        </w:rPr>
        <w:t>Other</w:t>
      </w:r>
      <w:proofErr w:type="gramEnd"/>
      <w:r w:rsidR="00085390">
        <w:rPr>
          <w:rFonts w:ascii="Arial" w:hAnsi="Arial" w:cs="Arial"/>
          <w:i/>
        </w:rPr>
        <w:t xml:space="preserve"> cost r</w:t>
      </w:r>
      <w:r w:rsidR="00180CFC" w:rsidRPr="00180CFC">
        <w:rPr>
          <w:rFonts w:ascii="Arial" w:hAnsi="Arial" w:cs="Arial"/>
          <w:i/>
        </w:rPr>
        <w:t>atios against SMR</w:t>
      </w:r>
      <w:r w:rsidR="006000AA">
        <w:rPr>
          <w:rFonts w:ascii="Arial" w:hAnsi="Arial" w:cs="Arial"/>
          <w:i/>
        </w:rPr>
        <w:t xml:space="preserve"> and against LLTI.</w:t>
      </w:r>
    </w:p>
    <w:p w:rsidR="00180CFC" w:rsidRPr="00180CFC" w:rsidRDefault="003C6BC2" w:rsidP="00180CFC">
      <w:pPr>
        <w:autoSpaceDE w:val="0"/>
        <w:autoSpaceDN w:val="0"/>
        <w:adjustRightInd w:val="0"/>
        <w:rPr>
          <w:rFonts w:ascii="Arial" w:hAnsi="Arial" w:cs="Arial"/>
        </w:rPr>
      </w:pPr>
      <w:r>
        <w:rPr>
          <w:rFonts w:ascii="Arial" w:hAnsi="Arial" w:cs="Arial"/>
          <w:b/>
        </w:rPr>
        <w:t>2</w:t>
      </w:r>
      <w:r w:rsidR="00180CFC" w:rsidRPr="00180CFC">
        <w:rPr>
          <w:rFonts w:ascii="Arial" w:hAnsi="Arial" w:cs="Arial"/>
          <w:b/>
        </w:rPr>
        <w:t xml:space="preserve">.3 </w:t>
      </w:r>
      <w:r w:rsidR="002E1E41">
        <w:rPr>
          <w:rFonts w:ascii="Arial" w:hAnsi="Arial" w:cs="Arial"/>
          <w:b/>
        </w:rPr>
        <w:t>Performance of reference model (</w:t>
      </w:r>
      <w:r w:rsidR="001F335E">
        <w:rPr>
          <w:rFonts w:ascii="Arial" w:hAnsi="Arial" w:cs="Arial"/>
          <w:b/>
        </w:rPr>
        <w:t xml:space="preserve">adjusted </w:t>
      </w:r>
      <w:r w:rsidR="00180CFC" w:rsidRPr="00180CFC">
        <w:rPr>
          <w:rFonts w:ascii="Arial" w:hAnsi="Arial" w:cs="Arial"/>
          <w:b/>
        </w:rPr>
        <w:t>R-squared values</w:t>
      </w:r>
      <w:r w:rsidR="002E1E41">
        <w:rPr>
          <w:rFonts w:ascii="Arial" w:hAnsi="Arial" w:cs="Arial"/>
          <w:b/>
        </w:rPr>
        <w:t>)</w:t>
      </w:r>
    </w:p>
    <w:p w:rsidR="00180CFC" w:rsidRPr="00180CFC" w:rsidRDefault="00180CFC" w:rsidP="00180CFC">
      <w:pPr>
        <w:jc w:val="both"/>
        <w:rPr>
          <w:rFonts w:ascii="Arial" w:hAnsi="Arial" w:cs="Arial"/>
        </w:rPr>
      </w:pPr>
      <w:r w:rsidRPr="00180CFC">
        <w:rPr>
          <w:rFonts w:ascii="Arial" w:hAnsi="Arial" w:cs="Arial"/>
        </w:rPr>
        <w:t>Linear models are fitted</w:t>
      </w:r>
      <w:r w:rsidR="00587203">
        <w:rPr>
          <w:rFonts w:ascii="Arial" w:hAnsi="Arial" w:cs="Arial"/>
        </w:rPr>
        <w:t>,</w:t>
      </w:r>
      <w:r w:rsidRPr="00180CFC">
        <w:rPr>
          <w:rFonts w:ascii="Arial" w:hAnsi="Arial" w:cs="Arial"/>
        </w:rPr>
        <w:t xml:space="preserve"> </w:t>
      </w:r>
      <w:r w:rsidR="00314597">
        <w:rPr>
          <w:rFonts w:ascii="Arial" w:hAnsi="Arial" w:cs="Arial"/>
        </w:rPr>
        <w:t xml:space="preserve">testing SMR and </w:t>
      </w:r>
      <w:r w:rsidR="00587203">
        <w:rPr>
          <w:rFonts w:ascii="Arial" w:hAnsi="Arial" w:cs="Arial"/>
        </w:rPr>
        <w:t xml:space="preserve">the </w:t>
      </w:r>
      <w:r w:rsidR="00314597">
        <w:rPr>
          <w:rFonts w:ascii="Arial" w:hAnsi="Arial" w:cs="Arial"/>
        </w:rPr>
        <w:t>LLTI r</w:t>
      </w:r>
      <w:r w:rsidRPr="00180CFC">
        <w:rPr>
          <w:rFonts w:ascii="Arial" w:hAnsi="Arial" w:cs="Arial"/>
        </w:rPr>
        <w:t xml:space="preserve">atio </w:t>
      </w:r>
      <w:r w:rsidR="00587203">
        <w:rPr>
          <w:rFonts w:ascii="Arial" w:hAnsi="Arial" w:cs="Arial"/>
        </w:rPr>
        <w:t xml:space="preserve">– separately, </w:t>
      </w:r>
      <w:r w:rsidR="00912696">
        <w:rPr>
          <w:rFonts w:ascii="Arial" w:hAnsi="Arial" w:cs="Arial"/>
        </w:rPr>
        <w:t xml:space="preserve">as well as </w:t>
      </w:r>
      <w:r w:rsidR="00587203">
        <w:rPr>
          <w:rFonts w:ascii="Arial" w:hAnsi="Arial" w:cs="Arial"/>
        </w:rPr>
        <w:t xml:space="preserve">combined in </w:t>
      </w:r>
      <w:r w:rsidR="00912696">
        <w:rPr>
          <w:rFonts w:ascii="Arial" w:hAnsi="Arial" w:cs="Arial"/>
        </w:rPr>
        <w:t xml:space="preserve">the current needs index </w:t>
      </w:r>
      <w:r w:rsidR="00587203">
        <w:rPr>
          <w:rFonts w:ascii="Arial" w:hAnsi="Arial" w:cs="Arial"/>
        </w:rPr>
        <w:t xml:space="preserve">– </w:t>
      </w:r>
      <w:r w:rsidR="003C6BC2">
        <w:rPr>
          <w:rFonts w:ascii="Arial" w:hAnsi="Arial" w:cs="Arial"/>
        </w:rPr>
        <w:t>as explanator</w:t>
      </w:r>
      <w:r w:rsidR="00314597">
        <w:rPr>
          <w:rFonts w:ascii="Arial" w:hAnsi="Arial" w:cs="Arial"/>
        </w:rPr>
        <w:t>y variables for the cost ratios</w:t>
      </w:r>
      <w:r w:rsidRPr="00180CFC">
        <w:rPr>
          <w:rFonts w:ascii="Arial" w:hAnsi="Arial" w:cs="Arial"/>
        </w:rPr>
        <w:t xml:space="preserve">. </w:t>
      </w:r>
      <w:r w:rsidR="005C1566">
        <w:rPr>
          <w:rFonts w:ascii="Arial" w:hAnsi="Arial" w:cs="Arial"/>
        </w:rPr>
        <w:t>This analysis is performed at three different combinations of geography and time-scale of averaging.</w:t>
      </w:r>
      <w:r w:rsidR="005C1566" w:rsidRPr="00180CFC">
        <w:rPr>
          <w:rFonts w:ascii="Arial" w:hAnsi="Arial" w:cs="Arial"/>
        </w:rPr>
        <w:t xml:space="preserve"> </w:t>
      </w:r>
      <w:r w:rsidRPr="00180CFC">
        <w:rPr>
          <w:rFonts w:ascii="Arial" w:hAnsi="Arial" w:cs="Arial"/>
        </w:rPr>
        <w:t xml:space="preserve">Adjusted R-squared values </w:t>
      </w:r>
      <w:r w:rsidR="001F335E">
        <w:rPr>
          <w:rFonts w:ascii="Arial" w:hAnsi="Arial" w:cs="Arial"/>
        </w:rPr>
        <w:t xml:space="preserve">– </w:t>
      </w:r>
      <w:r w:rsidR="005C1566">
        <w:rPr>
          <w:rFonts w:ascii="Arial" w:hAnsi="Arial" w:cs="Arial"/>
        </w:rPr>
        <w:t>the</w:t>
      </w:r>
      <w:r w:rsidR="001F335E">
        <w:rPr>
          <w:rFonts w:ascii="Arial" w:hAnsi="Arial" w:cs="Arial"/>
        </w:rPr>
        <w:t xml:space="preserve"> </w:t>
      </w:r>
      <w:r w:rsidR="005C1566">
        <w:rPr>
          <w:rFonts w:ascii="Arial" w:hAnsi="Arial" w:cs="Arial"/>
        </w:rPr>
        <w:t>percentage of vari</w:t>
      </w:r>
      <w:r w:rsidR="008F6335">
        <w:rPr>
          <w:rFonts w:ascii="Arial" w:hAnsi="Arial" w:cs="Arial"/>
        </w:rPr>
        <w:t>ance in the cost ratios that is</w:t>
      </w:r>
      <w:r w:rsidR="005C1566">
        <w:rPr>
          <w:rFonts w:ascii="Arial" w:hAnsi="Arial" w:cs="Arial"/>
        </w:rPr>
        <w:t xml:space="preserve"> explained by the model</w:t>
      </w:r>
      <w:r w:rsidR="001F335E">
        <w:rPr>
          <w:rFonts w:ascii="Arial" w:hAnsi="Arial" w:cs="Arial"/>
        </w:rPr>
        <w:t xml:space="preserve"> – </w:t>
      </w:r>
      <w:r w:rsidR="001F335E" w:rsidRPr="00180CFC">
        <w:rPr>
          <w:rFonts w:ascii="Arial" w:hAnsi="Arial" w:cs="Arial"/>
        </w:rPr>
        <w:t>are</w:t>
      </w:r>
      <w:r w:rsidR="001F335E">
        <w:rPr>
          <w:rFonts w:ascii="Arial" w:hAnsi="Arial" w:cs="Arial"/>
        </w:rPr>
        <w:t xml:space="preserve"> </w:t>
      </w:r>
      <w:r w:rsidR="001F335E" w:rsidRPr="00180CFC">
        <w:rPr>
          <w:rFonts w:ascii="Arial" w:hAnsi="Arial" w:cs="Arial"/>
        </w:rPr>
        <w:t>used as a goodness of fit measure</w:t>
      </w:r>
      <w:r w:rsidRPr="00180CFC">
        <w:rPr>
          <w:rFonts w:ascii="Arial" w:hAnsi="Arial" w:cs="Arial"/>
        </w:rPr>
        <w:t xml:space="preserve">. The results are shown in Table </w:t>
      </w:r>
      <w:r w:rsidR="003C6BC2">
        <w:rPr>
          <w:rFonts w:ascii="Arial" w:hAnsi="Arial" w:cs="Arial"/>
        </w:rPr>
        <w:t>2</w:t>
      </w:r>
      <w:r w:rsidR="00D27BEC">
        <w:rPr>
          <w:rFonts w:ascii="Arial" w:hAnsi="Arial" w:cs="Arial"/>
        </w:rPr>
        <w:t xml:space="preserve"> below for all</w:t>
      </w:r>
      <w:r w:rsidRPr="00180CFC">
        <w:rPr>
          <w:rFonts w:ascii="Arial" w:hAnsi="Arial" w:cs="Arial"/>
        </w:rPr>
        <w:t xml:space="preserve"> diagnostic groups.</w:t>
      </w:r>
      <w:r w:rsidR="007B6B9F">
        <w:rPr>
          <w:rFonts w:ascii="Arial" w:hAnsi="Arial" w:cs="Arial"/>
        </w:rPr>
        <w:t xml:space="preserve"> The</w:t>
      </w:r>
      <w:r w:rsidR="008E6C9D">
        <w:rPr>
          <w:rFonts w:ascii="Arial" w:hAnsi="Arial" w:cs="Arial"/>
        </w:rPr>
        <w:t xml:space="preserve"> values for the</w:t>
      </w:r>
      <w:r w:rsidR="007B6B9F">
        <w:rPr>
          <w:rFonts w:ascii="Arial" w:hAnsi="Arial" w:cs="Arial"/>
        </w:rPr>
        <w:t xml:space="preserve"> supply model + current index</w:t>
      </w:r>
      <w:r w:rsidR="006A7BB6">
        <w:rPr>
          <w:rFonts w:ascii="Arial" w:hAnsi="Arial" w:cs="Arial"/>
        </w:rPr>
        <w:t xml:space="preserve"> (</w:t>
      </w:r>
      <w:r w:rsidR="00587203">
        <w:rPr>
          <w:rFonts w:ascii="Arial" w:hAnsi="Arial" w:cs="Arial"/>
        </w:rPr>
        <w:t xml:space="preserve">i.e. the </w:t>
      </w:r>
      <w:r w:rsidR="006A7BB6">
        <w:rPr>
          <w:rFonts w:ascii="Arial" w:hAnsi="Arial" w:cs="Arial"/>
        </w:rPr>
        <w:t>reference model)</w:t>
      </w:r>
      <w:r w:rsidR="008E6C9D">
        <w:rPr>
          <w:rFonts w:ascii="Arial" w:hAnsi="Arial" w:cs="Arial"/>
        </w:rPr>
        <w:t xml:space="preserve"> are</w:t>
      </w:r>
      <w:r w:rsidR="007B6B9F">
        <w:rPr>
          <w:rFonts w:ascii="Arial" w:hAnsi="Arial" w:cs="Arial"/>
        </w:rPr>
        <w:t xml:space="preserve"> highlighted in red.</w:t>
      </w:r>
    </w:p>
    <w:p w:rsidR="00180CFC" w:rsidRPr="00180CFC" w:rsidRDefault="00180CFC" w:rsidP="006000AA">
      <w:pPr>
        <w:spacing w:after="0"/>
        <w:rPr>
          <w:rFonts w:ascii="Arial" w:hAnsi="Arial" w:cs="Arial"/>
          <w:i/>
        </w:rPr>
      </w:pPr>
      <w:proofErr w:type="gramStart"/>
      <w:r w:rsidRPr="00180CFC">
        <w:rPr>
          <w:rFonts w:ascii="Arial" w:hAnsi="Arial" w:cs="Arial"/>
          <w:i/>
        </w:rPr>
        <w:t xml:space="preserve">Table </w:t>
      </w:r>
      <w:r w:rsidR="003C6BC2">
        <w:rPr>
          <w:rFonts w:ascii="Arial" w:hAnsi="Arial" w:cs="Arial"/>
          <w:i/>
        </w:rPr>
        <w:t>2</w:t>
      </w:r>
      <w:r w:rsidRPr="00180CFC">
        <w:rPr>
          <w:rFonts w:ascii="Arial" w:hAnsi="Arial" w:cs="Arial"/>
          <w:i/>
        </w:rPr>
        <w:t>.</w:t>
      </w:r>
      <w:proofErr w:type="gramEnd"/>
      <w:r w:rsidRPr="00180CFC">
        <w:rPr>
          <w:rFonts w:ascii="Arial" w:hAnsi="Arial" w:cs="Arial"/>
          <w:i/>
        </w:rPr>
        <w:t xml:space="preserve"> </w:t>
      </w:r>
      <w:proofErr w:type="gramStart"/>
      <w:r w:rsidRPr="00180CFC">
        <w:rPr>
          <w:rFonts w:ascii="Arial" w:hAnsi="Arial" w:cs="Arial"/>
          <w:i/>
        </w:rPr>
        <w:t>Adjusted R-squared values of models com</w:t>
      </w:r>
      <w:r w:rsidR="006000AA">
        <w:rPr>
          <w:rFonts w:ascii="Arial" w:hAnsi="Arial" w:cs="Arial"/>
          <w:i/>
        </w:rPr>
        <w:t>paring LLTI and SMR performance.</w:t>
      </w:r>
      <w:proofErr w:type="gramEnd"/>
    </w:p>
    <w:tbl>
      <w:tblPr>
        <w:tblW w:w="0" w:type="auto"/>
        <w:tblInd w:w="-459" w:type="dxa"/>
        <w:tblLayout w:type="fixed"/>
        <w:tblLook w:val="04A0"/>
      </w:tblPr>
      <w:tblGrid>
        <w:gridCol w:w="1276"/>
        <w:gridCol w:w="2552"/>
        <w:gridCol w:w="850"/>
        <w:gridCol w:w="851"/>
        <w:gridCol w:w="850"/>
        <w:gridCol w:w="851"/>
        <w:gridCol w:w="850"/>
        <w:gridCol w:w="851"/>
        <w:gridCol w:w="770"/>
      </w:tblGrid>
      <w:tr w:rsidR="00F45667" w:rsidRPr="00F45667" w:rsidTr="00F45667">
        <w:trPr>
          <w:cantSplit/>
          <w:trHeight w:val="1266"/>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667" w:rsidRPr="00D27BEC" w:rsidRDefault="00F45667" w:rsidP="00F45667">
            <w:pPr>
              <w:spacing w:after="0" w:line="240" w:lineRule="auto"/>
              <w:rPr>
                <w:rFonts w:ascii="Arial" w:eastAsia="Times New Roman" w:hAnsi="Arial" w:cs="Arial"/>
                <w:b/>
                <w:bCs/>
                <w:color w:val="000000"/>
                <w:sz w:val="20"/>
                <w:szCs w:val="18"/>
                <w:lang w:eastAsia="en-GB"/>
              </w:rPr>
            </w:pPr>
            <w:r w:rsidRPr="00D27BEC">
              <w:rPr>
                <w:rFonts w:ascii="Arial" w:eastAsia="Times New Roman" w:hAnsi="Arial" w:cs="Arial"/>
                <w:b/>
                <w:bCs/>
                <w:color w:val="000000"/>
                <w:sz w:val="20"/>
                <w:szCs w:val="18"/>
                <w:lang w:eastAsia="en-GB"/>
              </w:rPr>
              <w:t xml:space="preserve">Adjusted </w:t>
            </w:r>
          </w:p>
          <w:p w:rsidR="00F45667" w:rsidRPr="00D27BEC" w:rsidRDefault="00F45667" w:rsidP="00F45667">
            <w:pPr>
              <w:spacing w:after="0" w:line="240" w:lineRule="auto"/>
              <w:rPr>
                <w:rFonts w:ascii="Arial" w:eastAsia="Times New Roman" w:hAnsi="Arial" w:cs="Arial"/>
                <w:b/>
                <w:bCs/>
                <w:color w:val="000000"/>
                <w:sz w:val="20"/>
                <w:szCs w:val="18"/>
                <w:lang w:eastAsia="en-GB"/>
              </w:rPr>
            </w:pPr>
            <w:r w:rsidRPr="00D27BEC">
              <w:rPr>
                <w:rFonts w:ascii="Arial" w:eastAsia="Times New Roman" w:hAnsi="Arial" w:cs="Arial"/>
                <w:b/>
                <w:bCs/>
                <w:color w:val="000000"/>
                <w:sz w:val="20"/>
                <w:szCs w:val="18"/>
                <w:lang w:eastAsia="en-GB"/>
              </w:rPr>
              <w:t>R-squared</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F45667" w:rsidRPr="00D27BEC" w:rsidRDefault="00F45667" w:rsidP="00F45667">
            <w:pPr>
              <w:spacing w:after="0" w:line="240" w:lineRule="auto"/>
              <w:rPr>
                <w:rFonts w:ascii="Arial" w:eastAsia="Times New Roman" w:hAnsi="Arial" w:cs="Arial"/>
                <w:color w:val="000000"/>
                <w:sz w:val="20"/>
                <w:szCs w:val="18"/>
                <w:lang w:eastAsia="en-GB"/>
              </w:rPr>
            </w:pPr>
            <w:r w:rsidRPr="00D27BEC">
              <w:rPr>
                <w:rFonts w:ascii="Arial" w:eastAsia="Times New Roman" w:hAnsi="Arial" w:cs="Arial"/>
                <w:color w:val="000000"/>
                <w:sz w:val="20"/>
                <w:szCs w:val="18"/>
                <w:lang w:eastAsia="en-GB"/>
              </w:rPr>
              <w:t>Predictors</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45667" w:rsidRPr="00D27BEC" w:rsidRDefault="00F45667" w:rsidP="00F45667">
            <w:pPr>
              <w:spacing w:after="0" w:line="240" w:lineRule="auto"/>
              <w:ind w:left="113" w:right="113"/>
              <w:jc w:val="center"/>
              <w:rPr>
                <w:rFonts w:ascii="Arial" w:eastAsia="Times New Roman" w:hAnsi="Arial" w:cs="Arial"/>
                <w:color w:val="000000"/>
                <w:sz w:val="20"/>
                <w:szCs w:val="18"/>
                <w:lang w:eastAsia="en-GB"/>
              </w:rPr>
            </w:pPr>
            <w:r w:rsidRPr="00D27BEC">
              <w:rPr>
                <w:rFonts w:ascii="Arial" w:eastAsia="Times New Roman" w:hAnsi="Arial" w:cs="Arial"/>
                <w:color w:val="000000"/>
                <w:sz w:val="20"/>
                <w:szCs w:val="18"/>
                <w:lang w:eastAsia="en-GB"/>
              </w:rPr>
              <w:t>Cancer</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45667" w:rsidRPr="00D27BEC" w:rsidRDefault="00F45667" w:rsidP="00F45667">
            <w:pPr>
              <w:spacing w:after="0" w:line="240" w:lineRule="auto"/>
              <w:ind w:left="113" w:right="113"/>
              <w:jc w:val="center"/>
              <w:rPr>
                <w:rFonts w:ascii="Arial" w:eastAsia="Times New Roman" w:hAnsi="Arial" w:cs="Arial"/>
                <w:color w:val="000000"/>
                <w:sz w:val="20"/>
                <w:szCs w:val="18"/>
                <w:lang w:eastAsia="en-GB"/>
              </w:rPr>
            </w:pPr>
            <w:r w:rsidRPr="00D27BEC">
              <w:rPr>
                <w:rFonts w:ascii="Arial" w:eastAsia="Times New Roman" w:hAnsi="Arial" w:cs="Arial"/>
                <w:color w:val="000000"/>
                <w:sz w:val="20"/>
                <w:szCs w:val="18"/>
                <w:lang w:eastAsia="en-GB"/>
              </w:rPr>
              <w:t>Heart</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45667" w:rsidRPr="00D27BEC" w:rsidRDefault="00F45667" w:rsidP="00F45667">
            <w:pPr>
              <w:spacing w:after="0" w:line="240" w:lineRule="auto"/>
              <w:ind w:left="113" w:right="113"/>
              <w:jc w:val="center"/>
              <w:rPr>
                <w:rFonts w:ascii="Arial" w:eastAsia="Times New Roman" w:hAnsi="Arial" w:cs="Arial"/>
                <w:color w:val="000000"/>
                <w:sz w:val="20"/>
                <w:szCs w:val="18"/>
                <w:lang w:eastAsia="en-GB"/>
              </w:rPr>
            </w:pPr>
            <w:r w:rsidRPr="00D27BEC">
              <w:rPr>
                <w:rFonts w:ascii="Arial" w:eastAsia="Times New Roman" w:hAnsi="Arial" w:cs="Arial"/>
                <w:color w:val="000000"/>
                <w:sz w:val="20"/>
                <w:szCs w:val="18"/>
                <w:lang w:eastAsia="en-GB"/>
              </w:rPr>
              <w:t>Digestive</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45667" w:rsidRPr="00D27BEC" w:rsidRDefault="00F45667" w:rsidP="00F45667">
            <w:pPr>
              <w:spacing w:after="0" w:line="240" w:lineRule="auto"/>
              <w:ind w:left="113" w:right="113"/>
              <w:jc w:val="center"/>
              <w:rPr>
                <w:rFonts w:ascii="Arial" w:eastAsia="Times New Roman" w:hAnsi="Arial" w:cs="Arial"/>
                <w:color w:val="000000"/>
                <w:sz w:val="20"/>
                <w:szCs w:val="18"/>
                <w:lang w:eastAsia="en-GB"/>
              </w:rPr>
            </w:pPr>
            <w:r w:rsidRPr="00D27BEC">
              <w:rPr>
                <w:rFonts w:ascii="Arial" w:eastAsia="Times New Roman" w:hAnsi="Arial" w:cs="Arial"/>
                <w:color w:val="000000"/>
                <w:sz w:val="20"/>
                <w:szCs w:val="18"/>
                <w:lang w:eastAsia="en-GB"/>
              </w:rPr>
              <w:t>Injury</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45667" w:rsidRPr="00D27BEC" w:rsidRDefault="00F45667" w:rsidP="00F45667">
            <w:pPr>
              <w:spacing w:after="0" w:line="240" w:lineRule="auto"/>
              <w:ind w:left="113" w:right="113"/>
              <w:jc w:val="center"/>
              <w:rPr>
                <w:rFonts w:ascii="Arial" w:eastAsia="Times New Roman" w:hAnsi="Arial" w:cs="Arial"/>
                <w:color w:val="000000"/>
                <w:sz w:val="20"/>
                <w:szCs w:val="18"/>
                <w:lang w:eastAsia="en-GB"/>
              </w:rPr>
            </w:pPr>
            <w:r w:rsidRPr="00D27BEC">
              <w:rPr>
                <w:rFonts w:ascii="Arial" w:eastAsia="Times New Roman" w:hAnsi="Arial" w:cs="Arial"/>
                <w:color w:val="000000"/>
                <w:sz w:val="20"/>
                <w:szCs w:val="18"/>
                <w:lang w:eastAsia="en-GB"/>
              </w:rPr>
              <w:t>Other</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45667" w:rsidRPr="00D27BEC" w:rsidRDefault="00F45667" w:rsidP="00F45667">
            <w:pPr>
              <w:spacing w:after="0" w:line="240" w:lineRule="auto"/>
              <w:ind w:left="113" w:right="113"/>
              <w:jc w:val="center"/>
              <w:rPr>
                <w:rFonts w:ascii="Arial" w:eastAsia="Times New Roman" w:hAnsi="Arial" w:cs="Arial"/>
                <w:color w:val="000000"/>
                <w:sz w:val="20"/>
                <w:szCs w:val="18"/>
                <w:lang w:eastAsia="en-GB"/>
              </w:rPr>
            </w:pPr>
            <w:r w:rsidRPr="00D27BEC">
              <w:rPr>
                <w:rFonts w:ascii="Arial" w:eastAsia="Times New Roman" w:hAnsi="Arial" w:cs="Arial"/>
                <w:color w:val="000000"/>
                <w:sz w:val="20"/>
                <w:szCs w:val="18"/>
                <w:lang w:eastAsia="en-GB"/>
              </w:rPr>
              <w:t>Respiratory</w:t>
            </w:r>
          </w:p>
        </w:tc>
        <w:tc>
          <w:tcPr>
            <w:tcW w:w="77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45667" w:rsidRPr="00D27BEC" w:rsidRDefault="00F45667" w:rsidP="00F45667">
            <w:pPr>
              <w:spacing w:after="0" w:line="240" w:lineRule="auto"/>
              <w:ind w:left="113" w:right="113"/>
              <w:jc w:val="center"/>
              <w:rPr>
                <w:rFonts w:ascii="Arial" w:eastAsia="Times New Roman" w:hAnsi="Arial" w:cs="Arial"/>
                <w:color w:val="000000"/>
                <w:sz w:val="20"/>
                <w:szCs w:val="18"/>
                <w:lang w:eastAsia="en-GB"/>
              </w:rPr>
            </w:pPr>
            <w:r w:rsidRPr="00D27BEC">
              <w:rPr>
                <w:rFonts w:ascii="Arial" w:eastAsia="Times New Roman" w:hAnsi="Arial" w:cs="Arial"/>
                <w:color w:val="000000"/>
                <w:sz w:val="20"/>
                <w:szCs w:val="18"/>
                <w:lang w:eastAsia="en-GB"/>
              </w:rPr>
              <w:t>Outpatients</w:t>
            </w:r>
          </w:p>
        </w:tc>
      </w:tr>
      <w:tr w:rsidR="00F45667" w:rsidRPr="00F45667" w:rsidTr="00F45667">
        <w:trPr>
          <w:trHeight w:val="30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5667" w:rsidRPr="00F45667" w:rsidRDefault="00642A12" w:rsidP="00F45667">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1 year </w:t>
            </w:r>
            <w:r w:rsidR="00F45667" w:rsidRPr="00F45667">
              <w:rPr>
                <w:rFonts w:ascii="Arial" w:eastAsia="Times New Roman" w:hAnsi="Arial" w:cs="Arial"/>
                <w:color w:val="000000"/>
                <w:sz w:val="18"/>
                <w:szCs w:val="18"/>
                <w:lang w:eastAsia="en-GB"/>
              </w:rPr>
              <w:t>Data Zones</w:t>
            </w:r>
          </w:p>
        </w:tc>
        <w:tc>
          <w:tcPr>
            <w:tcW w:w="2552"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 xml:space="preserve">supply model + SMR </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5.4%</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5.5%</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17.5%</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7.1%</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19.3%</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15.6%</w:t>
            </w:r>
          </w:p>
        </w:tc>
        <w:tc>
          <w:tcPr>
            <w:tcW w:w="77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41.2%</w:t>
            </w:r>
          </w:p>
        </w:tc>
      </w:tr>
      <w:tr w:rsidR="00F45667" w:rsidRPr="00F45667" w:rsidTr="00F45667">
        <w:trPr>
          <w:trHeight w:val="300"/>
        </w:trPr>
        <w:tc>
          <w:tcPr>
            <w:tcW w:w="1276" w:type="dxa"/>
            <w:vMerge/>
            <w:tcBorders>
              <w:top w:val="nil"/>
              <w:left w:val="single" w:sz="4" w:space="0" w:color="auto"/>
              <w:bottom w:val="single" w:sz="4" w:space="0" w:color="auto"/>
              <w:right w:val="single" w:sz="4" w:space="0" w:color="auto"/>
            </w:tcBorders>
            <w:vAlign w:val="center"/>
            <w:hideMark/>
          </w:tcPr>
          <w:p w:rsidR="00F45667" w:rsidRPr="00F45667" w:rsidRDefault="00F45667" w:rsidP="00F45667">
            <w:pPr>
              <w:spacing w:after="0" w:line="240" w:lineRule="auto"/>
              <w:rPr>
                <w:rFonts w:ascii="Arial" w:eastAsia="Times New Roman" w:hAnsi="Arial" w:cs="Arial"/>
                <w:color w:val="000000"/>
                <w:sz w:val="18"/>
                <w:szCs w:val="18"/>
                <w:lang w:eastAsia="en-GB"/>
              </w:rPr>
            </w:pPr>
          </w:p>
        </w:tc>
        <w:tc>
          <w:tcPr>
            <w:tcW w:w="2552"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supply model + LLTI</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6.0%</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8.9%</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21.5%</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11.0%</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21.3%</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21.3%</w:t>
            </w:r>
          </w:p>
        </w:tc>
        <w:tc>
          <w:tcPr>
            <w:tcW w:w="77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43.7%</w:t>
            </w:r>
          </w:p>
        </w:tc>
      </w:tr>
      <w:tr w:rsidR="00F45667" w:rsidRPr="00F45667" w:rsidTr="00F45667">
        <w:trPr>
          <w:trHeight w:val="300"/>
        </w:trPr>
        <w:tc>
          <w:tcPr>
            <w:tcW w:w="1276" w:type="dxa"/>
            <w:vMerge/>
            <w:tcBorders>
              <w:top w:val="nil"/>
              <w:left w:val="single" w:sz="4" w:space="0" w:color="auto"/>
              <w:bottom w:val="single" w:sz="4" w:space="0" w:color="auto"/>
              <w:right w:val="single" w:sz="4" w:space="0" w:color="auto"/>
            </w:tcBorders>
            <w:vAlign w:val="center"/>
            <w:hideMark/>
          </w:tcPr>
          <w:p w:rsidR="00F45667" w:rsidRPr="00F45667" w:rsidRDefault="00F45667" w:rsidP="00F45667">
            <w:pPr>
              <w:spacing w:after="0" w:line="240" w:lineRule="auto"/>
              <w:rPr>
                <w:rFonts w:ascii="Arial" w:eastAsia="Times New Roman" w:hAnsi="Arial" w:cs="Arial"/>
                <w:color w:val="000000"/>
                <w:sz w:val="18"/>
                <w:szCs w:val="18"/>
                <w:lang w:eastAsia="en-GB"/>
              </w:rPr>
            </w:pPr>
          </w:p>
        </w:tc>
        <w:tc>
          <w:tcPr>
            <w:tcW w:w="2552" w:type="dxa"/>
            <w:tcBorders>
              <w:top w:val="nil"/>
              <w:left w:val="nil"/>
              <w:bottom w:val="single" w:sz="4" w:space="0" w:color="auto"/>
              <w:right w:val="single" w:sz="4" w:space="0" w:color="auto"/>
            </w:tcBorders>
            <w:shd w:val="clear" w:color="000000" w:fill="E6B9B8"/>
            <w:noWrap/>
            <w:vAlign w:val="center"/>
            <w:hideMark/>
          </w:tcPr>
          <w:p w:rsidR="00F45667" w:rsidRPr="00F45667" w:rsidRDefault="00F45667" w:rsidP="00F45667">
            <w:pPr>
              <w:spacing w:after="0" w:line="240" w:lineRule="auto"/>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supply model + current index</w:t>
            </w:r>
          </w:p>
        </w:tc>
        <w:tc>
          <w:tcPr>
            <w:tcW w:w="850" w:type="dxa"/>
            <w:tcBorders>
              <w:top w:val="nil"/>
              <w:left w:val="nil"/>
              <w:bottom w:val="single" w:sz="4" w:space="0" w:color="auto"/>
              <w:right w:val="single" w:sz="4" w:space="0" w:color="auto"/>
            </w:tcBorders>
            <w:shd w:val="clear" w:color="000000" w:fill="E6B9B8"/>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5.9%</w:t>
            </w:r>
          </w:p>
        </w:tc>
        <w:tc>
          <w:tcPr>
            <w:tcW w:w="851" w:type="dxa"/>
            <w:tcBorders>
              <w:top w:val="nil"/>
              <w:left w:val="nil"/>
              <w:bottom w:val="single" w:sz="4" w:space="0" w:color="auto"/>
              <w:right w:val="single" w:sz="4" w:space="0" w:color="auto"/>
            </w:tcBorders>
            <w:shd w:val="clear" w:color="000000" w:fill="E6B9B8"/>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8.2%</w:t>
            </w:r>
          </w:p>
        </w:tc>
        <w:tc>
          <w:tcPr>
            <w:tcW w:w="850" w:type="dxa"/>
            <w:tcBorders>
              <w:top w:val="nil"/>
              <w:left w:val="nil"/>
              <w:bottom w:val="single" w:sz="4" w:space="0" w:color="auto"/>
              <w:right w:val="single" w:sz="4" w:space="0" w:color="auto"/>
            </w:tcBorders>
            <w:shd w:val="clear" w:color="000000" w:fill="E6B9B8"/>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21.0%</w:t>
            </w:r>
          </w:p>
        </w:tc>
        <w:tc>
          <w:tcPr>
            <w:tcW w:w="851" w:type="dxa"/>
            <w:tcBorders>
              <w:top w:val="nil"/>
              <w:left w:val="nil"/>
              <w:bottom w:val="single" w:sz="4" w:space="0" w:color="auto"/>
              <w:right w:val="single" w:sz="4" w:space="0" w:color="auto"/>
            </w:tcBorders>
            <w:shd w:val="clear" w:color="000000" w:fill="E6B9B8"/>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10.3%</w:t>
            </w:r>
          </w:p>
        </w:tc>
        <w:tc>
          <w:tcPr>
            <w:tcW w:w="850" w:type="dxa"/>
            <w:tcBorders>
              <w:top w:val="nil"/>
              <w:left w:val="nil"/>
              <w:bottom w:val="single" w:sz="4" w:space="0" w:color="auto"/>
              <w:right w:val="single" w:sz="4" w:space="0" w:color="auto"/>
            </w:tcBorders>
            <w:shd w:val="clear" w:color="000000" w:fill="E6B9B8"/>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25.2%</w:t>
            </w:r>
          </w:p>
        </w:tc>
        <w:tc>
          <w:tcPr>
            <w:tcW w:w="851" w:type="dxa"/>
            <w:tcBorders>
              <w:top w:val="nil"/>
              <w:left w:val="nil"/>
              <w:bottom w:val="single" w:sz="4" w:space="0" w:color="auto"/>
              <w:right w:val="single" w:sz="4" w:space="0" w:color="auto"/>
            </w:tcBorders>
            <w:shd w:val="clear" w:color="000000" w:fill="E6B9B8"/>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20.6%</w:t>
            </w:r>
          </w:p>
        </w:tc>
        <w:tc>
          <w:tcPr>
            <w:tcW w:w="770" w:type="dxa"/>
            <w:tcBorders>
              <w:top w:val="nil"/>
              <w:left w:val="nil"/>
              <w:bottom w:val="single" w:sz="4" w:space="0" w:color="auto"/>
              <w:right w:val="single" w:sz="4" w:space="0" w:color="auto"/>
            </w:tcBorders>
            <w:shd w:val="clear" w:color="000000" w:fill="E6B9B8"/>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42.8%</w:t>
            </w:r>
          </w:p>
        </w:tc>
      </w:tr>
      <w:tr w:rsidR="00F45667" w:rsidRPr="00F45667" w:rsidTr="00F45667">
        <w:trPr>
          <w:trHeight w:val="30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5667" w:rsidRPr="00F45667" w:rsidRDefault="00F45667" w:rsidP="00F45667">
            <w:pPr>
              <w:spacing w:after="0" w:line="240" w:lineRule="auto"/>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3 years Data Zones</w:t>
            </w:r>
          </w:p>
        </w:tc>
        <w:tc>
          <w:tcPr>
            <w:tcW w:w="2552"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 xml:space="preserve">supply model + SMR </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12.3%</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13.3%</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31.5%</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16.7%</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32.8%</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28.8%</w:t>
            </w:r>
          </w:p>
        </w:tc>
        <w:tc>
          <w:tcPr>
            <w:tcW w:w="77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53.9%</w:t>
            </w:r>
          </w:p>
        </w:tc>
      </w:tr>
      <w:tr w:rsidR="00F45667" w:rsidRPr="00F45667" w:rsidTr="00F45667">
        <w:trPr>
          <w:trHeight w:val="300"/>
        </w:trPr>
        <w:tc>
          <w:tcPr>
            <w:tcW w:w="1276" w:type="dxa"/>
            <w:vMerge/>
            <w:tcBorders>
              <w:top w:val="nil"/>
              <w:left w:val="single" w:sz="4" w:space="0" w:color="auto"/>
              <w:bottom w:val="single" w:sz="4" w:space="0" w:color="auto"/>
              <w:right w:val="single" w:sz="4" w:space="0" w:color="auto"/>
            </w:tcBorders>
            <w:vAlign w:val="center"/>
            <w:hideMark/>
          </w:tcPr>
          <w:p w:rsidR="00F45667" w:rsidRPr="00F45667" w:rsidRDefault="00F45667" w:rsidP="00F45667">
            <w:pPr>
              <w:spacing w:after="0" w:line="240" w:lineRule="auto"/>
              <w:rPr>
                <w:rFonts w:ascii="Arial" w:eastAsia="Times New Roman" w:hAnsi="Arial" w:cs="Arial"/>
                <w:color w:val="000000"/>
                <w:sz w:val="18"/>
                <w:szCs w:val="18"/>
                <w:lang w:eastAsia="en-GB"/>
              </w:rPr>
            </w:pPr>
          </w:p>
        </w:tc>
        <w:tc>
          <w:tcPr>
            <w:tcW w:w="2552"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supply model + LLTI</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12.3%</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20.0%</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39.3%</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25.4%</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44.4%</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37.7%</w:t>
            </w:r>
          </w:p>
        </w:tc>
        <w:tc>
          <w:tcPr>
            <w:tcW w:w="77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sz w:val="18"/>
                <w:szCs w:val="18"/>
                <w:lang w:eastAsia="en-GB"/>
              </w:rPr>
            </w:pPr>
            <w:r w:rsidRPr="00F45667">
              <w:rPr>
                <w:rFonts w:ascii="Arial" w:eastAsia="Times New Roman" w:hAnsi="Arial" w:cs="Arial"/>
                <w:sz w:val="18"/>
                <w:szCs w:val="18"/>
                <w:lang w:eastAsia="en-GB"/>
              </w:rPr>
              <w:t>57.6%</w:t>
            </w:r>
          </w:p>
        </w:tc>
      </w:tr>
      <w:tr w:rsidR="00F45667" w:rsidRPr="00F45667" w:rsidTr="00F45667">
        <w:trPr>
          <w:trHeight w:val="300"/>
        </w:trPr>
        <w:tc>
          <w:tcPr>
            <w:tcW w:w="1276" w:type="dxa"/>
            <w:vMerge/>
            <w:tcBorders>
              <w:top w:val="nil"/>
              <w:left w:val="single" w:sz="4" w:space="0" w:color="auto"/>
              <w:bottom w:val="single" w:sz="4" w:space="0" w:color="auto"/>
              <w:right w:val="single" w:sz="4" w:space="0" w:color="auto"/>
            </w:tcBorders>
            <w:vAlign w:val="center"/>
            <w:hideMark/>
          </w:tcPr>
          <w:p w:rsidR="00F45667" w:rsidRPr="00F45667" w:rsidRDefault="00F45667" w:rsidP="00F45667">
            <w:pPr>
              <w:spacing w:after="0" w:line="240" w:lineRule="auto"/>
              <w:rPr>
                <w:rFonts w:ascii="Arial" w:eastAsia="Times New Roman" w:hAnsi="Arial" w:cs="Arial"/>
                <w:color w:val="000000"/>
                <w:sz w:val="18"/>
                <w:szCs w:val="18"/>
                <w:lang w:eastAsia="en-GB"/>
              </w:rPr>
            </w:pPr>
          </w:p>
        </w:tc>
        <w:tc>
          <w:tcPr>
            <w:tcW w:w="2552" w:type="dxa"/>
            <w:tcBorders>
              <w:top w:val="nil"/>
              <w:left w:val="nil"/>
              <w:bottom w:val="single" w:sz="4" w:space="0" w:color="auto"/>
              <w:right w:val="single" w:sz="4" w:space="0" w:color="auto"/>
            </w:tcBorders>
            <w:shd w:val="clear" w:color="000000" w:fill="E6B9B8"/>
            <w:noWrap/>
            <w:vAlign w:val="center"/>
            <w:hideMark/>
          </w:tcPr>
          <w:p w:rsidR="00F45667" w:rsidRPr="00F45667" w:rsidRDefault="00F45667" w:rsidP="00F45667">
            <w:pPr>
              <w:spacing w:after="0" w:line="240" w:lineRule="auto"/>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supply model + current index</w:t>
            </w:r>
          </w:p>
        </w:tc>
        <w:tc>
          <w:tcPr>
            <w:tcW w:w="850" w:type="dxa"/>
            <w:tcBorders>
              <w:top w:val="nil"/>
              <w:left w:val="nil"/>
              <w:bottom w:val="single" w:sz="4" w:space="0" w:color="auto"/>
              <w:right w:val="single" w:sz="4" w:space="0" w:color="auto"/>
            </w:tcBorders>
            <w:shd w:val="clear" w:color="000000" w:fill="E6B9B8"/>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12.8%</w:t>
            </w:r>
          </w:p>
        </w:tc>
        <w:tc>
          <w:tcPr>
            <w:tcW w:w="851" w:type="dxa"/>
            <w:tcBorders>
              <w:top w:val="nil"/>
              <w:left w:val="nil"/>
              <w:bottom w:val="single" w:sz="4" w:space="0" w:color="auto"/>
              <w:right w:val="single" w:sz="4" w:space="0" w:color="auto"/>
            </w:tcBorders>
            <w:shd w:val="clear" w:color="000000" w:fill="E6B9B8"/>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18.9%</w:t>
            </w:r>
          </w:p>
        </w:tc>
        <w:tc>
          <w:tcPr>
            <w:tcW w:w="850" w:type="dxa"/>
            <w:tcBorders>
              <w:top w:val="nil"/>
              <w:left w:val="nil"/>
              <w:bottom w:val="single" w:sz="4" w:space="0" w:color="auto"/>
              <w:right w:val="single" w:sz="4" w:space="0" w:color="auto"/>
            </w:tcBorders>
            <w:shd w:val="clear" w:color="000000" w:fill="E6B9B8"/>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38.1%</w:t>
            </w:r>
          </w:p>
        </w:tc>
        <w:tc>
          <w:tcPr>
            <w:tcW w:w="851" w:type="dxa"/>
            <w:tcBorders>
              <w:top w:val="nil"/>
              <w:left w:val="nil"/>
              <w:bottom w:val="single" w:sz="4" w:space="0" w:color="auto"/>
              <w:right w:val="single" w:sz="4" w:space="0" w:color="auto"/>
            </w:tcBorders>
            <w:shd w:val="clear" w:color="000000" w:fill="E6B9B8"/>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24.0%</w:t>
            </w:r>
          </w:p>
        </w:tc>
        <w:tc>
          <w:tcPr>
            <w:tcW w:w="850" w:type="dxa"/>
            <w:tcBorders>
              <w:top w:val="nil"/>
              <w:left w:val="nil"/>
              <w:bottom w:val="single" w:sz="4" w:space="0" w:color="auto"/>
              <w:right w:val="single" w:sz="4" w:space="0" w:color="auto"/>
            </w:tcBorders>
            <w:shd w:val="clear" w:color="000000" w:fill="E6B9B8"/>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42.5%</w:t>
            </w:r>
          </w:p>
        </w:tc>
        <w:tc>
          <w:tcPr>
            <w:tcW w:w="851" w:type="dxa"/>
            <w:tcBorders>
              <w:top w:val="nil"/>
              <w:left w:val="nil"/>
              <w:bottom w:val="single" w:sz="4" w:space="0" w:color="auto"/>
              <w:right w:val="single" w:sz="4" w:space="0" w:color="auto"/>
            </w:tcBorders>
            <w:shd w:val="clear" w:color="000000" w:fill="E6B9B8"/>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37.0%</w:t>
            </w:r>
          </w:p>
        </w:tc>
        <w:tc>
          <w:tcPr>
            <w:tcW w:w="770" w:type="dxa"/>
            <w:tcBorders>
              <w:top w:val="nil"/>
              <w:left w:val="nil"/>
              <w:bottom w:val="single" w:sz="4" w:space="0" w:color="auto"/>
              <w:right w:val="single" w:sz="4" w:space="0" w:color="auto"/>
            </w:tcBorders>
            <w:shd w:val="clear" w:color="000000" w:fill="E6B9B8"/>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56.3%</w:t>
            </w:r>
          </w:p>
        </w:tc>
      </w:tr>
      <w:tr w:rsidR="00F45667" w:rsidRPr="00F45667" w:rsidTr="00F45667">
        <w:trPr>
          <w:trHeight w:val="300"/>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45667" w:rsidRPr="00F45667" w:rsidRDefault="00AC20DC" w:rsidP="00F45667">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1 year </w:t>
            </w:r>
            <w:r w:rsidR="00F45667" w:rsidRPr="00F45667">
              <w:rPr>
                <w:rFonts w:ascii="Arial" w:eastAsia="Times New Roman" w:hAnsi="Arial" w:cs="Arial"/>
                <w:color w:val="000000"/>
                <w:sz w:val="18"/>
                <w:szCs w:val="18"/>
                <w:lang w:eastAsia="en-GB"/>
              </w:rPr>
              <w:t>Intermediate</w:t>
            </w:r>
            <w:r w:rsidR="00F45667" w:rsidRPr="00F45667">
              <w:rPr>
                <w:rFonts w:ascii="Arial" w:eastAsia="Times New Roman" w:hAnsi="Arial" w:cs="Arial"/>
                <w:color w:val="000000"/>
                <w:sz w:val="18"/>
                <w:szCs w:val="18"/>
                <w:lang w:eastAsia="en-GB"/>
              </w:rPr>
              <w:br/>
              <w:t>Zones</w:t>
            </w:r>
          </w:p>
        </w:tc>
        <w:tc>
          <w:tcPr>
            <w:tcW w:w="2552"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 xml:space="preserve">supply model + SMR </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24.3%</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25.9%</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48.3%</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28.9%</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52.0%</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49.3%</w:t>
            </w:r>
          </w:p>
        </w:tc>
        <w:tc>
          <w:tcPr>
            <w:tcW w:w="77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66.2%</w:t>
            </w:r>
          </w:p>
        </w:tc>
      </w:tr>
      <w:tr w:rsidR="00F45667" w:rsidRPr="00F45667" w:rsidTr="00F45667">
        <w:trPr>
          <w:trHeight w:val="300"/>
        </w:trPr>
        <w:tc>
          <w:tcPr>
            <w:tcW w:w="1276" w:type="dxa"/>
            <w:vMerge/>
            <w:tcBorders>
              <w:top w:val="nil"/>
              <w:left w:val="single" w:sz="4" w:space="0" w:color="auto"/>
              <w:bottom w:val="single" w:sz="4" w:space="0" w:color="auto"/>
              <w:right w:val="single" w:sz="4" w:space="0" w:color="auto"/>
            </w:tcBorders>
            <w:vAlign w:val="center"/>
            <w:hideMark/>
          </w:tcPr>
          <w:p w:rsidR="00F45667" w:rsidRPr="00F45667" w:rsidRDefault="00F45667" w:rsidP="00F45667">
            <w:pPr>
              <w:spacing w:after="0" w:line="240" w:lineRule="auto"/>
              <w:rPr>
                <w:rFonts w:ascii="Arial" w:eastAsia="Times New Roman" w:hAnsi="Arial" w:cs="Arial"/>
                <w:color w:val="000000"/>
                <w:sz w:val="18"/>
                <w:szCs w:val="18"/>
                <w:lang w:eastAsia="en-GB"/>
              </w:rPr>
            </w:pPr>
          </w:p>
        </w:tc>
        <w:tc>
          <w:tcPr>
            <w:tcW w:w="2552"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supply model + LLTI</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24.2%</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29.7%</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52.3%</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30.5%</w:t>
            </w:r>
          </w:p>
        </w:tc>
        <w:tc>
          <w:tcPr>
            <w:tcW w:w="85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56.5%</w:t>
            </w:r>
          </w:p>
        </w:tc>
        <w:tc>
          <w:tcPr>
            <w:tcW w:w="851"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54.7%</w:t>
            </w:r>
          </w:p>
        </w:tc>
        <w:tc>
          <w:tcPr>
            <w:tcW w:w="770" w:type="dxa"/>
            <w:tcBorders>
              <w:top w:val="nil"/>
              <w:left w:val="nil"/>
              <w:bottom w:val="single" w:sz="4" w:space="0" w:color="auto"/>
              <w:right w:val="single" w:sz="4" w:space="0" w:color="auto"/>
            </w:tcBorders>
            <w:shd w:val="clear" w:color="000000" w:fill="D7E4BC"/>
            <w:noWrap/>
            <w:vAlign w:val="bottom"/>
            <w:hideMark/>
          </w:tcPr>
          <w:p w:rsidR="00F45667" w:rsidRPr="00F45667" w:rsidRDefault="00F45667" w:rsidP="00F45667">
            <w:pPr>
              <w:spacing w:after="0" w:line="240" w:lineRule="auto"/>
              <w:jc w:val="right"/>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68.2%</w:t>
            </w:r>
          </w:p>
        </w:tc>
      </w:tr>
      <w:tr w:rsidR="00F45667" w:rsidRPr="00F45667" w:rsidTr="00F45667">
        <w:trPr>
          <w:trHeight w:val="300"/>
        </w:trPr>
        <w:tc>
          <w:tcPr>
            <w:tcW w:w="1276" w:type="dxa"/>
            <w:vMerge/>
            <w:tcBorders>
              <w:top w:val="nil"/>
              <w:left w:val="single" w:sz="4" w:space="0" w:color="auto"/>
              <w:bottom w:val="single" w:sz="4" w:space="0" w:color="auto"/>
              <w:right w:val="single" w:sz="4" w:space="0" w:color="auto"/>
            </w:tcBorders>
            <w:vAlign w:val="center"/>
            <w:hideMark/>
          </w:tcPr>
          <w:p w:rsidR="00F45667" w:rsidRPr="00F45667" w:rsidRDefault="00F45667" w:rsidP="00F45667">
            <w:pPr>
              <w:spacing w:after="0" w:line="240" w:lineRule="auto"/>
              <w:rPr>
                <w:rFonts w:ascii="Arial" w:eastAsia="Times New Roman" w:hAnsi="Arial" w:cs="Arial"/>
                <w:color w:val="000000"/>
                <w:sz w:val="18"/>
                <w:szCs w:val="18"/>
                <w:lang w:eastAsia="en-GB"/>
              </w:rPr>
            </w:pPr>
          </w:p>
        </w:tc>
        <w:tc>
          <w:tcPr>
            <w:tcW w:w="2552" w:type="dxa"/>
            <w:tcBorders>
              <w:top w:val="nil"/>
              <w:left w:val="nil"/>
              <w:bottom w:val="single" w:sz="4" w:space="0" w:color="auto"/>
              <w:right w:val="single" w:sz="4" w:space="0" w:color="auto"/>
            </w:tcBorders>
            <w:shd w:val="clear" w:color="000000" w:fill="E6B9B8"/>
            <w:noWrap/>
            <w:vAlign w:val="center"/>
            <w:hideMark/>
          </w:tcPr>
          <w:p w:rsidR="00F45667" w:rsidRPr="00F45667" w:rsidRDefault="00F45667" w:rsidP="00F45667">
            <w:pPr>
              <w:spacing w:after="0" w:line="240" w:lineRule="auto"/>
              <w:rPr>
                <w:rFonts w:ascii="Arial" w:eastAsia="Times New Roman" w:hAnsi="Arial" w:cs="Arial"/>
                <w:color w:val="000000"/>
                <w:sz w:val="18"/>
                <w:szCs w:val="18"/>
                <w:lang w:eastAsia="en-GB"/>
              </w:rPr>
            </w:pPr>
            <w:r w:rsidRPr="00F45667">
              <w:rPr>
                <w:rFonts w:ascii="Arial" w:eastAsia="Times New Roman" w:hAnsi="Arial" w:cs="Arial"/>
                <w:color w:val="000000"/>
                <w:sz w:val="18"/>
                <w:szCs w:val="18"/>
                <w:lang w:eastAsia="en-GB"/>
              </w:rPr>
              <w:t>supply model + current index</w:t>
            </w:r>
          </w:p>
        </w:tc>
        <w:tc>
          <w:tcPr>
            <w:tcW w:w="850" w:type="dxa"/>
            <w:tcBorders>
              <w:top w:val="nil"/>
              <w:left w:val="nil"/>
              <w:bottom w:val="single" w:sz="4" w:space="0" w:color="auto"/>
              <w:right w:val="single" w:sz="4" w:space="0" w:color="auto"/>
            </w:tcBorders>
            <w:shd w:val="clear" w:color="000000" w:fill="E6B9B8"/>
            <w:noWrap/>
            <w:vAlign w:val="bottom"/>
            <w:hideMark/>
          </w:tcPr>
          <w:p w:rsidR="00F45667" w:rsidRPr="00D27BEC" w:rsidRDefault="00F45667" w:rsidP="00F45667">
            <w:pPr>
              <w:spacing w:after="0" w:line="240" w:lineRule="auto"/>
              <w:jc w:val="right"/>
              <w:rPr>
                <w:rFonts w:ascii="Arial" w:eastAsia="Times New Roman" w:hAnsi="Arial" w:cs="Arial"/>
                <w:bCs/>
                <w:color w:val="000000"/>
                <w:sz w:val="18"/>
                <w:szCs w:val="18"/>
                <w:lang w:eastAsia="en-GB"/>
              </w:rPr>
            </w:pPr>
            <w:r w:rsidRPr="00D27BEC">
              <w:rPr>
                <w:rFonts w:ascii="Arial" w:eastAsia="Times New Roman" w:hAnsi="Arial" w:cs="Arial"/>
                <w:bCs/>
                <w:color w:val="000000"/>
                <w:sz w:val="18"/>
                <w:szCs w:val="18"/>
                <w:lang w:eastAsia="en-GB"/>
              </w:rPr>
              <w:t>24.5%</w:t>
            </w:r>
          </w:p>
        </w:tc>
        <w:tc>
          <w:tcPr>
            <w:tcW w:w="851" w:type="dxa"/>
            <w:tcBorders>
              <w:top w:val="nil"/>
              <w:left w:val="nil"/>
              <w:bottom w:val="single" w:sz="4" w:space="0" w:color="auto"/>
              <w:right w:val="single" w:sz="4" w:space="0" w:color="auto"/>
            </w:tcBorders>
            <w:shd w:val="clear" w:color="000000" w:fill="E6B9B8"/>
            <w:noWrap/>
            <w:vAlign w:val="bottom"/>
            <w:hideMark/>
          </w:tcPr>
          <w:p w:rsidR="00F45667" w:rsidRPr="00D27BEC" w:rsidRDefault="00F45667" w:rsidP="00F45667">
            <w:pPr>
              <w:spacing w:after="0" w:line="240" w:lineRule="auto"/>
              <w:jc w:val="right"/>
              <w:rPr>
                <w:rFonts w:ascii="Arial" w:eastAsia="Times New Roman" w:hAnsi="Arial" w:cs="Arial"/>
                <w:bCs/>
                <w:color w:val="000000"/>
                <w:sz w:val="18"/>
                <w:szCs w:val="18"/>
                <w:lang w:eastAsia="en-GB"/>
              </w:rPr>
            </w:pPr>
            <w:r w:rsidRPr="00D27BEC">
              <w:rPr>
                <w:rFonts w:ascii="Arial" w:eastAsia="Times New Roman" w:hAnsi="Arial" w:cs="Arial"/>
                <w:bCs/>
                <w:color w:val="000000"/>
                <w:sz w:val="18"/>
                <w:szCs w:val="18"/>
                <w:lang w:eastAsia="en-GB"/>
              </w:rPr>
              <w:t>29.1%</w:t>
            </w:r>
          </w:p>
        </w:tc>
        <w:tc>
          <w:tcPr>
            <w:tcW w:w="850" w:type="dxa"/>
            <w:tcBorders>
              <w:top w:val="nil"/>
              <w:left w:val="nil"/>
              <w:bottom w:val="single" w:sz="4" w:space="0" w:color="auto"/>
              <w:right w:val="single" w:sz="4" w:space="0" w:color="auto"/>
            </w:tcBorders>
            <w:shd w:val="clear" w:color="000000" w:fill="E6B9B8"/>
            <w:noWrap/>
            <w:vAlign w:val="bottom"/>
            <w:hideMark/>
          </w:tcPr>
          <w:p w:rsidR="00F45667" w:rsidRPr="00D27BEC" w:rsidRDefault="00F45667" w:rsidP="00F45667">
            <w:pPr>
              <w:spacing w:after="0" w:line="240" w:lineRule="auto"/>
              <w:jc w:val="right"/>
              <w:rPr>
                <w:rFonts w:ascii="Arial" w:eastAsia="Times New Roman" w:hAnsi="Arial" w:cs="Arial"/>
                <w:bCs/>
                <w:color w:val="000000"/>
                <w:sz w:val="18"/>
                <w:szCs w:val="18"/>
                <w:lang w:eastAsia="en-GB"/>
              </w:rPr>
            </w:pPr>
            <w:r w:rsidRPr="00D27BEC">
              <w:rPr>
                <w:rFonts w:ascii="Arial" w:eastAsia="Times New Roman" w:hAnsi="Arial" w:cs="Arial"/>
                <w:bCs/>
                <w:color w:val="000000"/>
                <w:sz w:val="18"/>
                <w:szCs w:val="18"/>
                <w:lang w:eastAsia="en-GB"/>
              </w:rPr>
              <w:t>51.6%</w:t>
            </w:r>
          </w:p>
        </w:tc>
        <w:tc>
          <w:tcPr>
            <w:tcW w:w="851" w:type="dxa"/>
            <w:tcBorders>
              <w:top w:val="nil"/>
              <w:left w:val="nil"/>
              <w:bottom w:val="single" w:sz="4" w:space="0" w:color="auto"/>
              <w:right w:val="single" w:sz="4" w:space="0" w:color="auto"/>
            </w:tcBorders>
            <w:shd w:val="clear" w:color="000000" w:fill="E6B9B8"/>
            <w:noWrap/>
            <w:vAlign w:val="bottom"/>
            <w:hideMark/>
          </w:tcPr>
          <w:p w:rsidR="00F45667" w:rsidRPr="00D27BEC" w:rsidRDefault="00F45667" w:rsidP="00F45667">
            <w:pPr>
              <w:spacing w:after="0" w:line="240" w:lineRule="auto"/>
              <w:jc w:val="right"/>
              <w:rPr>
                <w:rFonts w:ascii="Arial" w:eastAsia="Times New Roman" w:hAnsi="Arial" w:cs="Arial"/>
                <w:bCs/>
                <w:color w:val="000000"/>
                <w:sz w:val="18"/>
                <w:szCs w:val="18"/>
                <w:lang w:eastAsia="en-GB"/>
              </w:rPr>
            </w:pPr>
            <w:r w:rsidRPr="00D27BEC">
              <w:rPr>
                <w:rFonts w:ascii="Arial" w:eastAsia="Times New Roman" w:hAnsi="Arial" w:cs="Arial"/>
                <w:bCs/>
                <w:color w:val="000000"/>
                <w:sz w:val="18"/>
                <w:szCs w:val="18"/>
                <w:lang w:eastAsia="en-GB"/>
              </w:rPr>
              <w:t>31.1%</w:t>
            </w:r>
          </w:p>
        </w:tc>
        <w:tc>
          <w:tcPr>
            <w:tcW w:w="850" w:type="dxa"/>
            <w:tcBorders>
              <w:top w:val="nil"/>
              <w:left w:val="nil"/>
              <w:bottom w:val="single" w:sz="4" w:space="0" w:color="auto"/>
              <w:right w:val="single" w:sz="4" w:space="0" w:color="auto"/>
            </w:tcBorders>
            <w:shd w:val="clear" w:color="000000" w:fill="E6B9B8"/>
            <w:noWrap/>
            <w:vAlign w:val="bottom"/>
            <w:hideMark/>
          </w:tcPr>
          <w:p w:rsidR="00F45667" w:rsidRPr="00D27BEC" w:rsidRDefault="00F45667" w:rsidP="00F45667">
            <w:pPr>
              <w:spacing w:after="0" w:line="240" w:lineRule="auto"/>
              <w:jc w:val="right"/>
              <w:rPr>
                <w:rFonts w:ascii="Arial" w:eastAsia="Times New Roman" w:hAnsi="Arial" w:cs="Arial"/>
                <w:bCs/>
                <w:color w:val="000000"/>
                <w:sz w:val="18"/>
                <w:szCs w:val="18"/>
                <w:lang w:eastAsia="en-GB"/>
              </w:rPr>
            </w:pPr>
            <w:r w:rsidRPr="00D27BEC">
              <w:rPr>
                <w:rFonts w:ascii="Arial" w:eastAsia="Times New Roman" w:hAnsi="Arial" w:cs="Arial"/>
                <w:bCs/>
                <w:color w:val="000000"/>
                <w:sz w:val="18"/>
                <w:szCs w:val="18"/>
                <w:lang w:eastAsia="en-GB"/>
              </w:rPr>
              <w:t>56.1%</w:t>
            </w:r>
          </w:p>
        </w:tc>
        <w:tc>
          <w:tcPr>
            <w:tcW w:w="851" w:type="dxa"/>
            <w:tcBorders>
              <w:top w:val="nil"/>
              <w:left w:val="nil"/>
              <w:bottom w:val="single" w:sz="4" w:space="0" w:color="auto"/>
              <w:right w:val="single" w:sz="4" w:space="0" w:color="auto"/>
            </w:tcBorders>
            <w:shd w:val="clear" w:color="000000" w:fill="E6B9B8"/>
            <w:noWrap/>
            <w:vAlign w:val="bottom"/>
            <w:hideMark/>
          </w:tcPr>
          <w:p w:rsidR="00F45667" w:rsidRPr="00D27BEC" w:rsidRDefault="00F45667" w:rsidP="00F45667">
            <w:pPr>
              <w:spacing w:after="0" w:line="240" w:lineRule="auto"/>
              <w:jc w:val="right"/>
              <w:rPr>
                <w:rFonts w:ascii="Arial" w:eastAsia="Times New Roman" w:hAnsi="Arial" w:cs="Arial"/>
                <w:bCs/>
                <w:color w:val="000000"/>
                <w:sz w:val="18"/>
                <w:szCs w:val="18"/>
                <w:lang w:eastAsia="en-GB"/>
              </w:rPr>
            </w:pPr>
            <w:r w:rsidRPr="00D27BEC">
              <w:rPr>
                <w:rFonts w:ascii="Arial" w:eastAsia="Times New Roman" w:hAnsi="Arial" w:cs="Arial"/>
                <w:bCs/>
                <w:color w:val="000000"/>
                <w:sz w:val="18"/>
                <w:szCs w:val="18"/>
                <w:lang w:eastAsia="en-GB"/>
              </w:rPr>
              <w:t>53.9%</w:t>
            </w:r>
          </w:p>
        </w:tc>
        <w:tc>
          <w:tcPr>
            <w:tcW w:w="770" w:type="dxa"/>
            <w:tcBorders>
              <w:top w:val="nil"/>
              <w:left w:val="nil"/>
              <w:bottom w:val="single" w:sz="4" w:space="0" w:color="auto"/>
              <w:right w:val="single" w:sz="4" w:space="0" w:color="auto"/>
            </w:tcBorders>
            <w:shd w:val="clear" w:color="000000" w:fill="E6B9B8"/>
            <w:noWrap/>
            <w:vAlign w:val="bottom"/>
            <w:hideMark/>
          </w:tcPr>
          <w:p w:rsidR="00F45667" w:rsidRPr="00D27BEC" w:rsidRDefault="00F45667" w:rsidP="00F45667">
            <w:pPr>
              <w:spacing w:after="0" w:line="240" w:lineRule="auto"/>
              <w:jc w:val="right"/>
              <w:rPr>
                <w:rFonts w:ascii="Arial" w:eastAsia="Times New Roman" w:hAnsi="Arial" w:cs="Arial"/>
                <w:bCs/>
                <w:color w:val="000000"/>
                <w:sz w:val="18"/>
                <w:szCs w:val="18"/>
                <w:lang w:eastAsia="en-GB"/>
              </w:rPr>
            </w:pPr>
            <w:r w:rsidRPr="00D27BEC">
              <w:rPr>
                <w:rFonts w:ascii="Arial" w:eastAsia="Times New Roman" w:hAnsi="Arial" w:cs="Arial"/>
                <w:bCs/>
                <w:color w:val="000000"/>
                <w:sz w:val="18"/>
                <w:szCs w:val="18"/>
                <w:lang w:eastAsia="en-GB"/>
              </w:rPr>
              <w:t>67.4%</w:t>
            </w:r>
          </w:p>
        </w:tc>
      </w:tr>
    </w:tbl>
    <w:p w:rsidR="0066482C" w:rsidRPr="00180CFC" w:rsidRDefault="00D27BEC" w:rsidP="0066482C">
      <w:pPr>
        <w:spacing w:before="240"/>
        <w:jc w:val="both"/>
        <w:rPr>
          <w:rFonts w:ascii="Arial" w:hAnsi="Arial" w:cs="Arial"/>
        </w:rPr>
      </w:pPr>
      <w:r>
        <w:rPr>
          <w:rFonts w:ascii="Arial" w:hAnsi="Arial" w:cs="Arial"/>
        </w:rPr>
        <w:t xml:space="preserve">The regression results </w:t>
      </w:r>
      <w:r w:rsidR="00180CFC" w:rsidRPr="00180CFC">
        <w:rPr>
          <w:rFonts w:ascii="Arial" w:hAnsi="Arial" w:cs="Arial"/>
        </w:rPr>
        <w:t>suggest tha</w:t>
      </w:r>
      <w:r w:rsidR="002D189E">
        <w:rPr>
          <w:rFonts w:ascii="Arial" w:hAnsi="Arial" w:cs="Arial"/>
        </w:rPr>
        <w:t>t SMR is a weaker predictor of c</w:t>
      </w:r>
      <w:r w:rsidR="00180CFC" w:rsidRPr="00180CFC">
        <w:rPr>
          <w:rFonts w:ascii="Arial" w:hAnsi="Arial" w:cs="Arial"/>
        </w:rPr>
        <w:t>os</w:t>
      </w:r>
      <w:r w:rsidR="002D189E">
        <w:rPr>
          <w:rFonts w:ascii="Arial" w:hAnsi="Arial" w:cs="Arial"/>
        </w:rPr>
        <w:t>t ratios compared to LLTI r</w:t>
      </w:r>
      <w:r>
        <w:rPr>
          <w:rFonts w:ascii="Arial" w:hAnsi="Arial" w:cs="Arial"/>
        </w:rPr>
        <w:t>atio</w:t>
      </w:r>
      <w:r w:rsidR="00587203">
        <w:rPr>
          <w:rFonts w:ascii="Arial" w:hAnsi="Arial" w:cs="Arial"/>
        </w:rPr>
        <w:t>,</w:t>
      </w:r>
      <w:r>
        <w:rPr>
          <w:rFonts w:ascii="Arial" w:hAnsi="Arial" w:cs="Arial"/>
        </w:rPr>
        <w:t xml:space="preserve"> confirming the initial impression from the correlations in Table 1</w:t>
      </w:r>
      <w:r w:rsidR="002D189E">
        <w:rPr>
          <w:rFonts w:ascii="Arial" w:hAnsi="Arial" w:cs="Arial"/>
        </w:rPr>
        <w:t>. SMR and LLTI r</w:t>
      </w:r>
      <w:r w:rsidR="00180CFC" w:rsidRPr="00180CFC">
        <w:rPr>
          <w:rFonts w:ascii="Arial" w:hAnsi="Arial" w:cs="Arial"/>
        </w:rPr>
        <w:t xml:space="preserve">atio are highly correlated, as mentioned in section </w:t>
      </w:r>
      <w:r w:rsidR="003C6BC2">
        <w:rPr>
          <w:rFonts w:ascii="Arial" w:hAnsi="Arial" w:cs="Arial"/>
        </w:rPr>
        <w:t>2</w:t>
      </w:r>
      <w:r w:rsidR="00180CFC" w:rsidRPr="00180CFC">
        <w:rPr>
          <w:rFonts w:ascii="Arial" w:hAnsi="Arial" w:cs="Arial"/>
        </w:rPr>
        <w:t xml:space="preserve">.1, which explains </w:t>
      </w:r>
      <w:r w:rsidR="00587203">
        <w:rPr>
          <w:rFonts w:ascii="Arial" w:hAnsi="Arial" w:cs="Arial"/>
        </w:rPr>
        <w:t xml:space="preserve">why </w:t>
      </w:r>
      <w:r w:rsidR="00180CFC" w:rsidRPr="00180CFC">
        <w:rPr>
          <w:rFonts w:ascii="Arial" w:hAnsi="Arial" w:cs="Arial"/>
        </w:rPr>
        <w:t xml:space="preserve">the adjusted R-squared values </w:t>
      </w:r>
      <w:r w:rsidR="00587203">
        <w:rPr>
          <w:rFonts w:ascii="Arial" w:hAnsi="Arial" w:cs="Arial"/>
        </w:rPr>
        <w:t xml:space="preserve">are not increased when combining </w:t>
      </w:r>
      <w:r w:rsidR="00180CFC" w:rsidRPr="00180CFC">
        <w:rPr>
          <w:rFonts w:ascii="Arial" w:hAnsi="Arial" w:cs="Arial"/>
        </w:rPr>
        <w:t>both variables</w:t>
      </w:r>
      <w:r>
        <w:rPr>
          <w:rFonts w:ascii="Arial" w:hAnsi="Arial" w:cs="Arial"/>
        </w:rPr>
        <w:t xml:space="preserve"> in an index</w:t>
      </w:r>
      <w:r w:rsidR="00180CFC" w:rsidRPr="00180CFC">
        <w:rPr>
          <w:rFonts w:ascii="Arial" w:hAnsi="Arial" w:cs="Arial"/>
        </w:rPr>
        <w:t>.</w:t>
      </w:r>
      <w:r w:rsidR="001A6414">
        <w:rPr>
          <w:rFonts w:ascii="Arial" w:hAnsi="Arial" w:cs="Arial"/>
        </w:rPr>
        <w:t xml:space="preserve"> </w:t>
      </w:r>
      <w:r w:rsidR="00587203">
        <w:rPr>
          <w:rFonts w:ascii="Arial" w:hAnsi="Arial" w:cs="Arial"/>
        </w:rPr>
        <w:t>A</w:t>
      </w:r>
      <w:r w:rsidR="001A6414">
        <w:rPr>
          <w:rFonts w:ascii="Arial" w:hAnsi="Arial" w:cs="Arial"/>
        </w:rPr>
        <w:t xml:space="preserve"> model with LLTI only as an indicator of need performs equally well or better</w:t>
      </w:r>
      <w:r w:rsidR="005C1566">
        <w:rPr>
          <w:rFonts w:ascii="Arial" w:hAnsi="Arial" w:cs="Arial"/>
        </w:rPr>
        <w:t xml:space="preserve"> than a model using the current index</w:t>
      </w:r>
      <w:r w:rsidR="001A6414">
        <w:rPr>
          <w:rFonts w:ascii="Arial" w:hAnsi="Arial" w:cs="Arial"/>
        </w:rPr>
        <w:t>.</w:t>
      </w:r>
      <w:r w:rsidR="0066482C">
        <w:rPr>
          <w:rFonts w:ascii="Arial" w:hAnsi="Arial" w:cs="Arial"/>
        </w:rPr>
        <w:t xml:space="preserve"> Notably, the most ‘expensive’ diagnostic groups </w:t>
      </w:r>
      <w:r w:rsidR="00C14DDE">
        <w:rPr>
          <w:rFonts w:ascii="Arial" w:hAnsi="Arial" w:cs="Arial"/>
        </w:rPr>
        <w:t xml:space="preserve">– </w:t>
      </w:r>
      <w:r w:rsidR="0066482C">
        <w:rPr>
          <w:rFonts w:ascii="Arial" w:hAnsi="Arial" w:cs="Arial"/>
        </w:rPr>
        <w:t>Other</w:t>
      </w:r>
      <w:r w:rsidR="00C14DDE">
        <w:rPr>
          <w:rFonts w:ascii="Arial" w:hAnsi="Arial" w:cs="Arial"/>
        </w:rPr>
        <w:t xml:space="preserve"> </w:t>
      </w:r>
      <w:r w:rsidR="0066482C">
        <w:rPr>
          <w:rFonts w:ascii="Arial" w:hAnsi="Arial" w:cs="Arial"/>
        </w:rPr>
        <w:t xml:space="preserve">and Outpatients </w:t>
      </w:r>
      <w:r w:rsidR="00C14DDE">
        <w:rPr>
          <w:rFonts w:ascii="Arial" w:hAnsi="Arial" w:cs="Arial"/>
        </w:rPr>
        <w:t xml:space="preserve">– </w:t>
      </w:r>
      <w:r w:rsidR="0066482C">
        <w:rPr>
          <w:rFonts w:ascii="Arial" w:hAnsi="Arial" w:cs="Arial"/>
        </w:rPr>
        <w:lastRenderedPageBreak/>
        <w:t>give</w:t>
      </w:r>
      <w:r w:rsidR="00C14DDE">
        <w:rPr>
          <w:rFonts w:ascii="Arial" w:hAnsi="Arial" w:cs="Arial"/>
        </w:rPr>
        <w:t xml:space="preserve"> </w:t>
      </w:r>
      <w:r w:rsidR="0066482C">
        <w:rPr>
          <w:rFonts w:ascii="Arial" w:hAnsi="Arial" w:cs="Arial"/>
        </w:rPr>
        <w:t xml:space="preserve">the best fit to the reference model (see Annex </w:t>
      </w:r>
      <w:r w:rsidR="005C1566">
        <w:rPr>
          <w:rFonts w:ascii="Arial" w:hAnsi="Arial" w:cs="Arial"/>
        </w:rPr>
        <w:t>A</w:t>
      </w:r>
      <w:r w:rsidR="0066482C">
        <w:rPr>
          <w:rFonts w:ascii="Arial" w:hAnsi="Arial" w:cs="Arial"/>
        </w:rPr>
        <w:t xml:space="preserve"> for the actual spend in each diagnostic group).</w:t>
      </w:r>
    </w:p>
    <w:p w:rsidR="00180CFC" w:rsidRPr="00180CFC" w:rsidRDefault="004759DB" w:rsidP="005F30B5">
      <w:pPr>
        <w:spacing w:before="240"/>
        <w:jc w:val="both"/>
        <w:rPr>
          <w:rFonts w:ascii="Arial" w:hAnsi="Arial" w:cs="Arial"/>
          <w:b/>
        </w:rPr>
      </w:pPr>
      <w:r>
        <w:rPr>
          <w:rFonts w:ascii="Arial" w:hAnsi="Arial" w:cs="Arial"/>
        </w:rPr>
        <w:t xml:space="preserve"> </w:t>
      </w:r>
      <w:r w:rsidR="003C6BC2">
        <w:rPr>
          <w:rFonts w:ascii="Arial" w:hAnsi="Arial" w:cs="Arial"/>
          <w:b/>
        </w:rPr>
        <w:t>2</w:t>
      </w:r>
      <w:r w:rsidR="00180CFC" w:rsidRPr="00180CFC">
        <w:rPr>
          <w:rFonts w:ascii="Arial" w:hAnsi="Arial" w:cs="Arial"/>
          <w:b/>
        </w:rPr>
        <w:t xml:space="preserve">.4 </w:t>
      </w:r>
      <w:r w:rsidR="005C1566">
        <w:rPr>
          <w:rFonts w:ascii="Arial" w:hAnsi="Arial" w:cs="Arial"/>
          <w:b/>
        </w:rPr>
        <w:t>V</w:t>
      </w:r>
      <w:r w:rsidR="00180CFC" w:rsidRPr="00180CFC">
        <w:rPr>
          <w:rFonts w:ascii="Arial" w:hAnsi="Arial" w:cs="Arial"/>
          <w:b/>
        </w:rPr>
        <w:t xml:space="preserve">iolation </w:t>
      </w:r>
      <w:r w:rsidR="005C1566">
        <w:rPr>
          <w:rFonts w:ascii="Arial" w:hAnsi="Arial" w:cs="Arial"/>
          <w:b/>
        </w:rPr>
        <w:t>of model assumptions</w:t>
      </w:r>
    </w:p>
    <w:p w:rsidR="005A782A" w:rsidRDefault="005C1566" w:rsidP="005C1566">
      <w:pPr>
        <w:spacing w:before="240"/>
        <w:jc w:val="both"/>
        <w:rPr>
          <w:rFonts w:ascii="Arial" w:hAnsi="Arial" w:cs="Arial"/>
        </w:rPr>
      </w:pPr>
      <w:r>
        <w:rPr>
          <w:rFonts w:ascii="Arial" w:hAnsi="Arial" w:cs="Arial"/>
        </w:rPr>
        <w:t>The linear model form used for the regression analysis requires that the model ‘residuals’ are normally distributed. If this assumption is not met, then the statistical uncertainties on the estimated model parameters are not well known. In the case of the Acute MLC reference model, strong deviations from normality of residuals have been noted. F</w:t>
      </w:r>
      <w:r w:rsidRPr="00180CFC">
        <w:rPr>
          <w:rFonts w:ascii="Arial" w:hAnsi="Arial" w:cs="Arial"/>
        </w:rPr>
        <w:t>ormal tests for normality of the residuals have been carried out</w:t>
      </w:r>
      <w:r>
        <w:rPr>
          <w:rFonts w:ascii="Arial" w:hAnsi="Arial" w:cs="Arial"/>
        </w:rPr>
        <w:t xml:space="preserve">, </w:t>
      </w:r>
      <w:r w:rsidRPr="00180CFC">
        <w:rPr>
          <w:rFonts w:ascii="Arial" w:hAnsi="Arial" w:cs="Arial"/>
        </w:rPr>
        <w:t>inclu</w:t>
      </w:r>
      <w:r>
        <w:rPr>
          <w:rFonts w:ascii="Arial" w:hAnsi="Arial" w:cs="Arial"/>
        </w:rPr>
        <w:t>ding</w:t>
      </w:r>
      <w:r w:rsidRPr="00180CFC">
        <w:rPr>
          <w:rFonts w:ascii="Arial" w:hAnsi="Arial" w:cs="Arial"/>
        </w:rPr>
        <w:t xml:space="preserve"> calculation of </w:t>
      </w:r>
      <w:proofErr w:type="spellStart"/>
      <w:r w:rsidRPr="00180CFC">
        <w:rPr>
          <w:rFonts w:ascii="Arial" w:hAnsi="Arial" w:cs="Arial"/>
        </w:rPr>
        <w:t>skewness</w:t>
      </w:r>
      <w:proofErr w:type="spellEnd"/>
      <w:r w:rsidRPr="00180CFC">
        <w:rPr>
          <w:rFonts w:ascii="Arial" w:hAnsi="Arial" w:cs="Arial"/>
        </w:rPr>
        <w:t xml:space="preserve"> and kurtosis. </w:t>
      </w:r>
      <w:r>
        <w:rPr>
          <w:rFonts w:ascii="Arial" w:hAnsi="Arial" w:cs="Arial"/>
        </w:rPr>
        <w:t xml:space="preserve">The results of these investigations are presented in Annex C. </w:t>
      </w:r>
    </w:p>
    <w:p w:rsidR="005C1566" w:rsidRDefault="005C1566" w:rsidP="005C1566">
      <w:pPr>
        <w:spacing w:before="240"/>
        <w:jc w:val="both"/>
        <w:rPr>
          <w:rFonts w:ascii="Arial" w:hAnsi="Arial" w:cs="Arial"/>
        </w:rPr>
      </w:pPr>
      <w:r>
        <w:rPr>
          <w:rFonts w:ascii="Arial" w:hAnsi="Arial" w:cs="Arial"/>
        </w:rPr>
        <w:t>Overall, normality of the residuals is least violated at 1</w:t>
      </w:r>
      <w:r w:rsidR="00C14DDE">
        <w:rPr>
          <w:rFonts w:ascii="Arial" w:hAnsi="Arial" w:cs="Arial"/>
        </w:rPr>
        <w:t xml:space="preserve"> </w:t>
      </w:r>
      <w:r>
        <w:rPr>
          <w:rFonts w:ascii="Arial" w:hAnsi="Arial" w:cs="Arial"/>
        </w:rPr>
        <w:t>year</w:t>
      </w:r>
      <w:r w:rsidR="008E6C9D">
        <w:rPr>
          <w:rFonts w:ascii="Arial" w:hAnsi="Arial" w:cs="Arial"/>
        </w:rPr>
        <w:t xml:space="preserve"> Intermediate Zone</w:t>
      </w:r>
      <w:r w:rsidR="00C14DDE">
        <w:rPr>
          <w:rFonts w:ascii="Arial" w:hAnsi="Arial" w:cs="Arial"/>
        </w:rPr>
        <w:t>s,</w:t>
      </w:r>
      <w:r>
        <w:rPr>
          <w:rFonts w:ascii="Arial" w:hAnsi="Arial" w:cs="Arial"/>
        </w:rPr>
        <w:t xml:space="preserve"> with rule-of-thumb measures for normality being passed for 5 out of 7 diagnostic groups. These rule-of-thumb measures are failed for all diagnostic groups for analysis of the model using either 1</w:t>
      </w:r>
      <w:r w:rsidR="005B0848">
        <w:rPr>
          <w:rFonts w:ascii="Arial" w:hAnsi="Arial" w:cs="Arial"/>
        </w:rPr>
        <w:t xml:space="preserve"> </w:t>
      </w:r>
      <w:r>
        <w:rPr>
          <w:rFonts w:ascii="Arial" w:hAnsi="Arial" w:cs="Arial"/>
        </w:rPr>
        <w:t xml:space="preserve">year </w:t>
      </w:r>
      <w:r w:rsidR="008E6C9D">
        <w:rPr>
          <w:rFonts w:ascii="Arial" w:hAnsi="Arial" w:cs="Arial"/>
        </w:rPr>
        <w:t xml:space="preserve">Data Zones or 3 year Data Zones. </w:t>
      </w:r>
    </w:p>
    <w:p w:rsidR="005B0848" w:rsidRDefault="005B0848" w:rsidP="005C1566">
      <w:pPr>
        <w:spacing w:before="240"/>
        <w:jc w:val="both"/>
        <w:rPr>
          <w:rFonts w:ascii="Arial" w:hAnsi="Arial" w:cs="Arial"/>
        </w:rPr>
      </w:pPr>
    </w:p>
    <w:p w:rsidR="0010160D" w:rsidRDefault="0010160D" w:rsidP="0010160D">
      <w:pPr>
        <w:jc w:val="both"/>
        <w:rPr>
          <w:rFonts w:ascii="Arial" w:hAnsi="Arial" w:cs="Arial"/>
          <w:b/>
        </w:rPr>
      </w:pPr>
      <w:r>
        <w:rPr>
          <w:rFonts w:ascii="Arial" w:hAnsi="Arial" w:cs="Arial"/>
          <w:b/>
        </w:rPr>
        <w:t>3</w:t>
      </w:r>
      <w:r w:rsidRPr="00180CFC">
        <w:rPr>
          <w:rFonts w:ascii="Arial" w:hAnsi="Arial" w:cs="Arial"/>
          <w:b/>
        </w:rPr>
        <w:t xml:space="preserve">. </w:t>
      </w:r>
      <w:r>
        <w:rPr>
          <w:rFonts w:ascii="Arial" w:hAnsi="Arial" w:cs="Arial"/>
          <w:b/>
        </w:rPr>
        <w:t>Geography and time span</w:t>
      </w:r>
      <w:r w:rsidRPr="00180CFC">
        <w:rPr>
          <w:rFonts w:ascii="Arial" w:hAnsi="Arial" w:cs="Arial"/>
          <w:b/>
        </w:rPr>
        <w:t xml:space="preserve"> </w:t>
      </w:r>
    </w:p>
    <w:p w:rsidR="004616C8" w:rsidRDefault="004616C8" w:rsidP="0010160D">
      <w:pPr>
        <w:jc w:val="both"/>
        <w:rPr>
          <w:rFonts w:ascii="Arial" w:hAnsi="Arial" w:cs="Arial"/>
        </w:rPr>
      </w:pPr>
      <w:r>
        <w:rPr>
          <w:rFonts w:ascii="Arial" w:hAnsi="Arial" w:cs="Arial"/>
        </w:rPr>
        <w:t xml:space="preserve">This section </w:t>
      </w:r>
      <w:r w:rsidR="00F86BCA">
        <w:rPr>
          <w:rFonts w:ascii="Arial" w:hAnsi="Arial" w:cs="Arial"/>
        </w:rPr>
        <w:t>discusses</w:t>
      </w:r>
      <w:r>
        <w:rPr>
          <w:rFonts w:ascii="Arial" w:hAnsi="Arial" w:cs="Arial"/>
        </w:rPr>
        <w:t xml:space="preserve"> the </w:t>
      </w:r>
      <w:r w:rsidR="00F86BCA">
        <w:rPr>
          <w:rFonts w:ascii="Arial" w:hAnsi="Arial" w:cs="Arial"/>
        </w:rPr>
        <w:t xml:space="preserve">choice of </w:t>
      </w:r>
      <w:r>
        <w:rPr>
          <w:rFonts w:ascii="Arial" w:hAnsi="Arial" w:cs="Arial"/>
        </w:rPr>
        <w:t>geography and the time span</w:t>
      </w:r>
      <w:r w:rsidR="004B184B">
        <w:rPr>
          <w:rFonts w:ascii="Arial" w:hAnsi="Arial" w:cs="Arial"/>
        </w:rPr>
        <w:t xml:space="preserve"> for the regression analysis of the Review</w:t>
      </w:r>
      <w:r>
        <w:rPr>
          <w:rFonts w:ascii="Arial" w:hAnsi="Arial" w:cs="Arial"/>
        </w:rPr>
        <w:t xml:space="preserve">, considering the results from Section 2 and </w:t>
      </w:r>
      <w:r w:rsidR="00F86BCA">
        <w:rPr>
          <w:rFonts w:ascii="Arial" w:hAnsi="Arial" w:cs="Arial"/>
        </w:rPr>
        <w:t xml:space="preserve">some further </w:t>
      </w:r>
      <w:r w:rsidR="004B184B">
        <w:rPr>
          <w:rFonts w:ascii="Arial" w:hAnsi="Arial" w:cs="Arial"/>
        </w:rPr>
        <w:t>investigation</w:t>
      </w:r>
      <w:r w:rsidR="00F86BCA">
        <w:rPr>
          <w:rFonts w:ascii="Arial" w:hAnsi="Arial" w:cs="Arial"/>
        </w:rPr>
        <w:t xml:space="preserve"> looking at the presence of outliers with each option. T</w:t>
      </w:r>
      <w:r>
        <w:rPr>
          <w:rFonts w:ascii="Arial" w:hAnsi="Arial" w:cs="Arial"/>
        </w:rPr>
        <w:t>he decisions taken during the NRAC Review in 2007 and during the Mental Health and Learning Difficulties MLC Review in 2011-12</w:t>
      </w:r>
      <w:r w:rsidR="00F86BCA">
        <w:rPr>
          <w:rFonts w:ascii="Arial" w:hAnsi="Arial" w:cs="Arial"/>
        </w:rPr>
        <w:t xml:space="preserve"> are also reviewed and considered</w:t>
      </w:r>
      <w:r>
        <w:rPr>
          <w:rFonts w:ascii="Arial" w:hAnsi="Arial" w:cs="Arial"/>
        </w:rPr>
        <w:t xml:space="preserve">. </w:t>
      </w:r>
    </w:p>
    <w:p w:rsidR="0010160D" w:rsidRDefault="004616C8" w:rsidP="004616C8">
      <w:pPr>
        <w:jc w:val="both"/>
        <w:rPr>
          <w:rFonts w:ascii="Arial" w:hAnsi="Arial" w:cs="Arial"/>
          <w:b/>
        </w:rPr>
      </w:pPr>
      <w:r>
        <w:rPr>
          <w:rFonts w:ascii="Arial" w:hAnsi="Arial" w:cs="Arial"/>
          <w:b/>
        </w:rPr>
        <w:t xml:space="preserve">3.1 </w:t>
      </w:r>
      <w:r w:rsidR="005A782A">
        <w:rPr>
          <w:rFonts w:ascii="Arial" w:hAnsi="Arial" w:cs="Arial"/>
          <w:b/>
        </w:rPr>
        <w:t>Considerations from present analysis</w:t>
      </w:r>
    </w:p>
    <w:p w:rsidR="00635FC6" w:rsidRPr="00EC6DD3" w:rsidRDefault="00D86637" w:rsidP="004616C8">
      <w:pPr>
        <w:jc w:val="both"/>
        <w:rPr>
          <w:rFonts w:ascii="Arial" w:hAnsi="Arial" w:cs="Arial"/>
        </w:rPr>
      </w:pPr>
      <w:r>
        <w:rPr>
          <w:rFonts w:ascii="Arial" w:hAnsi="Arial" w:cs="Arial"/>
        </w:rPr>
        <w:t xml:space="preserve">In the previous section, the combination of time span and geography produced the highest of all R-squared values for the reference model regressions at 1 year Intermediate Zones. </w:t>
      </w:r>
      <w:r w:rsidR="00D520F4">
        <w:rPr>
          <w:rFonts w:ascii="Arial" w:hAnsi="Arial" w:cs="Arial"/>
        </w:rPr>
        <w:t xml:space="preserve">The </w:t>
      </w:r>
      <w:r w:rsidR="00C14DDE">
        <w:rPr>
          <w:rFonts w:ascii="Arial" w:hAnsi="Arial" w:cs="Arial"/>
        </w:rPr>
        <w:t xml:space="preserve">adjusted </w:t>
      </w:r>
      <w:r w:rsidR="00D520F4">
        <w:rPr>
          <w:rFonts w:ascii="Arial" w:hAnsi="Arial" w:cs="Arial"/>
        </w:rPr>
        <w:t xml:space="preserve">R-squared values for each diagnostic group </w:t>
      </w:r>
      <w:r w:rsidR="008B33F4">
        <w:rPr>
          <w:rFonts w:ascii="Arial" w:hAnsi="Arial" w:cs="Arial"/>
        </w:rPr>
        <w:t xml:space="preserve">using </w:t>
      </w:r>
      <w:r w:rsidR="00D520F4">
        <w:rPr>
          <w:rFonts w:ascii="Arial" w:hAnsi="Arial" w:cs="Arial"/>
        </w:rPr>
        <w:t xml:space="preserve">1 year </w:t>
      </w:r>
      <w:r w:rsidR="008B33F4">
        <w:rPr>
          <w:rFonts w:ascii="Arial" w:hAnsi="Arial" w:cs="Arial"/>
        </w:rPr>
        <w:t xml:space="preserve">at </w:t>
      </w:r>
      <w:r w:rsidR="00D520F4">
        <w:rPr>
          <w:rFonts w:ascii="Arial" w:hAnsi="Arial" w:cs="Arial"/>
        </w:rPr>
        <w:t xml:space="preserve">Data Zones, 3 years </w:t>
      </w:r>
      <w:r w:rsidR="008B33F4">
        <w:rPr>
          <w:rFonts w:ascii="Arial" w:hAnsi="Arial" w:cs="Arial"/>
        </w:rPr>
        <w:t xml:space="preserve">at </w:t>
      </w:r>
      <w:r w:rsidR="00D520F4">
        <w:rPr>
          <w:rFonts w:ascii="Arial" w:hAnsi="Arial" w:cs="Arial"/>
        </w:rPr>
        <w:t xml:space="preserve">Data Zones and 1 year </w:t>
      </w:r>
      <w:r w:rsidR="008B33F4">
        <w:rPr>
          <w:rFonts w:ascii="Arial" w:hAnsi="Arial" w:cs="Arial"/>
        </w:rPr>
        <w:t xml:space="preserve">at </w:t>
      </w:r>
      <w:r w:rsidR="00D520F4">
        <w:rPr>
          <w:rFonts w:ascii="Arial" w:hAnsi="Arial" w:cs="Arial"/>
        </w:rPr>
        <w:t xml:space="preserve">Intermediate Zones are </w:t>
      </w:r>
      <w:r w:rsidR="00F86BCA">
        <w:rPr>
          <w:rFonts w:ascii="Arial" w:hAnsi="Arial" w:cs="Arial"/>
        </w:rPr>
        <w:t>reproduced from the previous section</w:t>
      </w:r>
      <w:r w:rsidR="00D520F4">
        <w:rPr>
          <w:rFonts w:ascii="Arial" w:hAnsi="Arial" w:cs="Arial"/>
        </w:rPr>
        <w:t xml:space="preserve"> in Table </w:t>
      </w:r>
      <w:r w:rsidR="00903FCA">
        <w:rPr>
          <w:rFonts w:ascii="Arial" w:hAnsi="Arial" w:cs="Arial"/>
        </w:rPr>
        <w:t>3</w:t>
      </w:r>
      <w:r w:rsidR="00F86BCA">
        <w:rPr>
          <w:rFonts w:ascii="Arial" w:hAnsi="Arial" w:cs="Arial"/>
        </w:rPr>
        <w:t xml:space="preserve"> below</w:t>
      </w:r>
      <w:r w:rsidR="00D520F4">
        <w:rPr>
          <w:rFonts w:ascii="Arial" w:hAnsi="Arial" w:cs="Arial"/>
        </w:rPr>
        <w:t>.</w:t>
      </w:r>
      <w:r w:rsidR="00F86BCA" w:rsidRPr="00F86BCA">
        <w:rPr>
          <w:rFonts w:ascii="Arial" w:hAnsi="Arial" w:cs="Arial"/>
        </w:rPr>
        <w:t xml:space="preserve"> </w:t>
      </w:r>
    </w:p>
    <w:p w:rsidR="0010160D" w:rsidRPr="00642A12" w:rsidRDefault="00ED0842" w:rsidP="0010160D">
      <w:pPr>
        <w:spacing w:after="0"/>
        <w:jc w:val="both"/>
        <w:rPr>
          <w:rFonts w:ascii="Arial" w:hAnsi="Arial" w:cs="Arial"/>
          <w:i/>
        </w:rPr>
      </w:pPr>
      <w:proofErr w:type="gramStart"/>
      <w:r>
        <w:rPr>
          <w:rFonts w:ascii="Arial" w:hAnsi="Arial" w:cs="Arial"/>
          <w:i/>
        </w:rPr>
        <w:t xml:space="preserve">Table </w:t>
      </w:r>
      <w:r w:rsidR="00903FCA">
        <w:rPr>
          <w:rFonts w:ascii="Arial" w:hAnsi="Arial" w:cs="Arial"/>
          <w:i/>
        </w:rPr>
        <w:t>3</w:t>
      </w:r>
      <w:r w:rsidR="0010160D" w:rsidRPr="00642A12">
        <w:rPr>
          <w:rFonts w:ascii="Arial" w:hAnsi="Arial" w:cs="Arial"/>
          <w:i/>
        </w:rPr>
        <w:t>.</w:t>
      </w:r>
      <w:proofErr w:type="gramEnd"/>
      <w:r w:rsidR="0010160D" w:rsidRPr="00642A12">
        <w:rPr>
          <w:rFonts w:ascii="Arial" w:hAnsi="Arial" w:cs="Arial"/>
          <w:i/>
        </w:rPr>
        <w:t xml:space="preserve"> </w:t>
      </w:r>
      <w:proofErr w:type="gramStart"/>
      <w:r w:rsidR="0010160D" w:rsidRPr="00642A12">
        <w:rPr>
          <w:rFonts w:ascii="Arial" w:hAnsi="Arial" w:cs="Arial"/>
          <w:i/>
        </w:rPr>
        <w:t>Reference model performance (Extract of Table 2)</w:t>
      </w:r>
      <w:r w:rsidR="009E6236">
        <w:rPr>
          <w:rFonts w:ascii="Arial" w:hAnsi="Arial" w:cs="Arial"/>
          <w:i/>
        </w:rPr>
        <w:t>.</w:t>
      </w:r>
      <w:proofErr w:type="gramEnd"/>
    </w:p>
    <w:tbl>
      <w:tblPr>
        <w:tblW w:w="5000" w:type="pct"/>
        <w:tblLook w:val="04A0"/>
      </w:tblPr>
      <w:tblGrid>
        <w:gridCol w:w="2934"/>
        <w:gridCol w:w="902"/>
        <w:gridCol w:w="902"/>
        <w:gridCol w:w="902"/>
        <w:gridCol w:w="902"/>
        <w:gridCol w:w="902"/>
        <w:gridCol w:w="902"/>
        <w:gridCol w:w="896"/>
      </w:tblGrid>
      <w:tr w:rsidR="008D4E86" w:rsidRPr="001B1298" w:rsidTr="00AC20DC">
        <w:trPr>
          <w:cantSplit/>
          <w:trHeight w:val="1266"/>
        </w:trPr>
        <w:tc>
          <w:tcPr>
            <w:tcW w:w="1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E86" w:rsidRPr="001B1298" w:rsidRDefault="008D4E86" w:rsidP="00E43ABA">
            <w:pPr>
              <w:spacing w:after="0" w:line="240" w:lineRule="auto"/>
              <w:rPr>
                <w:rFonts w:ascii="Arial" w:eastAsia="Times New Roman" w:hAnsi="Arial" w:cs="Arial"/>
                <w:b/>
                <w:bCs/>
                <w:color w:val="000000"/>
                <w:sz w:val="20"/>
                <w:szCs w:val="20"/>
                <w:lang w:eastAsia="en-GB"/>
              </w:rPr>
            </w:pPr>
            <w:r w:rsidRPr="001B1298">
              <w:rPr>
                <w:rFonts w:ascii="Arial" w:eastAsia="Times New Roman" w:hAnsi="Arial" w:cs="Arial"/>
                <w:b/>
                <w:bCs/>
                <w:color w:val="000000"/>
                <w:sz w:val="20"/>
                <w:szCs w:val="20"/>
                <w:lang w:eastAsia="en-GB"/>
              </w:rPr>
              <w:t>Adjusted R-squared</w:t>
            </w:r>
            <w:r w:rsidR="00C14DDE">
              <w:rPr>
                <w:rFonts w:ascii="Arial" w:eastAsia="Times New Roman" w:hAnsi="Arial" w:cs="Arial"/>
                <w:b/>
                <w:bCs/>
                <w:color w:val="000000"/>
                <w:sz w:val="20"/>
                <w:szCs w:val="20"/>
                <w:lang w:eastAsia="en-GB"/>
              </w:rPr>
              <w:t>:</w:t>
            </w:r>
          </w:p>
          <w:p w:rsidR="008D4E86" w:rsidRPr="001B1298" w:rsidRDefault="008D4E86" w:rsidP="00E43ABA">
            <w:pPr>
              <w:spacing w:after="0" w:line="240" w:lineRule="auto"/>
              <w:rPr>
                <w:rFonts w:ascii="Arial" w:eastAsia="Times New Roman" w:hAnsi="Arial" w:cs="Arial"/>
                <w:b/>
                <w:bCs/>
                <w:color w:val="000000"/>
                <w:sz w:val="20"/>
                <w:szCs w:val="20"/>
                <w:lang w:eastAsia="en-GB"/>
              </w:rPr>
            </w:pPr>
            <w:r w:rsidRPr="001B1298">
              <w:rPr>
                <w:rFonts w:ascii="Arial" w:eastAsia="Times New Roman" w:hAnsi="Arial" w:cs="Arial"/>
                <w:b/>
                <w:bCs/>
                <w:color w:val="000000"/>
                <w:sz w:val="20"/>
                <w:szCs w:val="20"/>
                <w:lang w:eastAsia="en-GB"/>
              </w:rPr>
              <w:t>Reference model</w:t>
            </w:r>
          </w:p>
        </w:tc>
        <w:tc>
          <w:tcPr>
            <w:tcW w:w="48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D4E86" w:rsidRPr="001B1298" w:rsidRDefault="008D4E86" w:rsidP="00E43ABA">
            <w:pPr>
              <w:spacing w:after="0" w:line="240" w:lineRule="auto"/>
              <w:ind w:left="113" w:right="113"/>
              <w:jc w:val="center"/>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Cancer</w:t>
            </w:r>
          </w:p>
        </w:tc>
        <w:tc>
          <w:tcPr>
            <w:tcW w:w="48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D4E86" w:rsidRPr="001B1298" w:rsidRDefault="008D4E86" w:rsidP="00E43ABA">
            <w:pPr>
              <w:spacing w:after="0" w:line="240" w:lineRule="auto"/>
              <w:ind w:left="113" w:right="113"/>
              <w:jc w:val="center"/>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Heart</w:t>
            </w:r>
          </w:p>
        </w:tc>
        <w:tc>
          <w:tcPr>
            <w:tcW w:w="48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D4E86" w:rsidRPr="001B1298" w:rsidRDefault="008D4E86" w:rsidP="00E43ABA">
            <w:pPr>
              <w:spacing w:after="0" w:line="240" w:lineRule="auto"/>
              <w:ind w:left="113" w:right="113"/>
              <w:jc w:val="center"/>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Digestive</w:t>
            </w:r>
          </w:p>
        </w:tc>
        <w:tc>
          <w:tcPr>
            <w:tcW w:w="48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D4E86" w:rsidRPr="001B1298" w:rsidRDefault="008D4E86" w:rsidP="00E43ABA">
            <w:pPr>
              <w:spacing w:after="0" w:line="240" w:lineRule="auto"/>
              <w:ind w:left="113" w:right="113"/>
              <w:jc w:val="center"/>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Injury</w:t>
            </w:r>
          </w:p>
        </w:tc>
        <w:tc>
          <w:tcPr>
            <w:tcW w:w="48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D4E86" w:rsidRPr="001B1298" w:rsidRDefault="008D4E86" w:rsidP="00E43ABA">
            <w:pPr>
              <w:spacing w:after="0" w:line="240" w:lineRule="auto"/>
              <w:ind w:left="113" w:right="113"/>
              <w:jc w:val="center"/>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Other</w:t>
            </w:r>
          </w:p>
        </w:tc>
        <w:tc>
          <w:tcPr>
            <w:tcW w:w="48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D4E86" w:rsidRPr="001B1298" w:rsidRDefault="008D4E86" w:rsidP="00E43ABA">
            <w:pPr>
              <w:spacing w:after="0" w:line="240" w:lineRule="auto"/>
              <w:ind w:left="113" w:right="113"/>
              <w:jc w:val="center"/>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Respiratory</w:t>
            </w:r>
          </w:p>
        </w:tc>
        <w:tc>
          <w:tcPr>
            <w:tcW w:w="48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D4E86" w:rsidRPr="001B1298" w:rsidRDefault="008D4E86" w:rsidP="00E43ABA">
            <w:pPr>
              <w:spacing w:after="0" w:line="240" w:lineRule="auto"/>
              <w:ind w:left="113" w:right="113"/>
              <w:jc w:val="center"/>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Outpatients</w:t>
            </w:r>
          </w:p>
        </w:tc>
      </w:tr>
      <w:tr w:rsidR="008D4E86" w:rsidRPr="001B1298" w:rsidTr="00AC20DC">
        <w:trPr>
          <w:trHeight w:val="300"/>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8D4E86" w:rsidRPr="001B1298" w:rsidRDefault="008D4E86" w:rsidP="00E43AB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1 year </w:t>
            </w:r>
            <w:r w:rsidRPr="001B1298">
              <w:rPr>
                <w:rFonts w:ascii="Arial" w:eastAsia="Times New Roman" w:hAnsi="Arial" w:cs="Arial"/>
                <w:color w:val="000000"/>
                <w:sz w:val="20"/>
                <w:szCs w:val="20"/>
                <w:lang w:eastAsia="en-GB"/>
              </w:rPr>
              <w:t>Data Zones</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5.9%</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8.2%</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21.0%</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10.3%</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25.2%</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20.6%</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42.8%</w:t>
            </w:r>
          </w:p>
        </w:tc>
      </w:tr>
      <w:tr w:rsidR="008D4E86" w:rsidRPr="001B1298" w:rsidTr="00AC20DC">
        <w:trPr>
          <w:trHeight w:val="300"/>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8D4E86" w:rsidRPr="001B1298" w:rsidRDefault="008D4E86" w:rsidP="00E43ABA">
            <w:pPr>
              <w:spacing w:after="0" w:line="240" w:lineRule="auto"/>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3 years Data Zones</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12.8%</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18.9%</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38.1%</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24.0%</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42.5%</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37.0%</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color w:val="000000"/>
                <w:sz w:val="20"/>
                <w:szCs w:val="20"/>
                <w:lang w:eastAsia="en-GB"/>
              </w:rPr>
            </w:pPr>
            <w:r w:rsidRPr="001B1298">
              <w:rPr>
                <w:rFonts w:ascii="Arial" w:eastAsia="Times New Roman" w:hAnsi="Arial" w:cs="Arial"/>
                <w:color w:val="000000"/>
                <w:sz w:val="20"/>
                <w:szCs w:val="20"/>
                <w:lang w:eastAsia="en-GB"/>
              </w:rPr>
              <w:t>56.3%</w:t>
            </w:r>
          </w:p>
        </w:tc>
      </w:tr>
      <w:tr w:rsidR="008D4E86" w:rsidRPr="001B1298" w:rsidTr="00AC20DC">
        <w:trPr>
          <w:trHeight w:val="300"/>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8D4E86" w:rsidRPr="001B1298" w:rsidRDefault="00AC20DC" w:rsidP="00E43AB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1 year Intermediate </w:t>
            </w:r>
            <w:r w:rsidR="008D4E86" w:rsidRPr="001B1298">
              <w:rPr>
                <w:rFonts w:ascii="Arial" w:eastAsia="Times New Roman" w:hAnsi="Arial" w:cs="Arial"/>
                <w:color w:val="000000"/>
                <w:sz w:val="20"/>
                <w:szCs w:val="20"/>
                <w:lang w:eastAsia="en-GB"/>
              </w:rPr>
              <w:t>Zones</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bCs/>
                <w:color w:val="000000"/>
                <w:sz w:val="20"/>
                <w:szCs w:val="20"/>
                <w:lang w:eastAsia="en-GB"/>
              </w:rPr>
            </w:pPr>
            <w:r w:rsidRPr="001B1298">
              <w:rPr>
                <w:rFonts w:ascii="Arial" w:eastAsia="Times New Roman" w:hAnsi="Arial" w:cs="Arial"/>
                <w:bCs/>
                <w:color w:val="000000"/>
                <w:sz w:val="20"/>
                <w:szCs w:val="20"/>
                <w:lang w:eastAsia="en-GB"/>
              </w:rPr>
              <w:t>24.5%</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bCs/>
                <w:color w:val="000000"/>
                <w:sz w:val="20"/>
                <w:szCs w:val="20"/>
                <w:lang w:eastAsia="en-GB"/>
              </w:rPr>
            </w:pPr>
            <w:r w:rsidRPr="001B1298">
              <w:rPr>
                <w:rFonts w:ascii="Arial" w:eastAsia="Times New Roman" w:hAnsi="Arial" w:cs="Arial"/>
                <w:bCs/>
                <w:color w:val="000000"/>
                <w:sz w:val="20"/>
                <w:szCs w:val="20"/>
                <w:lang w:eastAsia="en-GB"/>
              </w:rPr>
              <w:t>29.1%</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bCs/>
                <w:color w:val="000000"/>
                <w:sz w:val="20"/>
                <w:szCs w:val="20"/>
                <w:lang w:eastAsia="en-GB"/>
              </w:rPr>
            </w:pPr>
            <w:r w:rsidRPr="001B1298">
              <w:rPr>
                <w:rFonts w:ascii="Arial" w:eastAsia="Times New Roman" w:hAnsi="Arial" w:cs="Arial"/>
                <w:bCs/>
                <w:color w:val="000000"/>
                <w:sz w:val="20"/>
                <w:szCs w:val="20"/>
                <w:lang w:eastAsia="en-GB"/>
              </w:rPr>
              <w:t>51.6%</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bCs/>
                <w:color w:val="000000"/>
                <w:sz w:val="20"/>
                <w:szCs w:val="20"/>
                <w:lang w:eastAsia="en-GB"/>
              </w:rPr>
            </w:pPr>
            <w:r w:rsidRPr="001B1298">
              <w:rPr>
                <w:rFonts w:ascii="Arial" w:eastAsia="Times New Roman" w:hAnsi="Arial" w:cs="Arial"/>
                <w:bCs/>
                <w:color w:val="000000"/>
                <w:sz w:val="20"/>
                <w:szCs w:val="20"/>
                <w:lang w:eastAsia="en-GB"/>
              </w:rPr>
              <w:t>31.1%</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bCs/>
                <w:color w:val="000000"/>
                <w:sz w:val="20"/>
                <w:szCs w:val="20"/>
                <w:lang w:eastAsia="en-GB"/>
              </w:rPr>
            </w:pPr>
            <w:r w:rsidRPr="001B1298">
              <w:rPr>
                <w:rFonts w:ascii="Arial" w:eastAsia="Times New Roman" w:hAnsi="Arial" w:cs="Arial"/>
                <w:bCs/>
                <w:color w:val="000000"/>
                <w:sz w:val="20"/>
                <w:szCs w:val="20"/>
                <w:lang w:eastAsia="en-GB"/>
              </w:rPr>
              <w:t>56.1%</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bCs/>
                <w:color w:val="000000"/>
                <w:sz w:val="20"/>
                <w:szCs w:val="20"/>
                <w:lang w:eastAsia="en-GB"/>
              </w:rPr>
            </w:pPr>
            <w:r w:rsidRPr="001B1298">
              <w:rPr>
                <w:rFonts w:ascii="Arial" w:eastAsia="Times New Roman" w:hAnsi="Arial" w:cs="Arial"/>
                <w:bCs/>
                <w:color w:val="000000"/>
                <w:sz w:val="20"/>
                <w:szCs w:val="20"/>
                <w:lang w:eastAsia="en-GB"/>
              </w:rPr>
              <w:t>53.9%</w:t>
            </w:r>
          </w:p>
        </w:tc>
        <w:tc>
          <w:tcPr>
            <w:tcW w:w="488" w:type="pct"/>
            <w:tcBorders>
              <w:top w:val="nil"/>
              <w:left w:val="nil"/>
              <w:bottom w:val="single" w:sz="4" w:space="0" w:color="auto"/>
              <w:right w:val="single" w:sz="4" w:space="0" w:color="auto"/>
            </w:tcBorders>
            <w:shd w:val="clear" w:color="000000" w:fill="E6B9B8"/>
            <w:noWrap/>
            <w:vAlign w:val="center"/>
            <w:hideMark/>
          </w:tcPr>
          <w:p w:rsidR="008D4E86" w:rsidRPr="001B1298" w:rsidRDefault="008D4E86" w:rsidP="00E43ABA">
            <w:pPr>
              <w:spacing w:after="0" w:line="240" w:lineRule="auto"/>
              <w:jc w:val="right"/>
              <w:rPr>
                <w:rFonts w:ascii="Arial" w:eastAsia="Times New Roman" w:hAnsi="Arial" w:cs="Arial"/>
                <w:bCs/>
                <w:color w:val="000000"/>
                <w:sz w:val="20"/>
                <w:szCs w:val="20"/>
                <w:lang w:eastAsia="en-GB"/>
              </w:rPr>
            </w:pPr>
            <w:r w:rsidRPr="001B1298">
              <w:rPr>
                <w:rFonts w:ascii="Arial" w:eastAsia="Times New Roman" w:hAnsi="Arial" w:cs="Arial"/>
                <w:bCs/>
                <w:color w:val="000000"/>
                <w:sz w:val="20"/>
                <w:szCs w:val="20"/>
                <w:lang w:eastAsia="en-GB"/>
              </w:rPr>
              <w:t>67.4%</w:t>
            </w:r>
          </w:p>
        </w:tc>
      </w:tr>
    </w:tbl>
    <w:p w:rsidR="0010160D" w:rsidRPr="000D2618" w:rsidRDefault="0010160D" w:rsidP="0010160D">
      <w:pPr>
        <w:spacing w:after="0"/>
        <w:jc w:val="both"/>
        <w:rPr>
          <w:rFonts w:ascii="Arial" w:hAnsi="Arial" w:cs="Arial"/>
        </w:rPr>
      </w:pPr>
    </w:p>
    <w:p w:rsidR="005A782A" w:rsidRPr="00EC6DD3" w:rsidRDefault="005A782A" w:rsidP="005A782A">
      <w:pPr>
        <w:jc w:val="both"/>
        <w:rPr>
          <w:rFonts w:ascii="Arial" w:hAnsi="Arial" w:cs="Arial"/>
        </w:rPr>
      </w:pPr>
      <w:r>
        <w:rPr>
          <w:rFonts w:ascii="Arial" w:hAnsi="Arial" w:cs="Arial"/>
        </w:rPr>
        <w:t xml:space="preserve">However, </w:t>
      </w:r>
      <w:r w:rsidR="00C14DDE">
        <w:rPr>
          <w:rFonts w:ascii="Arial" w:hAnsi="Arial" w:cs="Arial"/>
        </w:rPr>
        <w:t xml:space="preserve">adjusted </w:t>
      </w:r>
      <w:r>
        <w:rPr>
          <w:rFonts w:ascii="Arial" w:hAnsi="Arial" w:cs="Arial"/>
        </w:rPr>
        <w:t xml:space="preserve">R-squared values alone should not be used to determine which level of geography and time-scale is ‘better’, as any increased aggregation of the data will necessarily reduce the total variance present in the dependent variable (and hence the noise present in the model). This effect explains why the </w:t>
      </w:r>
      <w:r w:rsidR="005B14F2">
        <w:rPr>
          <w:rFonts w:ascii="Arial" w:hAnsi="Arial" w:cs="Arial"/>
        </w:rPr>
        <w:t>Intermediate Zone level</w:t>
      </w:r>
      <w:r>
        <w:rPr>
          <w:rFonts w:ascii="Arial" w:hAnsi="Arial" w:cs="Arial"/>
        </w:rPr>
        <w:t xml:space="preserve"> analysis yields higher </w:t>
      </w:r>
      <w:r w:rsidR="00C14DDE">
        <w:rPr>
          <w:rFonts w:ascii="Arial" w:hAnsi="Arial" w:cs="Arial"/>
        </w:rPr>
        <w:t xml:space="preserve">adjusted </w:t>
      </w:r>
      <w:r>
        <w:rPr>
          <w:rFonts w:ascii="Arial" w:hAnsi="Arial" w:cs="Arial"/>
        </w:rPr>
        <w:t>R-squared values than the D</w:t>
      </w:r>
      <w:r w:rsidR="005B14F2">
        <w:rPr>
          <w:rFonts w:ascii="Arial" w:hAnsi="Arial" w:cs="Arial"/>
        </w:rPr>
        <w:t xml:space="preserve">ata </w:t>
      </w:r>
      <w:r>
        <w:rPr>
          <w:rFonts w:ascii="Arial" w:hAnsi="Arial" w:cs="Arial"/>
        </w:rPr>
        <w:t>Z</w:t>
      </w:r>
      <w:r w:rsidR="005B14F2">
        <w:rPr>
          <w:rFonts w:ascii="Arial" w:hAnsi="Arial" w:cs="Arial"/>
        </w:rPr>
        <w:t>one level</w:t>
      </w:r>
      <w:r>
        <w:rPr>
          <w:rFonts w:ascii="Arial" w:hAnsi="Arial" w:cs="Arial"/>
        </w:rPr>
        <w:t xml:space="preserve"> analysis and more complex </w:t>
      </w:r>
      <w:r>
        <w:rPr>
          <w:rFonts w:ascii="Arial" w:hAnsi="Arial" w:cs="Arial"/>
        </w:rPr>
        <w:lastRenderedPageBreak/>
        <w:t xml:space="preserve">analytical methods </w:t>
      </w:r>
      <w:r w:rsidR="005B14F2">
        <w:rPr>
          <w:rFonts w:ascii="Arial" w:hAnsi="Arial" w:cs="Arial"/>
        </w:rPr>
        <w:t xml:space="preserve">may </w:t>
      </w:r>
      <w:r>
        <w:rPr>
          <w:rFonts w:ascii="Arial" w:hAnsi="Arial" w:cs="Arial"/>
        </w:rPr>
        <w:t xml:space="preserve">be needed to attempt to disentangle whether this increase represents any additional gain of ‘true’ explanatory power. </w:t>
      </w:r>
    </w:p>
    <w:p w:rsidR="005A782A" w:rsidRDefault="005A782A" w:rsidP="005A782A">
      <w:pPr>
        <w:jc w:val="both"/>
        <w:rPr>
          <w:rFonts w:ascii="Arial" w:hAnsi="Arial" w:cs="Arial"/>
        </w:rPr>
      </w:pPr>
      <w:r>
        <w:rPr>
          <w:rFonts w:ascii="Arial" w:hAnsi="Arial" w:cs="Arial"/>
        </w:rPr>
        <w:t>The previous section found that the normality assumption was least violated at I</w:t>
      </w:r>
      <w:r w:rsidR="005B0848">
        <w:rPr>
          <w:rFonts w:ascii="Arial" w:hAnsi="Arial" w:cs="Arial"/>
        </w:rPr>
        <w:t>ntermedi</w:t>
      </w:r>
      <w:r w:rsidR="00552601">
        <w:rPr>
          <w:rFonts w:ascii="Arial" w:hAnsi="Arial" w:cs="Arial"/>
        </w:rPr>
        <w:t xml:space="preserve">ate Zone level </w:t>
      </w:r>
      <w:r w:rsidR="00903FCA">
        <w:rPr>
          <w:rFonts w:ascii="Arial" w:hAnsi="Arial" w:cs="Arial"/>
        </w:rPr>
        <w:t>(see Annex C)</w:t>
      </w:r>
      <w:r>
        <w:rPr>
          <w:rFonts w:ascii="Arial" w:hAnsi="Arial" w:cs="Arial"/>
        </w:rPr>
        <w:t>. Only two of the diagnostic groups (Respiratory and Digestive, i.e. the least ‘expensive’ ones) fail the rule-of-thumb tests for normality of residuals, in contrast to all diagnostic groups at D</w:t>
      </w:r>
      <w:r w:rsidR="00552601">
        <w:rPr>
          <w:rFonts w:ascii="Arial" w:hAnsi="Arial" w:cs="Arial"/>
        </w:rPr>
        <w:t xml:space="preserve">ata </w:t>
      </w:r>
      <w:r>
        <w:rPr>
          <w:rFonts w:ascii="Arial" w:hAnsi="Arial" w:cs="Arial"/>
        </w:rPr>
        <w:t>Z</w:t>
      </w:r>
      <w:r w:rsidR="00552601">
        <w:rPr>
          <w:rFonts w:ascii="Arial" w:hAnsi="Arial" w:cs="Arial"/>
        </w:rPr>
        <w:t xml:space="preserve">one level (regardless of whether 1 year or 3 </w:t>
      </w:r>
      <w:r>
        <w:rPr>
          <w:rFonts w:ascii="Arial" w:hAnsi="Arial" w:cs="Arial"/>
        </w:rPr>
        <w:t xml:space="preserve">year is used). </w:t>
      </w:r>
      <w:r w:rsidR="00C14DDE">
        <w:rPr>
          <w:rFonts w:ascii="Arial" w:hAnsi="Arial" w:cs="Arial"/>
        </w:rPr>
        <w:t>This</w:t>
      </w:r>
      <w:r>
        <w:rPr>
          <w:rFonts w:ascii="Arial" w:hAnsi="Arial" w:cs="Arial"/>
        </w:rPr>
        <w:t xml:space="preserve"> indicate</w:t>
      </w:r>
      <w:r w:rsidR="00C14DDE">
        <w:rPr>
          <w:rFonts w:ascii="Arial" w:hAnsi="Arial" w:cs="Arial"/>
        </w:rPr>
        <w:t>s</w:t>
      </w:r>
      <w:r>
        <w:rPr>
          <w:rFonts w:ascii="Arial" w:hAnsi="Arial" w:cs="Arial"/>
        </w:rPr>
        <w:t xml:space="preserve"> that the uncertainties associated with the regression models will be more robustly known on the basis of </w:t>
      </w:r>
      <w:r w:rsidR="00552601">
        <w:rPr>
          <w:rFonts w:ascii="Arial" w:hAnsi="Arial" w:cs="Arial"/>
        </w:rPr>
        <w:t xml:space="preserve">Intermediate </w:t>
      </w:r>
      <w:r>
        <w:rPr>
          <w:rFonts w:ascii="Arial" w:hAnsi="Arial" w:cs="Arial"/>
        </w:rPr>
        <w:t>Z</w:t>
      </w:r>
      <w:r w:rsidR="00552601">
        <w:rPr>
          <w:rFonts w:ascii="Arial" w:hAnsi="Arial" w:cs="Arial"/>
        </w:rPr>
        <w:t>one</w:t>
      </w:r>
      <w:r>
        <w:rPr>
          <w:rFonts w:ascii="Arial" w:hAnsi="Arial" w:cs="Arial"/>
        </w:rPr>
        <w:t xml:space="preserve"> level analysis. </w:t>
      </w:r>
    </w:p>
    <w:p w:rsidR="002135F0" w:rsidRDefault="00D86637" w:rsidP="0010160D">
      <w:pPr>
        <w:jc w:val="both"/>
        <w:rPr>
          <w:rFonts w:ascii="Arial" w:hAnsi="Arial" w:cs="Arial"/>
        </w:rPr>
      </w:pPr>
      <w:r>
        <w:rPr>
          <w:rFonts w:ascii="Arial" w:hAnsi="Arial" w:cs="Arial"/>
        </w:rPr>
        <w:t xml:space="preserve">To supplement these results and further inform the choice of time and geography, an analysis of </w:t>
      </w:r>
      <w:r w:rsidR="002135F0">
        <w:rPr>
          <w:rFonts w:ascii="Arial" w:hAnsi="Arial" w:cs="Arial"/>
        </w:rPr>
        <w:t xml:space="preserve">Outliers and Influential points </w:t>
      </w:r>
      <w:r w:rsidR="00C14DDE">
        <w:rPr>
          <w:rFonts w:ascii="Arial" w:hAnsi="Arial" w:cs="Arial"/>
        </w:rPr>
        <w:t>is</w:t>
      </w:r>
      <w:r>
        <w:rPr>
          <w:rFonts w:ascii="Arial" w:hAnsi="Arial" w:cs="Arial"/>
        </w:rPr>
        <w:t xml:space="preserve"> performed. </w:t>
      </w:r>
      <w:r w:rsidR="00903FCA">
        <w:rPr>
          <w:rFonts w:ascii="Arial" w:hAnsi="Arial" w:cs="Arial"/>
        </w:rPr>
        <w:t>Outliers are observations which do not fit the model well, while Influential Points are observations which change the fit of the model in a substantive way. The analysis is</w:t>
      </w:r>
      <w:r>
        <w:rPr>
          <w:rFonts w:ascii="Arial" w:hAnsi="Arial" w:cs="Arial"/>
        </w:rPr>
        <w:t xml:space="preserve"> presented in detail </w:t>
      </w:r>
      <w:r w:rsidR="002135F0">
        <w:rPr>
          <w:rFonts w:ascii="Arial" w:hAnsi="Arial" w:cs="Arial"/>
        </w:rPr>
        <w:t xml:space="preserve">in Annex </w:t>
      </w:r>
      <w:r w:rsidR="005A782A">
        <w:rPr>
          <w:rFonts w:ascii="Arial" w:hAnsi="Arial" w:cs="Arial"/>
        </w:rPr>
        <w:t>D</w:t>
      </w:r>
      <w:r>
        <w:rPr>
          <w:rFonts w:ascii="Arial" w:hAnsi="Arial" w:cs="Arial"/>
        </w:rPr>
        <w:t xml:space="preserve"> and summarised below</w:t>
      </w:r>
      <w:r w:rsidR="002135F0">
        <w:rPr>
          <w:rFonts w:ascii="Arial" w:hAnsi="Arial" w:cs="Arial"/>
        </w:rPr>
        <w:t>.</w:t>
      </w:r>
    </w:p>
    <w:p w:rsidR="0010160D" w:rsidRDefault="0010160D" w:rsidP="0010160D">
      <w:pPr>
        <w:jc w:val="both"/>
        <w:rPr>
          <w:rFonts w:ascii="Arial" w:hAnsi="Arial" w:cs="Arial"/>
        </w:rPr>
      </w:pPr>
      <w:r>
        <w:rPr>
          <w:rFonts w:ascii="Arial" w:hAnsi="Arial" w:cs="Arial"/>
        </w:rPr>
        <w:t xml:space="preserve">The number of residual outliers </w:t>
      </w:r>
      <w:r w:rsidR="00903FCA">
        <w:rPr>
          <w:rFonts w:ascii="Arial" w:hAnsi="Arial" w:cs="Arial"/>
        </w:rPr>
        <w:t xml:space="preserve">(Table 4) </w:t>
      </w:r>
      <w:r>
        <w:rPr>
          <w:rFonts w:ascii="Arial" w:hAnsi="Arial" w:cs="Arial"/>
        </w:rPr>
        <w:t xml:space="preserve">is the highest at 1 year Data Zones and the lowest at </w:t>
      </w:r>
      <w:r w:rsidR="002135F0">
        <w:rPr>
          <w:rFonts w:ascii="Arial" w:hAnsi="Arial" w:cs="Arial"/>
        </w:rPr>
        <w:t xml:space="preserve">1 year </w:t>
      </w:r>
      <w:r>
        <w:rPr>
          <w:rFonts w:ascii="Arial" w:hAnsi="Arial" w:cs="Arial"/>
        </w:rPr>
        <w:t>Intermediate Zones.</w:t>
      </w:r>
      <w:r w:rsidR="00A9207C">
        <w:rPr>
          <w:rFonts w:ascii="Arial" w:hAnsi="Arial" w:cs="Arial"/>
        </w:rPr>
        <w:t xml:space="preserve"> </w:t>
      </w:r>
      <w:r w:rsidR="00903FCA">
        <w:rPr>
          <w:rFonts w:ascii="Arial" w:hAnsi="Arial" w:cs="Arial"/>
        </w:rPr>
        <w:t>If these results are considered as a proportion of the total number of points, 1</w:t>
      </w:r>
      <w:r w:rsidR="00552601">
        <w:rPr>
          <w:rFonts w:ascii="Arial" w:hAnsi="Arial" w:cs="Arial"/>
        </w:rPr>
        <w:t xml:space="preserve"> </w:t>
      </w:r>
      <w:r w:rsidR="00903FCA">
        <w:rPr>
          <w:rFonts w:ascii="Arial" w:hAnsi="Arial" w:cs="Arial"/>
        </w:rPr>
        <w:t xml:space="preserve">year </w:t>
      </w:r>
      <w:r w:rsidR="00552601">
        <w:rPr>
          <w:rFonts w:ascii="Arial" w:hAnsi="Arial" w:cs="Arial"/>
        </w:rPr>
        <w:t xml:space="preserve">Intermediate </w:t>
      </w:r>
      <w:r w:rsidR="00903FCA">
        <w:rPr>
          <w:rFonts w:ascii="Arial" w:hAnsi="Arial" w:cs="Arial"/>
        </w:rPr>
        <w:t>Z</w:t>
      </w:r>
      <w:r w:rsidR="00552601">
        <w:rPr>
          <w:rFonts w:ascii="Arial" w:hAnsi="Arial" w:cs="Arial"/>
        </w:rPr>
        <w:t>one</w:t>
      </w:r>
      <w:r w:rsidR="00C14DDE">
        <w:rPr>
          <w:rFonts w:ascii="Arial" w:hAnsi="Arial" w:cs="Arial"/>
        </w:rPr>
        <w:t>s</w:t>
      </w:r>
      <w:r w:rsidR="00903FCA">
        <w:rPr>
          <w:rFonts w:ascii="Arial" w:hAnsi="Arial" w:cs="Arial"/>
        </w:rPr>
        <w:t xml:space="preserve"> offers the lowest proportion for all Diagnostic Groups apart from Digesti</w:t>
      </w:r>
      <w:r w:rsidR="00552601">
        <w:rPr>
          <w:rFonts w:ascii="Arial" w:hAnsi="Arial" w:cs="Arial"/>
        </w:rPr>
        <w:t xml:space="preserve">ve and Outpatients, for which 3 </w:t>
      </w:r>
      <w:r w:rsidR="00903FCA">
        <w:rPr>
          <w:rFonts w:ascii="Arial" w:hAnsi="Arial" w:cs="Arial"/>
        </w:rPr>
        <w:t>year D</w:t>
      </w:r>
      <w:r w:rsidR="00552601">
        <w:rPr>
          <w:rFonts w:ascii="Arial" w:hAnsi="Arial" w:cs="Arial"/>
        </w:rPr>
        <w:t xml:space="preserve">ata </w:t>
      </w:r>
      <w:r w:rsidR="00903FCA">
        <w:rPr>
          <w:rFonts w:ascii="Arial" w:hAnsi="Arial" w:cs="Arial"/>
        </w:rPr>
        <w:t>Z</w:t>
      </w:r>
      <w:r w:rsidR="00552601">
        <w:rPr>
          <w:rFonts w:ascii="Arial" w:hAnsi="Arial" w:cs="Arial"/>
        </w:rPr>
        <w:t>ones</w:t>
      </w:r>
      <w:r w:rsidR="00903FCA">
        <w:rPr>
          <w:rFonts w:ascii="Arial" w:hAnsi="Arial" w:cs="Arial"/>
        </w:rPr>
        <w:t xml:space="preserve"> provides the lowest proportion.</w:t>
      </w:r>
    </w:p>
    <w:p w:rsidR="0010160D" w:rsidRPr="00903FCA" w:rsidRDefault="00ED0842" w:rsidP="0010160D">
      <w:pPr>
        <w:spacing w:after="0"/>
        <w:jc w:val="both"/>
        <w:rPr>
          <w:rFonts w:ascii="Arial" w:hAnsi="Arial" w:cs="Arial"/>
          <w:i/>
        </w:rPr>
      </w:pPr>
      <w:proofErr w:type="gramStart"/>
      <w:r w:rsidRPr="00903FCA">
        <w:rPr>
          <w:rFonts w:ascii="Arial" w:hAnsi="Arial" w:cs="Arial"/>
          <w:i/>
        </w:rPr>
        <w:t xml:space="preserve">Table </w:t>
      </w:r>
      <w:r w:rsidR="00903FCA" w:rsidRPr="00903FCA">
        <w:rPr>
          <w:rFonts w:ascii="Arial" w:hAnsi="Arial" w:cs="Arial"/>
          <w:i/>
        </w:rPr>
        <w:t>4</w:t>
      </w:r>
      <w:r w:rsidR="0010160D" w:rsidRPr="00903FCA">
        <w:rPr>
          <w:rFonts w:ascii="Arial" w:hAnsi="Arial" w:cs="Arial"/>
          <w:i/>
        </w:rPr>
        <w:t>.</w:t>
      </w:r>
      <w:proofErr w:type="gramEnd"/>
      <w:r w:rsidR="0010160D" w:rsidRPr="00903FCA">
        <w:rPr>
          <w:rFonts w:ascii="Arial" w:hAnsi="Arial" w:cs="Arial"/>
          <w:i/>
        </w:rPr>
        <w:t xml:space="preserve"> </w:t>
      </w:r>
      <w:proofErr w:type="gramStart"/>
      <w:r w:rsidR="0010160D" w:rsidRPr="0037566B">
        <w:rPr>
          <w:rFonts w:ascii="Arial" w:hAnsi="Arial" w:cs="Arial"/>
          <w:i/>
          <w:szCs w:val="24"/>
        </w:rPr>
        <w:t xml:space="preserve">Number </w:t>
      </w:r>
      <w:r w:rsidR="00602370" w:rsidRPr="0037566B">
        <w:rPr>
          <w:rFonts w:ascii="Arial" w:hAnsi="Arial" w:cs="Arial"/>
          <w:i/>
          <w:szCs w:val="24"/>
        </w:rPr>
        <w:t>and P</w:t>
      </w:r>
      <w:r w:rsidR="00552601" w:rsidRPr="0037566B">
        <w:rPr>
          <w:rFonts w:ascii="Arial" w:hAnsi="Arial" w:cs="Arial"/>
          <w:i/>
          <w:szCs w:val="24"/>
        </w:rPr>
        <w:t>ercentage</w:t>
      </w:r>
      <w:r w:rsidR="00552601">
        <w:rPr>
          <w:rFonts w:ascii="Arial" w:hAnsi="Arial" w:cs="Arial"/>
          <w:b/>
          <w:i/>
          <w:szCs w:val="24"/>
        </w:rPr>
        <w:t xml:space="preserve"> </w:t>
      </w:r>
      <w:r w:rsidR="0010160D" w:rsidRPr="00903FCA">
        <w:rPr>
          <w:rFonts w:ascii="Arial" w:hAnsi="Arial" w:cs="Arial"/>
          <w:i/>
          <w:szCs w:val="24"/>
        </w:rPr>
        <w:t xml:space="preserve">of </w:t>
      </w:r>
      <w:r w:rsidR="00961FF7">
        <w:rPr>
          <w:rFonts w:ascii="Arial" w:hAnsi="Arial" w:cs="Arial"/>
          <w:i/>
          <w:szCs w:val="24"/>
        </w:rPr>
        <w:t>Residuals Outliers (Table D</w:t>
      </w:r>
      <w:r w:rsidR="0010160D" w:rsidRPr="00903FCA">
        <w:rPr>
          <w:rFonts w:ascii="Arial" w:hAnsi="Arial" w:cs="Arial"/>
          <w:i/>
          <w:szCs w:val="24"/>
        </w:rPr>
        <w:t>.2).</w:t>
      </w:r>
      <w:proofErr w:type="gramEnd"/>
    </w:p>
    <w:tbl>
      <w:tblPr>
        <w:tblW w:w="0" w:type="auto"/>
        <w:tblLayout w:type="fixed"/>
        <w:tblLook w:val="04A0"/>
      </w:tblPr>
      <w:tblGrid>
        <w:gridCol w:w="3227"/>
        <w:gridCol w:w="850"/>
        <w:gridCol w:w="851"/>
        <w:gridCol w:w="850"/>
        <w:gridCol w:w="851"/>
        <w:gridCol w:w="850"/>
        <w:gridCol w:w="851"/>
        <w:gridCol w:w="912"/>
      </w:tblGrid>
      <w:tr w:rsidR="00325EEC" w:rsidRPr="00F230CB" w:rsidTr="00124FD7">
        <w:trPr>
          <w:cantSplit/>
          <w:trHeight w:val="1408"/>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66B" w:rsidRDefault="00325EEC" w:rsidP="00124FD7">
            <w:pPr>
              <w:spacing w:after="0" w:line="240" w:lineRule="auto"/>
              <w:rPr>
                <w:rFonts w:ascii="Arial" w:eastAsia="Times New Roman" w:hAnsi="Arial" w:cs="Arial"/>
                <w:b/>
                <w:bCs/>
                <w:color w:val="000000"/>
                <w:szCs w:val="20"/>
                <w:lang w:eastAsia="en-GB"/>
              </w:rPr>
            </w:pPr>
            <w:r w:rsidRPr="00F230CB">
              <w:rPr>
                <w:rFonts w:ascii="Arial" w:eastAsia="Times New Roman" w:hAnsi="Arial" w:cs="Arial"/>
                <w:b/>
                <w:bCs/>
                <w:color w:val="000000"/>
                <w:szCs w:val="20"/>
                <w:lang w:eastAsia="en-GB"/>
              </w:rPr>
              <w:t xml:space="preserve">Number </w:t>
            </w:r>
            <w:r w:rsidR="0037566B">
              <w:rPr>
                <w:rFonts w:ascii="Arial" w:eastAsia="Times New Roman" w:hAnsi="Arial" w:cs="Arial"/>
                <w:b/>
                <w:bCs/>
                <w:color w:val="000000"/>
                <w:szCs w:val="20"/>
                <w:lang w:eastAsia="en-GB"/>
              </w:rPr>
              <w:t>and Percentage</w:t>
            </w:r>
          </w:p>
          <w:p w:rsidR="00325EEC" w:rsidRPr="00F230CB" w:rsidRDefault="00325EEC" w:rsidP="00124FD7">
            <w:pPr>
              <w:spacing w:after="0" w:line="240" w:lineRule="auto"/>
              <w:rPr>
                <w:rFonts w:ascii="Arial" w:eastAsia="Times New Roman" w:hAnsi="Arial" w:cs="Arial"/>
                <w:b/>
                <w:bCs/>
                <w:color w:val="000000"/>
                <w:szCs w:val="20"/>
                <w:lang w:eastAsia="en-GB"/>
              </w:rPr>
            </w:pPr>
            <w:r w:rsidRPr="00F230CB">
              <w:rPr>
                <w:rFonts w:ascii="Arial" w:eastAsia="Times New Roman" w:hAnsi="Arial" w:cs="Arial"/>
                <w:b/>
                <w:bCs/>
                <w:color w:val="000000"/>
                <w:szCs w:val="20"/>
                <w:lang w:eastAsia="en-GB"/>
              </w:rPr>
              <w:t xml:space="preserve">of </w:t>
            </w:r>
            <w:r>
              <w:rPr>
                <w:rFonts w:ascii="Arial" w:eastAsia="Times New Roman" w:hAnsi="Arial" w:cs="Arial"/>
                <w:b/>
                <w:bCs/>
                <w:color w:val="000000"/>
                <w:szCs w:val="20"/>
                <w:lang w:eastAsia="en-GB"/>
              </w:rPr>
              <w:t>residuals</w:t>
            </w:r>
            <w:r w:rsidRPr="00F230CB">
              <w:rPr>
                <w:rFonts w:ascii="Arial" w:eastAsia="Times New Roman" w:hAnsi="Arial" w:cs="Arial"/>
                <w:b/>
                <w:bCs/>
                <w:color w:val="000000"/>
                <w:szCs w:val="20"/>
                <w:lang w:eastAsia="en-GB"/>
              </w:rPr>
              <w:t xml:space="preserve"> outliers</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5EEC" w:rsidRPr="00F230CB" w:rsidRDefault="00325EEC"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Cancer</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5EEC" w:rsidRPr="00F230CB" w:rsidRDefault="00325EEC"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Heart</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5EEC" w:rsidRPr="00F230CB" w:rsidRDefault="00325EEC"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Digestive</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5EEC" w:rsidRPr="00F230CB" w:rsidRDefault="00325EEC"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Injury</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5EEC" w:rsidRPr="00F230CB" w:rsidRDefault="00325EEC"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Other</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5EEC" w:rsidRPr="00F230CB" w:rsidRDefault="00325EEC"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Respiratory</w:t>
            </w:r>
          </w:p>
        </w:tc>
        <w:tc>
          <w:tcPr>
            <w:tcW w:w="91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5EEC" w:rsidRPr="00F230CB" w:rsidRDefault="00325EEC"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Outpatients</w:t>
            </w:r>
          </w:p>
        </w:tc>
      </w:tr>
      <w:tr w:rsidR="00325EEC" w:rsidRPr="00F230CB" w:rsidTr="00124FD7">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EEC" w:rsidRPr="00F230CB" w:rsidRDefault="00325EEC" w:rsidP="00124FD7">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1 year Data Z</w:t>
            </w:r>
            <w:r w:rsidRPr="00F230CB">
              <w:rPr>
                <w:rFonts w:ascii="Arial" w:eastAsia="Times New Roman" w:hAnsi="Arial" w:cs="Arial"/>
                <w:color w:val="000000"/>
                <w:szCs w:val="20"/>
                <w:lang w:eastAsia="en-GB"/>
              </w:rPr>
              <w:t>ones</w:t>
            </w:r>
          </w:p>
        </w:tc>
        <w:tc>
          <w:tcPr>
            <w:tcW w:w="850" w:type="dxa"/>
            <w:tcBorders>
              <w:top w:val="nil"/>
              <w:left w:val="nil"/>
              <w:bottom w:val="single" w:sz="4" w:space="0" w:color="auto"/>
              <w:right w:val="single" w:sz="4" w:space="0" w:color="auto"/>
            </w:tcBorders>
            <w:shd w:val="clear" w:color="auto" w:fill="auto"/>
            <w:noWrap/>
            <w:vAlign w:val="bottom"/>
            <w:hideMark/>
          </w:tcPr>
          <w:p w:rsidR="00325EEC" w:rsidRPr="00AA66AD"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20</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0.31%</w:t>
            </w:r>
          </w:p>
        </w:tc>
        <w:tc>
          <w:tcPr>
            <w:tcW w:w="851"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26</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0.40%</w:t>
            </w:r>
          </w:p>
        </w:tc>
        <w:tc>
          <w:tcPr>
            <w:tcW w:w="850" w:type="dxa"/>
            <w:tcBorders>
              <w:top w:val="nil"/>
              <w:left w:val="nil"/>
              <w:bottom w:val="single" w:sz="4" w:space="0" w:color="auto"/>
              <w:right w:val="single" w:sz="4" w:space="0" w:color="auto"/>
            </w:tcBorders>
            <w:shd w:val="clear" w:color="auto" w:fill="auto"/>
            <w:noWrap/>
            <w:vAlign w:val="center"/>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30</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0.46%</w:t>
            </w:r>
          </w:p>
        </w:tc>
        <w:tc>
          <w:tcPr>
            <w:tcW w:w="851"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27</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0.42%</w:t>
            </w:r>
          </w:p>
        </w:tc>
        <w:tc>
          <w:tcPr>
            <w:tcW w:w="850"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21</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0.32%</w:t>
            </w:r>
          </w:p>
        </w:tc>
        <w:tc>
          <w:tcPr>
            <w:tcW w:w="851"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26</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0.40%</w:t>
            </w:r>
          </w:p>
        </w:tc>
        <w:tc>
          <w:tcPr>
            <w:tcW w:w="912"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8</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0.12%</w:t>
            </w:r>
          </w:p>
        </w:tc>
      </w:tr>
      <w:tr w:rsidR="00325EEC" w:rsidRPr="00F230CB" w:rsidTr="00124FD7">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EEC" w:rsidRPr="00F230CB" w:rsidRDefault="00325EEC" w:rsidP="00124FD7">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3 years Data Z</w:t>
            </w:r>
            <w:r w:rsidRPr="00F230CB">
              <w:rPr>
                <w:rFonts w:ascii="Arial" w:eastAsia="Times New Roman" w:hAnsi="Arial" w:cs="Arial"/>
                <w:color w:val="000000"/>
                <w:szCs w:val="20"/>
                <w:lang w:eastAsia="en-GB"/>
              </w:rPr>
              <w:t>ones</w:t>
            </w:r>
          </w:p>
        </w:tc>
        <w:tc>
          <w:tcPr>
            <w:tcW w:w="850"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14</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0.22%</w:t>
            </w:r>
          </w:p>
        </w:tc>
        <w:tc>
          <w:tcPr>
            <w:tcW w:w="851"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18</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0.28%</w:t>
            </w:r>
          </w:p>
        </w:tc>
        <w:tc>
          <w:tcPr>
            <w:tcW w:w="850"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17</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0.26%</w:t>
            </w:r>
          </w:p>
        </w:tc>
        <w:tc>
          <w:tcPr>
            <w:tcW w:w="851"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17</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0.26%</w:t>
            </w:r>
          </w:p>
        </w:tc>
        <w:tc>
          <w:tcPr>
            <w:tcW w:w="850"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12</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0.18%</w:t>
            </w:r>
          </w:p>
        </w:tc>
        <w:tc>
          <w:tcPr>
            <w:tcW w:w="851"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28</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0.43%</w:t>
            </w:r>
          </w:p>
        </w:tc>
        <w:tc>
          <w:tcPr>
            <w:tcW w:w="912"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8</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0.12%</w:t>
            </w:r>
          </w:p>
        </w:tc>
      </w:tr>
      <w:tr w:rsidR="00325EEC" w:rsidRPr="00F230CB" w:rsidTr="00124FD7">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EEC" w:rsidRPr="00F230CB" w:rsidRDefault="00325EEC" w:rsidP="00124FD7">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1 year Intermediate Z</w:t>
            </w:r>
            <w:r w:rsidRPr="00F230CB">
              <w:rPr>
                <w:rFonts w:ascii="Arial" w:eastAsia="Times New Roman" w:hAnsi="Arial" w:cs="Arial"/>
                <w:color w:val="000000"/>
                <w:szCs w:val="20"/>
                <w:lang w:eastAsia="en-GB"/>
              </w:rPr>
              <w:t>ones</w:t>
            </w:r>
          </w:p>
        </w:tc>
        <w:tc>
          <w:tcPr>
            <w:tcW w:w="850"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0.16%</w:t>
            </w:r>
          </w:p>
        </w:tc>
        <w:tc>
          <w:tcPr>
            <w:tcW w:w="851"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0.16%</w:t>
            </w:r>
          </w:p>
        </w:tc>
        <w:tc>
          <w:tcPr>
            <w:tcW w:w="850"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5</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0.40%</w:t>
            </w:r>
          </w:p>
        </w:tc>
        <w:tc>
          <w:tcPr>
            <w:tcW w:w="851"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3</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0.24%</w:t>
            </w:r>
          </w:p>
        </w:tc>
        <w:tc>
          <w:tcPr>
            <w:tcW w:w="850"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0.08%</w:t>
            </w:r>
          </w:p>
        </w:tc>
        <w:tc>
          <w:tcPr>
            <w:tcW w:w="851"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4</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0.32%</w:t>
            </w:r>
          </w:p>
        </w:tc>
        <w:tc>
          <w:tcPr>
            <w:tcW w:w="912" w:type="dxa"/>
            <w:tcBorders>
              <w:top w:val="nil"/>
              <w:left w:val="nil"/>
              <w:bottom w:val="single" w:sz="4" w:space="0" w:color="auto"/>
              <w:right w:val="single" w:sz="4" w:space="0" w:color="auto"/>
            </w:tcBorders>
            <w:shd w:val="clear" w:color="auto" w:fill="auto"/>
            <w:noWrap/>
            <w:vAlign w:val="bottom"/>
            <w:hideMark/>
          </w:tcPr>
          <w:p w:rsidR="00325EEC" w:rsidRDefault="00325EEC"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w:t>
            </w:r>
          </w:p>
          <w:p w:rsidR="00325EEC" w:rsidRPr="00AA66AD" w:rsidRDefault="00325EEC"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0.16%</w:t>
            </w:r>
          </w:p>
        </w:tc>
      </w:tr>
    </w:tbl>
    <w:p w:rsidR="0010160D" w:rsidRDefault="0010160D" w:rsidP="0010160D">
      <w:pPr>
        <w:spacing w:after="0"/>
        <w:jc w:val="both"/>
        <w:rPr>
          <w:rFonts w:ascii="Arial" w:hAnsi="Arial" w:cs="Arial"/>
        </w:rPr>
      </w:pPr>
    </w:p>
    <w:p w:rsidR="0010160D" w:rsidRDefault="00A77119" w:rsidP="0010160D">
      <w:pPr>
        <w:spacing w:after="0"/>
        <w:jc w:val="both"/>
        <w:rPr>
          <w:rFonts w:ascii="Arial" w:hAnsi="Arial" w:cs="Arial"/>
        </w:rPr>
      </w:pPr>
      <w:r>
        <w:rPr>
          <w:rFonts w:ascii="Arial" w:hAnsi="Arial" w:cs="Arial"/>
        </w:rPr>
        <w:t xml:space="preserve">There is one influential point for Respiratory at 1 year Data Zones. However, this particular Data Zone is not influencing all the fitted values but just its own fitted value. There are no influential points at 3 years Data Zones and 1 year Intermediate Zones. </w:t>
      </w:r>
    </w:p>
    <w:p w:rsidR="007E7D50" w:rsidRDefault="007E7D50" w:rsidP="0010160D">
      <w:pPr>
        <w:spacing w:after="0"/>
        <w:jc w:val="both"/>
        <w:rPr>
          <w:rFonts w:ascii="Arial" w:hAnsi="Arial" w:cs="Arial"/>
        </w:rPr>
      </w:pPr>
    </w:p>
    <w:p w:rsidR="0010160D" w:rsidRDefault="00C53301" w:rsidP="004616C8">
      <w:pPr>
        <w:jc w:val="both"/>
        <w:rPr>
          <w:rFonts w:ascii="Arial" w:hAnsi="Arial" w:cs="Arial"/>
          <w:b/>
          <w:szCs w:val="24"/>
        </w:rPr>
      </w:pPr>
      <w:r>
        <w:rPr>
          <w:rFonts w:ascii="Arial" w:hAnsi="Arial" w:cs="Arial"/>
          <w:b/>
          <w:szCs w:val="24"/>
        </w:rPr>
        <w:t>3.2</w:t>
      </w:r>
      <w:r w:rsidR="004616C8" w:rsidRPr="004616C8">
        <w:rPr>
          <w:rFonts w:ascii="Arial" w:hAnsi="Arial" w:cs="Arial"/>
          <w:b/>
          <w:szCs w:val="24"/>
        </w:rPr>
        <w:t xml:space="preserve"> </w:t>
      </w:r>
      <w:r w:rsidR="004616C8">
        <w:rPr>
          <w:rFonts w:ascii="Arial" w:hAnsi="Arial" w:cs="Arial"/>
          <w:b/>
          <w:szCs w:val="24"/>
        </w:rPr>
        <w:t>Previous decisions on geography and time span</w:t>
      </w:r>
    </w:p>
    <w:p w:rsidR="004271FC" w:rsidRPr="004271FC" w:rsidRDefault="004271FC" w:rsidP="004616C8">
      <w:pPr>
        <w:jc w:val="both"/>
        <w:rPr>
          <w:rFonts w:ascii="Arial" w:hAnsi="Arial" w:cs="Arial"/>
          <w:szCs w:val="24"/>
        </w:rPr>
      </w:pPr>
      <w:r>
        <w:rPr>
          <w:rFonts w:ascii="Arial" w:hAnsi="Arial" w:cs="Arial"/>
          <w:szCs w:val="24"/>
        </w:rPr>
        <w:t>The geography and time span combination has been subject to previous discuss</w:t>
      </w:r>
      <w:r w:rsidR="00A76EFA">
        <w:rPr>
          <w:rFonts w:ascii="Arial" w:hAnsi="Arial" w:cs="Arial"/>
          <w:szCs w:val="24"/>
        </w:rPr>
        <w:t>ions</w:t>
      </w:r>
      <w:r>
        <w:rPr>
          <w:rFonts w:ascii="Arial" w:hAnsi="Arial" w:cs="Arial"/>
          <w:szCs w:val="24"/>
        </w:rPr>
        <w:t xml:space="preserve"> during the </w:t>
      </w:r>
      <w:r w:rsidR="00C41018">
        <w:rPr>
          <w:rFonts w:ascii="Arial" w:hAnsi="Arial" w:cs="Arial"/>
          <w:szCs w:val="24"/>
        </w:rPr>
        <w:t>NRAC 2007 Review</w:t>
      </w:r>
      <w:r>
        <w:rPr>
          <w:rFonts w:ascii="Arial" w:hAnsi="Arial" w:cs="Arial"/>
          <w:szCs w:val="24"/>
        </w:rPr>
        <w:t xml:space="preserve"> and during the </w:t>
      </w:r>
      <w:r w:rsidR="00E00E24">
        <w:rPr>
          <w:rFonts w:ascii="Arial" w:hAnsi="Arial" w:cs="Arial"/>
          <w:szCs w:val="24"/>
        </w:rPr>
        <w:t>Mental Health and Learning Difficulties MLC 2011-12 Review</w:t>
      </w:r>
      <w:r>
        <w:rPr>
          <w:rFonts w:ascii="Arial" w:hAnsi="Arial" w:cs="Arial"/>
          <w:szCs w:val="24"/>
        </w:rPr>
        <w:t xml:space="preserve">. A summary of the arguments for the decisions taken </w:t>
      </w:r>
      <w:r w:rsidR="00C14DDE">
        <w:rPr>
          <w:rFonts w:ascii="Arial" w:hAnsi="Arial" w:cs="Arial"/>
          <w:szCs w:val="24"/>
        </w:rPr>
        <w:t>is given</w:t>
      </w:r>
      <w:r>
        <w:rPr>
          <w:rFonts w:ascii="Arial" w:hAnsi="Arial" w:cs="Arial"/>
          <w:szCs w:val="24"/>
        </w:rPr>
        <w:t xml:space="preserve"> below. </w:t>
      </w:r>
    </w:p>
    <w:p w:rsidR="006978A1" w:rsidRDefault="00A9207C" w:rsidP="00A9207C">
      <w:pPr>
        <w:jc w:val="both"/>
        <w:rPr>
          <w:rFonts w:ascii="Arial" w:hAnsi="Arial" w:cs="Arial"/>
          <w:szCs w:val="24"/>
        </w:rPr>
      </w:pPr>
      <w:r>
        <w:rPr>
          <w:rFonts w:ascii="Arial" w:hAnsi="Arial" w:cs="Arial"/>
          <w:szCs w:val="24"/>
        </w:rPr>
        <w:t>In the NRAC 2007 Review</w:t>
      </w:r>
      <w:r w:rsidR="00A7168C">
        <w:rPr>
          <w:rStyle w:val="FootnoteReference"/>
          <w:rFonts w:ascii="Arial" w:hAnsi="Arial" w:cs="Arial"/>
          <w:szCs w:val="24"/>
        </w:rPr>
        <w:footnoteReference w:id="1"/>
      </w:r>
      <w:r>
        <w:rPr>
          <w:rFonts w:ascii="Arial" w:hAnsi="Arial" w:cs="Arial"/>
          <w:szCs w:val="24"/>
        </w:rPr>
        <w:t>, 1 year was chosen for the time span since more than 1 year costed data was not available. The biggest concern in</w:t>
      </w:r>
      <w:r w:rsidR="005962B1">
        <w:rPr>
          <w:rFonts w:ascii="Arial" w:hAnsi="Arial" w:cs="Arial"/>
          <w:szCs w:val="24"/>
        </w:rPr>
        <w:t xml:space="preserve"> using Data Zones </w:t>
      </w:r>
      <w:r w:rsidR="00155D9B">
        <w:rPr>
          <w:rFonts w:ascii="Arial" w:hAnsi="Arial" w:cs="Arial"/>
          <w:szCs w:val="24"/>
        </w:rPr>
        <w:t xml:space="preserve">in the NRAC formula </w:t>
      </w:r>
      <w:r w:rsidR="005962B1">
        <w:rPr>
          <w:rFonts w:ascii="Arial" w:hAnsi="Arial" w:cs="Arial"/>
          <w:szCs w:val="24"/>
        </w:rPr>
        <w:t xml:space="preserve">were the </w:t>
      </w:r>
      <w:r w:rsidR="006978A1">
        <w:rPr>
          <w:rFonts w:ascii="Arial" w:hAnsi="Arial" w:cs="Arial"/>
          <w:szCs w:val="24"/>
        </w:rPr>
        <w:t xml:space="preserve">high </w:t>
      </w:r>
      <w:r w:rsidR="005962B1">
        <w:rPr>
          <w:rFonts w:ascii="Arial" w:hAnsi="Arial" w:cs="Arial"/>
          <w:szCs w:val="24"/>
        </w:rPr>
        <w:t>zero activity for some condition groups</w:t>
      </w:r>
      <w:r w:rsidR="00C14DDE">
        <w:rPr>
          <w:rFonts w:ascii="Arial" w:hAnsi="Arial" w:cs="Arial"/>
          <w:szCs w:val="24"/>
        </w:rPr>
        <w:t xml:space="preserve"> (Mental Health and Learning </w:t>
      </w:r>
      <w:r w:rsidR="00C14DDE">
        <w:rPr>
          <w:rFonts w:ascii="Arial" w:hAnsi="Arial" w:cs="Arial"/>
          <w:szCs w:val="24"/>
        </w:rPr>
        <w:lastRenderedPageBreak/>
        <w:t>Difficulties in particular)</w:t>
      </w:r>
      <w:r w:rsidR="00155D9B">
        <w:rPr>
          <w:rFonts w:ascii="Arial" w:hAnsi="Arial" w:cs="Arial"/>
          <w:szCs w:val="24"/>
        </w:rPr>
        <w:t>,</w:t>
      </w:r>
      <w:r w:rsidR="005962B1">
        <w:rPr>
          <w:rFonts w:ascii="Arial" w:hAnsi="Arial" w:cs="Arial"/>
          <w:szCs w:val="24"/>
        </w:rPr>
        <w:t xml:space="preserve"> and </w:t>
      </w:r>
      <w:r w:rsidR="006978A1">
        <w:rPr>
          <w:rFonts w:ascii="Arial" w:hAnsi="Arial" w:cs="Arial"/>
          <w:szCs w:val="24"/>
        </w:rPr>
        <w:t xml:space="preserve">the </w:t>
      </w:r>
      <w:r w:rsidR="005962B1">
        <w:rPr>
          <w:rFonts w:ascii="Arial" w:hAnsi="Arial" w:cs="Arial"/>
          <w:szCs w:val="24"/>
        </w:rPr>
        <w:t>year to year variation in costs and numbers of patients</w:t>
      </w:r>
      <w:r w:rsidR="00C14DDE">
        <w:rPr>
          <w:rFonts w:ascii="Arial" w:hAnsi="Arial" w:cs="Arial"/>
          <w:szCs w:val="24"/>
        </w:rPr>
        <w:t xml:space="preserve"> (the ratio of the maximum to minimum annual number of inpatient discharges 2000-2004 was investigated)</w:t>
      </w:r>
      <w:r w:rsidR="005962B1">
        <w:rPr>
          <w:rFonts w:ascii="Arial" w:hAnsi="Arial" w:cs="Arial"/>
          <w:szCs w:val="24"/>
        </w:rPr>
        <w:t xml:space="preserve">. The biggest concern </w:t>
      </w:r>
      <w:r>
        <w:rPr>
          <w:rFonts w:ascii="Arial" w:hAnsi="Arial" w:cs="Arial"/>
          <w:szCs w:val="24"/>
        </w:rPr>
        <w:t xml:space="preserve">in </w:t>
      </w:r>
      <w:r w:rsidR="005962B1">
        <w:rPr>
          <w:rFonts w:ascii="Arial" w:hAnsi="Arial" w:cs="Arial"/>
          <w:szCs w:val="24"/>
        </w:rPr>
        <w:t>using Intermediate Zones was that effects due to pockets of depriva</w:t>
      </w:r>
      <w:r w:rsidR="006978A1">
        <w:rPr>
          <w:rFonts w:ascii="Arial" w:hAnsi="Arial" w:cs="Arial"/>
          <w:szCs w:val="24"/>
        </w:rPr>
        <w:t xml:space="preserve">tion will be “averaged out”. </w:t>
      </w:r>
      <w:r w:rsidR="005F30B5">
        <w:rPr>
          <w:rFonts w:ascii="Arial" w:hAnsi="Arial" w:cs="Arial"/>
          <w:szCs w:val="24"/>
        </w:rPr>
        <w:t>So, 1 year Intermediate Zones were chosen as the time and geography base for the modelling, for all care programmes.</w:t>
      </w:r>
    </w:p>
    <w:p w:rsidR="006978A1" w:rsidRPr="007E4F9D" w:rsidRDefault="00163458" w:rsidP="004616C8">
      <w:pPr>
        <w:jc w:val="both"/>
        <w:rPr>
          <w:rFonts w:ascii="Arial" w:hAnsi="Arial" w:cs="Arial"/>
          <w:szCs w:val="24"/>
        </w:rPr>
      </w:pPr>
      <w:r w:rsidRPr="00163458">
        <w:rPr>
          <w:rFonts w:ascii="Arial" w:hAnsi="Arial" w:cs="Arial"/>
          <w:szCs w:val="24"/>
        </w:rPr>
        <w:t>The Mental Health and Learning Difficulties MLC 2011-12 Review</w:t>
      </w:r>
      <w:r w:rsidR="00215618">
        <w:rPr>
          <w:rStyle w:val="FootnoteReference"/>
          <w:rFonts w:ascii="Arial" w:hAnsi="Arial" w:cs="Arial"/>
          <w:szCs w:val="24"/>
        </w:rPr>
        <w:footnoteReference w:id="2"/>
      </w:r>
      <w:r w:rsidRPr="00163458">
        <w:rPr>
          <w:rFonts w:ascii="Arial" w:hAnsi="Arial" w:cs="Arial"/>
          <w:szCs w:val="24"/>
        </w:rPr>
        <w:t xml:space="preserve"> </w:t>
      </w:r>
      <w:r>
        <w:rPr>
          <w:rFonts w:ascii="Arial" w:hAnsi="Arial" w:cs="Arial"/>
          <w:szCs w:val="24"/>
        </w:rPr>
        <w:t>highlighted a similar issue arou</w:t>
      </w:r>
      <w:r w:rsidR="00C14DDE">
        <w:rPr>
          <w:rFonts w:ascii="Arial" w:hAnsi="Arial" w:cs="Arial"/>
          <w:szCs w:val="24"/>
        </w:rPr>
        <w:t xml:space="preserve">nd zero activity at Data Zones, which presents a </w:t>
      </w:r>
      <w:r w:rsidR="001738E4">
        <w:rPr>
          <w:rFonts w:ascii="Arial" w:hAnsi="Arial" w:cs="Arial"/>
          <w:szCs w:val="24"/>
        </w:rPr>
        <w:t xml:space="preserve">problem of the model not being able to distinguish between genuine zero activity and zero activity due to chance. </w:t>
      </w:r>
      <w:r w:rsidR="00155D9B">
        <w:rPr>
          <w:rFonts w:ascii="Arial" w:hAnsi="Arial" w:cs="Arial"/>
          <w:szCs w:val="24"/>
        </w:rPr>
        <w:t>So, Intermediate Zones were preferred as the geography base.</w:t>
      </w:r>
      <w:r w:rsidR="00903FCA">
        <w:rPr>
          <w:rFonts w:ascii="Arial" w:hAnsi="Arial" w:cs="Arial"/>
          <w:szCs w:val="24"/>
        </w:rPr>
        <w:t xml:space="preserve"> </w:t>
      </w:r>
      <w:r w:rsidR="001738E4">
        <w:rPr>
          <w:rFonts w:ascii="Arial" w:hAnsi="Arial" w:cs="Arial"/>
          <w:szCs w:val="24"/>
        </w:rPr>
        <w:t xml:space="preserve">The choice of time span presented a choice between two of the TAGRA core criteria – responsiveness and stability. As the </w:t>
      </w:r>
      <w:r w:rsidR="00155D9B">
        <w:rPr>
          <w:rFonts w:ascii="Arial" w:hAnsi="Arial" w:cs="Arial"/>
          <w:szCs w:val="24"/>
        </w:rPr>
        <w:t>Mental Health and Learning Difficulties</w:t>
      </w:r>
      <w:r w:rsidR="001738E4">
        <w:rPr>
          <w:rFonts w:ascii="Arial" w:hAnsi="Arial" w:cs="Arial"/>
          <w:szCs w:val="24"/>
        </w:rPr>
        <w:t xml:space="preserve"> component of NRAC formula is static for three years after it has been updated, the benefits of having more responsive data at the time of the update were outweighed by having stability between updates. </w:t>
      </w:r>
      <w:r w:rsidR="00125587">
        <w:rPr>
          <w:rFonts w:ascii="Arial" w:hAnsi="Arial" w:cs="Arial"/>
          <w:szCs w:val="24"/>
        </w:rPr>
        <w:t xml:space="preserve">So, 3 </w:t>
      </w:r>
      <w:r w:rsidR="00155D9B">
        <w:rPr>
          <w:rFonts w:ascii="Arial" w:hAnsi="Arial" w:cs="Arial"/>
          <w:szCs w:val="24"/>
        </w:rPr>
        <w:t>years Intermediate Zones were chosen as the time and geography base for the modelling.</w:t>
      </w:r>
    </w:p>
    <w:p w:rsidR="004616C8" w:rsidRPr="00796D1F" w:rsidRDefault="008952DD" w:rsidP="004616C8">
      <w:pPr>
        <w:jc w:val="both"/>
        <w:rPr>
          <w:rFonts w:ascii="Arial" w:hAnsi="Arial" w:cs="Arial"/>
          <w:b/>
        </w:rPr>
      </w:pPr>
      <w:r w:rsidRPr="00796D1F">
        <w:rPr>
          <w:rFonts w:ascii="Arial" w:hAnsi="Arial" w:cs="Arial"/>
          <w:b/>
          <w:szCs w:val="24"/>
        </w:rPr>
        <w:t xml:space="preserve">3.3 </w:t>
      </w:r>
      <w:r w:rsidR="00796D1F" w:rsidRPr="00796D1F">
        <w:rPr>
          <w:rFonts w:ascii="Arial" w:hAnsi="Arial" w:cs="Arial"/>
          <w:b/>
          <w:szCs w:val="24"/>
        </w:rPr>
        <w:t>Discussion</w:t>
      </w:r>
      <w:r w:rsidRPr="00796D1F">
        <w:rPr>
          <w:rFonts w:ascii="Arial" w:hAnsi="Arial" w:cs="Arial"/>
          <w:b/>
          <w:szCs w:val="24"/>
        </w:rPr>
        <w:t xml:space="preserve"> </w:t>
      </w:r>
    </w:p>
    <w:p w:rsidR="00903FCA" w:rsidRDefault="00903FCA" w:rsidP="00903FCA">
      <w:pPr>
        <w:jc w:val="both"/>
        <w:rPr>
          <w:rFonts w:ascii="Arial" w:hAnsi="Arial" w:cs="Arial"/>
          <w:szCs w:val="24"/>
        </w:rPr>
      </w:pPr>
      <w:r>
        <w:rPr>
          <w:rFonts w:ascii="Arial" w:hAnsi="Arial" w:cs="Arial"/>
        </w:rPr>
        <w:t xml:space="preserve">On the basis of the present analysis, there are </w:t>
      </w:r>
      <w:r w:rsidR="00F421A6">
        <w:rPr>
          <w:rFonts w:ascii="Arial" w:hAnsi="Arial" w:cs="Arial"/>
        </w:rPr>
        <w:t>three</w:t>
      </w:r>
      <w:r>
        <w:rPr>
          <w:rFonts w:ascii="Arial" w:hAnsi="Arial" w:cs="Arial"/>
        </w:rPr>
        <w:t xml:space="preserve"> </w:t>
      </w:r>
      <w:r w:rsidR="008952DD">
        <w:rPr>
          <w:rFonts w:ascii="Arial" w:hAnsi="Arial" w:cs="Arial"/>
        </w:rPr>
        <w:t xml:space="preserve">main </w:t>
      </w:r>
      <w:r>
        <w:rPr>
          <w:rFonts w:ascii="Arial" w:hAnsi="Arial" w:cs="Arial"/>
        </w:rPr>
        <w:t xml:space="preserve">arguments in favour of retaining Intermediate Zones as the geography basis of the review: </w:t>
      </w:r>
      <w:r w:rsidR="00F421A6">
        <w:rPr>
          <w:rFonts w:ascii="Arial" w:hAnsi="Arial" w:cs="Arial"/>
        </w:rPr>
        <w:t>higher R-squared values, less frequent violation of the normality assumption for regression residuals, and fewer outlying data points.</w:t>
      </w:r>
      <w:r>
        <w:rPr>
          <w:rFonts w:ascii="Arial" w:hAnsi="Arial" w:cs="Arial"/>
        </w:rPr>
        <w:t xml:space="preserve"> </w:t>
      </w:r>
      <w:r w:rsidR="00F421A6">
        <w:rPr>
          <w:rFonts w:ascii="Arial" w:hAnsi="Arial" w:cs="Arial"/>
        </w:rPr>
        <w:t>Z</w:t>
      </w:r>
      <w:r>
        <w:rPr>
          <w:rFonts w:ascii="Arial" w:hAnsi="Arial" w:cs="Arial"/>
        </w:rPr>
        <w:t>ero activity at the Data Zone level is not an issue with the Acute MLC data as it was for the Mental Health and Learning Difficulties review.</w:t>
      </w:r>
      <w:r w:rsidRPr="00FC0625">
        <w:rPr>
          <w:rFonts w:ascii="Arial" w:hAnsi="Arial" w:cs="Arial"/>
          <w:szCs w:val="24"/>
        </w:rPr>
        <w:t xml:space="preserve"> </w:t>
      </w:r>
      <w:r>
        <w:rPr>
          <w:rFonts w:ascii="Arial" w:hAnsi="Arial" w:cs="Arial"/>
          <w:szCs w:val="24"/>
        </w:rPr>
        <w:t>The argument against using Intermediate Zones in terms of pockets of deprivation being “averaged out” remains valid. Indeed, a smaller scale basis will always, in principle, provide a more detailed representation of variations in need. In terms of time-scale, the analytical work shows that 3-year averaging of Data Zones substantially narrows the gap to Intermediate Zones in terms of the numbers of outliers, but does not change the significance of the violations of model normality assumptions. Any decision regarding time-scale should primarily represent a choice between two of the TAGRA core criteria – responsiveness and stability.</w:t>
      </w:r>
    </w:p>
    <w:p w:rsidR="00903FCA" w:rsidRDefault="00903FCA" w:rsidP="00903FCA">
      <w:pPr>
        <w:jc w:val="both"/>
        <w:rPr>
          <w:rFonts w:ascii="Arial" w:hAnsi="Arial" w:cs="Arial"/>
          <w:b/>
          <w:szCs w:val="24"/>
        </w:rPr>
      </w:pPr>
      <w:r>
        <w:rPr>
          <w:rFonts w:ascii="Arial" w:hAnsi="Arial" w:cs="Arial"/>
          <w:b/>
          <w:szCs w:val="24"/>
        </w:rPr>
        <w:t>The subgroup is asked to reflect on these competing factors and to make a recommendation on the geography and time-scale to be used for the Review.</w:t>
      </w:r>
    </w:p>
    <w:p w:rsidR="000D479F" w:rsidRDefault="000D479F" w:rsidP="00903FCA">
      <w:pPr>
        <w:jc w:val="both"/>
        <w:rPr>
          <w:rFonts w:ascii="Arial" w:hAnsi="Arial" w:cs="Arial"/>
          <w:b/>
          <w:szCs w:val="24"/>
        </w:rPr>
      </w:pPr>
    </w:p>
    <w:p w:rsidR="00180CFC" w:rsidRPr="00180CFC" w:rsidRDefault="0010160D" w:rsidP="00180CFC">
      <w:pPr>
        <w:rPr>
          <w:rFonts w:ascii="Arial" w:hAnsi="Arial" w:cs="Arial"/>
          <w:b/>
        </w:rPr>
      </w:pPr>
      <w:r>
        <w:rPr>
          <w:rFonts w:ascii="Arial" w:hAnsi="Arial" w:cs="Arial"/>
          <w:b/>
        </w:rPr>
        <w:t>4</w:t>
      </w:r>
      <w:r w:rsidR="00180CFC" w:rsidRPr="00180CFC">
        <w:rPr>
          <w:rFonts w:ascii="Arial" w:hAnsi="Arial" w:cs="Arial"/>
          <w:b/>
        </w:rPr>
        <w:t xml:space="preserve">. </w:t>
      </w:r>
      <w:r w:rsidR="009B3E03">
        <w:rPr>
          <w:rFonts w:ascii="Arial" w:hAnsi="Arial" w:cs="Arial"/>
          <w:b/>
        </w:rPr>
        <w:t xml:space="preserve">Potential significance of </w:t>
      </w:r>
      <w:r w:rsidR="009B3E03" w:rsidRPr="00180CFC">
        <w:rPr>
          <w:rFonts w:ascii="Arial" w:hAnsi="Arial" w:cs="Arial"/>
          <w:b/>
        </w:rPr>
        <w:t xml:space="preserve">SIMD </w:t>
      </w:r>
      <w:r w:rsidR="009B3E03">
        <w:rPr>
          <w:rFonts w:ascii="Arial" w:hAnsi="Arial" w:cs="Arial"/>
          <w:b/>
        </w:rPr>
        <w:t>variables as predictors of need</w:t>
      </w:r>
    </w:p>
    <w:p w:rsidR="000D479F" w:rsidRDefault="00180CFC" w:rsidP="00327669">
      <w:pPr>
        <w:jc w:val="both"/>
        <w:rPr>
          <w:rFonts w:ascii="Arial" w:hAnsi="Arial" w:cs="Arial"/>
        </w:rPr>
      </w:pPr>
      <w:r w:rsidRPr="00180CFC">
        <w:rPr>
          <w:rFonts w:ascii="Arial" w:hAnsi="Arial" w:cs="Arial"/>
        </w:rPr>
        <w:t xml:space="preserve">The </w:t>
      </w:r>
      <w:r w:rsidR="008B76A9">
        <w:rPr>
          <w:rFonts w:ascii="Arial" w:hAnsi="Arial" w:cs="Arial"/>
        </w:rPr>
        <w:t>possible use</w:t>
      </w:r>
      <w:r w:rsidRPr="00180CFC">
        <w:rPr>
          <w:rFonts w:ascii="Arial" w:hAnsi="Arial" w:cs="Arial"/>
        </w:rPr>
        <w:t xml:space="preserve"> of </w:t>
      </w:r>
      <w:r w:rsidR="00163458">
        <w:rPr>
          <w:rFonts w:ascii="Arial" w:hAnsi="Arial" w:cs="Arial"/>
        </w:rPr>
        <w:t xml:space="preserve">the </w:t>
      </w:r>
      <w:r w:rsidRPr="00180CFC">
        <w:rPr>
          <w:rFonts w:ascii="Arial" w:hAnsi="Arial" w:cs="Arial"/>
        </w:rPr>
        <w:t xml:space="preserve">SIMD </w:t>
      </w:r>
      <w:r w:rsidR="009B3E03">
        <w:rPr>
          <w:rFonts w:ascii="Arial" w:hAnsi="Arial" w:cs="Arial"/>
        </w:rPr>
        <w:t>variables</w:t>
      </w:r>
      <w:r w:rsidR="009B3E03" w:rsidRPr="009B3E03">
        <w:rPr>
          <w:rFonts w:ascii="Arial" w:hAnsi="Arial" w:cs="Arial"/>
        </w:rPr>
        <w:t xml:space="preserve"> </w:t>
      </w:r>
      <w:r w:rsidR="009B3E03">
        <w:rPr>
          <w:rFonts w:ascii="Arial" w:hAnsi="Arial" w:cs="Arial"/>
        </w:rPr>
        <w:t>as potential indicators of need</w:t>
      </w:r>
      <w:r w:rsidRPr="00180CFC">
        <w:rPr>
          <w:rFonts w:ascii="Arial" w:hAnsi="Arial" w:cs="Arial"/>
        </w:rPr>
        <w:t xml:space="preserve"> has been subject to previous discussion within the Acute MLC subgroup</w:t>
      </w:r>
      <w:r w:rsidR="000D479F">
        <w:rPr>
          <w:rFonts w:ascii="Arial" w:hAnsi="Arial" w:cs="Arial"/>
        </w:rPr>
        <w:t xml:space="preserve"> (see pap</w:t>
      </w:r>
      <w:r w:rsidR="008B76A9">
        <w:rPr>
          <w:rFonts w:ascii="Arial" w:hAnsi="Arial" w:cs="Arial"/>
        </w:rPr>
        <w:t>er TAMLC20, Section 3</w:t>
      </w:r>
      <w:r w:rsidR="000D479F">
        <w:rPr>
          <w:rFonts w:ascii="Arial" w:hAnsi="Arial" w:cs="Arial"/>
        </w:rPr>
        <w:t>)</w:t>
      </w:r>
      <w:r w:rsidRPr="00180CFC">
        <w:rPr>
          <w:rFonts w:ascii="Arial" w:hAnsi="Arial" w:cs="Arial"/>
        </w:rPr>
        <w:t xml:space="preserve">. </w:t>
      </w:r>
      <w:r w:rsidR="008B76A9">
        <w:rPr>
          <w:rFonts w:ascii="Arial" w:hAnsi="Arial" w:cs="Arial"/>
        </w:rPr>
        <w:t>From a practical point of view, i</w:t>
      </w:r>
      <w:r w:rsidR="000A20EF" w:rsidRPr="000A20EF">
        <w:rPr>
          <w:rFonts w:ascii="Arial" w:hAnsi="Arial" w:cs="Arial"/>
        </w:rPr>
        <w:t xml:space="preserve">f SIMD variables </w:t>
      </w:r>
      <w:r w:rsidR="000A20EF">
        <w:rPr>
          <w:rFonts w:ascii="Arial" w:hAnsi="Arial" w:cs="Arial"/>
        </w:rPr>
        <w:t>were</w:t>
      </w:r>
      <w:r w:rsidR="000A20EF" w:rsidRPr="000A20EF">
        <w:rPr>
          <w:rFonts w:ascii="Arial" w:hAnsi="Arial" w:cs="Arial"/>
        </w:rPr>
        <w:t xml:space="preserve"> to be included in the list of indicators of need, then the main work of the Review </w:t>
      </w:r>
      <w:r w:rsidR="000A20EF">
        <w:rPr>
          <w:rFonts w:ascii="Arial" w:hAnsi="Arial" w:cs="Arial"/>
        </w:rPr>
        <w:t>could not</w:t>
      </w:r>
      <w:r w:rsidR="000A20EF" w:rsidRPr="000A20EF">
        <w:rPr>
          <w:rFonts w:ascii="Arial" w:hAnsi="Arial" w:cs="Arial"/>
        </w:rPr>
        <w:t xml:space="preserve"> be undertaken until the release of the next SIMD update in 2016, and its outcomes would not be incorporated into the NRAC formula until the 2019/20</w:t>
      </w:r>
      <w:r w:rsidR="008952DD">
        <w:rPr>
          <w:rFonts w:ascii="Arial" w:hAnsi="Arial" w:cs="Arial"/>
        </w:rPr>
        <w:t xml:space="preserve"> Resource Allocation Formula</w:t>
      </w:r>
      <w:r w:rsidR="000A20EF" w:rsidRPr="000A20EF">
        <w:rPr>
          <w:rFonts w:ascii="Arial" w:hAnsi="Arial" w:cs="Arial"/>
        </w:rPr>
        <w:t xml:space="preserve"> run.</w:t>
      </w:r>
      <w:r w:rsidR="000A20EF">
        <w:rPr>
          <w:rFonts w:ascii="Arial" w:hAnsi="Arial" w:cs="Arial"/>
        </w:rPr>
        <w:t xml:space="preserve"> </w:t>
      </w:r>
    </w:p>
    <w:p w:rsidR="000D479F" w:rsidRDefault="000D479F" w:rsidP="00327669">
      <w:pPr>
        <w:jc w:val="both"/>
        <w:rPr>
          <w:rFonts w:ascii="Arial" w:hAnsi="Arial" w:cs="Arial"/>
        </w:rPr>
      </w:pPr>
      <w:r>
        <w:rPr>
          <w:rFonts w:ascii="Arial" w:hAnsi="Arial" w:cs="Arial"/>
        </w:rPr>
        <w:t xml:space="preserve">The suitability of SIMD for use in the NRAC formula has also been discussed, in addition to the practical issues of availability. The NRAC 2007 Review listed several weaknesses of the </w:t>
      </w:r>
      <w:r>
        <w:rPr>
          <w:rFonts w:ascii="Arial" w:hAnsi="Arial" w:cs="Arial"/>
        </w:rPr>
        <w:lastRenderedPageBreak/>
        <w:t>SIMD overall score and domain scores, including the potential change of definitions and components between releases, the complexity of the structure, and the weights used to combine domains. Because of these weaknesses, including the unavailability of the SIMD overall score and domain scores at Intermediate Zones, and for greater transparency, the NRAC 2007 Review recommended the exclusion of the SIMD scores from the list of variables.</w:t>
      </w:r>
    </w:p>
    <w:p w:rsidR="008B76A9" w:rsidRDefault="00180CFC" w:rsidP="008B76A9">
      <w:pPr>
        <w:spacing w:after="0"/>
        <w:jc w:val="both"/>
        <w:rPr>
          <w:rFonts w:ascii="Arial" w:hAnsi="Arial" w:cs="Arial"/>
        </w:rPr>
      </w:pPr>
      <w:r w:rsidRPr="00180CFC">
        <w:rPr>
          <w:rFonts w:ascii="Arial" w:hAnsi="Arial" w:cs="Arial"/>
        </w:rPr>
        <w:t xml:space="preserve">At the last Acute MLC subgroup meeting in January, </w:t>
      </w:r>
      <w:r w:rsidR="000A20EF">
        <w:rPr>
          <w:rFonts w:ascii="Arial" w:hAnsi="Arial" w:cs="Arial"/>
        </w:rPr>
        <w:t xml:space="preserve">it was decided that SIMD would probably be excluded </w:t>
      </w:r>
      <w:r w:rsidR="008B76A9">
        <w:rPr>
          <w:rFonts w:ascii="Arial" w:hAnsi="Arial" w:cs="Arial"/>
        </w:rPr>
        <w:t xml:space="preserve">from the current Review </w:t>
      </w:r>
      <w:r w:rsidR="000A20EF">
        <w:rPr>
          <w:rFonts w:ascii="Arial" w:hAnsi="Arial" w:cs="Arial"/>
        </w:rPr>
        <w:t>for the</w:t>
      </w:r>
      <w:r w:rsidR="000D479F">
        <w:rPr>
          <w:rFonts w:ascii="Arial" w:hAnsi="Arial" w:cs="Arial"/>
        </w:rPr>
        <w:t xml:space="preserve"> above</w:t>
      </w:r>
      <w:r w:rsidR="000A20EF">
        <w:rPr>
          <w:rFonts w:ascii="Arial" w:hAnsi="Arial" w:cs="Arial"/>
        </w:rPr>
        <w:t xml:space="preserve"> reasons, but </w:t>
      </w:r>
      <w:r w:rsidRPr="00180CFC">
        <w:rPr>
          <w:rFonts w:ascii="Arial" w:hAnsi="Arial" w:cs="Arial"/>
        </w:rPr>
        <w:t xml:space="preserve">the analytical team was asked to check the significance of SIMD </w:t>
      </w:r>
      <w:r w:rsidR="000D479F">
        <w:rPr>
          <w:rFonts w:ascii="Arial" w:hAnsi="Arial" w:cs="Arial"/>
        </w:rPr>
        <w:t xml:space="preserve">2012 </w:t>
      </w:r>
      <w:r w:rsidRPr="00180CFC">
        <w:rPr>
          <w:rFonts w:ascii="Arial" w:hAnsi="Arial" w:cs="Arial"/>
        </w:rPr>
        <w:t>overall and domain scores when added to the reference model.</w:t>
      </w:r>
      <w:r w:rsidR="004B184B">
        <w:rPr>
          <w:rFonts w:ascii="Arial" w:hAnsi="Arial" w:cs="Arial"/>
        </w:rPr>
        <w:t xml:space="preserve"> </w:t>
      </w:r>
      <w:r w:rsidR="008B76A9" w:rsidRPr="004B184B">
        <w:rPr>
          <w:rFonts w:ascii="Arial" w:hAnsi="Arial" w:cs="Arial"/>
        </w:rPr>
        <w:t>This analysis is necessarily undertaken using the old geographies, but it is considered unlikely that the change to new geographies in SIMD 2016 would fundamentally alter the relationships determined here.</w:t>
      </w:r>
    </w:p>
    <w:p w:rsidR="008B76A9" w:rsidRDefault="008B76A9" w:rsidP="008B76A9">
      <w:pPr>
        <w:spacing w:after="0"/>
        <w:jc w:val="both"/>
        <w:rPr>
          <w:rFonts w:ascii="Arial" w:hAnsi="Arial" w:cs="Arial"/>
        </w:rPr>
      </w:pPr>
    </w:p>
    <w:p w:rsidR="00AC62E3" w:rsidRDefault="00AC62E3" w:rsidP="008B76A9">
      <w:pPr>
        <w:spacing w:after="0"/>
        <w:jc w:val="both"/>
        <w:rPr>
          <w:rFonts w:ascii="Arial" w:hAnsi="Arial" w:cs="Arial"/>
        </w:rPr>
      </w:pPr>
      <w:r>
        <w:rPr>
          <w:rFonts w:ascii="Arial" w:hAnsi="Arial" w:cs="Arial"/>
        </w:rPr>
        <w:t xml:space="preserve">The analysis uses the SIMD </w:t>
      </w:r>
      <w:r w:rsidR="000D479F">
        <w:rPr>
          <w:rFonts w:ascii="Arial" w:hAnsi="Arial" w:cs="Arial"/>
        </w:rPr>
        <w:t xml:space="preserve">2012 </w:t>
      </w:r>
      <w:r>
        <w:rPr>
          <w:rFonts w:ascii="Arial" w:hAnsi="Arial" w:cs="Arial"/>
        </w:rPr>
        <w:t>overall score, the domain scores and the two newly created “</w:t>
      </w:r>
      <w:r w:rsidRPr="00180CFC">
        <w:rPr>
          <w:rFonts w:ascii="Arial" w:hAnsi="Arial" w:cs="Arial"/>
        </w:rPr>
        <w:t>SIMD minus Health</w:t>
      </w:r>
      <w:r>
        <w:rPr>
          <w:rFonts w:ascii="Arial" w:hAnsi="Arial" w:cs="Arial"/>
        </w:rPr>
        <w:t>”</w:t>
      </w:r>
      <w:r w:rsidRPr="00180CFC">
        <w:rPr>
          <w:rFonts w:ascii="Arial" w:hAnsi="Arial" w:cs="Arial"/>
        </w:rPr>
        <w:t xml:space="preserve"> </w:t>
      </w:r>
      <w:r>
        <w:rPr>
          <w:rFonts w:ascii="Arial" w:hAnsi="Arial" w:cs="Arial"/>
        </w:rPr>
        <w:t>scores (provided by the Scottish Government SIMD team)</w:t>
      </w:r>
      <w:r w:rsidRPr="00180CFC">
        <w:rPr>
          <w:rFonts w:ascii="Arial" w:hAnsi="Arial" w:cs="Arial"/>
        </w:rPr>
        <w:t xml:space="preserve">. The </w:t>
      </w:r>
      <w:r>
        <w:rPr>
          <w:rFonts w:ascii="Arial" w:hAnsi="Arial" w:cs="Arial"/>
        </w:rPr>
        <w:t>latter</w:t>
      </w:r>
      <w:r w:rsidRPr="00180CFC">
        <w:rPr>
          <w:rFonts w:ascii="Arial" w:hAnsi="Arial" w:cs="Arial"/>
        </w:rPr>
        <w:t xml:space="preserve"> </w:t>
      </w:r>
      <w:r>
        <w:rPr>
          <w:rFonts w:ascii="Arial" w:hAnsi="Arial" w:cs="Arial"/>
        </w:rPr>
        <w:t>are referred to as “Scenario 1” and “Scenario 2”; these represent slightly different calculation methods</w:t>
      </w:r>
      <w:r w:rsidR="008B76A9">
        <w:rPr>
          <w:rFonts w:ascii="Arial" w:hAnsi="Arial" w:cs="Arial"/>
        </w:rPr>
        <w:t>,</w:t>
      </w:r>
      <w:r w:rsidR="0072509A">
        <w:rPr>
          <w:rFonts w:ascii="Arial" w:hAnsi="Arial" w:cs="Arial"/>
        </w:rPr>
        <w:t xml:space="preserve"> explained in Annex </w:t>
      </w:r>
      <w:r w:rsidR="009B3E03">
        <w:rPr>
          <w:rFonts w:ascii="Arial" w:hAnsi="Arial" w:cs="Arial"/>
        </w:rPr>
        <w:t>E</w:t>
      </w:r>
      <w:r>
        <w:rPr>
          <w:rFonts w:ascii="Arial" w:hAnsi="Arial" w:cs="Arial"/>
        </w:rPr>
        <w:t>.</w:t>
      </w:r>
      <w:r w:rsidR="004402EF">
        <w:rPr>
          <w:rFonts w:ascii="Arial" w:hAnsi="Arial" w:cs="Arial"/>
        </w:rPr>
        <w:t xml:space="preserve"> </w:t>
      </w:r>
      <w:r>
        <w:rPr>
          <w:rFonts w:ascii="Arial" w:hAnsi="Arial" w:cs="Arial"/>
        </w:rPr>
        <w:t>The correlation between Scenario 1 and Scenario 2 scores is close to 1, so only the Scenario 1 score is used in the analysis.</w:t>
      </w:r>
    </w:p>
    <w:p w:rsidR="008B76A9" w:rsidRDefault="008B76A9" w:rsidP="008B76A9">
      <w:pPr>
        <w:spacing w:after="0"/>
        <w:jc w:val="both"/>
        <w:rPr>
          <w:rFonts w:ascii="Arial" w:hAnsi="Arial" w:cs="Arial"/>
        </w:rPr>
      </w:pPr>
    </w:p>
    <w:p w:rsidR="00AC62E3" w:rsidRDefault="00AC62E3" w:rsidP="00AC62E3">
      <w:pPr>
        <w:jc w:val="both"/>
        <w:rPr>
          <w:rFonts w:ascii="Arial" w:hAnsi="Arial" w:cs="Arial"/>
        </w:rPr>
      </w:pPr>
      <w:r>
        <w:rPr>
          <w:rFonts w:ascii="Arial" w:hAnsi="Arial" w:cs="Arial"/>
        </w:rPr>
        <w:t xml:space="preserve">In analysis using individual domain scores, all domains are considered except for Health and Access. The Health domain score is excluded since the health aspect of deprivation is already captured in the reference model using SMR and LLTI. Also, the Access domain score is excluded since the variables in this domain include the supply variables used in the reference model. </w:t>
      </w:r>
    </w:p>
    <w:p w:rsidR="00180CFC" w:rsidRDefault="00180CFC" w:rsidP="00180CFC">
      <w:pPr>
        <w:jc w:val="both"/>
        <w:rPr>
          <w:rFonts w:ascii="Arial" w:hAnsi="Arial" w:cs="Arial"/>
        </w:rPr>
      </w:pPr>
      <w:r w:rsidRPr="00180CFC">
        <w:rPr>
          <w:rFonts w:ascii="Arial" w:hAnsi="Arial" w:cs="Arial"/>
        </w:rPr>
        <w:t>Anal</w:t>
      </w:r>
      <w:r w:rsidR="00692E05">
        <w:rPr>
          <w:rFonts w:ascii="Arial" w:hAnsi="Arial" w:cs="Arial"/>
        </w:rPr>
        <w:t xml:space="preserve">ysis has been performed at 1 year </w:t>
      </w:r>
      <w:r w:rsidRPr="00180CFC">
        <w:rPr>
          <w:rFonts w:ascii="Arial" w:hAnsi="Arial" w:cs="Arial"/>
        </w:rPr>
        <w:t>Data Zones</w:t>
      </w:r>
      <w:r w:rsidR="00692E05">
        <w:rPr>
          <w:rFonts w:ascii="Arial" w:hAnsi="Arial" w:cs="Arial"/>
        </w:rPr>
        <w:t>, 3 year Data Zones</w:t>
      </w:r>
      <w:r w:rsidRPr="00180CFC">
        <w:rPr>
          <w:rFonts w:ascii="Arial" w:hAnsi="Arial" w:cs="Arial"/>
        </w:rPr>
        <w:t xml:space="preserve"> and </w:t>
      </w:r>
      <w:r w:rsidR="009134B1">
        <w:rPr>
          <w:rFonts w:ascii="Arial" w:hAnsi="Arial" w:cs="Arial"/>
        </w:rPr>
        <w:t xml:space="preserve">1 year </w:t>
      </w:r>
      <w:r w:rsidRPr="00180CFC">
        <w:rPr>
          <w:rFonts w:ascii="Arial" w:hAnsi="Arial" w:cs="Arial"/>
        </w:rPr>
        <w:t>Intermediate Zones</w:t>
      </w:r>
      <w:r w:rsidR="00AC62E3">
        <w:rPr>
          <w:rFonts w:ascii="Arial" w:hAnsi="Arial" w:cs="Arial"/>
        </w:rPr>
        <w:t>.</w:t>
      </w:r>
      <w:r w:rsidR="006A10E5">
        <w:rPr>
          <w:rFonts w:ascii="Arial" w:hAnsi="Arial" w:cs="Arial"/>
        </w:rPr>
        <w:t xml:space="preserve"> </w:t>
      </w:r>
      <w:r w:rsidRPr="00180CFC">
        <w:rPr>
          <w:rFonts w:ascii="Arial" w:hAnsi="Arial" w:cs="Arial"/>
        </w:rPr>
        <w:t xml:space="preserve">The results </w:t>
      </w:r>
      <w:r w:rsidR="009134B1">
        <w:rPr>
          <w:rFonts w:ascii="Arial" w:hAnsi="Arial" w:cs="Arial"/>
        </w:rPr>
        <w:t>at Data Zones and Intermediate Z</w:t>
      </w:r>
      <w:r w:rsidR="00692E05">
        <w:rPr>
          <w:rFonts w:ascii="Arial" w:hAnsi="Arial" w:cs="Arial"/>
        </w:rPr>
        <w:t xml:space="preserve">ones </w:t>
      </w:r>
      <w:r w:rsidRPr="00180CFC">
        <w:rPr>
          <w:rFonts w:ascii="Arial" w:hAnsi="Arial" w:cs="Arial"/>
        </w:rPr>
        <w:t xml:space="preserve">are not </w:t>
      </w:r>
      <w:r w:rsidR="006A10E5">
        <w:rPr>
          <w:rFonts w:ascii="Arial" w:hAnsi="Arial" w:cs="Arial"/>
        </w:rPr>
        <w:t xml:space="preserve">directly </w:t>
      </w:r>
      <w:r w:rsidRPr="00180CFC">
        <w:rPr>
          <w:rFonts w:ascii="Arial" w:hAnsi="Arial" w:cs="Arial"/>
        </w:rPr>
        <w:t>comparable</w:t>
      </w:r>
      <w:r w:rsidR="009B3E03">
        <w:rPr>
          <w:rFonts w:ascii="Arial" w:hAnsi="Arial" w:cs="Arial"/>
        </w:rPr>
        <w:t>,</w:t>
      </w:r>
      <w:r w:rsidRPr="00180CFC">
        <w:rPr>
          <w:rFonts w:ascii="Arial" w:hAnsi="Arial" w:cs="Arial"/>
        </w:rPr>
        <w:t xml:space="preserve"> since the SIMD overall score and domains scores</w:t>
      </w:r>
      <w:r w:rsidR="009B3E03">
        <w:rPr>
          <w:rFonts w:ascii="Arial" w:hAnsi="Arial" w:cs="Arial"/>
        </w:rPr>
        <w:t xml:space="preserve"> are only available at</w:t>
      </w:r>
      <w:r w:rsidRPr="00180CFC">
        <w:rPr>
          <w:rFonts w:ascii="Arial" w:hAnsi="Arial" w:cs="Arial"/>
        </w:rPr>
        <w:t xml:space="preserve"> </w:t>
      </w:r>
      <w:r w:rsidR="009B3E03">
        <w:rPr>
          <w:rFonts w:ascii="Arial" w:hAnsi="Arial" w:cs="Arial"/>
        </w:rPr>
        <w:t>the Data Zone geography and cannot be easily aggregated</w:t>
      </w:r>
      <w:r w:rsidR="00BE222A">
        <w:rPr>
          <w:rFonts w:ascii="Arial" w:hAnsi="Arial" w:cs="Arial"/>
        </w:rPr>
        <w:t xml:space="preserve">. </w:t>
      </w:r>
      <w:r w:rsidR="009B3E03">
        <w:rPr>
          <w:rFonts w:ascii="Arial" w:hAnsi="Arial" w:cs="Arial"/>
        </w:rPr>
        <w:t>A method based on the</w:t>
      </w:r>
      <w:r w:rsidR="009B3E03" w:rsidRPr="00180CFC">
        <w:rPr>
          <w:rFonts w:ascii="Arial" w:hAnsi="Arial" w:cs="Arial"/>
        </w:rPr>
        <w:t xml:space="preserve"> local a</w:t>
      </w:r>
      <w:r w:rsidR="009B3E03">
        <w:rPr>
          <w:rFonts w:ascii="Arial" w:hAnsi="Arial" w:cs="Arial"/>
        </w:rPr>
        <w:t xml:space="preserve">nd national shares of deprived Data Zones within each Intermediate Zone (as </w:t>
      </w:r>
      <w:r w:rsidR="009B3E03" w:rsidRPr="00180CFC">
        <w:rPr>
          <w:rFonts w:ascii="Arial" w:hAnsi="Arial" w:cs="Arial"/>
        </w:rPr>
        <w:t>proposed by th</w:t>
      </w:r>
      <w:r w:rsidR="009B3E03">
        <w:rPr>
          <w:rFonts w:ascii="Arial" w:hAnsi="Arial" w:cs="Arial"/>
        </w:rPr>
        <w:t>e Scottish Government SIMD team)</w:t>
      </w:r>
      <w:r w:rsidR="009B3E03" w:rsidRPr="00180CFC">
        <w:rPr>
          <w:rFonts w:ascii="Arial" w:hAnsi="Arial" w:cs="Arial"/>
        </w:rPr>
        <w:t xml:space="preserve"> </w:t>
      </w:r>
      <w:r w:rsidR="009B3E03">
        <w:rPr>
          <w:rFonts w:ascii="Arial" w:hAnsi="Arial" w:cs="Arial"/>
        </w:rPr>
        <w:t xml:space="preserve">has been </w:t>
      </w:r>
      <w:r w:rsidR="009B3E03" w:rsidRPr="00180CFC">
        <w:rPr>
          <w:rFonts w:ascii="Arial" w:hAnsi="Arial" w:cs="Arial"/>
        </w:rPr>
        <w:t xml:space="preserve">used </w:t>
      </w:r>
      <w:r w:rsidR="009B3E03">
        <w:rPr>
          <w:rFonts w:ascii="Arial" w:hAnsi="Arial" w:cs="Arial"/>
        </w:rPr>
        <w:t xml:space="preserve">to create an SIMD measure </w:t>
      </w:r>
      <w:r w:rsidR="009B3E03" w:rsidRPr="00180CFC">
        <w:rPr>
          <w:rFonts w:ascii="Arial" w:hAnsi="Arial" w:cs="Arial"/>
        </w:rPr>
        <w:t>for the Intermediate Zones analysis.</w:t>
      </w:r>
      <w:r w:rsidRPr="00180CFC">
        <w:rPr>
          <w:rFonts w:ascii="Arial" w:hAnsi="Arial" w:cs="Arial"/>
        </w:rPr>
        <w:t xml:space="preserve"> </w:t>
      </w:r>
      <w:r w:rsidR="006A10E5">
        <w:rPr>
          <w:rFonts w:ascii="Arial" w:hAnsi="Arial" w:cs="Arial"/>
        </w:rPr>
        <w:t>Section 4.1 presents the results for the Data Zones analysis, while section 4.2 shows the analysis at Intermediate Zones.</w:t>
      </w:r>
    </w:p>
    <w:p w:rsidR="00BE222A" w:rsidRDefault="0010160D" w:rsidP="00BE222A">
      <w:pPr>
        <w:rPr>
          <w:rFonts w:ascii="Arial" w:hAnsi="Arial" w:cs="Arial"/>
          <w:b/>
        </w:rPr>
      </w:pPr>
      <w:r>
        <w:rPr>
          <w:rFonts w:ascii="Arial" w:hAnsi="Arial" w:cs="Arial"/>
          <w:b/>
        </w:rPr>
        <w:t>4</w:t>
      </w:r>
      <w:r w:rsidR="00180CFC" w:rsidRPr="00180CFC">
        <w:rPr>
          <w:rFonts w:ascii="Arial" w:hAnsi="Arial" w:cs="Arial"/>
          <w:b/>
        </w:rPr>
        <w:t>.1. Data Zones</w:t>
      </w:r>
    </w:p>
    <w:p w:rsidR="00C654BA" w:rsidRDefault="0075135D" w:rsidP="0075135D">
      <w:pPr>
        <w:jc w:val="both"/>
        <w:rPr>
          <w:rFonts w:ascii="Arial" w:hAnsi="Arial" w:cs="Arial"/>
        </w:rPr>
      </w:pPr>
      <w:r>
        <w:rPr>
          <w:rFonts w:ascii="Arial" w:hAnsi="Arial" w:cs="Arial"/>
        </w:rPr>
        <w:t>F</w:t>
      </w:r>
      <w:r w:rsidR="00FE1095">
        <w:rPr>
          <w:rFonts w:ascii="Arial" w:hAnsi="Arial" w:cs="Arial"/>
        </w:rPr>
        <w:t>irst, correlations between the cost r</w:t>
      </w:r>
      <w:r>
        <w:rPr>
          <w:rFonts w:ascii="Arial" w:hAnsi="Arial" w:cs="Arial"/>
        </w:rPr>
        <w:t>atios and the SIMD variables are calculated</w:t>
      </w:r>
      <w:r w:rsidR="006A10E5">
        <w:rPr>
          <w:rFonts w:ascii="Arial" w:hAnsi="Arial" w:cs="Arial"/>
        </w:rPr>
        <w:t>, for all diagnostic groups</w:t>
      </w:r>
      <w:r>
        <w:rPr>
          <w:rFonts w:ascii="Arial" w:hAnsi="Arial" w:cs="Arial"/>
        </w:rPr>
        <w:t xml:space="preserve">. Based on the correlations, the Income domain score and Scenario 1 score are chosen for the regression analysis. </w:t>
      </w:r>
    </w:p>
    <w:p w:rsidR="0075135D" w:rsidRDefault="00C654BA" w:rsidP="0075135D">
      <w:pPr>
        <w:jc w:val="both"/>
        <w:rPr>
          <w:rFonts w:ascii="Arial" w:hAnsi="Arial" w:cs="Arial"/>
        </w:rPr>
      </w:pPr>
      <w:r>
        <w:rPr>
          <w:rFonts w:ascii="Arial" w:hAnsi="Arial" w:cs="Arial"/>
        </w:rPr>
        <w:t>Secondly, t</w:t>
      </w:r>
      <w:r w:rsidR="00363D1C">
        <w:rPr>
          <w:rFonts w:ascii="Arial" w:hAnsi="Arial" w:cs="Arial"/>
        </w:rPr>
        <w:t>he significance of these two SIMD variables is tested stepwise in three types of models – single variable, multivariate and using a composit</w:t>
      </w:r>
      <w:r w:rsidR="004759DB">
        <w:rPr>
          <w:rFonts w:ascii="Arial" w:hAnsi="Arial" w:cs="Arial"/>
        </w:rPr>
        <w:t>e variable. The single variable</w:t>
      </w:r>
      <w:r w:rsidR="00363D1C">
        <w:rPr>
          <w:rFonts w:ascii="Arial" w:hAnsi="Arial" w:cs="Arial"/>
        </w:rPr>
        <w:t xml:space="preserve"> models are testing the explanatory power of SMR, LLTI a</w:t>
      </w:r>
      <w:r>
        <w:rPr>
          <w:rFonts w:ascii="Arial" w:hAnsi="Arial" w:cs="Arial"/>
        </w:rPr>
        <w:t>nd the SIMD variables</w:t>
      </w:r>
      <w:r w:rsidR="00363D1C">
        <w:rPr>
          <w:rFonts w:ascii="Arial" w:hAnsi="Arial" w:cs="Arial"/>
        </w:rPr>
        <w:t xml:space="preserve"> when added </w:t>
      </w:r>
      <w:r>
        <w:rPr>
          <w:rFonts w:ascii="Arial" w:hAnsi="Arial" w:cs="Arial"/>
        </w:rPr>
        <w:t xml:space="preserve">separately </w:t>
      </w:r>
      <w:r w:rsidR="00363D1C">
        <w:rPr>
          <w:rFonts w:ascii="Arial" w:hAnsi="Arial" w:cs="Arial"/>
        </w:rPr>
        <w:t>to the supp</w:t>
      </w:r>
      <w:r w:rsidR="009377F4">
        <w:rPr>
          <w:rFonts w:ascii="Arial" w:hAnsi="Arial" w:cs="Arial"/>
        </w:rPr>
        <w:t>ly model (supply variables and h</w:t>
      </w:r>
      <w:r w:rsidR="00363D1C">
        <w:rPr>
          <w:rFonts w:ascii="Arial" w:hAnsi="Arial" w:cs="Arial"/>
        </w:rPr>
        <w:t xml:space="preserve">ealth </w:t>
      </w:r>
      <w:r w:rsidR="009377F4">
        <w:rPr>
          <w:rFonts w:ascii="Arial" w:hAnsi="Arial" w:cs="Arial"/>
        </w:rPr>
        <w:t>b</w:t>
      </w:r>
      <w:r w:rsidR="00363D1C">
        <w:rPr>
          <w:rFonts w:ascii="Arial" w:hAnsi="Arial" w:cs="Arial"/>
        </w:rPr>
        <w:t xml:space="preserve">oard </w:t>
      </w:r>
      <w:r w:rsidR="009377F4">
        <w:rPr>
          <w:rFonts w:ascii="Arial" w:hAnsi="Arial" w:cs="Arial"/>
        </w:rPr>
        <w:t>d</w:t>
      </w:r>
      <w:r w:rsidR="00363D1C">
        <w:rPr>
          <w:rFonts w:ascii="Arial" w:hAnsi="Arial" w:cs="Arial"/>
        </w:rPr>
        <w:t xml:space="preserve">ummy variables). </w:t>
      </w:r>
      <w:r>
        <w:rPr>
          <w:rFonts w:ascii="Arial" w:hAnsi="Arial" w:cs="Arial"/>
        </w:rPr>
        <w:t xml:space="preserve">The multivariate models are testing the explanatory power of SMR and LLTI, </w:t>
      </w:r>
      <w:r w:rsidR="006A10E5">
        <w:rPr>
          <w:rFonts w:ascii="Arial" w:hAnsi="Arial" w:cs="Arial"/>
        </w:rPr>
        <w:t>versus</w:t>
      </w:r>
      <w:r>
        <w:rPr>
          <w:rFonts w:ascii="Arial" w:hAnsi="Arial" w:cs="Arial"/>
        </w:rPr>
        <w:t xml:space="preserve"> </w:t>
      </w:r>
      <w:r w:rsidR="004759DB">
        <w:rPr>
          <w:rFonts w:ascii="Arial" w:hAnsi="Arial" w:cs="Arial"/>
        </w:rPr>
        <w:t>SMR, LLTI and the SIMD variable</w:t>
      </w:r>
      <w:r w:rsidR="006A10E5">
        <w:rPr>
          <w:rFonts w:ascii="Arial" w:hAnsi="Arial" w:cs="Arial"/>
        </w:rPr>
        <w:t>,</w:t>
      </w:r>
      <w:r>
        <w:rPr>
          <w:rFonts w:ascii="Arial" w:hAnsi="Arial" w:cs="Arial"/>
        </w:rPr>
        <w:t xml:space="preserve"> when added to the supply model. The models using a composite variable are testing the explanatory power of the reference model (supply model </w:t>
      </w:r>
      <w:r w:rsidR="006A10E5">
        <w:rPr>
          <w:rFonts w:ascii="Arial" w:hAnsi="Arial" w:cs="Arial"/>
        </w:rPr>
        <w:t xml:space="preserve">with </w:t>
      </w:r>
      <w:r w:rsidR="008B76A9">
        <w:rPr>
          <w:rFonts w:ascii="Arial" w:hAnsi="Arial" w:cs="Arial"/>
        </w:rPr>
        <w:t>SMR and LLTI</w:t>
      </w:r>
      <w:r w:rsidR="006A10E5">
        <w:rPr>
          <w:rFonts w:ascii="Arial" w:hAnsi="Arial" w:cs="Arial"/>
        </w:rPr>
        <w:t xml:space="preserve"> combined into the</w:t>
      </w:r>
      <w:r>
        <w:rPr>
          <w:rFonts w:ascii="Arial" w:hAnsi="Arial" w:cs="Arial"/>
        </w:rPr>
        <w:t xml:space="preserve"> </w:t>
      </w:r>
      <w:r w:rsidR="006A10E5">
        <w:rPr>
          <w:rFonts w:ascii="Arial" w:hAnsi="Arial" w:cs="Arial"/>
        </w:rPr>
        <w:t xml:space="preserve">needs </w:t>
      </w:r>
      <w:r w:rsidRPr="006A10E5">
        <w:rPr>
          <w:rFonts w:ascii="Arial" w:hAnsi="Arial" w:cs="Arial"/>
          <w:i/>
        </w:rPr>
        <w:t>index</w:t>
      </w:r>
      <w:r w:rsidR="006A10E5">
        <w:rPr>
          <w:rFonts w:ascii="Arial" w:hAnsi="Arial" w:cs="Arial"/>
        </w:rPr>
        <w:t>); the</w:t>
      </w:r>
      <w:r>
        <w:rPr>
          <w:rFonts w:ascii="Arial" w:hAnsi="Arial" w:cs="Arial"/>
        </w:rPr>
        <w:t xml:space="preserve"> re</w:t>
      </w:r>
      <w:r w:rsidR="004759DB">
        <w:rPr>
          <w:rFonts w:ascii="Arial" w:hAnsi="Arial" w:cs="Arial"/>
        </w:rPr>
        <w:t xml:space="preserve">ference model and SIMD </w:t>
      </w:r>
      <w:r w:rsidR="00E4117B">
        <w:rPr>
          <w:rFonts w:ascii="Arial" w:hAnsi="Arial" w:cs="Arial"/>
        </w:rPr>
        <w:t>variable</w:t>
      </w:r>
      <w:r w:rsidR="006A10E5">
        <w:rPr>
          <w:rFonts w:ascii="Arial" w:hAnsi="Arial" w:cs="Arial"/>
        </w:rPr>
        <w:t>;</w:t>
      </w:r>
      <w:r w:rsidR="00E4117B">
        <w:rPr>
          <w:rFonts w:ascii="Arial" w:hAnsi="Arial" w:cs="Arial"/>
        </w:rPr>
        <w:t xml:space="preserve"> and </w:t>
      </w:r>
      <w:r w:rsidR="006A10E5">
        <w:rPr>
          <w:rFonts w:ascii="Arial" w:hAnsi="Arial" w:cs="Arial"/>
        </w:rPr>
        <w:t xml:space="preserve">the </w:t>
      </w:r>
      <w:r w:rsidR="00E4117B">
        <w:rPr>
          <w:rFonts w:ascii="Arial" w:hAnsi="Arial" w:cs="Arial"/>
        </w:rPr>
        <w:lastRenderedPageBreak/>
        <w:t>supply model</w:t>
      </w:r>
      <w:r>
        <w:rPr>
          <w:rFonts w:ascii="Arial" w:hAnsi="Arial" w:cs="Arial"/>
        </w:rPr>
        <w:t xml:space="preserve"> </w:t>
      </w:r>
      <w:r w:rsidR="006A10E5">
        <w:rPr>
          <w:rFonts w:ascii="Arial" w:hAnsi="Arial" w:cs="Arial"/>
        </w:rPr>
        <w:t xml:space="preserve">with SMR, LLTI and SIMD combined together into a new index (the </w:t>
      </w:r>
      <w:r>
        <w:rPr>
          <w:rFonts w:ascii="Arial" w:hAnsi="Arial" w:cs="Arial"/>
        </w:rPr>
        <w:t xml:space="preserve">sum of </w:t>
      </w:r>
      <w:r w:rsidR="006A10E5">
        <w:rPr>
          <w:rFonts w:ascii="Arial" w:hAnsi="Arial" w:cs="Arial"/>
        </w:rPr>
        <w:t xml:space="preserve">the </w:t>
      </w:r>
      <w:r>
        <w:rPr>
          <w:rFonts w:ascii="Arial" w:hAnsi="Arial" w:cs="Arial"/>
        </w:rPr>
        <w:t xml:space="preserve">z-scores of </w:t>
      </w:r>
      <w:r w:rsidR="006A10E5">
        <w:rPr>
          <w:rFonts w:ascii="Arial" w:hAnsi="Arial" w:cs="Arial"/>
        </w:rPr>
        <w:t>SMR, LLTI and the SIMD variable)</w:t>
      </w:r>
      <w:r>
        <w:rPr>
          <w:rFonts w:ascii="Arial" w:hAnsi="Arial" w:cs="Arial"/>
        </w:rPr>
        <w:t xml:space="preserve">. </w:t>
      </w:r>
      <w:r w:rsidR="0075135D">
        <w:rPr>
          <w:rFonts w:ascii="Arial" w:hAnsi="Arial" w:cs="Arial"/>
        </w:rPr>
        <w:t>The result</w:t>
      </w:r>
      <w:r w:rsidR="009134B1">
        <w:rPr>
          <w:rFonts w:ascii="Arial" w:hAnsi="Arial" w:cs="Arial"/>
        </w:rPr>
        <w:t xml:space="preserve">s </w:t>
      </w:r>
      <w:r w:rsidR="006A10E5">
        <w:rPr>
          <w:rFonts w:ascii="Arial" w:hAnsi="Arial" w:cs="Arial"/>
        </w:rPr>
        <w:t xml:space="preserve">of this </w:t>
      </w:r>
      <w:r w:rsidR="009134B1">
        <w:rPr>
          <w:rFonts w:ascii="Arial" w:hAnsi="Arial" w:cs="Arial"/>
        </w:rPr>
        <w:t xml:space="preserve">are </w:t>
      </w:r>
      <w:r w:rsidR="006A10E5">
        <w:rPr>
          <w:rFonts w:ascii="Arial" w:hAnsi="Arial" w:cs="Arial"/>
        </w:rPr>
        <w:t>shown</w:t>
      </w:r>
      <w:r w:rsidR="009134B1">
        <w:rPr>
          <w:rFonts w:ascii="Arial" w:hAnsi="Arial" w:cs="Arial"/>
        </w:rPr>
        <w:t xml:space="preserve"> below in section 4</w:t>
      </w:r>
      <w:r w:rsidR="0075135D">
        <w:rPr>
          <w:rFonts w:ascii="Arial" w:hAnsi="Arial" w:cs="Arial"/>
        </w:rPr>
        <w:t>.1.2</w:t>
      </w:r>
      <w:r w:rsidR="009F638C">
        <w:rPr>
          <w:rFonts w:ascii="Arial" w:hAnsi="Arial" w:cs="Arial"/>
        </w:rPr>
        <w:t>.</w:t>
      </w:r>
    </w:p>
    <w:p w:rsidR="009D0E5A" w:rsidRPr="0075135D" w:rsidRDefault="009D0E5A" w:rsidP="0075135D">
      <w:pPr>
        <w:jc w:val="both"/>
        <w:rPr>
          <w:rFonts w:ascii="Arial" w:hAnsi="Arial" w:cs="Arial"/>
        </w:rPr>
      </w:pPr>
      <w:r>
        <w:rPr>
          <w:rFonts w:ascii="Arial" w:hAnsi="Arial" w:cs="Arial"/>
        </w:rPr>
        <w:t>Since the SIMD scores are not available on a yearly basis, the SIMD explanatory variables used in the regressions for 1 year Data Zones and for 3 years Data Zones</w:t>
      </w:r>
      <w:r w:rsidRPr="009D0E5A">
        <w:rPr>
          <w:rFonts w:ascii="Arial" w:hAnsi="Arial" w:cs="Arial"/>
        </w:rPr>
        <w:t xml:space="preserve"> </w:t>
      </w:r>
      <w:r>
        <w:rPr>
          <w:rFonts w:ascii="Arial" w:hAnsi="Arial" w:cs="Arial"/>
        </w:rPr>
        <w:t xml:space="preserve">are the same. The only difference between the analysis at the two different time spans is in the dependent variables – the cost ratios for the 3 years Data Zones analysis are an average of 2011/12, 2012/13 and 2013/14 cost ratios. </w:t>
      </w:r>
    </w:p>
    <w:p w:rsidR="00180CFC" w:rsidRPr="00F67AF5" w:rsidRDefault="0010160D" w:rsidP="00F67AF5">
      <w:pPr>
        <w:jc w:val="both"/>
        <w:rPr>
          <w:rFonts w:ascii="Arial" w:hAnsi="Arial" w:cs="Arial"/>
        </w:rPr>
      </w:pPr>
      <w:r>
        <w:rPr>
          <w:rFonts w:ascii="Arial" w:hAnsi="Arial" w:cs="Arial"/>
          <w:b/>
        </w:rPr>
        <w:t>4</w:t>
      </w:r>
      <w:r w:rsidR="00180CFC" w:rsidRPr="00180CFC">
        <w:rPr>
          <w:rFonts w:ascii="Arial" w:hAnsi="Arial" w:cs="Arial"/>
          <w:b/>
        </w:rPr>
        <w:t>.1.1 Correlations</w:t>
      </w:r>
    </w:p>
    <w:p w:rsidR="00BE222A" w:rsidRDefault="00180CFC" w:rsidP="00BE222A">
      <w:pPr>
        <w:jc w:val="both"/>
        <w:rPr>
          <w:rFonts w:ascii="Arial" w:hAnsi="Arial" w:cs="Arial"/>
        </w:rPr>
      </w:pPr>
      <w:r w:rsidRPr="00180CFC">
        <w:rPr>
          <w:rFonts w:ascii="Arial" w:hAnsi="Arial" w:cs="Arial"/>
        </w:rPr>
        <w:t xml:space="preserve">The correlations between the cost ratios and the SIMD explanatory variables are </w:t>
      </w:r>
      <w:r w:rsidR="00AC62E3">
        <w:rPr>
          <w:rFonts w:ascii="Arial" w:hAnsi="Arial" w:cs="Arial"/>
        </w:rPr>
        <w:t>shown</w:t>
      </w:r>
      <w:r w:rsidR="000D372C">
        <w:rPr>
          <w:rFonts w:ascii="Arial" w:hAnsi="Arial" w:cs="Arial"/>
        </w:rPr>
        <w:t xml:space="preserve"> in the first two tables of Annex F</w:t>
      </w:r>
      <w:r w:rsidR="00AC62E3">
        <w:rPr>
          <w:rFonts w:ascii="Arial" w:hAnsi="Arial" w:cs="Arial"/>
        </w:rPr>
        <w:t>,</w:t>
      </w:r>
      <w:r w:rsidRPr="00180CFC">
        <w:rPr>
          <w:rFonts w:ascii="Arial" w:hAnsi="Arial" w:cs="Arial"/>
        </w:rPr>
        <w:t xml:space="preserve"> for each diagnostic group.</w:t>
      </w:r>
      <w:r w:rsidR="000D372C">
        <w:rPr>
          <w:rFonts w:ascii="Arial" w:hAnsi="Arial" w:cs="Arial"/>
        </w:rPr>
        <w:t xml:space="preserve"> </w:t>
      </w:r>
      <w:r w:rsidR="00BE222A">
        <w:rPr>
          <w:rFonts w:ascii="Arial" w:hAnsi="Arial" w:cs="Arial"/>
        </w:rPr>
        <w:t xml:space="preserve">The initial </w:t>
      </w:r>
      <w:r w:rsidR="00363D1C">
        <w:rPr>
          <w:rFonts w:ascii="Arial" w:hAnsi="Arial" w:cs="Arial"/>
        </w:rPr>
        <w:t>impression from</w:t>
      </w:r>
      <w:r w:rsidR="00BE222A">
        <w:rPr>
          <w:rFonts w:ascii="Arial" w:hAnsi="Arial" w:cs="Arial"/>
        </w:rPr>
        <w:t xml:space="preserve"> the</w:t>
      </w:r>
      <w:r w:rsidR="000D372C">
        <w:rPr>
          <w:rFonts w:ascii="Arial" w:hAnsi="Arial" w:cs="Arial"/>
        </w:rPr>
        <w:t>se</w:t>
      </w:r>
      <w:r w:rsidR="00BE222A">
        <w:rPr>
          <w:rFonts w:ascii="Arial" w:hAnsi="Arial" w:cs="Arial"/>
        </w:rPr>
        <w:t xml:space="preserve"> correlations </w:t>
      </w:r>
      <w:r w:rsidR="00363D1C">
        <w:rPr>
          <w:rFonts w:ascii="Arial" w:hAnsi="Arial" w:cs="Arial"/>
        </w:rPr>
        <w:t>is</w:t>
      </w:r>
      <w:r w:rsidR="00BE222A">
        <w:rPr>
          <w:rFonts w:ascii="Arial" w:hAnsi="Arial" w:cs="Arial"/>
        </w:rPr>
        <w:t xml:space="preserve"> that </w:t>
      </w:r>
      <w:r w:rsidR="005171ED">
        <w:rPr>
          <w:rFonts w:ascii="Arial" w:hAnsi="Arial" w:cs="Arial"/>
        </w:rPr>
        <w:t xml:space="preserve">the </w:t>
      </w:r>
      <w:r w:rsidR="00BE222A">
        <w:rPr>
          <w:rFonts w:ascii="Arial" w:hAnsi="Arial" w:cs="Arial"/>
        </w:rPr>
        <w:t>Income</w:t>
      </w:r>
      <w:r w:rsidR="00363D1C">
        <w:rPr>
          <w:rFonts w:ascii="Arial" w:hAnsi="Arial" w:cs="Arial"/>
        </w:rPr>
        <w:t xml:space="preserve"> score</w:t>
      </w:r>
      <w:r w:rsidR="00BE222A">
        <w:rPr>
          <w:rFonts w:ascii="Arial" w:hAnsi="Arial" w:cs="Arial"/>
        </w:rPr>
        <w:t xml:space="preserve"> is the</w:t>
      </w:r>
      <w:r w:rsidR="005171ED">
        <w:rPr>
          <w:rFonts w:ascii="Arial" w:hAnsi="Arial" w:cs="Arial"/>
        </w:rPr>
        <w:t xml:space="preserve"> best SIMD variable to predict the cost r</w:t>
      </w:r>
      <w:r w:rsidR="00BE222A">
        <w:rPr>
          <w:rFonts w:ascii="Arial" w:hAnsi="Arial" w:cs="Arial"/>
        </w:rPr>
        <w:t xml:space="preserve">atios. </w:t>
      </w:r>
      <w:r w:rsidR="00363D1C">
        <w:rPr>
          <w:rFonts w:ascii="Arial" w:hAnsi="Arial" w:cs="Arial"/>
        </w:rPr>
        <w:t>Scenario 1 score is also further investigated as a reference.</w:t>
      </w:r>
      <w:r w:rsidR="005171ED">
        <w:rPr>
          <w:rFonts w:ascii="Arial" w:hAnsi="Arial" w:cs="Arial"/>
        </w:rPr>
        <w:t xml:space="preserve"> So, Income domain score and Scenario 1 score are used in the next stage of the investigation.</w:t>
      </w:r>
    </w:p>
    <w:p w:rsidR="00F653A8" w:rsidRPr="00180CFC" w:rsidRDefault="00180CFC" w:rsidP="003E01AD">
      <w:pPr>
        <w:spacing w:before="120"/>
        <w:jc w:val="both"/>
        <w:rPr>
          <w:rFonts w:ascii="Arial" w:hAnsi="Arial" w:cs="Arial"/>
        </w:rPr>
      </w:pPr>
      <w:r w:rsidRPr="00180CFC">
        <w:rPr>
          <w:rFonts w:ascii="Arial" w:hAnsi="Arial" w:cs="Arial"/>
        </w:rPr>
        <w:t>The co</w:t>
      </w:r>
      <w:r w:rsidR="005171ED">
        <w:rPr>
          <w:rFonts w:ascii="Arial" w:hAnsi="Arial" w:cs="Arial"/>
        </w:rPr>
        <w:t>rrelations between SMR and the cost r</w:t>
      </w:r>
      <w:r w:rsidR="004915F9">
        <w:rPr>
          <w:rFonts w:ascii="Arial" w:hAnsi="Arial" w:cs="Arial"/>
        </w:rPr>
        <w:t>atios, and LLTI and the c</w:t>
      </w:r>
      <w:r w:rsidRPr="00180CFC">
        <w:rPr>
          <w:rFonts w:ascii="Arial" w:hAnsi="Arial" w:cs="Arial"/>
        </w:rPr>
        <w:t>os</w:t>
      </w:r>
      <w:r w:rsidR="004915F9">
        <w:rPr>
          <w:rFonts w:ascii="Arial" w:hAnsi="Arial" w:cs="Arial"/>
        </w:rPr>
        <w:t>t r</w:t>
      </w:r>
      <w:r w:rsidRPr="00180CFC">
        <w:rPr>
          <w:rFonts w:ascii="Arial" w:hAnsi="Arial" w:cs="Arial"/>
        </w:rPr>
        <w:t xml:space="preserve">atios (Table </w:t>
      </w:r>
      <w:r w:rsidR="00E0233C">
        <w:rPr>
          <w:rFonts w:ascii="Arial" w:hAnsi="Arial" w:cs="Arial"/>
        </w:rPr>
        <w:t>1</w:t>
      </w:r>
      <w:r w:rsidRPr="00180CFC">
        <w:rPr>
          <w:rFonts w:ascii="Arial" w:hAnsi="Arial" w:cs="Arial"/>
        </w:rPr>
        <w:t xml:space="preserve">) are quite similar to the correlations in Table </w:t>
      </w:r>
      <w:r w:rsidR="00D66C09">
        <w:rPr>
          <w:rFonts w:ascii="Arial" w:hAnsi="Arial" w:cs="Arial"/>
        </w:rPr>
        <w:t>F.1</w:t>
      </w:r>
      <w:r w:rsidR="005171ED">
        <w:rPr>
          <w:rFonts w:ascii="Arial" w:hAnsi="Arial" w:cs="Arial"/>
        </w:rPr>
        <w:t xml:space="preserve"> and Table </w:t>
      </w:r>
      <w:r w:rsidR="00D66C09">
        <w:rPr>
          <w:rFonts w:ascii="Arial" w:hAnsi="Arial" w:cs="Arial"/>
        </w:rPr>
        <w:t>F.2</w:t>
      </w:r>
      <w:r w:rsidRPr="00180CFC">
        <w:rPr>
          <w:rFonts w:ascii="Arial" w:hAnsi="Arial" w:cs="Arial"/>
        </w:rPr>
        <w:t>. The significance of the SIMD variables</w:t>
      </w:r>
      <w:r w:rsidR="005171ED">
        <w:rPr>
          <w:rFonts w:ascii="Arial" w:hAnsi="Arial" w:cs="Arial"/>
        </w:rPr>
        <w:t xml:space="preserve"> (Income domain score and Scenario 1 score)</w:t>
      </w:r>
      <w:r w:rsidRPr="00180CFC">
        <w:rPr>
          <w:rFonts w:ascii="Arial" w:hAnsi="Arial" w:cs="Arial"/>
        </w:rPr>
        <w:t xml:space="preserve"> will be formally checked in the regression analysis.</w:t>
      </w:r>
    </w:p>
    <w:p w:rsidR="00180CFC" w:rsidRPr="00180CFC" w:rsidRDefault="0010160D" w:rsidP="00180CFC">
      <w:pPr>
        <w:rPr>
          <w:rFonts w:ascii="Arial" w:hAnsi="Arial" w:cs="Arial"/>
          <w:b/>
        </w:rPr>
      </w:pPr>
      <w:r>
        <w:rPr>
          <w:rFonts w:ascii="Arial" w:hAnsi="Arial" w:cs="Arial"/>
          <w:b/>
        </w:rPr>
        <w:t>4</w:t>
      </w:r>
      <w:r w:rsidR="00180CFC" w:rsidRPr="00180CFC">
        <w:rPr>
          <w:rFonts w:ascii="Arial" w:hAnsi="Arial" w:cs="Arial"/>
          <w:b/>
        </w:rPr>
        <w:t>.1.2 Significance of SIMD variables</w:t>
      </w:r>
    </w:p>
    <w:p w:rsidR="00C22C6C" w:rsidRPr="004759DB" w:rsidRDefault="00180CFC" w:rsidP="009E1E5E">
      <w:pPr>
        <w:jc w:val="both"/>
        <w:rPr>
          <w:rFonts w:ascii="Arial" w:hAnsi="Arial" w:cs="Arial"/>
        </w:rPr>
      </w:pPr>
      <w:r w:rsidRPr="00180CFC">
        <w:rPr>
          <w:rFonts w:ascii="Arial" w:hAnsi="Arial" w:cs="Arial"/>
        </w:rPr>
        <w:t>To test the significance of SIMD,</w:t>
      </w:r>
      <w:r w:rsidR="00C654BA">
        <w:rPr>
          <w:rFonts w:ascii="Arial" w:hAnsi="Arial" w:cs="Arial"/>
        </w:rPr>
        <w:t xml:space="preserve"> regression analysis is carried out as described above</w:t>
      </w:r>
      <w:r w:rsidRPr="00180CFC">
        <w:rPr>
          <w:rFonts w:ascii="Arial" w:hAnsi="Arial" w:cs="Arial"/>
        </w:rPr>
        <w:t xml:space="preserve">. Table </w:t>
      </w:r>
      <w:r w:rsidR="008B76A9">
        <w:rPr>
          <w:rFonts w:ascii="Arial" w:hAnsi="Arial" w:cs="Arial"/>
        </w:rPr>
        <w:t>5</w:t>
      </w:r>
      <w:r w:rsidR="00556D7B">
        <w:rPr>
          <w:rFonts w:ascii="Arial" w:hAnsi="Arial" w:cs="Arial"/>
        </w:rPr>
        <w:t xml:space="preserve"> and Table </w:t>
      </w:r>
      <w:r w:rsidR="008B76A9">
        <w:rPr>
          <w:rFonts w:ascii="Arial" w:hAnsi="Arial" w:cs="Arial"/>
        </w:rPr>
        <w:t>6</w:t>
      </w:r>
      <w:r w:rsidR="00784D92">
        <w:rPr>
          <w:rFonts w:ascii="Arial" w:hAnsi="Arial" w:cs="Arial"/>
        </w:rPr>
        <w:t xml:space="preserve"> provide</w:t>
      </w:r>
      <w:r w:rsidRPr="00180CFC">
        <w:rPr>
          <w:rFonts w:ascii="Arial" w:hAnsi="Arial" w:cs="Arial"/>
        </w:rPr>
        <w:t xml:space="preserve"> a summary of the regression analysis output.</w:t>
      </w:r>
      <w:r w:rsidR="00C654BA">
        <w:rPr>
          <w:rFonts w:ascii="Arial" w:hAnsi="Arial" w:cs="Arial"/>
        </w:rPr>
        <w:t xml:space="preserve"> The red values in bold indicate the best </w:t>
      </w:r>
      <w:r w:rsidR="00602370">
        <w:rPr>
          <w:rFonts w:ascii="Arial" w:hAnsi="Arial" w:cs="Arial"/>
        </w:rPr>
        <w:t xml:space="preserve">adjusted </w:t>
      </w:r>
      <w:r w:rsidR="00C654BA">
        <w:rPr>
          <w:rFonts w:ascii="Arial" w:hAnsi="Arial" w:cs="Arial"/>
        </w:rPr>
        <w:t>R-squared values for each diagnostic group.</w:t>
      </w:r>
      <w:r w:rsidRPr="00180CFC">
        <w:rPr>
          <w:rFonts w:ascii="Arial" w:hAnsi="Arial" w:cs="Arial"/>
        </w:rPr>
        <w:t xml:space="preserve"> </w:t>
      </w:r>
    </w:p>
    <w:p w:rsidR="00C22C6C" w:rsidRDefault="00C22C6C" w:rsidP="00180CFC">
      <w:pPr>
        <w:rPr>
          <w:rFonts w:ascii="Arial" w:hAnsi="Arial" w:cs="Arial"/>
          <w:i/>
        </w:rPr>
        <w:sectPr w:rsidR="00C22C6C" w:rsidSect="007A0D18">
          <w:headerReference w:type="default" r:id="rId14"/>
          <w:footerReference w:type="default" r:id="rId15"/>
          <w:pgSz w:w="11906" w:h="16838"/>
          <w:pgMar w:top="1440" w:right="1440" w:bottom="1440" w:left="1440" w:header="708" w:footer="708" w:gutter="0"/>
          <w:cols w:space="708"/>
          <w:docGrid w:linePitch="360"/>
        </w:sectPr>
      </w:pPr>
    </w:p>
    <w:p w:rsidR="00180CFC" w:rsidRDefault="00180CFC" w:rsidP="00C22C6C">
      <w:pPr>
        <w:spacing w:after="0"/>
        <w:rPr>
          <w:rFonts w:ascii="Arial" w:hAnsi="Arial" w:cs="Arial"/>
          <w:i/>
        </w:rPr>
      </w:pPr>
      <w:proofErr w:type="gramStart"/>
      <w:r w:rsidRPr="00180CFC">
        <w:rPr>
          <w:rFonts w:ascii="Arial" w:hAnsi="Arial" w:cs="Arial"/>
          <w:i/>
        </w:rPr>
        <w:lastRenderedPageBreak/>
        <w:t xml:space="preserve">Table </w:t>
      </w:r>
      <w:r w:rsidR="008B76A9">
        <w:rPr>
          <w:rFonts w:ascii="Arial" w:hAnsi="Arial" w:cs="Arial"/>
          <w:i/>
        </w:rPr>
        <w:t>5</w:t>
      </w:r>
      <w:r w:rsidRPr="00180CFC">
        <w:rPr>
          <w:rFonts w:ascii="Arial" w:hAnsi="Arial" w:cs="Arial"/>
          <w:i/>
        </w:rPr>
        <w:t>.</w:t>
      </w:r>
      <w:proofErr w:type="gramEnd"/>
      <w:r w:rsidRPr="00180CFC">
        <w:rPr>
          <w:rFonts w:ascii="Arial" w:hAnsi="Arial" w:cs="Arial"/>
          <w:i/>
        </w:rPr>
        <w:t xml:space="preserve"> </w:t>
      </w:r>
      <w:proofErr w:type="gramStart"/>
      <w:r w:rsidRPr="00180CFC">
        <w:rPr>
          <w:rFonts w:ascii="Arial" w:hAnsi="Arial" w:cs="Arial"/>
          <w:i/>
        </w:rPr>
        <w:t xml:space="preserve">Significance of SIMD at </w:t>
      </w:r>
      <w:r w:rsidR="0031489E">
        <w:rPr>
          <w:rFonts w:ascii="Arial" w:hAnsi="Arial" w:cs="Arial"/>
          <w:i/>
        </w:rPr>
        <w:t>1 year Data Zones</w:t>
      </w:r>
      <w:r w:rsidRPr="00180CFC">
        <w:rPr>
          <w:rFonts w:ascii="Arial" w:hAnsi="Arial" w:cs="Arial"/>
          <w:i/>
        </w:rPr>
        <w:t>.</w:t>
      </w:r>
      <w:proofErr w:type="gramEnd"/>
    </w:p>
    <w:tbl>
      <w:tblPr>
        <w:tblW w:w="5000" w:type="pct"/>
        <w:tblLook w:val="04A0"/>
      </w:tblPr>
      <w:tblGrid>
        <w:gridCol w:w="7972"/>
        <w:gridCol w:w="799"/>
        <w:gridCol w:w="774"/>
        <w:gridCol w:w="938"/>
        <w:gridCol w:w="910"/>
        <w:gridCol w:w="938"/>
        <w:gridCol w:w="910"/>
        <w:gridCol w:w="933"/>
      </w:tblGrid>
      <w:tr w:rsidR="005A52A7" w:rsidRPr="007F6D65" w:rsidTr="005A52A7">
        <w:trPr>
          <w:trHeight w:val="419"/>
        </w:trPr>
        <w:tc>
          <w:tcPr>
            <w:tcW w:w="28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52A7" w:rsidRPr="007F6D65" w:rsidRDefault="0031489E" w:rsidP="00C22C6C">
            <w:pPr>
              <w:spacing w:after="0" w:line="240" w:lineRule="auto"/>
              <w:rPr>
                <w:rFonts w:ascii="Arial" w:eastAsia="Times New Roman" w:hAnsi="Arial" w:cs="Arial"/>
                <w:b/>
                <w:bCs/>
                <w:color w:val="000000"/>
                <w:sz w:val="20"/>
                <w:szCs w:val="18"/>
                <w:lang w:eastAsia="en-GB"/>
              </w:rPr>
            </w:pPr>
            <w:r>
              <w:rPr>
                <w:rFonts w:ascii="Arial" w:eastAsia="Times New Roman" w:hAnsi="Arial" w:cs="Arial"/>
                <w:b/>
                <w:bCs/>
                <w:color w:val="000000"/>
                <w:sz w:val="20"/>
                <w:szCs w:val="18"/>
                <w:lang w:eastAsia="en-GB"/>
              </w:rPr>
              <w:t>1 year Data Zones</w:t>
            </w:r>
          </w:p>
        </w:tc>
        <w:tc>
          <w:tcPr>
            <w:tcW w:w="2188" w:type="pct"/>
            <w:gridSpan w:val="7"/>
            <w:tcBorders>
              <w:top w:val="single" w:sz="4" w:space="0" w:color="auto"/>
              <w:left w:val="nil"/>
              <w:bottom w:val="single" w:sz="4" w:space="0" w:color="auto"/>
              <w:right w:val="single" w:sz="4" w:space="0" w:color="000000"/>
            </w:tcBorders>
            <w:shd w:val="clear" w:color="auto" w:fill="auto"/>
            <w:vAlign w:val="center"/>
            <w:hideMark/>
          </w:tcPr>
          <w:p w:rsidR="005A52A7" w:rsidRPr="007F6D65" w:rsidRDefault="005A52A7" w:rsidP="00C22C6C">
            <w:pPr>
              <w:spacing w:after="0" w:line="240" w:lineRule="auto"/>
              <w:jc w:val="center"/>
              <w:rPr>
                <w:rFonts w:ascii="Arial" w:eastAsia="Times New Roman" w:hAnsi="Arial" w:cs="Arial"/>
                <w:b/>
                <w:bCs/>
                <w:color w:val="000000"/>
                <w:sz w:val="20"/>
                <w:szCs w:val="18"/>
                <w:lang w:eastAsia="en-GB"/>
              </w:rPr>
            </w:pPr>
            <w:r w:rsidRPr="007F6D65">
              <w:rPr>
                <w:rFonts w:ascii="Arial" w:eastAsia="Times New Roman" w:hAnsi="Arial" w:cs="Arial"/>
                <w:b/>
                <w:bCs/>
                <w:color w:val="000000"/>
                <w:sz w:val="20"/>
                <w:szCs w:val="18"/>
                <w:lang w:eastAsia="en-GB"/>
              </w:rPr>
              <w:t>adjusted R-squared value</w:t>
            </w:r>
            <w:r w:rsidRPr="007F6D65">
              <w:rPr>
                <w:rFonts w:ascii="Arial" w:eastAsia="Times New Roman" w:hAnsi="Arial" w:cs="Arial"/>
                <w:b/>
                <w:bCs/>
                <w:color w:val="000000"/>
                <w:sz w:val="20"/>
                <w:szCs w:val="18"/>
                <w:lang w:eastAsia="en-GB"/>
              </w:rPr>
              <w:br/>
              <w:t>(best values for each DG highlighted in red)</w:t>
            </w:r>
          </w:p>
        </w:tc>
      </w:tr>
      <w:tr w:rsidR="005A52A7" w:rsidRPr="007F6D65" w:rsidTr="005A52A7">
        <w:trPr>
          <w:cantSplit/>
          <w:trHeight w:val="1362"/>
        </w:trPr>
        <w:tc>
          <w:tcPr>
            <w:tcW w:w="2812" w:type="pct"/>
            <w:vMerge/>
            <w:tcBorders>
              <w:top w:val="single" w:sz="4" w:space="0" w:color="auto"/>
              <w:left w:val="single" w:sz="4" w:space="0" w:color="auto"/>
              <w:bottom w:val="single" w:sz="4" w:space="0" w:color="000000"/>
              <w:right w:val="single" w:sz="4" w:space="0" w:color="auto"/>
            </w:tcBorders>
            <w:vAlign w:val="center"/>
            <w:hideMark/>
          </w:tcPr>
          <w:p w:rsidR="005A52A7" w:rsidRPr="007F6D65" w:rsidRDefault="005A52A7" w:rsidP="00C22C6C">
            <w:pPr>
              <w:spacing w:after="0" w:line="240" w:lineRule="auto"/>
              <w:rPr>
                <w:rFonts w:ascii="Arial" w:eastAsia="Times New Roman" w:hAnsi="Arial" w:cs="Arial"/>
                <w:b/>
                <w:bCs/>
                <w:color w:val="000000"/>
                <w:sz w:val="20"/>
                <w:szCs w:val="18"/>
                <w:lang w:eastAsia="en-GB"/>
              </w:rPr>
            </w:pPr>
          </w:p>
        </w:tc>
        <w:tc>
          <w:tcPr>
            <w:tcW w:w="282" w:type="pct"/>
            <w:tcBorders>
              <w:top w:val="nil"/>
              <w:left w:val="nil"/>
              <w:bottom w:val="single" w:sz="4" w:space="0" w:color="auto"/>
              <w:right w:val="single" w:sz="4" w:space="0" w:color="auto"/>
            </w:tcBorders>
            <w:shd w:val="clear" w:color="auto" w:fill="auto"/>
            <w:noWrap/>
            <w:textDirection w:val="btLr"/>
            <w:vAlign w:val="center"/>
            <w:hideMark/>
          </w:tcPr>
          <w:p w:rsidR="005A52A7" w:rsidRPr="007F6D65" w:rsidRDefault="005A52A7" w:rsidP="00784D92">
            <w:pPr>
              <w:spacing w:after="0" w:line="240" w:lineRule="auto"/>
              <w:ind w:left="113" w:right="113"/>
              <w:jc w:val="center"/>
              <w:rPr>
                <w:rFonts w:ascii="Arial" w:eastAsia="Times New Roman" w:hAnsi="Arial" w:cs="Arial"/>
                <w:b/>
                <w:bCs/>
                <w:color w:val="000000"/>
                <w:sz w:val="20"/>
                <w:szCs w:val="18"/>
                <w:lang w:eastAsia="en-GB"/>
              </w:rPr>
            </w:pPr>
            <w:r w:rsidRPr="007F6D65">
              <w:rPr>
                <w:rFonts w:ascii="Arial" w:eastAsia="Times New Roman" w:hAnsi="Arial" w:cs="Arial"/>
                <w:b/>
                <w:bCs/>
                <w:color w:val="000000"/>
                <w:sz w:val="20"/>
                <w:szCs w:val="18"/>
                <w:lang w:eastAsia="en-GB"/>
              </w:rPr>
              <w:t>Cancer</w:t>
            </w:r>
          </w:p>
        </w:tc>
        <w:tc>
          <w:tcPr>
            <w:tcW w:w="273" w:type="pct"/>
            <w:tcBorders>
              <w:top w:val="nil"/>
              <w:left w:val="nil"/>
              <w:bottom w:val="single" w:sz="4" w:space="0" w:color="auto"/>
              <w:right w:val="single" w:sz="4" w:space="0" w:color="auto"/>
            </w:tcBorders>
            <w:shd w:val="clear" w:color="auto" w:fill="auto"/>
            <w:noWrap/>
            <w:textDirection w:val="btLr"/>
            <w:vAlign w:val="center"/>
            <w:hideMark/>
          </w:tcPr>
          <w:p w:rsidR="005A52A7" w:rsidRPr="007F6D65" w:rsidRDefault="005A52A7" w:rsidP="00784D92">
            <w:pPr>
              <w:spacing w:after="0" w:line="240" w:lineRule="auto"/>
              <w:ind w:left="113" w:right="113"/>
              <w:jc w:val="center"/>
              <w:rPr>
                <w:rFonts w:ascii="Arial" w:eastAsia="Times New Roman" w:hAnsi="Arial" w:cs="Arial"/>
                <w:b/>
                <w:bCs/>
                <w:color w:val="000000"/>
                <w:sz w:val="20"/>
                <w:szCs w:val="18"/>
                <w:lang w:eastAsia="en-GB"/>
              </w:rPr>
            </w:pPr>
            <w:r w:rsidRPr="007F6D65">
              <w:rPr>
                <w:rFonts w:ascii="Arial" w:eastAsia="Times New Roman" w:hAnsi="Arial" w:cs="Arial"/>
                <w:b/>
                <w:bCs/>
                <w:color w:val="000000"/>
                <w:sz w:val="20"/>
                <w:szCs w:val="18"/>
                <w:lang w:eastAsia="en-GB"/>
              </w:rPr>
              <w:t>Heart</w:t>
            </w:r>
          </w:p>
        </w:tc>
        <w:tc>
          <w:tcPr>
            <w:tcW w:w="331" w:type="pct"/>
            <w:tcBorders>
              <w:top w:val="nil"/>
              <w:left w:val="nil"/>
              <w:bottom w:val="single" w:sz="4" w:space="0" w:color="auto"/>
              <w:right w:val="single" w:sz="4" w:space="0" w:color="auto"/>
            </w:tcBorders>
            <w:shd w:val="clear" w:color="auto" w:fill="auto"/>
            <w:noWrap/>
            <w:textDirection w:val="btLr"/>
            <w:vAlign w:val="center"/>
            <w:hideMark/>
          </w:tcPr>
          <w:p w:rsidR="005A52A7" w:rsidRPr="007F6D65" w:rsidRDefault="005A52A7" w:rsidP="00784D92">
            <w:pPr>
              <w:spacing w:after="0" w:line="240" w:lineRule="auto"/>
              <w:ind w:left="113" w:right="113"/>
              <w:jc w:val="center"/>
              <w:rPr>
                <w:rFonts w:ascii="Arial" w:eastAsia="Times New Roman" w:hAnsi="Arial" w:cs="Arial"/>
                <w:b/>
                <w:bCs/>
                <w:color w:val="000000"/>
                <w:sz w:val="20"/>
                <w:szCs w:val="18"/>
                <w:lang w:eastAsia="en-GB"/>
              </w:rPr>
            </w:pPr>
            <w:r w:rsidRPr="007F6D65">
              <w:rPr>
                <w:rFonts w:ascii="Arial" w:eastAsia="Times New Roman" w:hAnsi="Arial" w:cs="Arial"/>
                <w:b/>
                <w:bCs/>
                <w:color w:val="000000"/>
                <w:sz w:val="20"/>
                <w:szCs w:val="18"/>
                <w:lang w:eastAsia="en-GB"/>
              </w:rPr>
              <w:t>Digestive</w:t>
            </w:r>
          </w:p>
        </w:tc>
        <w:tc>
          <w:tcPr>
            <w:tcW w:w="321" w:type="pct"/>
            <w:tcBorders>
              <w:top w:val="nil"/>
              <w:left w:val="nil"/>
              <w:bottom w:val="single" w:sz="4" w:space="0" w:color="auto"/>
              <w:right w:val="single" w:sz="4" w:space="0" w:color="auto"/>
            </w:tcBorders>
            <w:shd w:val="clear" w:color="auto" w:fill="auto"/>
            <w:noWrap/>
            <w:textDirection w:val="btLr"/>
            <w:vAlign w:val="center"/>
            <w:hideMark/>
          </w:tcPr>
          <w:p w:rsidR="005A52A7" w:rsidRPr="007F6D65" w:rsidRDefault="005A52A7" w:rsidP="00784D92">
            <w:pPr>
              <w:spacing w:after="0" w:line="240" w:lineRule="auto"/>
              <w:ind w:left="113" w:right="113"/>
              <w:jc w:val="center"/>
              <w:rPr>
                <w:rFonts w:ascii="Arial" w:eastAsia="Times New Roman" w:hAnsi="Arial" w:cs="Arial"/>
                <w:b/>
                <w:bCs/>
                <w:color w:val="000000"/>
                <w:sz w:val="20"/>
                <w:szCs w:val="18"/>
                <w:lang w:eastAsia="en-GB"/>
              </w:rPr>
            </w:pPr>
            <w:r w:rsidRPr="007F6D65">
              <w:rPr>
                <w:rFonts w:ascii="Arial" w:eastAsia="Times New Roman" w:hAnsi="Arial" w:cs="Arial"/>
                <w:b/>
                <w:bCs/>
                <w:color w:val="000000"/>
                <w:sz w:val="20"/>
                <w:szCs w:val="18"/>
                <w:lang w:eastAsia="en-GB"/>
              </w:rPr>
              <w:t>Injury</w:t>
            </w:r>
          </w:p>
        </w:tc>
        <w:tc>
          <w:tcPr>
            <w:tcW w:w="331" w:type="pct"/>
            <w:tcBorders>
              <w:top w:val="nil"/>
              <w:left w:val="nil"/>
              <w:bottom w:val="single" w:sz="4" w:space="0" w:color="auto"/>
              <w:right w:val="single" w:sz="4" w:space="0" w:color="auto"/>
            </w:tcBorders>
            <w:shd w:val="clear" w:color="auto" w:fill="auto"/>
            <w:noWrap/>
            <w:textDirection w:val="btLr"/>
            <w:vAlign w:val="center"/>
            <w:hideMark/>
          </w:tcPr>
          <w:p w:rsidR="005A52A7" w:rsidRPr="007F6D65" w:rsidRDefault="005A52A7" w:rsidP="00784D92">
            <w:pPr>
              <w:spacing w:after="0" w:line="240" w:lineRule="auto"/>
              <w:ind w:left="113" w:right="113"/>
              <w:jc w:val="center"/>
              <w:rPr>
                <w:rFonts w:ascii="Arial" w:eastAsia="Times New Roman" w:hAnsi="Arial" w:cs="Arial"/>
                <w:b/>
                <w:bCs/>
                <w:color w:val="000000"/>
                <w:sz w:val="20"/>
                <w:szCs w:val="18"/>
                <w:lang w:eastAsia="en-GB"/>
              </w:rPr>
            </w:pPr>
            <w:r w:rsidRPr="007F6D65">
              <w:rPr>
                <w:rFonts w:ascii="Arial" w:eastAsia="Times New Roman" w:hAnsi="Arial" w:cs="Arial"/>
                <w:b/>
                <w:bCs/>
                <w:color w:val="000000"/>
                <w:sz w:val="20"/>
                <w:szCs w:val="18"/>
                <w:lang w:eastAsia="en-GB"/>
              </w:rPr>
              <w:t>Other</w:t>
            </w:r>
          </w:p>
        </w:tc>
        <w:tc>
          <w:tcPr>
            <w:tcW w:w="321" w:type="pct"/>
            <w:tcBorders>
              <w:top w:val="nil"/>
              <w:left w:val="nil"/>
              <w:bottom w:val="single" w:sz="4" w:space="0" w:color="auto"/>
              <w:right w:val="single" w:sz="4" w:space="0" w:color="auto"/>
            </w:tcBorders>
            <w:shd w:val="clear" w:color="auto" w:fill="auto"/>
            <w:noWrap/>
            <w:textDirection w:val="btLr"/>
            <w:vAlign w:val="center"/>
            <w:hideMark/>
          </w:tcPr>
          <w:p w:rsidR="005A52A7" w:rsidRPr="007F6D65" w:rsidRDefault="005A52A7" w:rsidP="00784D92">
            <w:pPr>
              <w:spacing w:after="0" w:line="240" w:lineRule="auto"/>
              <w:ind w:left="113" w:right="113"/>
              <w:jc w:val="center"/>
              <w:rPr>
                <w:rFonts w:ascii="Arial" w:eastAsia="Times New Roman" w:hAnsi="Arial" w:cs="Arial"/>
                <w:b/>
                <w:bCs/>
                <w:color w:val="000000"/>
                <w:sz w:val="20"/>
                <w:szCs w:val="18"/>
                <w:lang w:eastAsia="en-GB"/>
              </w:rPr>
            </w:pPr>
            <w:r w:rsidRPr="007F6D65">
              <w:rPr>
                <w:rFonts w:ascii="Arial" w:eastAsia="Times New Roman" w:hAnsi="Arial" w:cs="Arial"/>
                <w:b/>
                <w:bCs/>
                <w:color w:val="000000"/>
                <w:sz w:val="20"/>
                <w:szCs w:val="18"/>
                <w:lang w:eastAsia="en-GB"/>
              </w:rPr>
              <w:t>Respiratory</w:t>
            </w:r>
          </w:p>
        </w:tc>
        <w:tc>
          <w:tcPr>
            <w:tcW w:w="329" w:type="pct"/>
            <w:tcBorders>
              <w:top w:val="nil"/>
              <w:left w:val="nil"/>
              <w:bottom w:val="single" w:sz="4" w:space="0" w:color="auto"/>
              <w:right w:val="single" w:sz="4" w:space="0" w:color="auto"/>
            </w:tcBorders>
            <w:shd w:val="clear" w:color="auto" w:fill="auto"/>
            <w:noWrap/>
            <w:textDirection w:val="btLr"/>
            <w:vAlign w:val="center"/>
            <w:hideMark/>
          </w:tcPr>
          <w:p w:rsidR="005A52A7" w:rsidRPr="007F6D65" w:rsidRDefault="005A52A7" w:rsidP="00784D92">
            <w:pPr>
              <w:spacing w:after="0" w:line="240" w:lineRule="auto"/>
              <w:ind w:left="113" w:right="113"/>
              <w:jc w:val="center"/>
              <w:rPr>
                <w:rFonts w:ascii="Arial" w:eastAsia="Times New Roman" w:hAnsi="Arial" w:cs="Arial"/>
                <w:b/>
                <w:bCs/>
                <w:color w:val="000000"/>
                <w:sz w:val="20"/>
                <w:szCs w:val="18"/>
                <w:lang w:eastAsia="en-GB"/>
              </w:rPr>
            </w:pPr>
            <w:r w:rsidRPr="007F6D65">
              <w:rPr>
                <w:rFonts w:ascii="Arial" w:eastAsia="Times New Roman" w:hAnsi="Arial" w:cs="Arial"/>
                <w:b/>
                <w:bCs/>
                <w:color w:val="000000"/>
                <w:sz w:val="20"/>
                <w:szCs w:val="18"/>
                <w:lang w:eastAsia="en-GB"/>
              </w:rPr>
              <w:t>Outpatients</w:t>
            </w:r>
          </w:p>
        </w:tc>
      </w:tr>
      <w:tr w:rsidR="005A52A7" w:rsidRPr="007F6D65" w:rsidTr="005A52A7">
        <w:trPr>
          <w:trHeight w:val="300"/>
        </w:trPr>
        <w:tc>
          <w:tcPr>
            <w:tcW w:w="2812" w:type="pct"/>
            <w:tcBorders>
              <w:top w:val="nil"/>
              <w:left w:val="single" w:sz="4" w:space="0" w:color="auto"/>
              <w:bottom w:val="single" w:sz="4" w:space="0" w:color="auto"/>
              <w:right w:val="single" w:sz="4" w:space="0" w:color="auto"/>
            </w:tcBorders>
            <w:shd w:val="clear" w:color="auto" w:fill="auto"/>
            <w:noWrap/>
            <w:vAlign w:val="bottom"/>
            <w:hideMark/>
          </w:tcPr>
          <w:p w:rsidR="005A52A7" w:rsidRPr="007F6D65" w:rsidRDefault="005A52A7" w:rsidP="008B76A9">
            <w:pPr>
              <w:spacing w:after="0" w:line="240" w:lineRule="auto"/>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 xml:space="preserve">supply model (HB Dummies + </w:t>
            </w:r>
            <w:r w:rsidR="008B76A9">
              <w:rPr>
                <w:rFonts w:ascii="Arial" w:eastAsia="Times New Roman" w:hAnsi="Arial" w:cs="Arial"/>
                <w:color w:val="000000"/>
                <w:sz w:val="20"/>
                <w:szCs w:val="18"/>
                <w:lang w:eastAsia="en-GB"/>
              </w:rPr>
              <w:t>OPACX</w:t>
            </w:r>
            <w:r w:rsidRPr="007F6D65">
              <w:rPr>
                <w:rFonts w:ascii="Arial" w:eastAsia="Times New Roman" w:hAnsi="Arial" w:cs="Arial"/>
                <w:color w:val="000000"/>
                <w:sz w:val="20"/>
                <w:szCs w:val="18"/>
                <w:lang w:eastAsia="en-GB"/>
              </w:rPr>
              <w:t xml:space="preserve"> +</w:t>
            </w:r>
            <w:r w:rsidR="008B76A9">
              <w:rPr>
                <w:rFonts w:ascii="Arial" w:eastAsia="Times New Roman" w:hAnsi="Arial" w:cs="Arial"/>
                <w:color w:val="000000"/>
                <w:sz w:val="20"/>
                <w:szCs w:val="18"/>
                <w:lang w:eastAsia="en-GB"/>
              </w:rPr>
              <w:t>IPACX</w:t>
            </w:r>
            <w:r w:rsidRPr="007F6D65">
              <w:rPr>
                <w:rFonts w:ascii="Arial" w:eastAsia="Times New Roman" w:hAnsi="Arial" w:cs="Arial"/>
                <w:color w:val="000000"/>
                <w:sz w:val="20"/>
                <w:szCs w:val="18"/>
                <w:lang w:eastAsia="en-GB"/>
              </w:rPr>
              <w:t>)</w:t>
            </w:r>
          </w:p>
        </w:tc>
        <w:tc>
          <w:tcPr>
            <w:tcW w:w="282" w:type="pct"/>
            <w:tcBorders>
              <w:top w:val="nil"/>
              <w:left w:val="nil"/>
              <w:bottom w:val="single" w:sz="4" w:space="0" w:color="auto"/>
              <w:right w:val="single" w:sz="4" w:space="0" w:color="auto"/>
            </w:tcBorders>
            <w:shd w:val="clear" w:color="000000" w:fill="FFFFFF"/>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4.7%</w:t>
            </w:r>
          </w:p>
        </w:tc>
        <w:tc>
          <w:tcPr>
            <w:tcW w:w="273" w:type="pct"/>
            <w:tcBorders>
              <w:top w:val="nil"/>
              <w:left w:val="nil"/>
              <w:bottom w:val="single" w:sz="4" w:space="0" w:color="auto"/>
              <w:right w:val="single" w:sz="4" w:space="0" w:color="auto"/>
            </w:tcBorders>
            <w:shd w:val="clear" w:color="000000" w:fill="FFFFFF"/>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1.2%</w:t>
            </w:r>
          </w:p>
        </w:tc>
        <w:tc>
          <w:tcPr>
            <w:tcW w:w="331" w:type="pct"/>
            <w:tcBorders>
              <w:top w:val="nil"/>
              <w:left w:val="nil"/>
              <w:bottom w:val="single" w:sz="4" w:space="0" w:color="auto"/>
              <w:right w:val="single" w:sz="4" w:space="0" w:color="auto"/>
            </w:tcBorders>
            <w:shd w:val="clear" w:color="000000" w:fill="FFFFFF"/>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10.3%</w:t>
            </w:r>
          </w:p>
        </w:tc>
        <w:tc>
          <w:tcPr>
            <w:tcW w:w="321" w:type="pct"/>
            <w:tcBorders>
              <w:top w:val="nil"/>
              <w:left w:val="nil"/>
              <w:bottom w:val="single" w:sz="4" w:space="0" w:color="auto"/>
              <w:right w:val="single" w:sz="4" w:space="0" w:color="auto"/>
            </w:tcBorders>
            <w:shd w:val="clear" w:color="000000" w:fill="FFFFFF"/>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1.6%</w:t>
            </w:r>
          </w:p>
        </w:tc>
        <w:tc>
          <w:tcPr>
            <w:tcW w:w="331" w:type="pct"/>
            <w:tcBorders>
              <w:top w:val="nil"/>
              <w:left w:val="nil"/>
              <w:bottom w:val="single" w:sz="4" w:space="0" w:color="auto"/>
              <w:right w:val="single" w:sz="4" w:space="0" w:color="auto"/>
            </w:tcBorders>
            <w:shd w:val="clear" w:color="000000" w:fill="FFFFFF"/>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8.2%</w:t>
            </w:r>
          </w:p>
        </w:tc>
        <w:tc>
          <w:tcPr>
            <w:tcW w:w="321" w:type="pct"/>
            <w:tcBorders>
              <w:top w:val="nil"/>
              <w:left w:val="nil"/>
              <w:bottom w:val="single" w:sz="4" w:space="0" w:color="auto"/>
              <w:right w:val="single" w:sz="4" w:space="0" w:color="auto"/>
            </w:tcBorders>
            <w:shd w:val="clear" w:color="000000" w:fill="FFFFFF"/>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5.8%</w:t>
            </w:r>
          </w:p>
        </w:tc>
        <w:tc>
          <w:tcPr>
            <w:tcW w:w="329" w:type="pct"/>
            <w:tcBorders>
              <w:top w:val="nil"/>
              <w:left w:val="nil"/>
              <w:bottom w:val="single" w:sz="4" w:space="0" w:color="auto"/>
              <w:right w:val="single" w:sz="4" w:space="0" w:color="auto"/>
            </w:tcBorders>
            <w:shd w:val="clear" w:color="000000" w:fill="FFFFFF"/>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39.8%</w:t>
            </w:r>
          </w:p>
        </w:tc>
      </w:tr>
      <w:tr w:rsidR="005A52A7" w:rsidRPr="007F6D65" w:rsidTr="005A52A7">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000000" w:fill="D7E4BC"/>
            <w:noWrap/>
            <w:vAlign w:val="bottom"/>
            <w:hideMark/>
          </w:tcPr>
          <w:p w:rsidR="005A52A7" w:rsidRPr="007F6D65" w:rsidRDefault="005A52A7" w:rsidP="00C22C6C">
            <w:pPr>
              <w:spacing w:after="0" w:line="240" w:lineRule="auto"/>
              <w:rPr>
                <w:rFonts w:ascii="Arial" w:eastAsia="Times New Roman" w:hAnsi="Arial" w:cs="Arial"/>
                <w:b/>
                <w:bCs/>
                <w:sz w:val="20"/>
                <w:szCs w:val="18"/>
                <w:lang w:eastAsia="en-GB"/>
              </w:rPr>
            </w:pPr>
            <w:r w:rsidRPr="007F6D65">
              <w:rPr>
                <w:rFonts w:ascii="Arial" w:eastAsia="Times New Roman" w:hAnsi="Arial" w:cs="Arial"/>
                <w:b/>
                <w:bCs/>
                <w:sz w:val="20"/>
                <w:szCs w:val="18"/>
                <w:lang w:eastAsia="en-GB"/>
              </w:rPr>
              <w:t>Single variable models</w:t>
            </w:r>
          </w:p>
        </w:tc>
      </w:tr>
      <w:tr w:rsidR="005A52A7" w:rsidRPr="007F6D65" w:rsidTr="005A52A7">
        <w:trPr>
          <w:trHeight w:val="300"/>
        </w:trPr>
        <w:tc>
          <w:tcPr>
            <w:tcW w:w="2812" w:type="pct"/>
            <w:tcBorders>
              <w:top w:val="nil"/>
              <w:left w:val="single" w:sz="4" w:space="0" w:color="auto"/>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rPr>
                <w:rFonts w:ascii="Arial" w:eastAsia="Times New Roman" w:hAnsi="Arial" w:cs="Arial"/>
                <w:sz w:val="20"/>
                <w:szCs w:val="18"/>
                <w:lang w:eastAsia="en-GB"/>
              </w:rPr>
            </w:pPr>
            <w:r w:rsidRPr="007F6D65">
              <w:rPr>
                <w:rFonts w:ascii="Arial" w:eastAsia="Times New Roman" w:hAnsi="Arial" w:cs="Arial"/>
                <w:sz w:val="20"/>
                <w:szCs w:val="18"/>
                <w:lang w:eastAsia="en-GB"/>
              </w:rPr>
              <w:t>supply model + SMR</w:t>
            </w:r>
          </w:p>
        </w:tc>
        <w:tc>
          <w:tcPr>
            <w:tcW w:w="282"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5.4%</w:t>
            </w:r>
          </w:p>
        </w:tc>
        <w:tc>
          <w:tcPr>
            <w:tcW w:w="27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5.5%</w:t>
            </w:r>
          </w:p>
        </w:tc>
        <w:tc>
          <w:tcPr>
            <w:tcW w:w="331"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17.5%</w:t>
            </w:r>
          </w:p>
        </w:tc>
        <w:tc>
          <w:tcPr>
            <w:tcW w:w="321"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7.1%</w:t>
            </w:r>
          </w:p>
        </w:tc>
        <w:tc>
          <w:tcPr>
            <w:tcW w:w="331"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19.3%</w:t>
            </w:r>
          </w:p>
        </w:tc>
        <w:tc>
          <w:tcPr>
            <w:tcW w:w="321"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15.6%</w:t>
            </w:r>
          </w:p>
        </w:tc>
        <w:tc>
          <w:tcPr>
            <w:tcW w:w="329"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41.2%</w:t>
            </w:r>
          </w:p>
        </w:tc>
      </w:tr>
      <w:tr w:rsidR="005A52A7" w:rsidRPr="007F6D65" w:rsidTr="005A52A7">
        <w:trPr>
          <w:trHeight w:val="300"/>
        </w:trPr>
        <w:tc>
          <w:tcPr>
            <w:tcW w:w="2812" w:type="pct"/>
            <w:tcBorders>
              <w:top w:val="nil"/>
              <w:left w:val="single" w:sz="4" w:space="0" w:color="auto"/>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rPr>
                <w:rFonts w:ascii="Arial" w:eastAsia="Times New Roman" w:hAnsi="Arial" w:cs="Arial"/>
                <w:sz w:val="20"/>
                <w:szCs w:val="18"/>
                <w:lang w:eastAsia="en-GB"/>
              </w:rPr>
            </w:pPr>
            <w:r w:rsidRPr="007F6D65">
              <w:rPr>
                <w:rFonts w:ascii="Arial" w:eastAsia="Times New Roman" w:hAnsi="Arial" w:cs="Arial"/>
                <w:sz w:val="20"/>
                <w:szCs w:val="18"/>
                <w:lang w:eastAsia="en-GB"/>
              </w:rPr>
              <w:t>supply model + LLTI</w:t>
            </w:r>
          </w:p>
        </w:tc>
        <w:tc>
          <w:tcPr>
            <w:tcW w:w="282"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6.0%</w:t>
            </w:r>
          </w:p>
        </w:tc>
        <w:tc>
          <w:tcPr>
            <w:tcW w:w="27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8.9%</w:t>
            </w:r>
          </w:p>
        </w:tc>
        <w:tc>
          <w:tcPr>
            <w:tcW w:w="331"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21.5%</w:t>
            </w:r>
          </w:p>
        </w:tc>
        <w:tc>
          <w:tcPr>
            <w:tcW w:w="321"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11.0%</w:t>
            </w:r>
          </w:p>
        </w:tc>
        <w:tc>
          <w:tcPr>
            <w:tcW w:w="331"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21.3%</w:t>
            </w:r>
          </w:p>
        </w:tc>
        <w:tc>
          <w:tcPr>
            <w:tcW w:w="321"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21.3%</w:t>
            </w:r>
          </w:p>
        </w:tc>
        <w:tc>
          <w:tcPr>
            <w:tcW w:w="329"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43.7%</w:t>
            </w:r>
          </w:p>
        </w:tc>
      </w:tr>
      <w:tr w:rsidR="005A52A7" w:rsidRPr="007F6D65" w:rsidTr="005A52A7">
        <w:trPr>
          <w:trHeight w:val="300"/>
        </w:trPr>
        <w:tc>
          <w:tcPr>
            <w:tcW w:w="2812" w:type="pct"/>
            <w:tcBorders>
              <w:top w:val="nil"/>
              <w:left w:val="single" w:sz="4" w:space="0" w:color="auto"/>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rPr>
                <w:rFonts w:ascii="Arial" w:eastAsia="Times New Roman" w:hAnsi="Arial" w:cs="Arial"/>
                <w:sz w:val="20"/>
                <w:szCs w:val="18"/>
                <w:lang w:eastAsia="en-GB"/>
              </w:rPr>
            </w:pPr>
            <w:r w:rsidRPr="007F6D65">
              <w:rPr>
                <w:rFonts w:ascii="Arial" w:eastAsia="Times New Roman" w:hAnsi="Arial" w:cs="Arial"/>
                <w:sz w:val="20"/>
                <w:szCs w:val="18"/>
                <w:lang w:eastAsia="en-GB"/>
              </w:rPr>
              <w:t>supply model + Income domain score</w:t>
            </w:r>
          </w:p>
        </w:tc>
        <w:tc>
          <w:tcPr>
            <w:tcW w:w="282"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6.0%</w:t>
            </w:r>
          </w:p>
        </w:tc>
        <w:tc>
          <w:tcPr>
            <w:tcW w:w="27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9.3%</w:t>
            </w:r>
          </w:p>
        </w:tc>
        <w:tc>
          <w:tcPr>
            <w:tcW w:w="331"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22.4%</w:t>
            </w:r>
          </w:p>
        </w:tc>
        <w:tc>
          <w:tcPr>
            <w:tcW w:w="321"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11.7%</w:t>
            </w:r>
          </w:p>
        </w:tc>
        <w:tc>
          <w:tcPr>
            <w:tcW w:w="331"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26.9%</w:t>
            </w:r>
          </w:p>
        </w:tc>
        <w:tc>
          <w:tcPr>
            <w:tcW w:w="321"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22.8%</w:t>
            </w:r>
          </w:p>
        </w:tc>
        <w:tc>
          <w:tcPr>
            <w:tcW w:w="329"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43.5%</w:t>
            </w:r>
          </w:p>
        </w:tc>
      </w:tr>
      <w:tr w:rsidR="005A52A7" w:rsidRPr="007F6D65" w:rsidTr="005A52A7">
        <w:trPr>
          <w:trHeight w:val="300"/>
        </w:trPr>
        <w:tc>
          <w:tcPr>
            <w:tcW w:w="2812" w:type="pct"/>
            <w:tcBorders>
              <w:top w:val="nil"/>
              <w:left w:val="single" w:sz="4" w:space="0" w:color="auto"/>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rPr>
                <w:rFonts w:ascii="Arial" w:eastAsia="Times New Roman" w:hAnsi="Arial" w:cs="Arial"/>
                <w:sz w:val="20"/>
                <w:szCs w:val="18"/>
                <w:lang w:eastAsia="en-GB"/>
              </w:rPr>
            </w:pPr>
            <w:r w:rsidRPr="007F6D65">
              <w:rPr>
                <w:rFonts w:ascii="Arial" w:eastAsia="Times New Roman" w:hAnsi="Arial" w:cs="Arial"/>
                <w:sz w:val="20"/>
                <w:szCs w:val="18"/>
                <w:lang w:eastAsia="en-GB"/>
              </w:rPr>
              <w:t>supply model + SIMD minus Health "Scenario 1" score</w:t>
            </w:r>
          </w:p>
        </w:tc>
        <w:tc>
          <w:tcPr>
            <w:tcW w:w="282"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5.9%</w:t>
            </w:r>
          </w:p>
        </w:tc>
        <w:tc>
          <w:tcPr>
            <w:tcW w:w="27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8.9%</w:t>
            </w:r>
          </w:p>
        </w:tc>
        <w:tc>
          <w:tcPr>
            <w:tcW w:w="331"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21.9%</w:t>
            </w:r>
          </w:p>
        </w:tc>
        <w:tc>
          <w:tcPr>
            <w:tcW w:w="321"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11.2%</w:t>
            </w:r>
          </w:p>
        </w:tc>
        <w:tc>
          <w:tcPr>
            <w:tcW w:w="331"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25.4%</w:t>
            </w:r>
          </w:p>
        </w:tc>
        <w:tc>
          <w:tcPr>
            <w:tcW w:w="321"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22.1%</w:t>
            </w:r>
          </w:p>
        </w:tc>
        <w:tc>
          <w:tcPr>
            <w:tcW w:w="329"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43.5%</w:t>
            </w:r>
          </w:p>
        </w:tc>
      </w:tr>
      <w:tr w:rsidR="005A52A7" w:rsidRPr="007F6D65" w:rsidTr="005A52A7">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000000" w:fill="FCD5B4"/>
            <w:noWrap/>
            <w:vAlign w:val="bottom"/>
            <w:hideMark/>
          </w:tcPr>
          <w:p w:rsidR="005A52A7" w:rsidRPr="007F6D65" w:rsidRDefault="005A52A7" w:rsidP="00C22C6C">
            <w:pPr>
              <w:spacing w:after="0" w:line="240" w:lineRule="auto"/>
              <w:rPr>
                <w:rFonts w:ascii="Arial" w:eastAsia="Times New Roman" w:hAnsi="Arial" w:cs="Arial"/>
                <w:b/>
                <w:bCs/>
                <w:color w:val="000000"/>
                <w:sz w:val="20"/>
                <w:szCs w:val="18"/>
                <w:lang w:eastAsia="en-GB"/>
              </w:rPr>
            </w:pPr>
            <w:r w:rsidRPr="007F6D65">
              <w:rPr>
                <w:rFonts w:ascii="Arial" w:eastAsia="Times New Roman" w:hAnsi="Arial" w:cs="Arial"/>
                <w:b/>
                <w:bCs/>
                <w:color w:val="000000"/>
                <w:sz w:val="20"/>
                <w:szCs w:val="18"/>
                <w:lang w:eastAsia="en-GB"/>
              </w:rPr>
              <w:t>Multivariate models</w:t>
            </w:r>
          </w:p>
        </w:tc>
      </w:tr>
      <w:tr w:rsidR="005A52A7" w:rsidRPr="007F6D65" w:rsidTr="005A52A7">
        <w:trPr>
          <w:trHeight w:val="300"/>
        </w:trPr>
        <w:tc>
          <w:tcPr>
            <w:tcW w:w="2812" w:type="pct"/>
            <w:tcBorders>
              <w:top w:val="nil"/>
              <w:left w:val="single" w:sz="4" w:space="0" w:color="auto"/>
              <w:bottom w:val="single" w:sz="4" w:space="0" w:color="auto"/>
              <w:right w:val="single" w:sz="4" w:space="0" w:color="auto"/>
            </w:tcBorders>
            <w:shd w:val="clear" w:color="000000" w:fill="FCD5B4"/>
            <w:noWrap/>
            <w:vAlign w:val="bottom"/>
            <w:hideMark/>
          </w:tcPr>
          <w:p w:rsidR="005A52A7" w:rsidRPr="007F6D65" w:rsidRDefault="005A52A7" w:rsidP="00C22C6C">
            <w:pPr>
              <w:spacing w:after="0" w:line="240" w:lineRule="auto"/>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supply model + SMR + LLTI</w:t>
            </w:r>
          </w:p>
        </w:tc>
        <w:tc>
          <w:tcPr>
            <w:tcW w:w="282"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6.0%</w:t>
            </w:r>
          </w:p>
        </w:tc>
        <w:tc>
          <w:tcPr>
            <w:tcW w:w="273"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9.0%</w:t>
            </w:r>
          </w:p>
        </w:tc>
        <w:tc>
          <w:tcPr>
            <w:tcW w:w="331"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21.7%</w:t>
            </w:r>
          </w:p>
        </w:tc>
        <w:tc>
          <w:tcPr>
            <w:tcW w:w="321"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11.1%</w:t>
            </w:r>
          </w:p>
        </w:tc>
        <w:tc>
          <w:tcPr>
            <w:tcW w:w="331"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26.6%</w:t>
            </w:r>
          </w:p>
        </w:tc>
        <w:tc>
          <w:tcPr>
            <w:tcW w:w="321"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21.7%</w:t>
            </w:r>
          </w:p>
        </w:tc>
        <w:tc>
          <w:tcPr>
            <w:tcW w:w="329"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43.8%</w:t>
            </w:r>
          </w:p>
        </w:tc>
      </w:tr>
      <w:tr w:rsidR="005A52A7" w:rsidRPr="007F6D65" w:rsidTr="005A52A7">
        <w:trPr>
          <w:trHeight w:val="300"/>
        </w:trPr>
        <w:tc>
          <w:tcPr>
            <w:tcW w:w="2812" w:type="pct"/>
            <w:tcBorders>
              <w:top w:val="nil"/>
              <w:left w:val="single" w:sz="4" w:space="0" w:color="auto"/>
              <w:bottom w:val="single" w:sz="4" w:space="0" w:color="auto"/>
              <w:right w:val="single" w:sz="4" w:space="0" w:color="auto"/>
            </w:tcBorders>
            <w:shd w:val="clear" w:color="000000" w:fill="FCD5B4"/>
            <w:noWrap/>
            <w:vAlign w:val="bottom"/>
            <w:hideMark/>
          </w:tcPr>
          <w:p w:rsidR="005A52A7" w:rsidRPr="007F6D65" w:rsidRDefault="005A52A7" w:rsidP="00C22C6C">
            <w:pPr>
              <w:spacing w:after="0" w:line="240" w:lineRule="auto"/>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supply model + SMR + LLTI + Income domain score</w:t>
            </w:r>
          </w:p>
        </w:tc>
        <w:tc>
          <w:tcPr>
            <w:tcW w:w="282"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C22C6C">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6.1%</w:t>
            </w:r>
          </w:p>
        </w:tc>
        <w:tc>
          <w:tcPr>
            <w:tcW w:w="273"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C22C6C">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9.6%</w:t>
            </w:r>
          </w:p>
        </w:tc>
        <w:tc>
          <w:tcPr>
            <w:tcW w:w="331"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C22C6C">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22.8%</w:t>
            </w:r>
          </w:p>
        </w:tc>
        <w:tc>
          <w:tcPr>
            <w:tcW w:w="321"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C22C6C">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12.0%</w:t>
            </w:r>
          </w:p>
        </w:tc>
        <w:tc>
          <w:tcPr>
            <w:tcW w:w="331"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C22C6C">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27.9%</w:t>
            </w:r>
          </w:p>
        </w:tc>
        <w:tc>
          <w:tcPr>
            <w:tcW w:w="321"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C22C6C">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23.3%</w:t>
            </w:r>
          </w:p>
        </w:tc>
        <w:tc>
          <w:tcPr>
            <w:tcW w:w="329"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C22C6C">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43.9%</w:t>
            </w:r>
          </w:p>
        </w:tc>
      </w:tr>
      <w:tr w:rsidR="005A52A7" w:rsidRPr="007F6D65" w:rsidTr="005A52A7">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000000" w:fill="E6B9B8"/>
            <w:noWrap/>
            <w:vAlign w:val="bottom"/>
            <w:hideMark/>
          </w:tcPr>
          <w:p w:rsidR="005A52A7" w:rsidRPr="007F6D65" w:rsidRDefault="005A52A7" w:rsidP="00C22C6C">
            <w:pPr>
              <w:spacing w:after="0" w:line="240" w:lineRule="auto"/>
              <w:rPr>
                <w:rFonts w:ascii="Arial" w:eastAsia="Times New Roman" w:hAnsi="Arial" w:cs="Arial"/>
                <w:b/>
                <w:bCs/>
                <w:color w:val="000000"/>
                <w:sz w:val="20"/>
                <w:szCs w:val="18"/>
                <w:lang w:eastAsia="en-GB"/>
              </w:rPr>
            </w:pPr>
            <w:r w:rsidRPr="007F6D65">
              <w:rPr>
                <w:rFonts w:ascii="Arial" w:eastAsia="Times New Roman" w:hAnsi="Arial" w:cs="Arial"/>
                <w:b/>
                <w:bCs/>
                <w:color w:val="000000"/>
                <w:sz w:val="20"/>
                <w:szCs w:val="18"/>
                <w:lang w:eastAsia="en-GB"/>
              </w:rPr>
              <w:t>Models using a composite variable</w:t>
            </w:r>
          </w:p>
        </w:tc>
      </w:tr>
      <w:tr w:rsidR="005A52A7" w:rsidRPr="007F6D65" w:rsidTr="005A52A7">
        <w:trPr>
          <w:trHeight w:val="300"/>
        </w:trPr>
        <w:tc>
          <w:tcPr>
            <w:tcW w:w="2812" w:type="pct"/>
            <w:tcBorders>
              <w:top w:val="nil"/>
              <w:left w:val="single" w:sz="4" w:space="0" w:color="auto"/>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supply model + current index (sum of SMR and LLTI z-scores)</w:t>
            </w:r>
          </w:p>
        </w:tc>
        <w:tc>
          <w:tcPr>
            <w:tcW w:w="282"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5.9%</w:t>
            </w:r>
          </w:p>
        </w:tc>
        <w:tc>
          <w:tcPr>
            <w:tcW w:w="27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8.2%</w:t>
            </w:r>
          </w:p>
        </w:tc>
        <w:tc>
          <w:tcPr>
            <w:tcW w:w="331"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21.0%</w:t>
            </w:r>
          </w:p>
        </w:tc>
        <w:tc>
          <w:tcPr>
            <w:tcW w:w="321"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10.3%</w:t>
            </w:r>
          </w:p>
        </w:tc>
        <w:tc>
          <w:tcPr>
            <w:tcW w:w="331"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25.2%</w:t>
            </w:r>
          </w:p>
        </w:tc>
        <w:tc>
          <w:tcPr>
            <w:tcW w:w="321"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20.6%</w:t>
            </w:r>
          </w:p>
        </w:tc>
        <w:tc>
          <w:tcPr>
            <w:tcW w:w="329"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42.8%</w:t>
            </w:r>
          </w:p>
        </w:tc>
      </w:tr>
      <w:tr w:rsidR="005A52A7" w:rsidRPr="007F6D65" w:rsidTr="005A52A7">
        <w:trPr>
          <w:trHeight w:val="300"/>
        </w:trPr>
        <w:tc>
          <w:tcPr>
            <w:tcW w:w="2812" w:type="pct"/>
            <w:tcBorders>
              <w:top w:val="nil"/>
              <w:left w:val="single" w:sz="4" w:space="0" w:color="auto"/>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supply model + current index + Income domain score</w:t>
            </w:r>
          </w:p>
        </w:tc>
        <w:tc>
          <w:tcPr>
            <w:tcW w:w="282"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6.1%</w:t>
            </w:r>
          </w:p>
        </w:tc>
        <w:tc>
          <w:tcPr>
            <w:tcW w:w="27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9.4%</w:t>
            </w:r>
          </w:p>
        </w:tc>
        <w:tc>
          <w:tcPr>
            <w:tcW w:w="331"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22.8%</w:t>
            </w:r>
          </w:p>
        </w:tc>
        <w:tc>
          <w:tcPr>
            <w:tcW w:w="321"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11.9%</w:t>
            </w:r>
          </w:p>
        </w:tc>
        <w:tc>
          <w:tcPr>
            <w:tcW w:w="331"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27.6%</w:t>
            </w:r>
          </w:p>
        </w:tc>
        <w:tc>
          <w:tcPr>
            <w:tcW w:w="321"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23.2%</w:t>
            </w:r>
          </w:p>
        </w:tc>
        <w:tc>
          <w:tcPr>
            <w:tcW w:w="329"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43.5%</w:t>
            </w:r>
          </w:p>
        </w:tc>
      </w:tr>
      <w:tr w:rsidR="005A52A7" w:rsidRPr="007F6D65" w:rsidTr="005A52A7">
        <w:trPr>
          <w:trHeight w:val="300"/>
        </w:trPr>
        <w:tc>
          <w:tcPr>
            <w:tcW w:w="2812" w:type="pct"/>
            <w:tcBorders>
              <w:top w:val="nil"/>
              <w:left w:val="single" w:sz="4" w:space="0" w:color="auto"/>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supply model + new index (sum of SMR, LLTI and Income z-scores)</w:t>
            </w:r>
          </w:p>
        </w:tc>
        <w:tc>
          <w:tcPr>
            <w:tcW w:w="282"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6.0%</w:t>
            </w:r>
          </w:p>
        </w:tc>
        <w:tc>
          <w:tcPr>
            <w:tcW w:w="27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9.1%</w:t>
            </w:r>
          </w:p>
        </w:tc>
        <w:tc>
          <w:tcPr>
            <w:tcW w:w="331"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22.3%</w:t>
            </w:r>
          </w:p>
        </w:tc>
        <w:tc>
          <w:tcPr>
            <w:tcW w:w="321"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11.5%</w:t>
            </w:r>
          </w:p>
        </w:tc>
        <w:tc>
          <w:tcPr>
            <w:tcW w:w="331"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27.1%</w:t>
            </w:r>
          </w:p>
        </w:tc>
        <w:tc>
          <w:tcPr>
            <w:tcW w:w="321"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22.5%</w:t>
            </w:r>
          </w:p>
        </w:tc>
        <w:tc>
          <w:tcPr>
            <w:tcW w:w="329"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C22C6C">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43.2%</w:t>
            </w:r>
          </w:p>
        </w:tc>
      </w:tr>
    </w:tbl>
    <w:p w:rsidR="00180CFC" w:rsidRDefault="00180CFC" w:rsidP="00873E36">
      <w:pPr>
        <w:spacing w:after="0"/>
        <w:rPr>
          <w:rFonts w:ascii="Arial" w:hAnsi="Arial" w:cs="Arial"/>
          <w:b/>
        </w:rPr>
      </w:pPr>
    </w:p>
    <w:p w:rsidR="007F6D65" w:rsidRDefault="007F6D65" w:rsidP="00083599">
      <w:pPr>
        <w:spacing w:after="0"/>
        <w:rPr>
          <w:rFonts w:ascii="Arial" w:hAnsi="Arial" w:cs="Arial"/>
        </w:rPr>
      </w:pPr>
    </w:p>
    <w:p w:rsidR="007F6D65" w:rsidRDefault="007F6D65" w:rsidP="00083599">
      <w:pPr>
        <w:spacing w:after="0"/>
        <w:rPr>
          <w:rFonts w:ascii="Arial" w:hAnsi="Arial" w:cs="Arial"/>
        </w:rPr>
      </w:pPr>
    </w:p>
    <w:p w:rsidR="00E04E20" w:rsidRDefault="00E04E20">
      <w:pPr>
        <w:rPr>
          <w:rFonts w:ascii="Arial" w:hAnsi="Arial" w:cs="Arial"/>
          <w:i/>
        </w:rPr>
      </w:pPr>
      <w:r>
        <w:rPr>
          <w:rFonts w:ascii="Arial" w:hAnsi="Arial" w:cs="Arial"/>
          <w:i/>
        </w:rPr>
        <w:br w:type="page"/>
      </w:r>
    </w:p>
    <w:p w:rsidR="009B69BD" w:rsidRPr="00E21DEF" w:rsidRDefault="00556D7B" w:rsidP="00083599">
      <w:pPr>
        <w:spacing w:after="0"/>
        <w:rPr>
          <w:rFonts w:ascii="Arial" w:hAnsi="Arial" w:cs="Arial"/>
          <w:i/>
        </w:rPr>
      </w:pPr>
      <w:proofErr w:type="gramStart"/>
      <w:r w:rsidRPr="00E21DEF">
        <w:rPr>
          <w:rFonts w:ascii="Arial" w:hAnsi="Arial" w:cs="Arial"/>
          <w:i/>
        </w:rPr>
        <w:lastRenderedPageBreak/>
        <w:t xml:space="preserve">Table </w:t>
      </w:r>
      <w:r w:rsidR="008B76A9">
        <w:rPr>
          <w:rFonts w:ascii="Arial" w:hAnsi="Arial" w:cs="Arial"/>
          <w:i/>
        </w:rPr>
        <w:t>6.</w:t>
      </w:r>
      <w:proofErr w:type="gramEnd"/>
      <w:r w:rsidR="009B69BD" w:rsidRPr="00E21DEF">
        <w:rPr>
          <w:rFonts w:ascii="Arial" w:hAnsi="Arial" w:cs="Arial"/>
          <w:i/>
        </w:rPr>
        <w:t xml:space="preserve"> </w:t>
      </w:r>
      <w:proofErr w:type="gramStart"/>
      <w:r w:rsidR="009B69BD" w:rsidRPr="00E21DEF">
        <w:rPr>
          <w:rFonts w:ascii="Arial" w:hAnsi="Arial" w:cs="Arial"/>
          <w:i/>
        </w:rPr>
        <w:t xml:space="preserve">Significance of SIMD at </w:t>
      </w:r>
      <w:r w:rsidRPr="00E21DEF">
        <w:rPr>
          <w:rFonts w:ascii="Arial" w:hAnsi="Arial" w:cs="Arial"/>
          <w:i/>
        </w:rPr>
        <w:t>3 years Data Zones.</w:t>
      </w:r>
      <w:proofErr w:type="gramEnd"/>
    </w:p>
    <w:tbl>
      <w:tblPr>
        <w:tblW w:w="5000" w:type="pct"/>
        <w:tblLook w:val="04A0"/>
      </w:tblPr>
      <w:tblGrid>
        <w:gridCol w:w="7503"/>
        <w:gridCol w:w="947"/>
        <w:gridCol w:w="944"/>
        <w:gridCol w:w="944"/>
        <w:gridCol w:w="944"/>
        <w:gridCol w:w="944"/>
        <w:gridCol w:w="944"/>
        <w:gridCol w:w="1004"/>
      </w:tblGrid>
      <w:tr w:rsidR="005A52A7" w:rsidRPr="007F6D65" w:rsidTr="005A52A7">
        <w:trPr>
          <w:trHeight w:val="419"/>
        </w:trPr>
        <w:tc>
          <w:tcPr>
            <w:tcW w:w="264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7" w:rsidRPr="007F6D65" w:rsidRDefault="005A52A7" w:rsidP="00556D7B">
            <w:pPr>
              <w:spacing w:after="0" w:line="240" w:lineRule="auto"/>
              <w:rPr>
                <w:rFonts w:ascii="Arial" w:eastAsia="Times New Roman" w:hAnsi="Arial" w:cs="Arial"/>
                <w:b/>
                <w:bCs/>
                <w:color w:val="000000"/>
                <w:sz w:val="20"/>
                <w:lang w:eastAsia="en-GB"/>
              </w:rPr>
            </w:pPr>
            <w:r w:rsidRPr="007F6D65">
              <w:rPr>
                <w:rFonts w:ascii="Arial" w:eastAsia="Times New Roman" w:hAnsi="Arial" w:cs="Arial"/>
                <w:b/>
                <w:bCs/>
                <w:color w:val="000000"/>
                <w:sz w:val="20"/>
                <w:lang w:eastAsia="en-GB"/>
              </w:rPr>
              <w:t xml:space="preserve">3 years </w:t>
            </w:r>
            <w:r w:rsidR="00556D7B">
              <w:rPr>
                <w:rFonts w:ascii="Arial" w:eastAsia="Times New Roman" w:hAnsi="Arial" w:cs="Arial"/>
                <w:b/>
                <w:bCs/>
                <w:color w:val="000000"/>
                <w:sz w:val="20"/>
                <w:lang w:eastAsia="en-GB"/>
              </w:rPr>
              <w:t>Data Zones</w:t>
            </w:r>
          </w:p>
        </w:tc>
        <w:tc>
          <w:tcPr>
            <w:tcW w:w="2353" w:type="pct"/>
            <w:gridSpan w:val="7"/>
            <w:tcBorders>
              <w:top w:val="single" w:sz="4" w:space="0" w:color="auto"/>
              <w:left w:val="nil"/>
              <w:bottom w:val="single" w:sz="4" w:space="0" w:color="auto"/>
              <w:right w:val="single" w:sz="4" w:space="0" w:color="auto"/>
            </w:tcBorders>
            <w:shd w:val="clear" w:color="auto" w:fill="auto"/>
            <w:vAlign w:val="bottom"/>
            <w:hideMark/>
          </w:tcPr>
          <w:p w:rsidR="005A52A7" w:rsidRPr="007F6D65" w:rsidRDefault="005A52A7" w:rsidP="00083599">
            <w:pPr>
              <w:spacing w:after="0" w:line="240" w:lineRule="auto"/>
              <w:jc w:val="center"/>
              <w:rPr>
                <w:rFonts w:ascii="Arial" w:eastAsia="Times New Roman" w:hAnsi="Arial" w:cs="Arial"/>
                <w:b/>
                <w:bCs/>
                <w:color w:val="000000"/>
                <w:sz w:val="20"/>
                <w:lang w:eastAsia="en-GB"/>
              </w:rPr>
            </w:pPr>
            <w:r w:rsidRPr="007F6D65">
              <w:rPr>
                <w:rFonts w:ascii="Arial" w:eastAsia="Times New Roman" w:hAnsi="Arial" w:cs="Arial"/>
                <w:b/>
                <w:bCs/>
                <w:color w:val="000000"/>
                <w:sz w:val="20"/>
                <w:lang w:eastAsia="en-GB"/>
              </w:rPr>
              <w:t>adjusted R-squared value</w:t>
            </w:r>
            <w:r w:rsidRPr="007F6D65">
              <w:rPr>
                <w:rFonts w:ascii="Arial" w:eastAsia="Times New Roman" w:hAnsi="Arial" w:cs="Arial"/>
                <w:b/>
                <w:bCs/>
                <w:color w:val="000000"/>
                <w:sz w:val="20"/>
                <w:lang w:eastAsia="en-GB"/>
              </w:rPr>
              <w:br/>
              <w:t>(best values for each DG highlighted in red)</w:t>
            </w:r>
          </w:p>
        </w:tc>
      </w:tr>
      <w:tr w:rsidR="005A52A7" w:rsidRPr="007F6D65" w:rsidTr="005A52A7">
        <w:trPr>
          <w:cantSplit/>
          <w:trHeight w:val="1362"/>
        </w:trPr>
        <w:tc>
          <w:tcPr>
            <w:tcW w:w="2647" w:type="pct"/>
            <w:vMerge/>
            <w:tcBorders>
              <w:top w:val="single" w:sz="4" w:space="0" w:color="auto"/>
              <w:left w:val="single" w:sz="4" w:space="0" w:color="auto"/>
              <w:bottom w:val="single" w:sz="4" w:space="0" w:color="auto"/>
              <w:right w:val="single" w:sz="4" w:space="0" w:color="auto"/>
            </w:tcBorders>
            <w:vAlign w:val="center"/>
            <w:hideMark/>
          </w:tcPr>
          <w:p w:rsidR="005A52A7" w:rsidRPr="007F6D65" w:rsidRDefault="005A52A7" w:rsidP="00083599">
            <w:pPr>
              <w:spacing w:after="0" w:line="240" w:lineRule="auto"/>
              <w:rPr>
                <w:rFonts w:ascii="Arial" w:eastAsia="Times New Roman" w:hAnsi="Arial" w:cs="Arial"/>
                <w:b/>
                <w:bCs/>
                <w:color w:val="000000"/>
                <w:sz w:val="20"/>
                <w:lang w:eastAsia="en-GB"/>
              </w:rPr>
            </w:pPr>
          </w:p>
        </w:tc>
        <w:tc>
          <w:tcPr>
            <w:tcW w:w="334" w:type="pct"/>
            <w:tcBorders>
              <w:top w:val="nil"/>
              <w:left w:val="nil"/>
              <w:bottom w:val="single" w:sz="4" w:space="0" w:color="auto"/>
              <w:right w:val="single" w:sz="4" w:space="0" w:color="auto"/>
            </w:tcBorders>
            <w:shd w:val="clear" w:color="auto" w:fill="auto"/>
            <w:noWrap/>
            <w:textDirection w:val="btLr"/>
            <w:vAlign w:val="center"/>
            <w:hideMark/>
          </w:tcPr>
          <w:p w:rsidR="005A52A7" w:rsidRPr="007F6D65" w:rsidRDefault="005A52A7" w:rsidP="00784D92">
            <w:pPr>
              <w:spacing w:after="0" w:line="240" w:lineRule="auto"/>
              <w:ind w:left="113" w:right="113"/>
              <w:jc w:val="center"/>
              <w:rPr>
                <w:rFonts w:ascii="Arial" w:eastAsia="Times New Roman" w:hAnsi="Arial" w:cs="Arial"/>
                <w:b/>
                <w:bCs/>
                <w:color w:val="000000"/>
                <w:sz w:val="20"/>
                <w:lang w:eastAsia="en-GB"/>
              </w:rPr>
            </w:pPr>
            <w:r w:rsidRPr="007F6D65">
              <w:rPr>
                <w:rFonts w:ascii="Arial" w:eastAsia="Times New Roman" w:hAnsi="Arial" w:cs="Arial"/>
                <w:b/>
                <w:bCs/>
                <w:color w:val="000000"/>
                <w:sz w:val="20"/>
                <w:lang w:eastAsia="en-GB"/>
              </w:rPr>
              <w:t>Cancer</w:t>
            </w:r>
          </w:p>
        </w:tc>
        <w:tc>
          <w:tcPr>
            <w:tcW w:w="333" w:type="pct"/>
            <w:tcBorders>
              <w:top w:val="nil"/>
              <w:left w:val="nil"/>
              <w:bottom w:val="single" w:sz="4" w:space="0" w:color="auto"/>
              <w:right w:val="single" w:sz="4" w:space="0" w:color="auto"/>
            </w:tcBorders>
            <w:shd w:val="clear" w:color="auto" w:fill="auto"/>
            <w:noWrap/>
            <w:textDirection w:val="btLr"/>
            <w:vAlign w:val="center"/>
            <w:hideMark/>
          </w:tcPr>
          <w:p w:rsidR="005A52A7" w:rsidRPr="007F6D65" w:rsidRDefault="005A52A7" w:rsidP="00784D92">
            <w:pPr>
              <w:spacing w:after="0" w:line="240" w:lineRule="auto"/>
              <w:ind w:left="113" w:right="113"/>
              <w:jc w:val="center"/>
              <w:rPr>
                <w:rFonts w:ascii="Arial" w:eastAsia="Times New Roman" w:hAnsi="Arial" w:cs="Arial"/>
                <w:b/>
                <w:bCs/>
                <w:color w:val="000000"/>
                <w:sz w:val="20"/>
                <w:lang w:eastAsia="en-GB"/>
              </w:rPr>
            </w:pPr>
            <w:r w:rsidRPr="007F6D65">
              <w:rPr>
                <w:rFonts w:ascii="Arial" w:eastAsia="Times New Roman" w:hAnsi="Arial" w:cs="Arial"/>
                <w:b/>
                <w:bCs/>
                <w:color w:val="000000"/>
                <w:sz w:val="20"/>
                <w:lang w:eastAsia="en-GB"/>
              </w:rPr>
              <w:t>Heart</w:t>
            </w:r>
          </w:p>
        </w:tc>
        <w:tc>
          <w:tcPr>
            <w:tcW w:w="333" w:type="pct"/>
            <w:tcBorders>
              <w:top w:val="nil"/>
              <w:left w:val="nil"/>
              <w:bottom w:val="single" w:sz="4" w:space="0" w:color="auto"/>
              <w:right w:val="single" w:sz="4" w:space="0" w:color="auto"/>
            </w:tcBorders>
            <w:shd w:val="clear" w:color="auto" w:fill="auto"/>
            <w:noWrap/>
            <w:textDirection w:val="btLr"/>
            <w:vAlign w:val="center"/>
            <w:hideMark/>
          </w:tcPr>
          <w:p w:rsidR="005A52A7" w:rsidRPr="007F6D65" w:rsidRDefault="005A52A7" w:rsidP="00784D92">
            <w:pPr>
              <w:spacing w:after="0" w:line="240" w:lineRule="auto"/>
              <w:ind w:left="113" w:right="113"/>
              <w:jc w:val="center"/>
              <w:rPr>
                <w:rFonts w:ascii="Arial" w:eastAsia="Times New Roman" w:hAnsi="Arial" w:cs="Arial"/>
                <w:b/>
                <w:bCs/>
                <w:color w:val="000000"/>
                <w:sz w:val="20"/>
                <w:lang w:eastAsia="en-GB"/>
              </w:rPr>
            </w:pPr>
            <w:r w:rsidRPr="007F6D65">
              <w:rPr>
                <w:rFonts w:ascii="Arial" w:eastAsia="Times New Roman" w:hAnsi="Arial" w:cs="Arial"/>
                <w:b/>
                <w:bCs/>
                <w:color w:val="000000"/>
                <w:sz w:val="20"/>
                <w:lang w:eastAsia="en-GB"/>
              </w:rPr>
              <w:t>Digestive</w:t>
            </w:r>
          </w:p>
        </w:tc>
        <w:tc>
          <w:tcPr>
            <w:tcW w:w="333" w:type="pct"/>
            <w:tcBorders>
              <w:top w:val="nil"/>
              <w:left w:val="nil"/>
              <w:bottom w:val="single" w:sz="4" w:space="0" w:color="auto"/>
              <w:right w:val="single" w:sz="4" w:space="0" w:color="auto"/>
            </w:tcBorders>
            <w:shd w:val="clear" w:color="auto" w:fill="auto"/>
            <w:noWrap/>
            <w:textDirection w:val="btLr"/>
            <w:vAlign w:val="center"/>
            <w:hideMark/>
          </w:tcPr>
          <w:p w:rsidR="005A52A7" w:rsidRPr="007F6D65" w:rsidRDefault="005A52A7" w:rsidP="00784D92">
            <w:pPr>
              <w:spacing w:after="0" w:line="240" w:lineRule="auto"/>
              <w:ind w:left="113" w:right="113"/>
              <w:jc w:val="center"/>
              <w:rPr>
                <w:rFonts w:ascii="Arial" w:eastAsia="Times New Roman" w:hAnsi="Arial" w:cs="Arial"/>
                <w:b/>
                <w:bCs/>
                <w:color w:val="000000"/>
                <w:sz w:val="20"/>
                <w:lang w:eastAsia="en-GB"/>
              </w:rPr>
            </w:pPr>
            <w:r w:rsidRPr="007F6D65">
              <w:rPr>
                <w:rFonts w:ascii="Arial" w:eastAsia="Times New Roman" w:hAnsi="Arial" w:cs="Arial"/>
                <w:b/>
                <w:bCs/>
                <w:color w:val="000000"/>
                <w:sz w:val="20"/>
                <w:lang w:eastAsia="en-GB"/>
              </w:rPr>
              <w:t>Injury</w:t>
            </w:r>
          </w:p>
        </w:tc>
        <w:tc>
          <w:tcPr>
            <w:tcW w:w="333" w:type="pct"/>
            <w:tcBorders>
              <w:top w:val="nil"/>
              <w:left w:val="nil"/>
              <w:bottom w:val="single" w:sz="4" w:space="0" w:color="auto"/>
              <w:right w:val="single" w:sz="4" w:space="0" w:color="auto"/>
            </w:tcBorders>
            <w:shd w:val="clear" w:color="auto" w:fill="auto"/>
            <w:noWrap/>
            <w:textDirection w:val="btLr"/>
            <w:vAlign w:val="center"/>
            <w:hideMark/>
          </w:tcPr>
          <w:p w:rsidR="005A52A7" w:rsidRPr="007F6D65" w:rsidRDefault="005A52A7" w:rsidP="00784D92">
            <w:pPr>
              <w:spacing w:after="0" w:line="240" w:lineRule="auto"/>
              <w:ind w:left="113" w:right="113"/>
              <w:jc w:val="center"/>
              <w:rPr>
                <w:rFonts w:ascii="Arial" w:eastAsia="Times New Roman" w:hAnsi="Arial" w:cs="Arial"/>
                <w:b/>
                <w:bCs/>
                <w:color w:val="000000"/>
                <w:sz w:val="20"/>
                <w:lang w:eastAsia="en-GB"/>
              </w:rPr>
            </w:pPr>
            <w:r w:rsidRPr="007F6D65">
              <w:rPr>
                <w:rFonts w:ascii="Arial" w:eastAsia="Times New Roman" w:hAnsi="Arial" w:cs="Arial"/>
                <w:b/>
                <w:bCs/>
                <w:color w:val="000000"/>
                <w:sz w:val="20"/>
                <w:lang w:eastAsia="en-GB"/>
              </w:rPr>
              <w:t>Other</w:t>
            </w:r>
          </w:p>
        </w:tc>
        <w:tc>
          <w:tcPr>
            <w:tcW w:w="333" w:type="pct"/>
            <w:tcBorders>
              <w:top w:val="nil"/>
              <w:left w:val="nil"/>
              <w:bottom w:val="single" w:sz="4" w:space="0" w:color="auto"/>
              <w:right w:val="single" w:sz="4" w:space="0" w:color="auto"/>
            </w:tcBorders>
            <w:shd w:val="clear" w:color="auto" w:fill="auto"/>
            <w:noWrap/>
            <w:textDirection w:val="btLr"/>
            <w:vAlign w:val="center"/>
            <w:hideMark/>
          </w:tcPr>
          <w:p w:rsidR="005A52A7" w:rsidRPr="007F6D65" w:rsidRDefault="005A52A7" w:rsidP="00784D92">
            <w:pPr>
              <w:spacing w:after="0" w:line="240" w:lineRule="auto"/>
              <w:ind w:left="113" w:right="113"/>
              <w:jc w:val="center"/>
              <w:rPr>
                <w:rFonts w:ascii="Arial" w:eastAsia="Times New Roman" w:hAnsi="Arial" w:cs="Arial"/>
                <w:b/>
                <w:bCs/>
                <w:color w:val="000000"/>
                <w:sz w:val="20"/>
                <w:lang w:eastAsia="en-GB"/>
              </w:rPr>
            </w:pPr>
            <w:r w:rsidRPr="007F6D65">
              <w:rPr>
                <w:rFonts w:ascii="Arial" w:eastAsia="Times New Roman" w:hAnsi="Arial" w:cs="Arial"/>
                <w:b/>
                <w:bCs/>
                <w:color w:val="000000"/>
                <w:sz w:val="20"/>
                <w:lang w:eastAsia="en-GB"/>
              </w:rPr>
              <w:t>Respiratory</w:t>
            </w:r>
          </w:p>
        </w:tc>
        <w:tc>
          <w:tcPr>
            <w:tcW w:w="354" w:type="pct"/>
            <w:tcBorders>
              <w:top w:val="nil"/>
              <w:left w:val="nil"/>
              <w:bottom w:val="single" w:sz="4" w:space="0" w:color="auto"/>
              <w:right w:val="single" w:sz="4" w:space="0" w:color="auto"/>
            </w:tcBorders>
            <w:shd w:val="clear" w:color="auto" w:fill="auto"/>
            <w:noWrap/>
            <w:textDirection w:val="btLr"/>
            <w:vAlign w:val="center"/>
            <w:hideMark/>
          </w:tcPr>
          <w:p w:rsidR="005A52A7" w:rsidRPr="007F6D65" w:rsidRDefault="005A52A7" w:rsidP="00784D92">
            <w:pPr>
              <w:spacing w:after="0" w:line="240" w:lineRule="auto"/>
              <w:ind w:left="113" w:right="113"/>
              <w:jc w:val="center"/>
              <w:rPr>
                <w:rFonts w:ascii="Arial" w:eastAsia="Times New Roman" w:hAnsi="Arial" w:cs="Arial"/>
                <w:b/>
                <w:bCs/>
                <w:color w:val="000000"/>
                <w:sz w:val="20"/>
                <w:lang w:eastAsia="en-GB"/>
              </w:rPr>
            </w:pPr>
            <w:r w:rsidRPr="007F6D65">
              <w:rPr>
                <w:rFonts w:ascii="Arial" w:eastAsia="Times New Roman" w:hAnsi="Arial" w:cs="Arial"/>
                <w:b/>
                <w:bCs/>
                <w:color w:val="000000"/>
                <w:sz w:val="20"/>
                <w:lang w:eastAsia="en-GB"/>
              </w:rPr>
              <w:t>Outpatients</w:t>
            </w:r>
          </w:p>
        </w:tc>
      </w:tr>
      <w:tr w:rsidR="005A52A7" w:rsidRPr="007F6D65" w:rsidTr="005A52A7">
        <w:trPr>
          <w:trHeight w:val="300"/>
        </w:trPr>
        <w:tc>
          <w:tcPr>
            <w:tcW w:w="2647" w:type="pct"/>
            <w:tcBorders>
              <w:top w:val="nil"/>
              <w:left w:val="single" w:sz="4" w:space="0" w:color="auto"/>
              <w:bottom w:val="single" w:sz="4" w:space="0" w:color="auto"/>
              <w:right w:val="single" w:sz="4" w:space="0" w:color="auto"/>
            </w:tcBorders>
            <w:shd w:val="clear" w:color="auto" w:fill="auto"/>
            <w:noWrap/>
            <w:vAlign w:val="bottom"/>
            <w:hideMark/>
          </w:tcPr>
          <w:p w:rsidR="005A52A7" w:rsidRPr="007F6D65" w:rsidRDefault="005A52A7" w:rsidP="008B76A9">
            <w:pPr>
              <w:spacing w:after="0" w:line="240" w:lineRule="auto"/>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 xml:space="preserve">supply model (HB Dummies + </w:t>
            </w:r>
            <w:r w:rsidR="008B76A9">
              <w:rPr>
                <w:rFonts w:ascii="Arial" w:eastAsia="Times New Roman" w:hAnsi="Arial" w:cs="Arial"/>
                <w:color w:val="000000"/>
                <w:sz w:val="20"/>
                <w:szCs w:val="18"/>
                <w:lang w:eastAsia="en-GB"/>
              </w:rPr>
              <w:t>OPACX</w:t>
            </w:r>
            <w:r w:rsidRPr="007F6D65">
              <w:rPr>
                <w:rFonts w:ascii="Arial" w:eastAsia="Times New Roman" w:hAnsi="Arial" w:cs="Arial"/>
                <w:color w:val="000000"/>
                <w:sz w:val="20"/>
                <w:szCs w:val="18"/>
                <w:lang w:eastAsia="en-GB"/>
              </w:rPr>
              <w:t xml:space="preserve"> +</w:t>
            </w:r>
            <w:r w:rsidR="008B76A9">
              <w:rPr>
                <w:rFonts w:ascii="Arial" w:eastAsia="Times New Roman" w:hAnsi="Arial" w:cs="Arial"/>
                <w:color w:val="000000"/>
                <w:sz w:val="20"/>
                <w:szCs w:val="18"/>
                <w:lang w:eastAsia="en-GB"/>
              </w:rPr>
              <w:t>IPACX</w:t>
            </w:r>
            <w:r w:rsidRPr="007F6D65">
              <w:rPr>
                <w:rFonts w:ascii="Arial" w:eastAsia="Times New Roman" w:hAnsi="Arial" w:cs="Arial"/>
                <w:color w:val="000000"/>
                <w:sz w:val="20"/>
                <w:szCs w:val="18"/>
                <w:lang w:eastAsia="en-GB"/>
              </w:rPr>
              <w:t>)</w:t>
            </w:r>
          </w:p>
        </w:tc>
        <w:tc>
          <w:tcPr>
            <w:tcW w:w="334" w:type="pct"/>
            <w:tcBorders>
              <w:top w:val="nil"/>
              <w:left w:val="nil"/>
              <w:bottom w:val="single" w:sz="4" w:space="0" w:color="auto"/>
              <w:right w:val="single" w:sz="4" w:space="0" w:color="auto"/>
            </w:tcBorders>
            <w:shd w:val="clear" w:color="auto" w:fill="auto"/>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9.5%</w:t>
            </w:r>
          </w:p>
        </w:tc>
        <w:tc>
          <w:tcPr>
            <w:tcW w:w="333" w:type="pct"/>
            <w:tcBorders>
              <w:top w:val="nil"/>
              <w:left w:val="nil"/>
              <w:bottom w:val="single" w:sz="4" w:space="0" w:color="auto"/>
              <w:right w:val="single" w:sz="4" w:space="0" w:color="auto"/>
            </w:tcBorders>
            <w:shd w:val="clear" w:color="auto" w:fill="auto"/>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2.9%</w:t>
            </w:r>
          </w:p>
        </w:tc>
        <w:tc>
          <w:tcPr>
            <w:tcW w:w="333" w:type="pct"/>
            <w:tcBorders>
              <w:top w:val="nil"/>
              <w:left w:val="nil"/>
              <w:bottom w:val="single" w:sz="4" w:space="0" w:color="auto"/>
              <w:right w:val="single" w:sz="4" w:space="0" w:color="auto"/>
            </w:tcBorders>
            <w:shd w:val="clear" w:color="auto" w:fill="auto"/>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18.8%</w:t>
            </w:r>
          </w:p>
        </w:tc>
        <w:tc>
          <w:tcPr>
            <w:tcW w:w="333" w:type="pct"/>
            <w:tcBorders>
              <w:top w:val="nil"/>
              <w:left w:val="nil"/>
              <w:bottom w:val="single" w:sz="4" w:space="0" w:color="auto"/>
              <w:right w:val="single" w:sz="4" w:space="0" w:color="auto"/>
            </w:tcBorders>
            <w:shd w:val="clear" w:color="auto" w:fill="auto"/>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3.3%</w:t>
            </w:r>
          </w:p>
        </w:tc>
        <w:tc>
          <w:tcPr>
            <w:tcW w:w="333" w:type="pct"/>
            <w:tcBorders>
              <w:top w:val="nil"/>
              <w:left w:val="nil"/>
              <w:bottom w:val="single" w:sz="4" w:space="0" w:color="auto"/>
              <w:right w:val="single" w:sz="4" w:space="0" w:color="auto"/>
            </w:tcBorders>
            <w:shd w:val="clear" w:color="auto" w:fill="auto"/>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14.9%</w:t>
            </w:r>
          </w:p>
        </w:tc>
        <w:tc>
          <w:tcPr>
            <w:tcW w:w="333" w:type="pct"/>
            <w:tcBorders>
              <w:top w:val="nil"/>
              <w:left w:val="nil"/>
              <w:bottom w:val="single" w:sz="4" w:space="0" w:color="auto"/>
              <w:right w:val="single" w:sz="4" w:space="0" w:color="auto"/>
            </w:tcBorders>
            <w:shd w:val="clear" w:color="auto" w:fill="auto"/>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11.2%</w:t>
            </w:r>
          </w:p>
        </w:tc>
        <w:tc>
          <w:tcPr>
            <w:tcW w:w="354" w:type="pct"/>
            <w:tcBorders>
              <w:top w:val="nil"/>
              <w:left w:val="nil"/>
              <w:bottom w:val="single" w:sz="4" w:space="0" w:color="auto"/>
              <w:right w:val="single" w:sz="4" w:space="0" w:color="auto"/>
            </w:tcBorders>
            <w:shd w:val="clear" w:color="auto" w:fill="auto"/>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51.4%</w:t>
            </w:r>
          </w:p>
        </w:tc>
      </w:tr>
      <w:tr w:rsidR="005A52A7" w:rsidRPr="007F6D65" w:rsidTr="005A52A7">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000000" w:fill="D7E4BC"/>
            <w:noWrap/>
            <w:vAlign w:val="bottom"/>
            <w:hideMark/>
          </w:tcPr>
          <w:p w:rsidR="005A52A7" w:rsidRPr="007F6D65" w:rsidRDefault="005A52A7" w:rsidP="00083599">
            <w:pPr>
              <w:spacing w:after="0" w:line="240" w:lineRule="auto"/>
              <w:rPr>
                <w:rFonts w:ascii="Arial" w:eastAsia="Times New Roman" w:hAnsi="Arial" w:cs="Arial"/>
                <w:b/>
                <w:bCs/>
                <w:sz w:val="20"/>
                <w:szCs w:val="18"/>
                <w:lang w:eastAsia="en-GB"/>
              </w:rPr>
            </w:pPr>
            <w:r w:rsidRPr="007F6D65">
              <w:rPr>
                <w:rFonts w:ascii="Arial" w:eastAsia="Times New Roman" w:hAnsi="Arial" w:cs="Arial"/>
                <w:b/>
                <w:bCs/>
                <w:sz w:val="20"/>
                <w:szCs w:val="18"/>
                <w:lang w:eastAsia="en-GB"/>
              </w:rPr>
              <w:t>Single variable models</w:t>
            </w:r>
          </w:p>
        </w:tc>
      </w:tr>
      <w:tr w:rsidR="005A52A7" w:rsidRPr="007F6D65" w:rsidTr="005A52A7">
        <w:trPr>
          <w:trHeight w:val="300"/>
        </w:trPr>
        <w:tc>
          <w:tcPr>
            <w:tcW w:w="2647" w:type="pct"/>
            <w:tcBorders>
              <w:top w:val="nil"/>
              <w:left w:val="single" w:sz="4" w:space="0" w:color="auto"/>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rPr>
                <w:rFonts w:ascii="Arial" w:eastAsia="Times New Roman" w:hAnsi="Arial" w:cs="Arial"/>
                <w:sz w:val="20"/>
                <w:szCs w:val="18"/>
                <w:lang w:eastAsia="en-GB"/>
              </w:rPr>
            </w:pPr>
            <w:r w:rsidRPr="007F6D65">
              <w:rPr>
                <w:rFonts w:ascii="Arial" w:eastAsia="Times New Roman" w:hAnsi="Arial" w:cs="Arial"/>
                <w:sz w:val="20"/>
                <w:szCs w:val="18"/>
                <w:lang w:eastAsia="en-GB"/>
              </w:rPr>
              <w:t>supply model + SMR</w:t>
            </w:r>
          </w:p>
        </w:tc>
        <w:tc>
          <w:tcPr>
            <w:tcW w:w="334"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12.3%</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13.3%</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31.5%</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16.7%</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32.8%</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28.8%</w:t>
            </w:r>
          </w:p>
        </w:tc>
        <w:tc>
          <w:tcPr>
            <w:tcW w:w="354"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53.9%</w:t>
            </w:r>
          </w:p>
        </w:tc>
      </w:tr>
      <w:tr w:rsidR="005A52A7" w:rsidRPr="007F6D65" w:rsidTr="005A52A7">
        <w:trPr>
          <w:trHeight w:val="300"/>
        </w:trPr>
        <w:tc>
          <w:tcPr>
            <w:tcW w:w="2647" w:type="pct"/>
            <w:tcBorders>
              <w:top w:val="nil"/>
              <w:left w:val="single" w:sz="4" w:space="0" w:color="auto"/>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rPr>
                <w:rFonts w:ascii="Arial" w:eastAsia="Times New Roman" w:hAnsi="Arial" w:cs="Arial"/>
                <w:sz w:val="20"/>
                <w:szCs w:val="18"/>
                <w:lang w:eastAsia="en-GB"/>
              </w:rPr>
            </w:pPr>
            <w:r w:rsidRPr="007F6D65">
              <w:rPr>
                <w:rFonts w:ascii="Arial" w:eastAsia="Times New Roman" w:hAnsi="Arial" w:cs="Arial"/>
                <w:sz w:val="20"/>
                <w:szCs w:val="18"/>
                <w:lang w:eastAsia="en-GB"/>
              </w:rPr>
              <w:t>supply model + LLTI</w:t>
            </w:r>
          </w:p>
        </w:tc>
        <w:tc>
          <w:tcPr>
            <w:tcW w:w="334"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12.3%</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20.0%</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39.3%</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25.4%</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44.4%</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37.7%</w:t>
            </w:r>
          </w:p>
        </w:tc>
        <w:tc>
          <w:tcPr>
            <w:tcW w:w="354"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57.6%</w:t>
            </w:r>
          </w:p>
        </w:tc>
      </w:tr>
      <w:tr w:rsidR="005A52A7" w:rsidRPr="007F6D65" w:rsidTr="005A52A7">
        <w:trPr>
          <w:trHeight w:val="300"/>
        </w:trPr>
        <w:tc>
          <w:tcPr>
            <w:tcW w:w="2647" w:type="pct"/>
            <w:tcBorders>
              <w:top w:val="nil"/>
              <w:left w:val="single" w:sz="4" w:space="0" w:color="auto"/>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rPr>
                <w:rFonts w:ascii="Arial" w:eastAsia="Times New Roman" w:hAnsi="Arial" w:cs="Arial"/>
                <w:sz w:val="20"/>
                <w:szCs w:val="18"/>
                <w:lang w:eastAsia="en-GB"/>
              </w:rPr>
            </w:pPr>
            <w:r w:rsidRPr="007F6D65">
              <w:rPr>
                <w:rFonts w:ascii="Arial" w:eastAsia="Times New Roman" w:hAnsi="Arial" w:cs="Arial"/>
                <w:sz w:val="20"/>
                <w:szCs w:val="18"/>
                <w:lang w:eastAsia="en-GB"/>
              </w:rPr>
              <w:t>supply model + Income domain score</w:t>
            </w:r>
          </w:p>
        </w:tc>
        <w:tc>
          <w:tcPr>
            <w:tcW w:w="334"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12.3%</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20.3%</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39.8%</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26.2%</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45.5%</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38.8%</w:t>
            </w:r>
          </w:p>
        </w:tc>
        <w:tc>
          <w:tcPr>
            <w:tcW w:w="354"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56.6%</w:t>
            </w:r>
          </w:p>
        </w:tc>
      </w:tr>
      <w:tr w:rsidR="005A52A7" w:rsidRPr="007F6D65" w:rsidTr="005A52A7">
        <w:trPr>
          <w:trHeight w:val="300"/>
        </w:trPr>
        <w:tc>
          <w:tcPr>
            <w:tcW w:w="2647" w:type="pct"/>
            <w:tcBorders>
              <w:top w:val="nil"/>
              <w:left w:val="single" w:sz="4" w:space="0" w:color="auto"/>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rPr>
                <w:rFonts w:ascii="Arial" w:eastAsia="Times New Roman" w:hAnsi="Arial" w:cs="Arial"/>
                <w:sz w:val="20"/>
                <w:szCs w:val="18"/>
                <w:lang w:eastAsia="en-GB"/>
              </w:rPr>
            </w:pPr>
            <w:r w:rsidRPr="007F6D65">
              <w:rPr>
                <w:rFonts w:ascii="Arial" w:eastAsia="Times New Roman" w:hAnsi="Arial" w:cs="Arial"/>
                <w:sz w:val="20"/>
                <w:szCs w:val="18"/>
                <w:lang w:eastAsia="en-GB"/>
              </w:rPr>
              <w:t>supply model + SIMD minus Health "Scenario 1" score</w:t>
            </w:r>
          </w:p>
        </w:tc>
        <w:tc>
          <w:tcPr>
            <w:tcW w:w="334"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12.1%</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19.1%</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39.2%</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25.7%</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42.9%</w:t>
            </w:r>
          </w:p>
        </w:tc>
        <w:tc>
          <w:tcPr>
            <w:tcW w:w="333"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37.8%</w:t>
            </w:r>
          </w:p>
        </w:tc>
        <w:tc>
          <w:tcPr>
            <w:tcW w:w="354" w:type="pct"/>
            <w:tcBorders>
              <w:top w:val="nil"/>
              <w:left w:val="nil"/>
              <w:bottom w:val="single" w:sz="4" w:space="0" w:color="auto"/>
              <w:right w:val="single" w:sz="4" w:space="0" w:color="auto"/>
            </w:tcBorders>
            <w:shd w:val="clear" w:color="000000" w:fill="D7E4BC"/>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56.5%</w:t>
            </w:r>
          </w:p>
        </w:tc>
      </w:tr>
      <w:tr w:rsidR="005A52A7" w:rsidRPr="007F6D65" w:rsidTr="005A52A7">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000000" w:fill="FCD5B4"/>
            <w:noWrap/>
            <w:vAlign w:val="bottom"/>
            <w:hideMark/>
          </w:tcPr>
          <w:p w:rsidR="005A52A7" w:rsidRPr="007F6D65" w:rsidRDefault="005A52A7" w:rsidP="00083599">
            <w:pPr>
              <w:spacing w:after="0" w:line="240" w:lineRule="auto"/>
              <w:rPr>
                <w:rFonts w:ascii="Arial" w:eastAsia="Times New Roman" w:hAnsi="Arial" w:cs="Arial"/>
                <w:b/>
                <w:bCs/>
                <w:color w:val="000000"/>
                <w:sz w:val="20"/>
                <w:szCs w:val="18"/>
                <w:lang w:eastAsia="en-GB"/>
              </w:rPr>
            </w:pPr>
            <w:r w:rsidRPr="007F6D65">
              <w:rPr>
                <w:rFonts w:ascii="Arial" w:eastAsia="Times New Roman" w:hAnsi="Arial" w:cs="Arial"/>
                <w:b/>
                <w:bCs/>
                <w:color w:val="000000"/>
                <w:sz w:val="20"/>
                <w:szCs w:val="18"/>
                <w:lang w:eastAsia="en-GB"/>
              </w:rPr>
              <w:t>Multivariate models</w:t>
            </w:r>
          </w:p>
        </w:tc>
      </w:tr>
      <w:tr w:rsidR="005A52A7" w:rsidRPr="007F6D65" w:rsidTr="005A52A7">
        <w:trPr>
          <w:trHeight w:val="300"/>
        </w:trPr>
        <w:tc>
          <w:tcPr>
            <w:tcW w:w="2647" w:type="pct"/>
            <w:tcBorders>
              <w:top w:val="nil"/>
              <w:left w:val="single" w:sz="4" w:space="0" w:color="auto"/>
              <w:bottom w:val="single" w:sz="4" w:space="0" w:color="auto"/>
              <w:right w:val="single" w:sz="4" w:space="0" w:color="auto"/>
            </w:tcBorders>
            <w:shd w:val="clear" w:color="000000" w:fill="FCD5B4"/>
            <w:noWrap/>
            <w:vAlign w:val="bottom"/>
            <w:hideMark/>
          </w:tcPr>
          <w:p w:rsidR="005A52A7" w:rsidRPr="007F6D65" w:rsidRDefault="005A52A7" w:rsidP="00083599">
            <w:pPr>
              <w:spacing w:after="0" w:line="240" w:lineRule="auto"/>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supply model + SMR + LLTI</w:t>
            </w:r>
          </w:p>
        </w:tc>
        <w:tc>
          <w:tcPr>
            <w:tcW w:w="334"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12.8%</w:t>
            </w:r>
          </w:p>
        </w:tc>
        <w:tc>
          <w:tcPr>
            <w:tcW w:w="333"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20.3%</w:t>
            </w:r>
          </w:p>
        </w:tc>
        <w:tc>
          <w:tcPr>
            <w:tcW w:w="333"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39.6%</w:t>
            </w:r>
          </w:p>
        </w:tc>
        <w:tc>
          <w:tcPr>
            <w:tcW w:w="333"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25.8%</w:t>
            </w:r>
          </w:p>
        </w:tc>
        <w:tc>
          <w:tcPr>
            <w:tcW w:w="333"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44.9%</w:t>
            </w:r>
          </w:p>
        </w:tc>
        <w:tc>
          <w:tcPr>
            <w:tcW w:w="333"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38.6%</w:t>
            </w:r>
          </w:p>
        </w:tc>
        <w:tc>
          <w:tcPr>
            <w:tcW w:w="354"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57.6%</w:t>
            </w:r>
          </w:p>
        </w:tc>
      </w:tr>
      <w:tr w:rsidR="005A52A7" w:rsidRPr="007F6D65" w:rsidTr="005A52A7">
        <w:trPr>
          <w:trHeight w:val="300"/>
        </w:trPr>
        <w:tc>
          <w:tcPr>
            <w:tcW w:w="2647" w:type="pct"/>
            <w:tcBorders>
              <w:top w:val="nil"/>
              <w:left w:val="single" w:sz="4" w:space="0" w:color="auto"/>
              <w:bottom w:val="single" w:sz="4" w:space="0" w:color="auto"/>
              <w:right w:val="single" w:sz="4" w:space="0" w:color="auto"/>
            </w:tcBorders>
            <w:shd w:val="clear" w:color="000000" w:fill="FCD5B4"/>
            <w:noWrap/>
            <w:vAlign w:val="bottom"/>
            <w:hideMark/>
          </w:tcPr>
          <w:p w:rsidR="005A52A7" w:rsidRPr="007F6D65" w:rsidRDefault="005A52A7" w:rsidP="00083599">
            <w:pPr>
              <w:spacing w:after="0" w:line="240" w:lineRule="auto"/>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supply model + SMR + LLTI + Income domain score</w:t>
            </w:r>
          </w:p>
        </w:tc>
        <w:tc>
          <w:tcPr>
            <w:tcW w:w="334"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083599">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12.9%</w:t>
            </w:r>
          </w:p>
        </w:tc>
        <w:tc>
          <w:tcPr>
            <w:tcW w:w="333"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083599">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21.3%</w:t>
            </w:r>
          </w:p>
        </w:tc>
        <w:tc>
          <w:tcPr>
            <w:tcW w:w="333"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083599">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41.0%</w:t>
            </w:r>
          </w:p>
        </w:tc>
        <w:tc>
          <w:tcPr>
            <w:tcW w:w="333"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083599">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27.4%</w:t>
            </w:r>
          </w:p>
        </w:tc>
        <w:tc>
          <w:tcPr>
            <w:tcW w:w="333"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083599">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47.1%</w:t>
            </w:r>
          </w:p>
        </w:tc>
        <w:tc>
          <w:tcPr>
            <w:tcW w:w="333"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083599">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40.4%</w:t>
            </w:r>
          </w:p>
        </w:tc>
        <w:tc>
          <w:tcPr>
            <w:tcW w:w="354" w:type="pct"/>
            <w:tcBorders>
              <w:top w:val="nil"/>
              <w:left w:val="nil"/>
              <w:bottom w:val="single" w:sz="4" w:space="0" w:color="auto"/>
              <w:right w:val="single" w:sz="4" w:space="0" w:color="auto"/>
            </w:tcBorders>
            <w:shd w:val="clear" w:color="000000" w:fill="FCD5B4"/>
            <w:noWrap/>
            <w:vAlign w:val="bottom"/>
            <w:hideMark/>
          </w:tcPr>
          <w:p w:rsidR="005A52A7" w:rsidRPr="007F6D65" w:rsidRDefault="005A52A7" w:rsidP="00083599">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57.7%</w:t>
            </w:r>
          </w:p>
        </w:tc>
      </w:tr>
      <w:tr w:rsidR="005A52A7" w:rsidRPr="007F6D65" w:rsidTr="005A52A7">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000000" w:fill="E6B9B8"/>
            <w:noWrap/>
            <w:vAlign w:val="bottom"/>
            <w:hideMark/>
          </w:tcPr>
          <w:p w:rsidR="005A52A7" w:rsidRPr="007F6D65" w:rsidRDefault="005A52A7" w:rsidP="00083599">
            <w:pPr>
              <w:spacing w:after="0" w:line="240" w:lineRule="auto"/>
              <w:rPr>
                <w:rFonts w:ascii="Arial" w:eastAsia="Times New Roman" w:hAnsi="Arial" w:cs="Arial"/>
                <w:b/>
                <w:bCs/>
                <w:color w:val="000000"/>
                <w:sz w:val="20"/>
                <w:szCs w:val="18"/>
                <w:lang w:eastAsia="en-GB"/>
              </w:rPr>
            </w:pPr>
            <w:r w:rsidRPr="007F6D65">
              <w:rPr>
                <w:rFonts w:ascii="Arial" w:eastAsia="Times New Roman" w:hAnsi="Arial" w:cs="Arial"/>
                <w:b/>
                <w:bCs/>
                <w:color w:val="000000"/>
                <w:sz w:val="20"/>
                <w:szCs w:val="18"/>
                <w:lang w:eastAsia="en-GB"/>
              </w:rPr>
              <w:t>Models using a composite variable</w:t>
            </w:r>
          </w:p>
        </w:tc>
      </w:tr>
      <w:tr w:rsidR="005A52A7" w:rsidRPr="007F6D65" w:rsidTr="005A52A7">
        <w:trPr>
          <w:trHeight w:val="300"/>
        </w:trPr>
        <w:tc>
          <w:tcPr>
            <w:tcW w:w="2647" w:type="pct"/>
            <w:tcBorders>
              <w:top w:val="nil"/>
              <w:left w:val="single" w:sz="4" w:space="0" w:color="auto"/>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supply model + current index (sum of SMR and LLTI z-scores)</w:t>
            </w:r>
          </w:p>
        </w:tc>
        <w:tc>
          <w:tcPr>
            <w:tcW w:w="334"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12.8%</w:t>
            </w:r>
          </w:p>
        </w:tc>
        <w:tc>
          <w:tcPr>
            <w:tcW w:w="33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18.9%</w:t>
            </w:r>
          </w:p>
        </w:tc>
        <w:tc>
          <w:tcPr>
            <w:tcW w:w="33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38.1%</w:t>
            </w:r>
          </w:p>
        </w:tc>
        <w:tc>
          <w:tcPr>
            <w:tcW w:w="33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24.0%</w:t>
            </w:r>
          </w:p>
        </w:tc>
        <w:tc>
          <w:tcPr>
            <w:tcW w:w="33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42.5%</w:t>
            </w:r>
          </w:p>
        </w:tc>
        <w:tc>
          <w:tcPr>
            <w:tcW w:w="33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37.0%</w:t>
            </w:r>
          </w:p>
        </w:tc>
        <w:tc>
          <w:tcPr>
            <w:tcW w:w="354"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56.3%</w:t>
            </w:r>
          </w:p>
        </w:tc>
      </w:tr>
      <w:tr w:rsidR="005A52A7" w:rsidRPr="007F6D65" w:rsidTr="005A52A7">
        <w:trPr>
          <w:trHeight w:val="300"/>
        </w:trPr>
        <w:tc>
          <w:tcPr>
            <w:tcW w:w="2647" w:type="pct"/>
            <w:tcBorders>
              <w:top w:val="nil"/>
              <w:left w:val="single" w:sz="4" w:space="0" w:color="auto"/>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supply model + current index + Income domain score</w:t>
            </w:r>
          </w:p>
        </w:tc>
        <w:tc>
          <w:tcPr>
            <w:tcW w:w="334"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12.9%</w:t>
            </w:r>
          </w:p>
        </w:tc>
        <w:tc>
          <w:tcPr>
            <w:tcW w:w="33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21.1%</w:t>
            </w:r>
          </w:p>
        </w:tc>
        <w:tc>
          <w:tcPr>
            <w:tcW w:w="33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sz w:val="20"/>
                <w:szCs w:val="18"/>
                <w:lang w:eastAsia="en-GB"/>
              </w:rPr>
            </w:pPr>
            <w:r w:rsidRPr="007F6D65">
              <w:rPr>
                <w:rFonts w:ascii="Arial" w:eastAsia="Times New Roman" w:hAnsi="Arial" w:cs="Arial"/>
                <w:sz w:val="20"/>
                <w:szCs w:val="18"/>
                <w:lang w:eastAsia="en-GB"/>
              </w:rPr>
              <w:t>40.7%</w:t>
            </w:r>
          </w:p>
        </w:tc>
        <w:tc>
          <w:tcPr>
            <w:tcW w:w="33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27.1%</w:t>
            </w:r>
          </w:p>
        </w:tc>
        <w:tc>
          <w:tcPr>
            <w:tcW w:w="33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46.7%</w:t>
            </w:r>
          </w:p>
        </w:tc>
        <w:tc>
          <w:tcPr>
            <w:tcW w:w="33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40.3%</w:t>
            </w:r>
          </w:p>
        </w:tc>
        <w:tc>
          <w:tcPr>
            <w:tcW w:w="354"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56.9%</w:t>
            </w:r>
          </w:p>
        </w:tc>
      </w:tr>
      <w:tr w:rsidR="005A52A7" w:rsidRPr="007F6D65" w:rsidTr="005A52A7">
        <w:trPr>
          <w:trHeight w:val="300"/>
        </w:trPr>
        <w:tc>
          <w:tcPr>
            <w:tcW w:w="2647" w:type="pct"/>
            <w:tcBorders>
              <w:top w:val="nil"/>
              <w:left w:val="single" w:sz="4" w:space="0" w:color="auto"/>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supply model + new index (sum of SMR, LLTI and Income z-scores)</w:t>
            </w:r>
          </w:p>
        </w:tc>
        <w:tc>
          <w:tcPr>
            <w:tcW w:w="334"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b/>
                <w:bCs/>
                <w:color w:val="FF0000"/>
                <w:sz w:val="20"/>
                <w:szCs w:val="18"/>
                <w:lang w:eastAsia="en-GB"/>
              </w:rPr>
            </w:pPr>
            <w:r w:rsidRPr="007F6D65">
              <w:rPr>
                <w:rFonts w:ascii="Arial" w:eastAsia="Times New Roman" w:hAnsi="Arial" w:cs="Arial"/>
                <w:b/>
                <w:bCs/>
                <w:color w:val="FF0000"/>
                <w:sz w:val="20"/>
                <w:szCs w:val="18"/>
                <w:lang w:eastAsia="en-GB"/>
              </w:rPr>
              <w:t>12.9%</w:t>
            </w:r>
          </w:p>
        </w:tc>
        <w:tc>
          <w:tcPr>
            <w:tcW w:w="33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20.6%</w:t>
            </w:r>
          </w:p>
        </w:tc>
        <w:tc>
          <w:tcPr>
            <w:tcW w:w="33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40.2%</w:t>
            </w:r>
          </w:p>
        </w:tc>
        <w:tc>
          <w:tcPr>
            <w:tcW w:w="33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26.4%</w:t>
            </w:r>
          </w:p>
        </w:tc>
        <w:tc>
          <w:tcPr>
            <w:tcW w:w="33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45.7%</w:t>
            </w:r>
          </w:p>
        </w:tc>
        <w:tc>
          <w:tcPr>
            <w:tcW w:w="333"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39.7%</w:t>
            </w:r>
          </w:p>
        </w:tc>
        <w:tc>
          <w:tcPr>
            <w:tcW w:w="354" w:type="pct"/>
            <w:tcBorders>
              <w:top w:val="nil"/>
              <w:left w:val="nil"/>
              <w:bottom w:val="single" w:sz="4" w:space="0" w:color="auto"/>
              <w:right w:val="single" w:sz="4" w:space="0" w:color="auto"/>
            </w:tcBorders>
            <w:shd w:val="clear" w:color="000000" w:fill="E6B9B8"/>
            <w:noWrap/>
            <w:vAlign w:val="bottom"/>
            <w:hideMark/>
          </w:tcPr>
          <w:p w:rsidR="005A52A7" w:rsidRPr="007F6D65" w:rsidRDefault="005A52A7" w:rsidP="00083599">
            <w:pPr>
              <w:spacing w:after="0" w:line="240" w:lineRule="auto"/>
              <w:jc w:val="right"/>
              <w:rPr>
                <w:rFonts w:ascii="Arial" w:eastAsia="Times New Roman" w:hAnsi="Arial" w:cs="Arial"/>
                <w:color w:val="000000"/>
                <w:sz w:val="20"/>
                <w:szCs w:val="18"/>
                <w:lang w:eastAsia="en-GB"/>
              </w:rPr>
            </w:pPr>
            <w:r w:rsidRPr="007F6D65">
              <w:rPr>
                <w:rFonts w:ascii="Arial" w:eastAsia="Times New Roman" w:hAnsi="Arial" w:cs="Arial"/>
                <w:color w:val="000000"/>
                <w:sz w:val="20"/>
                <w:szCs w:val="18"/>
                <w:lang w:eastAsia="en-GB"/>
              </w:rPr>
              <w:t>56.8%</w:t>
            </w:r>
          </w:p>
        </w:tc>
      </w:tr>
    </w:tbl>
    <w:p w:rsidR="00F122D0" w:rsidRDefault="00F122D0" w:rsidP="00CD286E">
      <w:pPr>
        <w:spacing w:after="0"/>
        <w:rPr>
          <w:rFonts w:ascii="Arial" w:hAnsi="Arial" w:cs="Arial"/>
          <w:b/>
        </w:rPr>
      </w:pPr>
    </w:p>
    <w:p w:rsidR="008B76A9" w:rsidRDefault="00AD7D3A" w:rsidP="008B76A9">
      <w:pPr>
        <w:spacing w:after="0"/>
        <w:jc w:val="both"/>
        <w:rPr>
          <w:rFonts w:ascii="Arial" w:hAnsi="Arial" w:cs="Arial"/>
        </w:rPr>
      </w:pPr>
      <w:r>
        <w:rPr>
          <w:rFonts w:ascii="Arial" w:hAnsi="Arial" w:cs="Arial"/>
        </w:rPr>
        <w:t>For the 1 year Data Zones, t</w:t>
      </w:r>
      <w:r w:rsidR="008B76A9" w:rsidRPr="00180CFC">
        <w:rPr>
          <w:rFonts w:ascii="Arial" w:hAnsi="Arial" w:cs="Arial"/>
        </w:rPr>
        <w:t xml:space="preserve">he </w:t>
      </w:r>
      <w:r w:rsidR="008B76A9">
        <w:rPr>
          <w:rFonts w:ascii="Arial" w:hAnsi="Arial" w:cs="Arial"/>
        </w:rPr>
        <w:t xml:space="preserve">adjusted </w:t>
      </w:r>
      <w:r w:rsidR="008B76A9" w:rsidRPr="00180CFC">
        <w:rPr>
          <w:rFonts w:ascii="Arial" w:hAnsi="Arial" w:cs="Arial"/>
        </w:rPr>
        <w:t xml:space="preserve">R-squared values </w:t>
      </w:r>
      <w:r w:rsidR="008B76A9">
        <w:rPr>
          <w:rFonts w:ascii="Arial" w:hAnsi="Arial" w:cs="Arial"/>
        </w:rPr>
        <w:t xml:space="preserve">of the single variable models </w:t>
      </w:r>
      <w:r>
        <w:rPr>
          <w:rFonts w:ascii="Arial" w:hAnsi="Arial" w:cs="Arial"/>
        </w:rPr>
        <w:t>(</w:t>
      </w:r>
      <w:r w:rsidR="008B76A9">
        <w:rPr>
          <w:rFonts w:ascii="Arial" w:hAnsi="Arial" w:cs="Arial"/>
        </w:rPr>
        <w:t>Table 5</w:t>
      </w:r>
      <w:r>
        <w:rPr>
          <w:rFonts w:ascii="Arial" w:hAnsi="Arial" w:cs="Arial"/>
        </w:rPr>
        <w:t>)</w:t>
      </w:r>
      <w:r w:rsidR="008B76A9" w:rsidRPr="00180CFC">
        <w:rPr>
          <w:rFonts w:ascii="Arial" w:hAnsi="Arial" w:cs="Arial"/>
        </w:rPr>
        <w:t xml:space="preserve"> suggest that the SIMD variables </w:t>
      </w:r>
      <w:r w:rsidR="008B76A9">
        <w:rPr>
          <w:rFonts w:ascii="Arial" w:hAnsi="Arial" w:cs="Arial"/>
        </w:rPr>
        <w:t xml:space="preserve">perform approximately equally well or better than the LLTI variable. The Scenario 1 score is performing worse than the Income domain score in the single variable models, so it is not tested in the multivariate models and in the models using a composite variable. In combination with the SMR and LLTI, the SIMD scores improve the model fit slightly. The ‘best’ model in terms of highest adjusted R-squared value is the supply model plus SMR, LLTI and Income domain score. However, the ‘best’ model represents only a modest improvement over </w:t>
      </w:r>
      <w:r w:rsidR="008B76A9" w:rsidRPr="00180CFC">
        <w:rPr>
          <w:rFonts w:ascii="Arial" w:hAnsi="Arial" w:cs="Arial"/>
        </w:rPr>
        <w:t>the amount of variation explained by the reference model</w:t>
      </w:r>
      <w:r w:rsidR="008B76A9">
        <w:rPr>
          <w:rFonts w:ascii="Arial" w:hAnsi="Arial" w:cs="Arial"/>
        </w:rPr>
        <w:t>.</w:t>
      </w:r>
    </w:p>
    <w:p w:rsidR="008B76A9" w:rsidRDefault="008B76A9" w:rsidP="008B76A9">
      <w:pPr>
        <w:spacing w:after="0"/>
        <w:jc w:val="both"/>
        <w:rPr>
          <w:rFonts w:ascii="Arial" w:hAnsi="Arial" w:cs="Arial"/>
        </w:rPr>
      </w:pPr>
    </w:p>
    <w:p w:rsidR="00E04E20" w:rsidRDefault="00E04E20">
      <w:pPr>
        <w:rPr>
          <w:rFonts w:ascii="Arial" w:hAnsi="Arial" w:cs="Arial"/>
        </w:rPr>
      </w:pPr>
    </w:p>
    <w:p w:rsidR="004D1B4F" w:rsidRDefault="004D1B4F" w:rsidP="00AD7D3A">
      <w:pPr>
        <w:spacing w:after="0"/>
        <w:jc w:val="both"/>
        <w:rPr>
          <w:rFonts w:ascii="Arial" w:hAnsi="Arial" w:cs="Arial"/>
        </w:rPr>
        <w:sectPr w:rsidR="004D1B4F" w:rsidSect="00E04E20">
          <w:pgSz w:w="16838" w:h="11906" w:orient="landscape"/>
          <w:pgMar w:top="1440" w:right="1440" w:bottom="1440" w:left="1440" w:header="709" w:footer="709" w:gutter="0"/>
          <w:cols w:space="708"/>
          <w:docGrid w:linePitch="360"/>
        </w:sectPr>
      </w:pPr>
    </w:p>
    <w:p w:rsidR="00C22C6C" w:rsidRDefault="00873E36" w:rsidP="00AD7D3A">
      <w:pPr>
        <w:spacing w:after="0"/>
        <w:jc w:val="both"/>
        <w:rPr>
          <w:rFonts w:ascii="Arial" w:hAnsi="Arial" w:cs="Arial"/>
        </w:rPr>
      </w:pPr>
      <w:r>
        <w:rPr>
          <w:rFonts w:ascii="Arial" w:hAnsi="Arial" w:cs="Arial"/>
        </w:rPr>
        <w:lastRenderedPageBreak/>
        <w:t>The conclusions in terms of the SIMD significance are the same for the 3 years Data Zones as for the 1 year Data Zones but the var</w:t>
      </w:r>
      <w:r w:rsidR="00E21DEF">
        <w:rPr>
          <w:rFonts w:ascii="Arial" w:hAnsi="Arial" w:cs="Arial"/>
        </w:rPr>
        <w:t>iability in</w:t>
      </w:r>
      <w:r>
        <w:rPr>
          <w:rFonts w:ascii="Arial" w:hAnsi="Arial" w:cs="Arial"/>
        </w:rPr>
        <w:t xml:space="preserve"> the data explained by the models is increased</w:t>
      </w:r>
      <w:r w:rsidR="00AD7D3A">
        <w:rPr>
          <w:rFonts w:ascii="Arial" w:hAnsi="Arial" w:cs="Arial"/>
        </w:rPr>
        <w:t xml:space="preserve"> (Table 6)</w:t>
      </w:r>
      <w:r>
        <w:rPr>
          <w:rFonts w:ascii="Arial" w:hAnsi="Arial" w:cs="Arial"/>
        </w:rPr>
        <w:t xml:space="preserve">. </w:t>
      </w:r>
      <w:r w:rsidR="009E1E5E">
        <w:rPr>
          <w:rFonts w:ascii="Arial" w:hAnsi="Arial" w:cs="Arial"/>
        </w:rPr>
        <w:t xml:space="preserve">The ‘best’ model in terms of highest </w:t>
      </w:r>
      <w:r w:rsidR="00F60A5C">
        <w:rPr>
          <w:rFonts w:ascii="Arial" w:hAnsi="Arial" w:cs="Arial"/>
        </w:rPr>
        <w:t xml:space="preserve">adjusted </w:t>
      </w:r>
      <w:r w:rsidR="009E1E5E">
        <w:rPr>
          <w:rFonts w:ascii="Arial" w:hAnsi="Arial" w:cs="Arial"/>
        </w:rPr>
        <w:t>R-squared value is the supply model plus SMR, LLTI and Income domain score</w:t>
      </w:r>
      <w:r w:rsidR="009D0E5A">
        <w:rPr>
          <w:rFonts w:ascii="Arial" w:hAnsi="Arial" w:cs="Arial"/>
        </w:rPr>
        <w:t>,</w:t>
      </w:r>
      <w:r>
        <w:rPr>
          <w:rFonts w:ascii="Arial" w:hAnsi="Arial" w:cs="Arial"/>
        </w:rPr>
        <w:t xml:space="preserve"> as for 1 year Data Zones</w:t>
      </w:r>
      <w:r w:rsidR="009E1E5E">
        <w:rPr>
          <w:rFonts w:ascii="Arial" w:hAnsi="Arial" w:cs="Arial"/>
        </w:rPr>
        <w:t xml:space="preserve">. </w:t>
      </w:r>
      <w:r w:rsidR="00AD7D3A">
        <w:rPr>
          <w:rFonts w:ascii="Arial" w:hAnsi="Arial" w:cs="Arial"/>
        </w:rPr>
        <w:t xml:space="preserve">However, again, the ‘best’ model represents only a modest improvement over </w:t>
      </w:r>
      <w:r w:rsidR="00AD7D3A" w:rsidRPr="00180CFC">
        <w:rPr>
          <w:rFonts w:ascii="Arial" w:hAnsi="Arial" w:cs="Arial"/>
        </w:rPr>
        <w:t>the reference model</w:t>
      </w:r>
      <w:r w:rsidR="00AD7D3A">
        <w:rPr>
          <w:rFonts w:ascii="Arial" w:hAnsi="Arial" w:cs="Arial"/>
        </w:rPr>
        <w:t xml:space="preserve">. </w:t>
      </w:r>
    </w:p>
    <w:p w:rsidR="004D1B4F" w:rsidRDefault="004D1B4F" w:rsidP="00AD7D3A">
      <w:pPr>
        <w:spacing w:after="0"/>
        <w:jc w:val="both"/>
        <w:rPr>
          <w:rFonts w:ascii="Arial" w:hAnsi="Arial" w:cs="Arial"/>
        </w:rPr>
      </w:pPr>
    </w:p>
    <w:p w:rsidR="00180CFC" w:rsidRPr="00180CFC" w:rsidRDefault="0010160D" w:rsidP="00180CFC">
      <w:pPr>
        <w:rPr>
          <w:rFonts w:ascii="Arial" w:hAnsi="Arial" w:cs="Arial"/>
          <w:b/>
        </w:rPr>
      </w:pPr>
      <w:r>
        <w:rPr>
          <w:rFonts w:ascii="Arial" w:hAnsi="Arial" w:cs="Arial"/>
          <w:b/>
        </w:rPr>
        <w:t>4</w:t>
      </w:r>
      <w:r w:rsidR="00180CFC" w:rsidRPr="00180CFC">
        <w:rPr>
          <w:rFonts w:ascii="Arial" w:hAnsi="Arial" w:cs="Arial"/>
          <w:b/>
        </w:rPr>
        <w:t>.2 Intermediate Zones</w:t>
      </w:r>
    </w:p>
    <w:p w:rsidR="00180CFC" w:rsidRPr="00180CFC" w:rsidRDefault="00180CFC" w:rsidP="00180CFC">
      <w:pPr>
        <w:jc w:val="both"/>
        <w:rPr>
          <w:rFonts w:ascii="Arial" w:hAnsi="Arial" w:cs="Arial"/>
        </w:rPr>
      </w:pPr>
      <w:r w:rsidRPr="00180CFC">
        <w:rPr>
          <w:rFonts w:ascii="Arial" w:hAnsi="Arial" w:cs="Arial"/>
        </w:rPr>
        <w:t xml:space="preserve">There is currently no valid procedure to aggregate SIMD scores from Data Zones to Intermediate Zones. There are two approaches recommended by the Scottish Government SIMD team to create SIMD variables at Intermediate </w:t>
      </w:r>
      <w:r w:rsidR="00AD7D3A">
        <w:rPr>
          <w:rFonts w:ascii="Arial" w:hAnsi="Arial" w:cs="Arial"/>
        </w:rPr>
        <w:t>Z</w:t>
      </w:r>
      <w:r w:rsidRPr="00180CFC">
        <w:rPr>
          <w:rFonts w:ascii="Arial" w:hAnsi="Arial" w:cs="Arial"/>
        </w:rPr>
        <w:t>one level. Both approaches are based on calculating the proportion of Data Zones within Intermediate Zone (local share) or within Scotland (national share) that are 'deprived' at some predefined deprivation level</w:t>
      </w:r>
      <w:r w:rsidR="009D0E5A">
        <w:rPr>
          <w:rFonts w:ascii="Arial" w:hAnsi="Arial" w:cs="Arial"/>
        </w:rPr>
        <w:t xml:space="preserve">. Deprivation levels (percentiles) of </w:t>
      </w:r>
      <w:r w:rsidRPr="00180CFC">
        <w:rPr>
          <w:rFonts w:ascii="Arial" w:hAnsi="Arial" w:cs="Arial"/>
        </w:rPr>
        <w:t xml:space="preserve">5%, 10%, 15%, 20% and 25% have been </w:t>
      </w:r>
      <w:r w:rsidR="009D0E5A">
        <w:rPr>
          <w:rFonts w:ascii="Arial" w:hAnsi="Arial" w:cs="Arial"/>
        </w:rPr>
        <w:t>considered;</w:t>
      </w:r>
      <w:r w:rsidRPr="00180CFC">
        <w:rPr>
          <w:rFonts w:ascii="Arial" w:hAnsi="Arial" w:cs="Arial"/>
        </w:rPr>
        <w:t xml:space="preserve"> the results f</w:t>
      </w:r>
      <w:r w:rsidR="009D0E5A">
        <w:rPr>
          <w:rFonts w:ascii="Arial" w:hAnsi="Arial" w:cs="Arial"/>
        </w:rPr>
        <w:t>or 5% and 25% are applied below</w:t>
      </w:r>
      <w:r w:rsidRPr="00180CFC">
        <w:rPr>
          <w:rFonts w:ascii="Arial" w:hAnsi="Arial" w:cs="Arial"/>
        </w:rPr>
        <w:t>.</w:t>
      </w:r>
      <w:r w:rsidR="00AD7D3A">
        <w:rPr>
          <w:rStyle w:val="FootnoteReference"/>
          <w:rFonts w:ascii="Arial" w:hAnsi="Arial" w:cs="Arial"/>
        </w:rPr>
        <w:footnoteReference w:id="3"/>
      </w:r>
    </w:p>
    <w:p w:rsidR="00180CFC" w:rsidRPr="00180CFC" w:rsidRDefault="0010160D" w:rsidP="00180CFC">
      <w:pPr>
        <w:rPr>
          <w:rFonts w:ascii="Arial" w:hAnsi="Arial" w:cs="Arial"/>
          <w:b/>
        </w:rPr>
      </w:pPr>
      <w:r>
        <w:rPr>
          <w:rFonts w:ascii="Arial" w:hAnsi="Arial" w:cs="Arial"/>
          <w:b/>
        </w:rPr>
        <w:t>4</w:t>
      </w:r>
      <w:r w:rsidR="00180CFC" w:rsidRPr="00180CFC">
        <w:rPr>
          <w:rFonts w:ascii="Arial" w:hAnsi="Arial" w:cs="Arial"/>
          <w:b/>
        </w:rPr>
        <w:t>.2.1 Correlations</w:t>
      </w:r>
    </w:p>
    <w:p w:rsidR="004D1B4F" w:rsidRDefault="00180CFC" w:rsidP="004D1B4F">
      <w:pPr>
        <w:jc w:val="both"/>
        <w:rPr>
          <w:rFonts w:ascii="Arial" w:hAnsi="Arial" w:cs="Arial"/>
        </w:rPr>
      </w:pPr>
      <w:r w:rsidRPr="00180CFC">
        <w:rPr>
          <w:rFonts w:ascii="Arial" w:hAnsi="Arial" w:cs="Arial"/>
        </w:rPr>
        <w:t xml:space="preserve">The correlations between the cost ratios </w:t>
      </w:r>
      <w:r w:rsidR="002D6A08">
        <w:rPr>
          <w:rFonts w:ascii="Arial" w:hAnsi="Arial" w:cs="Arial"/>
        </w:rPr>
        <w:t>and the newly created</w:t>
      </w:r>
      <w:r w:rsidRPr="00180CFC">
        <w:rPr>
          <w:rFonts w:ascii="Arial" w:hAnsi="Arial" w:cs="Arial"/>
        </w:rPr>
        <w:t xml:space="preserve"> explanatory variables</w:t>
      </w:r>
      <w:r w:rsidR="002D6A08">
        <w:rPr>
          <w:rFonts w:ascii="Arial" w:hAnsi="Arial" w:cs="Arial"/>
        </w:rPr>
        <w:t xml:space="preserve"> from the Income domain score</w:t>
      </w:r>
      <w:r w:rsidRPr="00180CFC">
        <w:rPr>
          <w:rFonts w:ascii="Arial" w:hAnsi="Arial" w:cs="Arial"/>
        </w:rPr>
        <w:t xml:space="preserve"> are calculated for eac</w:t>
      </w:r>
      <w:r w:rsidR="000C2A96">
        <w:rPr>
          <w:rFonts w:ascii="Arial" w:hAnsi="Arial" w:cs="Arial"/>
        </w:rPr>
        <w:t>h</w:t>
      </w:r>
      <w:r w:rsidRPr="00180CFC">
        <w:rPr>
          <w:rFonts w:ascii="Arial" w:hAnsi="Arial" w:cs="Arial"/>
        </w:rPr>
        <w:t xml:space="preserve"> diagnostic group and are </w:t>
      </w:r>
      <w:r w:rsidR="00E55014">
        <w:rPr>
          <w:rFonts w:ascii="Arial" w:hAnsi="Arial" w:cs="Arial"/>
        </w:rPr>
        <w:t xml:space="preserve">shown in </w:t>
      </w:r>
      <w:r w:rsidR="00D66C09">
        <w:rPr>
          <w:rFonts w:ascii="Arial" w:hAnsi="Arial" w:cs="Arial"/>
        </w:rPr>
        <w:t>the last table of Annex F</w:t>
      </w:r>
      <w:r w:rsidRPr="00180CFC">
        <w:rPr>
          <w:rFonts w:ascii="Arial" w:hAnsi="Arial" w:cs="Arial"/>
        </w:rPr>
        <w:t xml:space="preserve">.  </w:t>
      </w:r>
      <w:r w:rsidR="00AD7D3A">
        <w:rPr>
          <w:rFonts w:ascii="Arial" w:hAnsi="Arial" w:cs="Arial"/>
        </w:rPr>
        <w:t>(</w:t>
      </w:r>
      <w:r w:rsidR="00AD7D3A" w:rsidRPr="00180CFC">
        <w:rPr>
          <w:rFonts w:ascii="Arial" w:hAnsi="Arial" w:cs="Arial"/>
        </w:rPr>
        <w:t xml:space="preserve">The local and national shares </w:t>
      </w:r>
      <w:r w:rsidR="00AD7D3A">
        <w:rPr>
          <w:rFonts w:ascii="Arial" w:hAnsi="Arial" w:cs="Arial"/>
        </w:rPr>
        <w:t>were also</w:t>
      </w:r>
      <w:r w:rsidR="00AD7D3A" w:rsidRPr="00180CFC">
        <w:rPr>
          <w:rFonts w:ascii="Arial" w:hAnsi="Arial" w:cs="Arial"/>
        </w:rPr>
        <w:t xml:space="preserve"> calculated for the SIMD overall score</w:t>
      </w:r>
      <w:r w:rsidR="00AD7D3A">
        <w:rPr>
          <w:rFonts w:ascii="Arial" w:hAnsi="Arial" w:cs="Arial"/>
        </w:rPr>
        <w:t xml:space="preserve"> and </w:t>
      </w:r>
      <w:r w:rsidR="00AD7D3A" w:rsidRPr="00180CFC">
        <w:rPr>
          <w:rFonts w:ascii="Arial" w:hAnsi="Arial" w:cs="Arial"/>
        </w:rPr>
        <w:t>the two SIMD minus Health scenarios</w:t>
      </w:r>
      <w:r w:rsidR="00AD7D3A">
        <w:rPr>
          <w:rFonts w:ascii="Arial" w:hAnsi="Arial" w:cs="Arial"/>
        </w:rPr>
        <w:t>, but the correlations were extremely similar.)</w:t>
      </w:r>
    </w:p>
    <w:p w:rsidR="00750FC5" w:rsidRDefault="00180CFC" w:rsidP="004D1B4F">
      <w:pPr>
        <w:jc w:val="both"/>
        <w:rPr>
          <w:rFonts w:ascii="Arial" w:hAnsi="Arial" w:cs="Arial"/>
        </w:rPr>
      </w:pPr>
      <w:r w:rsidRPr="00180CFC">
        <w:rPr>
          <w:rFonts w:ascii="Arial" w:hAnsi="Arial" w:cs="Arial"/>
        </w:rPr>
        <w:t xml:space="preserve">Increase in the deprivation level leads to a slight increase in the correlation between cost ratios and local/national shares. The standard deviation of the national shares at all deprivation levels is </w:t>
      </w:r>
      <w:r w:rsidR="001302F2">
        <w:rPr>
          <w:rFonts w:ascii="Arial" w:hAnsi="Arial" w:cs="Arial"/>
        </w:rPr>
        <w:t xml:space="preserve">found to be </w:t>
      </w:r>
      <w:r w:rsidRPr="00180CFC">
        <w:rPr>
          <w:rFonts w:ascii="Arial" w:hAnsi="Arial" w:cs="Arial"/>
        </w:rPr>
        <w:t>extremely low</w:t>
      </w:r>
      <w:r w:rsidR="001302F2">
        <w:rPr>
          <w:rFonts w:ascii="Arial" w:hAnsi="Arial" w:cs="Arial"/>
        </w:rPr>
        <w:t>,</w:t>
      </w:r>
      <w:r w:rsidRPr="00180CFC">
        <w:rPr>
          <w:rFonts w:ascii="Arial" w:hAnsi="Arial" w:cs="Arial"/>
        </w:rPr>
        <w:t xml:space="preserve"> so local shares are preferred to test the significance of SIMD</w:t>
      </w:r>
      <w:r w:rsidR="00750FC5">
        <w:rPr>
          <w:rFonts w:ascii="Arial" w:hAnsi="Arial" w:cs="Arial"/>
        </w:rPr>
        <w:t xml:space="preserve"> Income domain variables</w:t>
      </w:r>
      <w:r w:rsidRPr="00180CFC">
        <w:rPr>
          <w:rFonts w:ascii="Arial" w:hAnsi="Arial" w:cs="Arial"/>
        </w:rPr>
        <w:t>.</w:t>
      </w:r>
      <w:r w:rsidR="00750FC5">
        <w:rPr>
          <w:rFonts w:ascii="Arial" w:hAnsi="Arial" w:cs="Arial"/>
        </w:rPr>
        <w:t xml:space="preserve"> Both 5% and 25% Income domain local shares are tested in the regression analysis as well as the 5% and 25% Scenario 1 local shares as a reference.</w:t>
      </w:r>
    </w:p>
    <w:p w:rsidR="00180CFC" w:rsidRDefault="00C500A6" w:rsidP="00750FC5">
      <w:pPr>
        <w:spacing w:after="0"/>
        <w:jc w:val="both"/>
        <w:rPr>
          <w:rFonts w:ascii="Arial" w:hAnsi="Arial" w:cs="Arial"/>
        </w:rPr>
      </w:pPr>
      <w:r>
        <w:rPr>
          <w:rFonts w:ascii="Arial" w:hAnsi="Arial" w:cs="Arial"/>
        </w:rPr>
        <w:t xml:space="preserve">The correlations </w:t>
      </w:r>
      <w:r w:rsidR="00D66C09">
        <w:rPr>
          <w:rFonts w:ascii="Arial" w:hAnsi="Arial" w:cs="Arial"/>
        </w:rPr>
        <w:t xml:space="preserve">(Table F.3) </w:t>
      </w:r>
      <w:r>
        <w:rPr>
          <w:rFonts w:ascii="Arial" w:hAnsi="Arial" w:cs="Arial"/>
        </w:rPr>
        <w:t xml:space="preserve">are slightly lower than those for SMR and LLTI at Intermediate Zones (Table 1). </w:t>
      </w:r>
      <w:r w:rsidR="00180CFC" w:rsidRPr="00180CFC">
        <w:rPr>
          <w:rFonts w:ascii="Arial" w:hAnsi="Arial" w:cs="Arial"/>
        </w:rPr>
        <w:t>Moreover, there is high zero activity due to the definition of the shares, which suggests that the newly created SIMD variables will not be performing well in the regressions (1063 Intermediate Zones</w:t>
      </w:r>
      <w:r w:rsidR="00AD7D3A">
        <w:rPr>
          <w:rFonts w:ascii="Arial" w:hAnsi="Arial" w:cs="Arial"/>
        </w:rPr>
        <w:t xml:space="preserve"> have a zero share</w:t>
      </w:r>
      <w:r w:rsidR="00AD7D3A" w:rsidRPr="00AD7D3A">
        <w:rPr>
          <w:rFonts w:ascii="Arial" w:hAnsi="Arial" w:cs="Arial"/>
        </w:rPr>
        <w:t xml:space="preserve"> </w:t>
      </w:r>
      <w:r w:rsidR="00AD7D3A">
        <w:rPr>
          <w:rFonts w:ascii="Arial" w:hAnsi="Arial" w:cs="Arial"/>
        </w:rPr>
        <w:t xml:space="preserve">at the </w:t>
      </w:r>
      <w:r w:rsidR="00AD7D3A" w:rsidRPr="00180CFC">
        <w:rPr>
          <w:rFonts w:ascii="Arial" w:hAnsi="Arial" w:cs="Arial"/>
        </w:rPr>
        <w:t>5% deprivation level</w:t>
      </w:r>
      <w:r w:rsidR="00180CFC" w:rsidRPr="00180CFC">
        <w:rPr>
          <w:rFonts w:ascii="Arial" w:hAnsi="Arial" w:cs="Arial"/>
        </w:rPr>
        <w:t xml:space="preserve">, 834 Intermediate Zones </w:t>
      </w:r>
      <w:r w:rsidR="00AD7D3A">
        <w:rPr>
          <w:rFonts w:ascii="Arial" w:hAnsi="Arial" w:cs="Arial"/>
        </w:rPr>
        <w:t xml:space="preserve">at the </w:t>
      </w:r>
      <w:r w:rsidR="00AD7D3A" w:rsidRPr="00180CFC">
        <w:rPr>
          <w:rFonts w:ascii="Arial" w:hAnsi="Arial" w:cs="Arial"/>
        </w:rPr>
        <w:t>15% deprivation level</w:t>
      </w:r>
      <w:r w:rsidR="00AD7D3A">
        <w:rPr>
          <w:rFonts w:ascii="Arial" w:hAnsi="Arial" w:cs="Arial"/>
        </w:rPr>
        <w:t>,</w:t>
      </w:r>
      <w:r w:rsidR="00AD7D3A" w:rsidRPr="00180CFC">
        <w:rPr>
          <w:rFonts w:ascii="Arial" w:hAnsi="Arial" w:cs="Arial"/>
        </w:rPr>
        <w:t xml:space="preserve"> </w:t>
      </w:r>
      <w:r w:rsidR="00180CFC" w:rsidRPr="00180CFC">
        <w:rPr>
          <w:rFonts w:ascii="Arial" w:hAnsi="Arial" w:cs="Arial"/>
        </w:rPr>
        <w:t>and 662 Intermediate Zones</w:t>
      </w:r>
      <w:r w:rsidR="00AD7D3A">
        <w:rPr>
          <w:rFonts w:ascii="Arial" w:hAnsi="Arial" w:cs="Arial"/>
        </w:rPr>
        <w:t xml:space="preserve"> at the </w:t>
      </w:r>
      <w:r w:rsidR="00AD7D3A" w:rsidRPr="00180CFC">
        <w:rPr>
          <w:rFonts w:ascii="Arial" w:hAnsi="Arial" w:cs="Arial"/>
        </w:rPr>
        <w:t>25% deprivation level</w:t>
      </w:r>
      <w:r w:rsidR="00180CFC" w:rsidRPr="00180CFC">
        <w:rPr>
          <w:rFonts w:ascii="Arial" w:hAnsi="Arial" w:cs="Arial"/>
        </w:rPr>
        <w:t xml:space="preserve">). </w:t>
      </w:r>
    </w:p>
    <w:p w:rsidR="00750FC5" w:rsidRPr="00180CFC" w:rsidRDefault="00750FC5" w:rsidP="00750FC5">
      <w:pPr>
        <w:spacing w:after="0"/>
        <w:jc w:val="both"/>
        <w:rPr>
          <w:rFonts w:ascii="Arial" w:hAnsi="Arial" w:cs="Arial"/>
        </w:rPr>
      </w:pPr>
    </w:p>
    <w:p w:rsidR="00180CFC" w:rsidRPr="00180CFC" w:rsidRDefault="0010160D" w:rsidP="00180CFC">
      <w:pPr>
        <w:rPr>
          <w:rFonts w:ascii="Arial" w:hAnsi="Arial" w:cs="Arial"/>
          <w:b/>
        </w:rPr>
      </w:pPr>
      <w:r>
        <w:rPr>
          <w:rFonts w:ascii="Arial" w:hAnsi="Arial" w:cs="Arial"/>
          <w:b/>
        </w:rPr>
        <w:t>4</w:t>
      </w:r>
      <w:r w:rsidR="00180CFC" w:rsidRPr="00180CFC">
        <w:rPr>
          <w:rFonts w:ascii="Arial" w:hAnsi="Arial" w:cs="Arial"/>
          <w:b/>
        </w:rPr>
        <w:t>.2.2 Significance of SIMD variables</w:t>
      </w:r>
    </w:p>
    <w:p w:rsidR="00784D92" w:rsidRPr="004D1B4F" w:rsidRDefault="00750FC5" w:rsidP="004D1B4F">
      <w:pPr>
        <w:jc w:val="both"/>
        <w:rPr>
          <w:rFonts w:ascii="Arial" w:hAnsi="Arial" w:cs="Arial"/>
        </w:rPr>
        <w:sectPr w:rsidR="00784D92" w:rsidRPr="004D1B4F" w:rsidSect="004D1B4F">
          <w:pgSz w:w="11906" w:h="16838"/>
          <w:pgMar w:top="1440" w:right="1440" w:bottom="1440" w:left="1440" w:header="709" w:footer="709" w:gutter="0"/>
          <w:cols w:space="708"/>
          <w:docGrid w:linePitch="360"/>
        </w:sectPr>
      </w:pPr>
      <w:r w:rsidRPr="00180CFC">
        <w:rPr>
          <w:rFonts w:ascii="Arial" w:hAnsi="Arial" w:cs="Arial"/>
        </w:rPr>
        <w:t>To test the significance of SIMD</w:t>
      </w:r>
      <w:r>
        <w:rPr>
          <w:rFonts w:ascii="Arial" w:hAnsi="Arial" w:cs="Arial"/>
        </w:rPr>
        <w:t xml:space="preserve"> Income domain and Scenario</w:t>
      </w:r>
      <w:r w:rsidR="00E55014">
        <w:rPr>
          <w:rFonts w:ascii="Arial" w:hAnsi="Arial" w:cs="Arial"/>
        </w:rPr>
        <w:t xml:space="preserve"> 1</w:t>
      </w:r>
      <w:r>
        <w:rPr>
          <w:rFonts w:ascii="Arial" w:hAnsi="Arial" w:cs="Arial"/>
        </w:rPr>
        <w:t xml:space="preserve"> 5% and 25% local shares</w:t>
      </w:r>
      <w:r w:rsidRPr="00180CFC">
        <w:rPr>
          <w:rFonts w:ascii="Arial" w:hAnsi="Arial" w:cs="Arial"/>
        </w:rPr>
        <w:t>,</w:t>
      </w:r>
      <w:r>
        <w:rPr>
          <w:rFonts w:ascii="Arial" w:hAnsi="Arial" w:cs="Arial"/>
        </w:rPr>
        <w:t xml:space="preserve"> regression analysis is carried out using the same stepwise method as describ</w:t>
      </w:r>
      <w:r w:rsidR="00FE1095">
        <w:rPr>
          <w:rFonts w:ascii="Arial" w:hAnsi="Arial" w:cs="Arial"/>
        </w:rPr>
        <w:t>ed in the beginning of section 4</w:t>
      </w:r>
      <w:r>
        <w:rPr>
          <w:rFonts w:ascii="Arial" w:hAnsi="Arial" w:cs="Arial"/>
        </w:rPr>
        <w:t>.1</w:t>
      </w:r>
      <w:r w:rsidRPr="00180CFC">
        <w:rPr>
          <w:rFonts w:ascii="Arial" w:hAnsi="Arial" w:cs="Arial"/>
        </w:rPr>
        <w:t xml:space="preserve">. Table </w:t>
      </w:r>
      <w:r w:rsidR="00AD7D3A">
        <w:rPr>
          <w:rFonts w:ascii="Arial" w:hAnsi="Arial" w:cs="Arial"/>
        </w:rPr>
        <w:t>7</w:t>
      </w:r>
      <w:r>
        <w:rPr>
          <w:rFonts w:ascii="Arial" w:hAnsi="Arial" w:cs="Arial"/>
        </w:rPr>
        <w:t xml:space="preserve"> provides</w:t>
      </w:r>
      <w:r w:rsidRPr="00180CFC">
        <w:rPr>
          <w:rFonts w:ascii="Arial" w:hAnsi="Arial" w:cs="Arial"/>
        </w:rPr>
        <w:t xml:space="preserve"> a summary of the regression analysis output.</w:t>
      </w:r>
      <w:r>
        <w:rPr>
          <w:rFonts w:ascii="Arial" w:hAnsi="Arial" w:cs="Arial"/>
        </w:rPr>
        <w:t xml:space="preserve"> The </w:t>
      </w:r>
      <w:proofErr w:type="gramStart"/>
      <w:r>
        <w:rPr>
          <w:rFonts w:ascii="Arial" w:hAnsi="Arial" w:cs="Arial"/>
        </w:rPr>
        <w:t>red</w:t>
      </w:r>
      <w:proofErr w:type="gramEnd"/>
      <w:r>
        <w:rPr>
          <w:rFonts w:ascii="Arial" w:hAnsi="Arial" w:cs="Arial"/>
        </w:rPr>
        <w:t xml:space="preserve"> values in bold indicate the best </w:t>
      </w:r>
      <w:r w:rsidR="00602370">
        <w:rPr>
          <w:rFonts w:ascii="Arial" w:hAnsi="Arial" w:cs="Arial"/>
        </w:rPr>
        <w:t xml:space="preserve">adjusted </w:t>
      </w:r>
      <w:r>
        <w:rPr>
          <w:rFonts w:ascii="Arial" w:hAnsi="Arial" w:cs="Arial"/>
        </w:rPr>
        <w:t>R-squared values for each diagnostic group.</w:t>
      </w:r>
    </w:p>
    <w:p w:rsidR="00180CFC" w:rsidRPr="00180CFC" w:rsidRDefault="004D1B4F" w:rsidP="00D936EB">
      <w:pPr>
        <w:spacing w:after="0"/>
        <w:rPr>
          <w:rFonts w:ascii="Arial" w:hAnsi="Arial" w:cs="Arial"/>
          <w:i/>
        </w:rPr>
      </w:pPr>
      <w:proofErr w:type="gramStart"/>
      <w:r>
        <w:rPr>
          <w:rFonts w:ascii="Arial" w:hAnsi="Arial" w:cs="Arial"/>
          <w:i/>
        </w:rPr>
        <w:lastRenderedPageBreak/>
        <w:t>Ta</w:t>
      </w:r>
      <w:r w:rsidR="00180CFC" w:rsidRPr="00180CFC">
        <w:rPr>
          <w:rFonts w:ascii="Arial" w:hAnsi="Arial" w:cs="Arial"/>
          <w:i/>
        </w:rPr>
        <w:t xml:space="preserve">ble </w:t>
      </w:r>
      <w:r w:rsidR="00AD7D3A">
        <w:rPr>
          <w:rFonts w:ascii="Arial" w:hAnsi="Arial" w:cs="Arial"/>
          <w:i/>
        </w:rPr>
        <w:t>7</w:t>
      </w:r>
      <w:r w:rsidR="00180CFC" w:rsidRPr="00180CFC">
        <w:rPr>
          <w:rFonts w:ascii="Arial" w:hAnsi="Arial" w:cs="Arial"/>
          <w:i/>
        </w:rPr>
        <w:t>.</w:t>
      </w:r>
      <w:proofErr w:type="gramEnd"/>
      <w:r w:rsidR="00180CFC" w:rsidRPr="00180CFC">
        <w:rPr>
          <w:rFonts w:ascii="Arial" w:hAnsi="Arial" w:cs="Arial"/>
          <w:i/>
        </w:rPr>
        <w:t xml:space="preserve"> </w:t>
      </w:r>
      <w:proofErr w:type="gramStart"/>
      <w:r w:rsidR="00180CFC" w:rsidRPr="00180CFC">
        <w:rPr>
          <w:rFonts w:ascii="Arial" w:hAnsi="Arial" w:cs="Arial"/>
          <w:i/>
        </w:rPr>
        <w:t>Significance of SIMD</w:t>
      </w:r>
      <w:r w:rsidR="00D936EB">
        <w:rPr>
          <w:rFonts w:ascii="Arial" w:hAnsi="Arial" w:cs="Arial"/>
          <w:i/>
        </w:rPr>
        <w:t xml:space="preserve"> at </w:t>
      </w:r>
      <w:r w:rsidR="00E55014">
        <w:rPr>
          <w:rFonts w:ascii="Arial" w:hAnsi="Arial" w:cs="Arial"/>
          <w:i/>
        </w:rPr>
        <w:t>1 year Intermediate Zones</w:t>
      </w:r>
      <w:r w:rsidR="00180CFC" w:rsidRPr="00180CFC">
        <w:rPr>
          <w:rFonts w:ascii="Arial" w:hAnsi="Arial" w:cs="Arial"/>
          <w:i/>
        </w:rPr>
        <w:t>.</w:t>
      </w:r>
      <w:proofErr w:type="gramEnd"/>
    </w:p>
    <w:tbl>
      <w:tblPr>
        <w:tblW w:w="5000" w:type="pct"/>
        <w:tblLook w:val="04A0"/>
      </w:tblPr>
      <w:tblGrid>
        <w:gridCol w:w="8151"/>
        <w:gridCol w:w="851"/>
        <w:gridCol w:w="851"/>
        <w:gridCol w:w="850"/>
        <w:gridCol w:w="853"/>
        <w:gridCol w:w="850"/>
        <w:gridCol w:w="850"/>
        <w:gridCol w:w="918"/>
      </w:tblGrid>
      <w:tr w:rsidR="00152DBC" w:rsidRPr="0028494C" w:rsidTr="00152DBC">
        <w:trPr>
          <w:trHeight w:val="419"/>
        </w:trPr>
        <w:tc>
          <w:tcPr>
            <w:tcW w:w="28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DBC" w:rsidRPr="0028494C" w:rsidRDefault="00E55014" w:rsidP="00E55014">
            <w:pPr>
              <w:spacing w:after="0" w:line="240" w:lineRule="auto"/>
              <w:rPr>
                <w:rFonts w:ascii="Arial" w:eastAsia="Times New Roman" w:hAnsi="Arial" w:cs="Arial"/>
                <w:b/>
                <w:bCs/>
                <w:color w:val="000000"/>
                <w:sz w:val="20"/>
                <w:szCs w:val="18"/>
                <w:lang w:eastAsia="en-GB"/>
              </w:rPr>
            </w:pPr>
            <w:r>
              <w:rPr>
                <w:rFonts w:ascii="Arial" w:eastAsia="Times New Roman" w:hAnsi="Arial" w:cs="Arial"/>
                <w:b/>
                <w:bCs/>
                <w:color w:val="000000"/>
                <w:sz w:val="20"/>
                <w:szCs w:val="18"/>
                <w:lang w:eastAsia="en-GB"/>
              </w:rPr>
              <w:t xml:space="preserve"> 1 year </w:t>
            </w:r>
            <w:r w:rsidR="00152DBC" w:rsidRPr="0028494C">
              <w:rPr>
                <w:rFonts w:ascii="Arial" w:eastAsia="Times New Roman" w:hAnsi="Arial" w:cs="Arial"/>
                <w:b/>
                <w:bCs/>
                <w:color w:val="000000"/>
                <w:sz w:val="20"/>
                <w:szCs w:val="18"/>
                <w:lang w:eastAsia="en-GB"/>
              </w:rPr>
              <w:t xml:space="preserve">Intermediate </w:t>
            </w:r>
            <w:r>
              <w:rPr>
                <w:rFonts w:ascii="Arial" w:eastAsia="Times New Roman" w:hAnsi="Arial" w:cs="Arial"/>
                <w:b/>
                <w:bCs/>
                <w:color w:val="000000"/>
                <w:sz w:val="20"/>
                <w:szCs w:val="18"/>
                <w:lang w:eastAsia="en-GB"/>
              </w:rPr>
              <w:t>Zones</w:t>
            </w:r>
          </w:p>
        </w:tc>
        <w:tc>
          <w:tcPr>
            <w:tcW w:w="2125" w:type="pct"/>
            <w:gridSpan w:val="7"/>
            <w:tcBorders>
              <w:top w:val="single" w:sz="4" w:space="0" w:color="auto"/>
              <w:left w:val="nil"/>
              <w:bottom w:val="single" w:sz="4" w:space="0" w:color="auto"/>
              <w:right w:val="single" w:sz="4" w:space="0" w:color="auto"/>
            </w:tcBorders>
            <w:shd w:val="clear" w:color="auto" w:fill="auto"/>
            <w:vAlign w:val="bottom"/>
            <w:hideMark/>
          </w:tcPr>
          <w:p w:rsidR="00152DBC" w:rsidRPr="0028494C" w:rsidRDefault="00152DBC" w:rsidP="00784D92">
            <w:pPr>
              <w:spacing w:after="0" w:line="240" w:lineRule="auto"/>
              <w:jc w:val="center"/>
              <w:rPr>
                <w:rFonts w:ascii="Arial" w:eastAsia="Times New Roman" w:hAnsi="Arial" w:cs="Arial"/>
                <w:b/>
                <w:bCs/>
                <w:color w:val="000000"/>
                <w:sz w:val="20"/>
                <w:szCs w:val="18"/>
                <w:lang w:eastAsia="en-GB"/>
              </w:rPr>
            </w:pPr>
            <w:r w:rsidRPr="0028494C">
              <w:rPr>
                <w:rFonts w:ascii="Arial" w:eastAsia="Times New Roman" w:hAnsi="Arial" w:cs="Arial"/>
                <w:b/>
                <w:bCs/>
                <w:color w:val="000000"/>
                <w:sz w:val="20"/>
                <w:szCs w:val="18"/>
                <w:lang w:eastAsia="en-GB"/>
              </w:rPr>
              <w:t>adjusted R-squared value</w:t>
            </w:r>
            <w:r w:rsidRPr="0028494C">
              <w:rPr>
                <w:rFonts w:ascii="Arial" w:eastAsia="Times New Roman" w:hAnsi="Arial" w:cs="Arial"/>
                <w:b/>
                <w:bCs/>
                <w:color w:val="000000"/>
                <w:sz w:val="20"/>
                <w:szCs w:val="18"/>
                <w:lang w:eastAsia="en-GB"/>
              </w:rPr>
              <w:br/>
              <w:t>(best values for each DG highlighted in red)</w:t>
            </w:r>
          </w:p>
        </w:tc>
      </w:tr>
      <w:tr w:rsidR="00152DBC" w:rsidRPr="0028494C" w:rsidTr="00152DBC">
        <w:trPr>
          <w:cantSplit/>
          <w:trHeight w:val="1362"/>
        </w:trPr>
        <w:tc>
          <w:tcPr>
            <w:tcW w:w="2875" w:type="pct"/>
            <w:vMerge/>
            <w:tcBorders>
              <w:top w:val="single" w:sz="4" w:space="0" w:color="auto"/>
              <w:left w:val="single" w:sz="4" w:space="0" w:color="auto"/>
              <w:bottom w:val="single" w:sz="4" w:space="0" w:color="auto"/>
              <w:right w:val="single" w:sz="4" w:space="0" w:color="auto"/>
            </w:tcBorders>
            <w:vAlign w:val="center"/>
            <w:hideMark/>
          </w:tcPr>
          <w:p w:rsidR="00152DBC" w:rsidRPr="0028494C" w:rsidRDefault="00152DBC" w:rsidP="00784D92">
            <w:pPr>
              <w:spacing w:after="0" w:line="240" w:lineRule="auto"/>
              <w:rPr>
                <w:rFonts w:ascii="Arial" w:eastAsia="Times New Roman" w:hAnsi="Arial" w:cs="Arial"/>
                <w:b/>
                <w:bCs/>
                <w:color w:val="000000"/>
                <w:sz w:val="20"/>
                <w:szCs w:val="18"/>
                <w:lang w:eastAsia="en-GB"/>
              </w:rPr>
            </w:pP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152DBC" w:rsidRPr="0028494C" w:rsidRDefault="00152DBC" w:rsidP="00784D92">
            <w:pPr>
              <w:spacing w:after="0" w:line="240" w:lineRule="auto"/>
              <w:ind w:left="113" w:right="113"/>
              <w:jc w:val="center"/>
              <w:rPr>
                <w:rFonts w:ascii="Arial" w:eastAsia="Times New Roman" w:hAnsi="Arial" w:cs="Arial"/>
                <w:b/>
                <w:bCs/>
                <w:color w:val="000000"/>
                <w:sz w:val="20"/>
                <w:szCs w:val="18"/>
                <w:lang w:eastAsia="en-GB"/>
              </w:rPr>
            </w:pPr>
            <w:r w:rsidRPr="0028494C">
              <w:rPr>
                <w:rFonts w:ascii="Arial" w:eastAsia="Times New Roman" w:hAnsi="Arial" w:cs="Arial"/>
                <w:b/>
                <w:bCs/>
                <w:color w:val="000000"/>
                <w:sz w:val="20"/>
                <w:szCs w:val="18"/>
                <w:lang w:eastAsia="en-GB"/>
              </w:rPr>
              <w:t>Cancer</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152DBC" w:rsidRPr="0028494C" w:rsidRDefault="00152DBC" w:rsidP="00784D92">
            <w:pPr>
              <w:spacing w:after="0" w:line="240" w:lineRule="auto"/>
              <w:ind w:left="113" w:right="113"/>
              <w:jc w:val="center"/>
              <w:rPr>
                <w:rFonts w:ascii="Arial" w:eastAsia="Times New Roman" w:hAnsi="Arial" w:cs="Arial"/>
                <w:b/>
                <w:bCs/>
                <w:color w:val="000000"/>
                <w:sz w:val="20"/>
                <w:szCs w:val="18"/>
                <w:lang w:eastAsia="en-GB"/>
              </w:rPr>
            </w:pPr>
            <w:r w:rsidRPr="0028494C">
              <w:rPr>
                <w:rFonts w:ascii="Arial" w:eastAsia="Times New Roman" w:hAnsi="Arial" w:cs="Arial"/>
                <w:b/>
                <w:bCs/>
                <w:color w:val="000000"/>
                <w:sz w:val="20"/>
                <w:szCs w:val="18"/>
                <w:lang w:eastAsia="en-GB"/>
              </w:rPr>
              <w:t>Heart</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152DBC" w:rsidRPr="0028494C" w:rsidRDefault="00152DBC" w:rsidP="00784D92">
            <w:pPr>
              <w:spacing w:after="0" w:line="240" w:lineRule="auto"/>
              <w:ind w:left="113" w:right="113"/>
              <w:jc w:val="center"/>
              <w:rPr>
                <w:rFonts w:ascii="Arial" w:eastAsia="Times New Roman" w:hAnsi="Arial" w:cs="Arial"/>
                <w:b/>
                <w:bCs/>
                <w:color w:val="000000"/>
                <w:sz w:val="20"/>
                <w:szCs w:val="18"/>
                <w:lang w:eastAsia="en-GB"/>
              </w:rPr>
            </w:pPr>
            <w:r w:rsidRPr="0028494C">
              <w:rPr>
                <w:rFonts w:ascii="Arial" w:eastAsia="Times New Roman" w:hAnsi="Arial" w:cs="Arial"/>
                <w:b/>
                <w:bCs/>
                <w:color w:val="000000"/>
                <w:sz w:val="20"/>
                <w:szCs w:val="18"/>
                <w:lang w:eastAsia="en-GB"/>
              </w:rPr>
              <w:t>Digestive</w:t>
            </w:r>
          </w:p>
        </w:tc>
        <w:tc>
          <w:tcPr>
            <w:tcW w:w="301" w:type="pct"/>
            <w:tcBorders>
              <w:top w:val="nil"/>
              <w:left w:val="nil"/>
              <w:bottom w:val="single" w:sz="4" w:space="0" w:color="auto"/>
              <w:right w:val="single" w:sz="4" w:space="0" w:color="auto"/>
            </w:tcBorders>
            <w:shd w:val="clear" w:color="auto" w:fill="auto"/>
            <w:noWrap/>
            <w:textDirection w:val="btLr"/>
            <w:vAlign w:val="center"/>
            <w:hideMark/>
          </w:tcPr>
          <w:p w:rsidR="00152DBC" w:rsidRPr="0028494C" w:rsidRDefault="00152DBC" w:rsidP="00784D92">
            <w:pPr>
              <w:spacing w:after="0" w:line="240" w:lineRule="auto"/>
              <w:ind w:left="113" w:right="113"/>
              <w:jc w:val="center"/>
              <w:rPr>
                <w:rFonts w:ascii="Arial" w:eastAsia="Times New Roman" w:hAnsi="Arial" w:cs="Arial"/>
                <w:b/>
                <w:bCs/>
                <w:color w:val="000000"/>
                <w:sz w:val="20"/>
                <w:szCs w:val="18"/>
                <w:lang w:eastAsia="en-GB"/>
              </w:rPr>
            </w:pPr>
            <w:r w:rsidRPr="0028494C">
              <w:rPr>
                <w:rFonts w:ascii="Arial" w:eastAsia="Times New Roman" w:hAnsi="Arial" w:cs="Arial"/>
                <w:b/>
                <w:bCs/>
                <w:color w:val="000000"/>
                <w:sz w:val="20"/>
                <w:szCs w:val="18"/>
                <w:lang w:eastAsia="en-GB"/>
              </w:rPr>
              <w:t>Injury</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152DBC" w:rsidRPr="0028494C" w:rsidRDefault="00152DBC" w:rsidP="00784D92">
            <w:pPr>
              <w:spacing w:after="0" w:line="240" w:lineRule="auto"/>
              <w:ind w:left="113" w:right="113"/>
              <w:jc w:val="center"/>
              <w:rPr>
                <w:rFonts w:ascii="Arial" w:eastAsia="Times New Roman" w:hAnsi="Arial" w:cs="Arial"/>
                <w:b/>
                <w:bCs/>
                <w:color w:val="000000"/>
                <w:sz w:val="20"/>
                <w:szCs w:val="18"/>
                <w:lang w:eastAsia="en-GB"/>
              </w:rPr>
            </w:pPr>
            <w:r w:rsidRPr="0028494C">
              <w:rPr>
                <w:rFonts w:ascii="Arial" w:eastAsia="Times New Roman" w:hAnsi="Arial" w:cs="Arial"/>
                <w:b/>
                <w:bCs/>
                <w:color w:val="000000"/>
                <w:sz w:val="20"/>
                <w:szCs w:val="18"/>
                <w:lang w:eastAsia="en-GB"/>
              </w:rPr>
              <w:t>Other</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152DBC" w:rsidRPr="0028494C" w:rsidRDefault="00152DBC" w:rsidP="00784D92">
            <w:pPr>
              <w:spacing w:after="0" w:line="240" w:lineRule="auto"/>
              <w:ind w:left="113" w:right="113"/>
              <w:jc w:val="center"/>
              <w:rPr>
                <w:rFonts w:ascii="Arial" w:eastAsia="Times New Roman" w:hAnsi="Arial" w:cs="Arial"/>
                <w:b/>
                <w:bCs/>
                <w:color w:val="000000"/>
                <w:sz w:val="20"/>
                <w:szCs w:val="18"/>
                <w:lang w:eastAsia="en-GB"/>
              </w:rPr>
            </w:pPr>
            <w:r w:rsidRPr="0028494C">
              <w:rPr>
                <w:rFonts w:ascii="Arial" w:eastAsia="Times New Roman" w:hAnsi="Arial" w:cs="Arial"/>
                <w:b/>
                <w:bCs/>
                <w:color w:val="000000"/>
                <w:sz w:val="20"/>
                <w:szCs w:val="18"/>
                <w:lang w:eastAsia="en-GB"/>
              </w:rPr>
              <w:t>Respiratory</w:t>
            </w:r>
          </w:p>
        </w:tc>
        <w:tc>
          <w:tcPr>
            <w:tcW w:w="324" w:type="pct"/>
            <w:tcBorders>
              <w:top w:val="nil"/>
              <w:left w:val="nil"/>
              <w:bottom w:val="single" w:sz="4" w:space="0" w:color="auto"/>
              <w:right w:val="single" w:sz="4" w:space="0" w:color="auto"/>
            </w:tcBorders>
            <w:shd w:val="clear" w:color="auto" w:fill="auto"/>
            <w:noWrap/>
            <w:textDirection w:val="btLr"/>
            <w:vAlign w:val="center"/>
            <w:hideMark/>
          </w:tcPr>
          <w:p w:rsidR="00152DBC" w:rsidRPr="0028494C" w:rsidRDefault="00152DBC" w:rsidP="00784D92">
            <w:pPr>
              <w:spacing w:after="0" w:line="240" w:lineRule="auto"/>
              <w:ind w:left="113" w:right="113"/>
              <w:jc w:val="center"/>
              <w:rPr>
                <w:rFonts w:ascii="Arial" w:eastAsia="Times New Roman" w:hAnsi="Arial" w:cs="Arial"/>
                <w:b/>
                <w:bCs/>
                <w:color w:val="000000"/>
                <w:sz w:val="20"/>
                <w:szCs w:val="18"/>
                <w:lang w:eastAsia="en-GB"/>
              </w:rPr>
            </w:pPr>
            <w:r w:rsidRPr="0028494C">
              <w:rPr>
                <w:rFonts w:ascii="Arial" w:eastAsia="Times New Roman" w:hAnsi="Arial" w:cs="Arial"/>
                <w:b/>
                <w:bCs/>
                <w:color w:val="000000"/>
                <w:sz w:val="20"/>
                <w:szCs w:val="18"/>
                <w:lang w:eastAsia="en-GB"/>
              </w:rPr>
              <w:t>Outpatients</w:t>
            </w:r>
          </w:p>
        </w:tc>
      </w:tr>
      <w:tr w:rsidR="00152DBC" w:rsidRPr="0028494C" w:rsidTr="00152DBC">
        <w:trPr>
          <w:trHeight w:val="300"/>
        </w:trPr>
        <w:tc>
          <w:tcPr>
            <w:tcW w:w="2875" w:type="pct"/>
            <w:tcBorders>
              <w:top w:val="nil"/>
              <w:left w:val="single" w:sz="4" w:space="0" w:color="auto"/>
              <w:bottom w:val="single" w:sz="4" w:space="0" w:color="auto"/>
              <w:right w:val="single" w:sz="4" w:space="0" w:color="auto"/>
            </w:tcBorders>
            <w:shd w:val="clear" w:color="auto" w:fill="auto"/>
            <w:noWrap/>
            <w:vAlign w:val="bottom"/>
            <w:hideMark/>
          </w:tcPr>
          <w:p w:rsidR="00152DBC" w:rsidRPr="0028494C" w:rsidRDefault="00152DBC" w:rsidP="00AD7D3A">
            <w:pPr>
              <w:spacing w:after="0" w:line="240" w:lineRule="auto"/>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 xml:space="preserve">supply model (HB Dummies + </w:t>
            </w:r>
            <w:r w:rsidR="00AD7D3A">
              <w:rPr>
                <w:rFonts w:ascii="Arial" w:eastAsia="Times New Roman" w:hAnsi="Arial" w:cs="Arial"/>
                <w:color w:val="000000"/>
                <w:sz w:val="20"/>
                <w:szCs w:val="18"/>
                <w:lang w:eastAsia="en-GB"/>
              </w:rPr>
              <w:t>OPACX</w:t>
            </w:r>
            <w:r w:rsidRPr="0028494C">
              <w:rPr>
                <w:rFonts w:ascii="Arial" w:eastAsia="Times New Roman" w:hAnsi="Arial" w:cs="Arial"/>
                <w:color w:val="000000"/>
                <w:sz w:val="20"/>
                <w:szCs w:val="18"/>
                <w:lang w:eastAsia="en-GB"/>
              </w:rPr>
              <w:t xml:space="preserve"> +</w:t>
            </w:r>
            <w:r w:rsidR="00AD7D3A">
              <w:rPr>
                <w:rFonts w:ascii="Arial" w:eastAsia="Times New Roman" w:hAnsi="Arial" w:cs="Arial"/>
                <w:color w:val="000000"/>
                <w:sz w:val="20"/>
                <w:szCs w:val="18"/>
                <w:lang w:eastAsia="en-GB"/>
              </w:rPr>
              <w:t>IPACX</w:t>
            </w:r>
            <w:r w:rsidRPr="0028494C">
              <w:rPr>
                <w:rFonts w:ascii="Arial" w:eastAsia="Times New Roman" w:hAnsi="Arial" w:cs="Arial"/>
                <w:color w:val="000000"/>
                <w:sz w:val="20"/>
                <w:szCs w:val="18"/>
                <w:lang w:eastAsia="en-GB"/>
              </w:rPr>
              <w:t>)</w:t>
            </w:r>
          </w:p>
        </w:tc>
        <w:tc>
          <w:tcPr>
            <w:tcW w:w="300" w:type="pct"/>
            <w:tcBorders>
              <w:top w:val="nil"/>
              <w:left w:val="nil"/>
              <w:bottom w:val="single" w:sz="4" w:space="0" w:color="auto"/>
              <w:right w:val="single" w:sz="4" w:space="0" w:color="auto"/>
            </w:tcBorders>
            <w:shd w:val="clear" w:color="auto" w:fill="auto"/>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21.0%</w:t>
            </w:r>
          </w:p>
        </w:tc>
        <w:tc>
          <w:tcPr>
            <w:tcW w:w="300" w:type="pct"/>
            <w:tcBorders>
              <w:top w:val="nil"/>
              <w:left w:val="nil"/>
              <w:bottom w:val="single" w:sz="4" w:space="0" w:color="auto"/>
              <w:right w:val="single" w:sz="4" w:space="0" w:color="auto"/>
            </w:tcBorders>
            <w:shd w:val="clear" w:color="auto" w:fill="auto"/>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5.2%</w:t>
            </w:r>
          </w:p>
        </w:tc>
        <w:tc>
          <w:tcPr>
            <w:tcW w:w="300" w:type="pct"/>
            <w:tcBorders>
              <w:top w:val="nil"/>
              <w:left w:val="nil"/>
              <w:bottom w:val="single" w:sz="4" w:space="0" w:color="auto"/>
              <w:right w:val="single" w:sz="4" w:space="0" w:color="auto"/>
            </w:tcBorders>
            <w:shd w:val="clear" w:color="auto" w:fill="auto"/>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28.0%</w:t>
            </w:r>
          </w:p>
        </w:tc>
        <w:tc>
          <w:tcPr>
            <w:tcW w:w="301" w:type="pct"/>
            <w:tcBorders>
              <w:top w:val="nil"/>
              <w:left w:val="nil"/>
              <w:bottom w:val="single" w:sz="4" w:space="0" w:color="auto"/>
              <w:right w:val="single" w:sz="4" w:space="0" w:color="auto"/>
            </w:tcBorders>
            <w:shd w:val="clear" w:color="auto" w:fill="auto"/>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6.5%</w:t>
            </w:r>
          </w:p>
        </w:tc>
        <w:tc>
          <w:tcPr>
            <w:tcW w:w="300" w:type="pct"/>
            <w:tcBorders>
              <w:top w:val="nil"/>
              <w:left w:val="nil"/>
              <w:bottom w:val="single" w:sz="4" w:space="0" w:color="auto"/>
              <w:right w:val="single" w:sz="4" w:space="0" w:color="auto"/>
            </w:tcBorders>
            <w:shd w:val="clear" w:color="auto" w:fill="auto"/>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21.8%</w:t>
            </w:r>
          </w:p>
        </w:tc>
        <w:tc>
          <w:tcPr>
            <w:tcW w:w="300" w:type="pct"/>
            <w:tcBorders>
              <w:top w:val="nil"/>
              <w:left w:val="nil"/>
              <w:bottom w:val="single" w:sz="4" w:space="0" w:color="auto"/>
              <w:right w:val="single" w:sz="4" w:space="0" w:color="auto"/>
            </w:tcBorders>
            <w:shd w:val="clear" w:color="auto" w:fill="auto"/>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18.9%</w:t>
            </w:r>
          </w:p>
        </w:tc>
        <w:tc>
          <w:tcPr>
            <w:tcW w:w="324" w:type="pct"/>
            <w:tcBorders>
              <w:top w:val="nil"/>
              <w:left w:val="nil"/>
              <w:bottom w:val="single" w:sz="4" w:space="0" w:color="auto"/>
              <w:right w:val="single" w:sz="4" w:space="0" w:color="auto"/>
            </w:tcBorders>
            <w:shd w:val="clear" w:color="auto" w:fill="auto"/>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62.9%</w:t>
            </w:r>
          </w:p>
        </w:tc>
      </w:tr>
      <w:tr w:rsidR="00152DBC" w:rsidRPr="0028494C" w:rsidTr="00152DBC">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000000" w:fill="D7E4BC"/>
            <w:noWrap/>
            <w:vAlign w:val="bottom"/>
            <w:hideMark/>
          </w:tcPr>
          <w:p w:rsidR="00152DBC" w:rsidRPr="0028494C" w:rsidRDefault="00152DBC" w:rsidP="00784D92">
            <w:pPr>
              <w:spacing w:after="0" w:line="240" w:lineRule="auto"/>
              <w:rPr>
                <w:rFonts w:ascii="Arial" w:eastAsia="Times New Roman" w:hAnsi="Arial" w:cs="Arial"/>
                <w:b/>
                <w:bCs/>
                <w:color w:val="000000"/>
                <w:sz w:val="20"/>
                <w:szCs w:val="18"/>
                <w:lang w:eastAsia="en-GB"/>
              </w:rPr>
            </w:pPr>
            <w:r w:rsidRPr="0028494C">
              <w:rPr>
                <w:rFonts w:ascii="Arial" w:eastAsia="Times New Roman" w:hAnsi="Arial" w:cs="Arial"/>
                <w:b/>
                <w:bCs/>
                <w:color w:val="000000"/>
                <w:sz w:val="20"/>
                <w:szCs w:val="18"/>
                <w:lang w:eastAsia="en-GB"/>
              </w:rPr>
              <w:t>Single variable models</w:t>
            </w:r>
          </w:p>
        </w:tc>
      </w:tr>
      <w:tr w:rsidR="00152DBC" w:rsidRPr="0028494C" w:rsidTr="00152DBC">
        <w:trPr>
          <w:trHeight w:val="300"/>
        </w:trPr>
        <w:tc>
          <w:tcPr>
            <w:tcW w:w="2875" w:type="pct"/>
            <w:tcBorders>
              <w:top w:val="nil"/>
              <w:left w:val="single" w:sz="4" w:space="0" w:color="auto"/>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supply model + SMR</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24.3%</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25.9%</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48.3%</w:t>
            </w:r>
          </w:p>
        </w:tc>
        <w:tc>
          <w:tcPr>
            <w:tcW w:w="301"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28.9%</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52.0%</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49.3%</w:t>
            </w:r>
          </w:p>
        </w:tc>
        <w:tc>
          <w:tcPr>
            <w:tcW w:w="324"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66.2%</w:t>
            </w:r>
          </w:p>
        </w:tc>
      </w:tr>
      <w:tr w:rsidR="00152DBC" w:rsidRPr="0028494C" w:rsidTr="00152DBC">
        <w:trPr>
          <w:trHeight w:val="300"/>
        </w:trPr>
        <w:tc>
          <w:tcPr>
            <w:tcW w:w="2875" w:type="pct"/>
            <w:tcBorders>
              <w:top w:val="nil"/>
              <w:left w:val="single" w:sz="4" w:space="0" w:color="auto"/>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supply model + LLTI</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24.2%</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29.7%</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52.3%</w:t>
            </w:r>
          </w:p>
        </w:tc>
        <w:tc>
          <w:tcPr>
            <w:tcW w:w="301"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30.5%</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56.5%</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54.7%</w:t>
            </w:r>
          </w:p>
        </w:tc>
        <w:tc>
          <w:tcPr>
            <w:tcW w:w="324"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68.2%</w:t>
            </w:r>
          </w:p>
        </w:tc>
      </w:tr>
      <w:tr w:rsidR="00152DBC" w:rsidRPr="0028494C" w:rsidTr="00152DBC">
        <w:trPr>
          <w:trHeight w:val="300"/>
        </w:trPr>
        <w:tc>
          <w:tcPr>
            <w:tcW w:w="2875" w:type="pct"/>
            <w:tcBorders>
              <w:top w:val="nil"/>
              <w:left w:val="single" w:sz="4" w:space="0" w:color="auto"/>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supply model + Income 5% local share</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21.5%</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17.0%</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38.7%</w:t>
            </w:r>
          </w:p>
        </w:tc>
        <w:tc>
          <w:tcPr>
            <w:tcW w:w="301"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16.4%</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32.2%</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34.4%</w:t>
            </w:r>
          </w:p>
        </w:tc>
        <w:tc>
          <w:tcPr>
            <w:tcW w:w="324"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65.4%</w:t>
            </w:r>
          </w:p>
        </w:tc>
      </w:tr>
      <w:tr w:rsidR="00152DBC" w:rsidRPr="0028494C" w:rsidTr="00152DBC">
        <w:trPr>
          <w:trHeight w:val="300"/>
        </w:trPr>
        <w:tc>
          <w:tcPr>
            <w:tcW w:w="2875" w:type="pct"/>
            <w:tcBorders>
              <w:top w:val="nil"/>
              <w:left w:val="single" w:sz="4" w:space="0" w:color="auto"/>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supply model + Income 25% local share</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23.9%</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23.6%</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47.3%</w:t>
            </w:r>
          </w:p>
        </w:tc>
        <w:tc>
          <w:tcPr>
            <w:tcW w:w="301"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24.2%</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46.2%</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44.4%</w:t>
            </w:r>
          </w:p>
        </w:tc>
        <w:tc>
          <w:tcPr>
            <w:tcW w:w="324"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66.5%</w:t>
            </w:r>
          </w:p>
        </w:tc>
      </w:tr>
      <w:tr w:rsidR="00152DBC" w:rsidRPr="0028494C" w:rsidTr="00152DBC">
        <w:trPr>
          <w:trHeight w:val="300"/>
        </w:trPr>
        <w:tc>
          <w:tcPr>
            <w:tcW w:w="2875" w:type="pct"/>
            <w:tcBorders>
              <w:top w:val="nil"/>
              <w:left w:val="single" w:sz="4" w:space="0" w:color="auto"/>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supply model + SIMD minus Health "Scenario 1" 5% local share</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21.5%</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16.2%</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38.4%</w:t>
            </w:r>
          </w:p>
        </w:tc>
        <w:tc>
          <w:tcPr>
            <w:tcW w:w="301"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15.7%</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32.3%</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33.9%</w:t>
            </w:r>
          </w:p>
        </w:tc>
        <w:tc>
          <w:tcPr>
            <w:tcW w:w="324"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65.0%</w:t>
            </w:r>
          </w:p>
        </w:tc>
      </w:tr>
      <w:tr w:rsidR="00152DBC" w:rsidRPr="0028494C" w:rsidTr="00152DBC">
        <w:trPr>
          <w:trHeight w:val="300"/>
        </w:trPr>
        <w:tc>
          <w:tcPr>
            <w:tcW w:w="2875" w:type="pct"/>
            <w:tcBorders>
              <w:top w:val="nil"/>
              <w:left w:val="single" w:sz="4" w:space="0" w:color="auto"/>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supply model + SIMD minus Health "Scenario 1" 25% local share</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23.9%</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23.7%</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47.1%</w:t>
            </w:r>
          </w:p>
        </w:tc>
        <w:tc>
          <w:tcPr>
            <w:tcW w:w="301"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24.6%</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46.7%</w:t>
            </w:r>
          </w:p>
        </w:tc>
        <w:tc>
          <w:tcPr>
            <w:tcW w:w="300"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44.6%</w:t>
            </w:r>
          </w:p>
        </w:tc>
        <w:tc>
          <w:tcPr>
            <w:tcW w:w="324" w:type="pct"/>
            <w:tcBorders>
              <w:top w:val="nil"/>
              <w:left w:val="nil"/>
              <w:bottom w:val="single" w:sz="4" w:space="0" w:color="auto"/>
              <w:right w:val="single" w:sz="4" w:space="0" w:color="auto"/>
            </w:tcBorders>
            <w:shd w:val="clear" w:color="000000" w:fill="D7E4BC"/>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66.6%</w:t>
            </w:r>
          </w:p>
        </w:tc>
      </w:tr>
      <w:tr w:rsidR="00152DBC" w:rsidRPr="0028494C" w:rsidTr="00152DBC">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000000" w:fill="FCD5B4"/>
            <w:noWrap/>
            <w:vAlign w:val="bottom"/>
            <w:hideMark/>
          </w:tcPr>
          <w:p w:rsidR="00152DBC" w:rsidRPr="0028494C" w:rsidRDefault="00152DBC" w:rsidP="00784D92">
            <w:pPr>
              <w:spacing w:after="0" w:line="240" w:lineRule="auto"/>
              <w:rPr>
                <w:rFonts w:ascii="Arial" w:eastAsia="Times New Roman" w:hAnsi="Arial" w:cs="Arial"/>
                <w:b/>
                <w:bCs/>
                <w:color w:val="000000"/>
                <w:sz w:val="20"/>
                <w:szCs w:val="18"/>
                <w:lang w:eastAsia="en-GB"/>
              </w:rPr>
            </w:pPr>
            <w:r w:rsidRPr="0028494C">
              <w:rPr>
                <w:rFonts w:ascii="Arial" w:eastAsia="Times New Roman" w:hAnsi="Arial" w:cs="Arial"/>
                <w:b/>
                <w:bCs/>
                <w:color w:val="000000"/>
                <w:sz w:val="20"/>
                <w:szCs w:val="18"/>
                <w:lang w:eastAsia="en-GB"/>
              </w:rPr>
              <w:t>Multivariate models</w:t>
            </w:r>
          </w:p>
        </w:tc>
      </w:tr>
      <w:tr w:rsidR="00152DBC" w:rsidRPr="0028494C" w:rsidTr="00152DBC">
        <w:trPr>
          <w:trHeight w:val="300"/>
        </w:trPr>
        <w:tc>
          <w:tcPr>
            <w:tcW w:w="2875" w:type="pct"/>
            <w:tcBorders>
              <w:top w:val="nil"/>
              <w:left w:val="single" w:sz="4" w:space="0" w:color="auto"/>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supply model + SMR + LLTI</w:t>
            </w:r>
          </w:p>
        </w:tc>
        <w:tc>
          <w:tcPr>
            <w:tcW w:w="300"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24.4%</w:t>
            </w:r>
          </w:p>
        </w:tc>
        <w:tc>
          <w:tcPr>
            <w:tcW w:w="300"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29.8%</w:t>
            </w:r>
          </w:p>
        </w:tc>
        <w:tc>
          <w:tcPr>
            <w:tcW w:w="300"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52.4%</w:t>
            </w:r>
          </w:p>
        </w:tc>
        <w:tc>
          <w:tcPr>
            <w:tcW w:w="301"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b/>
                <w:bCs/>
                <w:color w:val="FF0000"/>
                <w:sz w:val="20"/>
                <w:szCs w:val="18"/>
                <w:lang w:eastAsia="en-GB"/>
              </w:rPr>
            </w:pPr>
            <w:r w:rsidRPr="0028494C">
              <w:rPr>
                <w:rFonts w:ascii="Arial" w:eastAsia="Times New Roman" w:hAnsi="Arial" w:cs="Arial"/>
                <w:b/>
                <w:bCs/>
                <w:color w:val="FF0000"/>
                <w:sz w:val="20"/>
                <w:szCs w:val="18"/>
                <w:lang w:eastAsia="en-GB"/>
              </w:rPr>
              <w:t>31.2%</w:t>
            </w:r>
          </w:p>
        </w:tc>
        <w:tc>
          <w:tcPr>
            <w:tcW w:w="300"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56.8%</w:t>
            </w:r>
          </w:p>
        </w:tc>
        <w:tc>
          <w:tcPr>
            <w:tcW w:w="300"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54.8%</w:t>
            </w:r>
          </w:p>
        </w:tc>
        <w:tc>
          <w:tcPr>
            <w:tcW w:w="324"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68.4%</w:t>
            </w:r>
          </w:p>
        </w:tc>
      </w:tr>
      <w:tr w:rsidR="00152DBC" w:rsidRPr="0028494C" w:rsidTr="00152DBC">
        <w:trPr>
          <w:trHeight w:val="300"/>
        </w:trPr>
        <w:tc>
          <w:tcPr>
            <w:tcW w:w="2875" w:type="pct"/>
            <w:tcBorders>
              <w:top w:val="nil"/>
              <w:left w:val="single" w:sz="4" w:space="0" w:color="auto"/>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supply model + SMR + LLTI + Income 5% local share</w:t>
            </w:r>
          </w:p>
        </w:tc>
        <w:tc>
          <w:tcPr>
            <w:tcW w:w="300"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b/>
                <w:bCs/>
                <w:color w:val="FF0000"/>
                <w:sz w:val="20"/>
                <w:szCs w:val="18"/>
                <w:lang w:eastAsia="en-GB"/>
              </w:rPr>
            </w:pPr>
            <w:r w:rsidRPr="0028494C">
              <w:rPr>
                <w:rFonts w:ascii="Arial" w:eastAsia="Times New Roman" w:hAnsi="Arial" w:cs="Arial"/>
                <w:b/>
                <w:bCs/>
                <w:color w:val="FF0000"/>
                <w:sz w:val="20"/>
                <w:szCs w:val="18"/>
                <w:lang w:eastAsia="en-GB"/>
              </w:rPr>
              <w:t>24.6%</w:t>
            </w:r>
          </w:p>
        </w:tc>
        <w:tc>
          <w:tcPr>
            <w:tcW w:w="300"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b/>
                <w:bCs/>
                <w:color w:val="FF0000"/>
                <w:sz w:val="20"/>
                <w:szCs w:val="18"/>
                <w:lang w:eastAsia="en-GB"/>
              </w:rPr>
            </w:pPr>
            <w:r w:rsidRPr="0028494C">
              <w:rPr>
                <w:rFonts w:ascii="Arial" w:eastAsia="Times New Roman" w:hAnsi="Arial" w:cs="Arial"/>
                <w:b/>
                <w:bCs/>
                <w:color w:val="FF0000"/>
                <w:sz w:val="20"/>
                <w:szCs w:val="18"/>
                <w:lang w:eastAsia="en-GB"/>
              </w:rPr>
              <w:t>30.1%</w:t>
            </w:r>
          </w:p>
        </w:tc>
        <w:tc>
          <w:tcPr>
            <w:tcW w:w="300"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52.5%</w:t>
            </w:r>
          </w:p>
        </w:tc>
        <w:tc>
          <w:tcPr>
            <w:tcW w:w="301"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b/>
                <w:bCs/>
                <w:color w:val="FF0000"/>
                <w:sz w:val="20"/>
                <w:szCs w:val="18"/>
                <w:lang w:eastAsia="en-GB"/>
              </w:rPr>
            </w:pPr>
            <w:r w:rsidRPr="0028494C">
              <w:rPr>
                <w:rFonts w:ascii="Arial" w:eastAsia="Times New Roman" w:hAnsi="Arial" w:cs="Arial"/>
                <w:b/>
                <w:bCs/>
                <w:color w:val="FF0000"/>
                <w:sz w:val="20"/>
                <w:szCs w:val="18"/>
                <w:lang w:eastAsia="en-GB"/>
              </w:rPr>
              <w:t>31.2%</w:t>
            </w:r>
          </w:p>
        </w:tc>
        <w:tc>
          <w:tcPr>
            <w:tcW w:w="300"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b/>
                <w:bCs/>
                <w:color w:val="FF0000"/>
                <w:sz w:val="20"/>
                <w:szCs w:val="18"/>
                <w:lang w:eastAsia="en-GB"/>
              </w:rPr>
            </w:pPr>
            <w:r w:rsidRPr="0028494C">
              <w:rPr>
                <w:rFonts w:ascii="Arial" w:eastAsia="Times New Roman" w:hAnsi="Arial" w:cs="Arial"/>
                <w:b/>
                <w:bCs/>
                <w:color w:val="FF0000"/>
                <w:sz w:val="20"/>
                <w:szCs w:val="18"/>
                <w:lang w:eastAsia="en-GB"/>
              </w:rPr>
              <w:t>56.9%</w:t>
            </w:r>
          </w:p>
        </w:tc>
        <w:tc>
          <w:tcPr>
            <w:tcW w:w="300"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b/>
                <w:bCs/>
                <w:color w:val="FF0000"/>
                <w:sz w:val="20"/>
                <w:szCs w:val="18"/>
                <w:lang w:eastAsia="en-GB"/>
              </w:rPr>
            </w:pPr>
            <w:r w:rsidRPr="0028494C">
              <w:rPr>
                <w:rFonts w:ascii="Arial" w:eastAsia="Times New Roman" w:hAnsi="Arial" w:cs="Arial"/>
                <w:b/>
                <w:bCs/>
                <w:color w:val="FF0000"/>
                <w:sz w:val="20"/>
                <w:szCs w:val="18"/>
                <w:lang w:eastAsia="en-GB"/>
              </w:rPr>
              <w:t>55.1%</w:t>
            </w:r>
          </w:p>
        </w:tc>
        <w:tc>
          <w:tcPr>
            <w:tcW w:w="324"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b/>
                <w:bCs/>
                <w:color w:val="FF0000"/>
                <w:sz w:val="20"/>
                <w:szCs w:val="18"/>
                <w:lang w:eastAsia="en-GB"/>
              </w:rPr>
            </w:pPr>
            <w:r w:rsidRPr="0028494C">
              <w:rPr>
                <w:rFonts w:ascii="Arial" w:eastAsia="Times New Roman" w:hAnsi="Arial" w:cs="Arial"/>
                <w:b/>
                <w:bCs/>
                <w:color w:val="FF0000"/>
                <w:sz w:val="20"/>
                <w:szCs w:val="18"/>
                <w:lang w:eastAsia="en-GB"/>
              </w:rPr>
              <w:t>68.5%</w:t>
            </w:r>
          </w:p>
        </w:tc>
      </w:tr>
      <w:tr w:rsidR="00152DBC" w:rsidRPr="0028494C" w:rsidTr="00152DBC">
        <w:trPr>
          <w:trHeight w:val="300"/>
        </w:trPr>
        <w:tc>
          <w:tcPr>
            <w:tcW w:w="2875" w:type="pct"/>
            <w:tcBorders>
              <w:top w:val="nil"/>
              <w:left w:val="single" w:sz="4" w:space="0" w:color="auto"/>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supply model + SMR + LLTI + Income 25% local share</w:t>
            </w:r>
          </w:p>
        </w:tc>
        <w:tc>
          <w:tcPr>
            <w:tcW w:w="300"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24.5%</w:t>
            </w:r>
          </w:p>
        </w:tc>
        <w:tc>
          <w:tcPr>
            <w:tcW w:w="300"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29.8%</w:t>
            </w:r>
          </w:p>
        </w:tc>
        <w:tc>
          <w:tcPr>
            <w:tcW w:w="300"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b/>
                <w:bCs/>
                <w:color w:val="FF0000"/>
                <w:sz w:val="20"/>
                <w:szCs w:val="18"/>
                <w:lang w:eastAsia="en-GB"/>
              </w:rPr>
            </w:pPr>
            <w:r w:rsidRPr="0028494C">
              <w:rPr>
                <w:rFonts w:ascii="Arial" w:eastAsia="Times New Roman" w:hAnsi="Arial" w:cs="Arial"/>
                <w:b/>
                <w:bCs/>
                <w:color w:val="FF0000"/>
                <w:sz w:val="20"/>
                <w:szCs w:val="18"/>
                <w:lang w:eastAsia="en-GB"/>
              </w:rPr>
              <w:t>52.6%</w:t>
            </w:r>
          </w:p>
        </w:tc>
        <w:tc>
          <w:tcPr>
            <w:tcW w:w="301"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31.1%</w:t>
            </w:r>
          </w:p>
        </w:tc>
        <w:tc>
          <w:tcPr>
            <w:tcW w:w="300"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56.8%</w:t>
            </w:r>
          </w:p>
        </w:tc>
        <w:tc>
          <w:tcPr>
            <w:tcW w:w="300"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54.8%</w:t>
            </w:r>
          </w:p>
        </w:tc>
        <w:tc>
          <w:tcPr>
            <w:tcW w:w="324" w:type="pct"/>
            <w:tcBorders>
              <w:top w:val="nil"/>
              <w:left w:val="nil"/>
              <w:bottom w:val="single" w:sz="4" w:space="0" w:color="auto"/>
              <w:right w:val="single" w:sz="4" w:space="0" w:color="auto"/>
            </w:tcBorders>
            <w:shd w:val="clear" w:color="000000" w:fill="FCD5B4"/>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68.4%</w:t>
            </w:r>
          </w:p>
        </w:tc>
      </w:tr>
      <w:tr w:rsidR="00152DBC" w:rsidRPr="0028494C" w:rsidTr="00152DBC">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000000" w:fill="E6B9B8"/>
            <w:noWrap/>
            <w:vAlign w:val="bottom"/>
            <w:hideMark/>
          </w:tcPr>
          <w:p w:rsidR="00152DBC" w:rsidRPr="0028494C" w:rsidRDefault="00152DBC" w:rsidP="00784D92">
            <w:pPr>
              <w:spacing w:after="0" w:line="240" w:lineRule="auto"/>
              <w:rPr>
                <w:rFonts w:ascii="Arial" w:eastAsia="Times New Roman" w:hAnsi="Arial" w:cs="Arial"/>
                <w:b/>
                <w:bCs/>
                <w:color w:val="000000"/>
                <w:sz w:val="20"/>
                <w:szCs w:val="18"/>
                <w:lang w:eastAsia="en-GB"/>
              </w:rPr>
            </w:pPr>
            <w:r w:rsidRPr="0028494C">
              <w:rPr>
                <w:rFonts w:ascii="Arial" w:eastAsia="Times New Roman" w:hAnsi="Arial" w:cs="Arial"/>
                <w:b/>
                <w:bCs/>
                <w:color w:val="000000"/>
                <w:sz w:val="20"/>
                <w:szCs w:val="18"/>
                <w:lang w:eastAsia="en-GB"/>
              </w:rPr>
              <w:t>Model using a composite index variable</w:t>
            </w:r>
          </w:p>
        </w:tc>
      </w:tr>
      <w:tr w:rsidR="00152DBC" w:rsidRPr="0028494C" w:rsidTr="00152DBC">
        <w:trPr>
          <w:trHeight w:val="300"/>
        </w:trPr>
        <w:tc>
          <w:tcPr>
            <w:tcW w:w="2875" w:type="pct"/>
            <w:tcBorders>
              <w:top w:val="nil"/>
              <w:left w:val="single" w:sz="4" w:space="0" w:color="auto"/>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supply model + current index (sum of SMR and LLTI z-scores)</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24.5%</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29.1%</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51.6%</w:t>
            </w:r>
          </w:p>
        </w:tc>
        <w:tc>
          <w:tcPr>
            <w:tcW w:w="301"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31.1%</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56.1%</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53.9%</w:t>
            </w:r>
          </w:p>
        </w:tc>
        <w:tc>
          <w:tcPr>
            <w:tcW w:w="324"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67.4%</w:t>
            </w:r>
          </w:p>
        </w:tc>
      </w:tr>
      <w:tr w:rsidR="00152DBC" w:rsidRPr="0028494C" w:rsidTr="00152DBC">
        <w:trPr>
          <w:trHeight w:val="300"/>
        </w:trPr>
        <w:tc>
          <w:tcPr>
            <w:tcW w:w="2875" w:type="pct"/>
            <w:tcBorders>
              <w:top w:val="nil"/>
              <w:left w:val="single" w:sz="4" w:space="0" w:color="auto"/>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supply model + current index + Income 5% local share</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b/>
                <w:bCs/>
                <w:color w:val="FF0000"/>
                <w:sz w:val="20"/>
                <w:szCs w:val="18"/>
                <w:lang w:eastAsia="en-GB"/>
              </w:rPr>
            </w:pPr>
            <w:r w:rsidRPr="0028494C">
              <w:rPr>
                <w:rFonts w:ascii="Arial" w:eastAsia="Times New Roman" w:hAnsi="Arial" w:cs="Arial"/>
                <w:b/>
                <w:bCs/>
                <w:color w:val="FF0000"/>
                <w:sz w:val="20"/>
                <w:szCs w:val="18"/>
                <w:lang w:eastAsia="en-GB"/>
              </w:rPr>
              <w:t>24.6%</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29.5%</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51.8%</w:t>
            </w:r>
          </w:p>
        </w:tc>
        <w:tc>
          <w:tcPr>
            <w:tcW w:w="301"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31.1%</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56.2%</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54.2%</w:t>
            </w:r>
          </w:p>
        </w:tc>
        <w:tc>
          <w:tcPr>
            <w:tcW w:w="324"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67.5%</w:t>
            </w:r>
          </w:p>
        </w:tc>
      </w:tr>
      <w:tr w:rsidR="00152DBC" w:rsidRPr="0028494C" w:rsidTr="00152DBC">
        <w:trPr>
          <w:trHeight w:val="300"/>
        </w:trPr>
        <w:tc>
          <w:tcPr>
            <w:tcW w:w="2875" w:type="pct"/>
            <w:tcBorders>
              <w:top w:val="nil"/>
              <w:left w:val="single" w:sz="4" w:space="0" w:color="auto"/>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supply model + current index + Income 25% local share</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24.5%</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29.3%</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52.0%</w:t>
            </w:r>
          </w:p>
        </w:tc>
        <w:tc>
          <w:tcPr>
            <w:tcW w:w="301"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31.1%</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56.1%</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53.9%</w:t>
            </w:r>
          </w:p>
        </w:tc>
        <w:tc>
          <w:tcPr>
            <w:tcW w:w="324"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67.5%</w:t>
            </w:r>
          </w:p>
        </w:tc>
      </w:tr>
      <w:tr w:rsidR="00152DBC" w:rsidRPr="0028494C" w:rsidTr="00152DBC">
        <w:trPr>
          <w:trHeight w:val="300"/>
        </w:trPr>
        <w:tc>
          <w:tcPr>
            <w:tcW w:w="2875" w:type="pct"/>
            <w:tcBorders>
              <w:top w:val="nil"/>
              <w:left w:val="single" w:sz="4" w:space="0" w:color="auto"/>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supply model + new index (sum of SMR, LLTI and Income 5% local share z-scores)</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23.7%</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28.8%</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50.7%</w:t>
            </w:r>
          </w:p>
        </w:tc>
        <w:tc>
          <w:tcPr>
            <w:tcW w:w="301"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29.4%</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51.8%</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52.4%</w:t>
            </w:r>
          </w:p>
        </w:tc>
        <w:tc>
          <w:tcPr>
            <w:tcW w:w="324"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67.5%</w:t>
            </w:r>
          </w:p>
        </w:tc>
      </w:tr>
      <w:tr w:rsidR="00152DBC" w:rsidRPr="0028494C" w:rsidTr="00152DBC">
        <w:trPr>
          <w:trHeight w:val="300"/>
        </w:trPr>
        <w:tc>
          <w:tcPr>
            <w:tcW w:w="2875" w:type="pct"/>
            <w:tcBorders>
              <w:top w:val="nil"/>
              <w:left w:val="single" w:sz="4" w:space="0" w:color="auto"/>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supply model + new index (sum of SMR, LLTI and Income 25% local share z-scores)</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b/>
                <w:bCs/>
                <w:color w:val="FF0000"/>
                <w:sz w:val="20"/>
                <w:szCs w:val="18"/>
                <w:lang w:eastAsia="en-GB"/>
              </w:rPr>
            </w:pPr>
            <w:r w:rsidRPr="0028494C">
              <w:rPr>
                <w:rFonts w:ascii="Arial" w:eastAsia="Times New Roman" w:hAnsi="Arial" w:cs="Arial"/>
                <w:b/>
                <w:bCs/>
                <w:color w:val="FF0000"/>
                <w:sz w:val="20"/>
                <w:szCs w:val="18"/>
                <w:lang w:eastAsia="en-GB"/>
              </w:rPr>
              <w:t>24.6%</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29.0%</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51.9%</w:t>
            </w:r>
          </w:p>
        </w:tc>
        <w:tc>
          <w:tcPr>
            <w:tcW w:w="301"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30.5%</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55.2%</w:t>
            </w:r>
          </w:p>
        </w:tc>
        <w:tc>
          <w:tcPr>
            <w:tcW w:w="300"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53.1%</w:t>
            </w:r>
          </w:p>
        </w:tc>
        <w:tc>
          <w:tcPr>
            <w:tcW w:w="324" w:type="pct"/>
            <w:tcBorders>
              <w:top w:val="nil"/>
              <w:left w:val="nil"/>
              <w:bottom w:val="single" w:sz="4" w:space="0" w:color="auto"/>
              <w:right w:val="single" w:sz="4" w:space="0" w:color="auto"/>
            </w:tcBorders>
            <w:shd w:val="clear" w:color="000000" w:fill="E6B9B8"/>
            <w:noWrap/>
            <w:vAlign w:val="bottom"/>
            <w:hideMark/>
          </w:tcPr>
          <w:p w:rsidR="00152DBC" w:rsidRPr="0028494C" w:rsidRDefault="00152DBC" w:rsidP="00784D92">
            <w:pPr>
              <w:spacing w:after="0" w:line="240" w:lineRule="auto"/>
              <w:jc w:val="right"/>
              <w:rPr>
                <w:rFonts w:ascii="Arial" w:eastAsia="Times New Roman" w:hAnsi="Arial" w:cs="Arial"/>
                <w:color w:val="000000"/>
                <w:sz w:val="20"/>
                <w:szCs w:val="18"/>
                <w:lang w:eastAsia="en-GB"/>
              </w:rPr>
            </w:pPr>
            <w:r w:rsidRPr="0028494C">
              <w:rPr>
                <w:rFonts w:ascii="Arial" w:eastAsia="Times New Roman" w:hAnsi="Arial" w:cs="Arial"/>
                <w:color w:val="000000"/>
                <w:sz w:val="20"/>
                <w:szCs w:val="18"/>
                <w:lang w:eastAsia="en-GB"/>
              </w:rPr>
              <w:t>67.5%</w:t>
            </w:r>
          </w:p>
        </w:tc>
      </w:tr>
    </w:tbl>
    <w:p w:rsidR="00D936EB" w:rsidRDefault="00D936EB" w:rsidP="00180CFC">
      <w:pPr>
        <w:jc w:val="both"/>
        <w:rPr>
          <w:rFonts w:ascii="Arial" w:hAnsi="Arial" w:cs="Arial"/>
          <w:b/>
        </w:rPr>
      </w:pPr>
    </w:p>
    <w:p w:rsidR="00784D92" w:rsidRDefault="00784D92" w:rsidP="00180CFC">
      <w:pPr>
        <w:jc w:val="both"/>
        <w:rPr>
          <w:rFonts w:ascii="Arial" w:hAnsi="Arial" w:cs="Arial"/>
          <w:b/>
        </w:rPr>
        <w:sectPr w:rsidR="00784D92" w:rsidSect="004D1B4F">
          <w:pgSz w:w="16838" w:h="11906" w:orient="landscape"/>
          <w:pgMar w:top="1440" w:right="1440" w:bottom="1440" w:left="1440" w:header="709" w:footer="709" w:gutter="0"/>
          <w:cols w:space="708"/>
          <w:docGrid w:linePitch="360"/>
        </w:sectPr>
      </w:pPr>
    </w:p>
    <w:p w:rsidR="00E21DEF" w:rsidRDefault="00C351EE" w:rsidP="00E21DEF">
      <w:pPr>
        <w:spacing w:after="0"/>
        <w:jc w:val="both"/>
        <w:rPr>
          <w:rFonts w:ascii="Arial" w:hAnsi="Arial" w:cs="Arial"/>
        </w:rPr>
      </w:pPr>
      <w:r w:rsidRPr="00180CFC">
        <w:rPr>
          <w:rFonts w:ascii="Arial" w:hAnsi="Arial" w:cs="Arial"/>
        </w:rPr>
        <w:lastRenderedPageBreak/>
        <w:t xml:space="preserve">The </w:t>
      </w:r>
      <w:r w:rsidR="00A45F1F">
        <w:rPr>
          <w:rFonts w:ascii="Arial" w:hAnsi="Arial" w:cs="Arial"/>
        </w:rPr>
        <w:t xml:space="preserve">adjusted </w:t>
      </w:r>
      <w:r w:rsidRPr="00180CFC">
        <w:rPr>
          <w:rFonts w:ascii="Arial" w:hAnsi="Arial" w:cs="Arial"/>
        </w:rPr>
        <w:t xml:space="preserve">R-squared values </w:t>
      </w:r>
      <w:r>
        <w:rPr>
          <w:rFonts w:ascii="Arial" w:hAnsi="Arial" w:cs="Arial"/>
        </w:rPr>
        <w:t xml:space="preserve">of the single variable models </w:t>
      </w:r>
      <w:r w:rsidRPr="00180CFC">
        <w:rPr>
          <w:rFonts w:ascii="Arial" w:hAnsi="Arial" w:cs="Arial"/>
        </w:rPr>
        <w:t xml:space="preserve">in </w:t>
      </w:r>
      <w:r w:rsidR="00A45F1F">
        <w:rPr>
          <w:rFonts w:ascii="Arial" w:hAnsi="Arial" w:cs="Arial"/>
        </w:rPr>
        <w:t xml:space="preserve">Table </w:t>
      </w:r>
      <w:r w:rsidR="00AD7D3A">
        <w:rPr>
          <w:rFonts w:ascii="Arial" w:hAnsi="Arial" w:cs="Arial"/>
        </w:rPr>
        <w:t>7</w:t>
      </w:r>
      <w:r w:rsidRPr="00180CFC">
        <w:rPr>
          <w:rFonts w:ascii="Arial" w:hAnsi="Arial" w:cs="Arial"/>
        </w:rPr>
        <w:t xml:space="preserve"> suggest that the SIMD variables </w:t>
      </w:r>
      <w:r>
        <w:rPr>
          <w:rFonts w:ascii="Arial" w:hAnsi="Arial" w:cs="Arial"/>
        </w:rPr>
        <w:t>perform worse</w:t>
      </w:r>
      <w:r w:rsidR="00C500A6">
        <w:rPr>
          <w:rFonts w:ascii="Arial" w:hAnsi="Arial" w:cs="Arial"/>
        </w:rPr>
        <w:t xml:space="preserve"> on their own</w:t>
      </w:r>
      <w:r>
        <w:rPr>
          <w:rFonts w:ascii="Arial" w:hAnsi="Arial" w:cs="Arial"/>
        </w:rPr>
        <w:t xml:space="preserve"> than the LLTI variable</w:t>
      </w:r>
      <w:r w:rsidR="00C500A6">
        <w:rPr>
          <w:rFonts w:ascii="Arial" w:hAnsi="Arial" w:cs="Arial"/>
        </w:rPr>
        <w:t>;</w:t>
      </w:r>
      <w:r>
        <w:rPr>
          <w:rFonts w:ascii="Arial" w:hAnsi="Arial" w:cs="Arial"/>
        </w:rPr>
        <w:t xml:space="preserve"> </w:t>
      </w:r>
      <w:r w:rsidR="00F504B5">
        <w:rPr>
          <w:rFonts w:ascii="Arial" w:hAnsi="Arial" w:cs="Arial"/>
        </w:rPr>
        <w:t xml:space="preserve">that </w:t>
      </w:r>
      <w:r>
        <w:rPr>
          <w:rFonts w:ascii="Arial" w:hAnsi="Arial" w:cs="Arial"/>
        </w:rPr>
        <w:t xml:space="preserve">the 25% local share variables are </w:t>
      </w:r>
      <w:r w:rsidR="00C500A6">
        <w:rPr>
          <w:rFonts w:ascii="Arial" w:hAnsi="Arial" w:cs="Arial"/>
        </w:rPr>
        <w:t xml:space="preserve">the </w:t>
      </w:r>
      <w:r>
        <w:rPr>
          <w:rFonts w:ascii="Arial" w:hAnsi="Arial" w:cs="Arial"/>
        </w:rPr>
        <w:t>stronger predictors</w:t>
      </w:r>
      <w:r w:rsidR="00C500A6">
        <w:rPr>
          <w:rFonts w:ascii="Arial" w:hAnsi="Arial" w:cs="Arial"/>
        </w:rPr>
        <w:t>;</w:t>
      </w:r>
      <w:r>
        <w:rPr>
          <w:rFonts w:ascii="Arial" w:hAnsi="Arial" w:cs="Arial"/>
        </w:rPr>
        <w:t xml:space="preserve"> and </w:t>
      </w:r>
      <w:r w:rsidR="00F504B5">
        <w:rPr>
          <w:rFonts w:ascii="Arial" w:hAnsi="Arial" w:cs="Arial"/>
        </w:rPr>
        <w:t xml:space="preserve">that the </w:t>
      </w:r>
      <w:r>
        <w:rPr>
          <w:rFonts w:ascii="Arial" w:hAnsi="Arial" w:cs="Arial"/>
        </w:rPr>
        <w:t xml:space="preserve">Income domain and Scenario 1 variables perform equally well. </w:t>
      </w:r>
      <w:r w:rsidR="00C500A6">
        <w:rPr>
          <w:rFonts w:ascii="Arial" w:hAnsi="Arial" w:cs="Arial"/>
        </w:rPr>
        <w:t>However, in combination with the SMR and LLTI, the SIMD shares do often improve the model fit</w:t>
      </w:r>
      <w:r w:rsidR="000D2443">
        <w:rPr>
          <w:rFonts w:ascii="Arial" w:hAnsi="Arial" w:cs="Arial"/>
        </w:rPr>
        <w:t xml:space="preserve"> slightly</w:t>
      </w:r>
      <w:r w:rsidR="00C500A6">
        <w:rPr>
          <w:rFonts w:ascii="Arial" w:hAnsi="Arial" w:cs="Arial"/>
        </w:rPr>
        <w:t xml:space="preserve">. </w:t>
      </w:r>
      <w:r>
        <w:rPr>
          <w:rFonts w:ascii="Arial" w:hAnsi="Arial" w:cs="Arial"/>
        </w:rPr>
        <w:t>The ‘best’ model in terms of highest R-squared value is the supply model plus SMR, LLTI and Income domain 5% local share.</w:t>
      </w:r>
      <w:r w:rsidR="00E21DEF">
        <w:rPr>
          <w:rFonts w:ascii="Arial" w:hAnsi="Arial" w:cs="Arial"/>
        </w:rPr>
        <w:t xml:space="preserve"> However, </w:t>
      </w:r>
      <w:r w:rsidR="00F504B5">
        <w:rPr>
          <w:rFonts w:ascii="Arial" w:hAnsi="Arial" w:cs="Arial"/>
        </w:rPr>
        <w:t xml:space="preserve">as for the Data Zones, </w:t>
      </w:r>
      <w:r w:rsidR="00E21DEF">
        <w:rPr>
          <w:rFonts w:ascii="Arial" w:hAnsi="Arial" w:cs="Arial"/>
        </w:rPr>
        <w:t>the ‘best’ model represent</w:t>
      </w:r>
      <w:r w:rsidR="00AD7D3A">
        <w:rPr>
          <w:rFonts w:ascii="Arial" w:hAnsi="Arial" w:cs="Arial"/>
        </w:rPr>
        <w:t>s only a modest</w:t>
      </w:r>
      <w:r w:rsidR="00E21DEF">
        <w:rPr>
          <w:rFonts w:ascii="Arial" w:hAnsi="Arial" w:cs="Arial"/>
        </w:rPr>
        <w:t xml:space="preserve"> improvement over </w:t>
      </w:r>
      <w:r w:rsidR="00E21DEF" w:rsidRPr="00180CFC">
        <w:rPr>
          <w:rFonts w:ascii="Arial" w:hAnsi="Arial" w:cs="Arial"/>
        </w:rPr>
        <w:t>the amount of variation explained by the reference model</w:t>
      </w:r>
      <w:r w:rsidR="00E21DEF">
        <w:rPr>
          <w:rFonts w:ascii="Arial" w:hAnsi="Arial" w:cs="Arial"/>
        </w:rPr>
        <w:t xml:space="preserve">. </w:t>
      </w:r>
      <w:r w:rsidR="00E21DEF" w:rsidRPr="00180CFC">
        <w:rPr>
          <w:rFonts w:ascii="Arial" w:hAnsi="Arial" w:cs="Arial"/>
        </w:rPr>
        <w:t xml:space="preserve"> </w:t>
      </w:r>
    </w:p>
    <w:p w:rsidR="00C351EE" w:rsidRDefault="00C351EE" w:rsidP="00C351EE">
      <w:pPr>
        <w:spacing w:after="0"/>
        <w:jc w:val="both"/>
        <w:rPr>
          <w:rFonts w:ascii="Arial" w:hAnsi="Arial" w:cs="Arial"/>
        </w:rPr>
      </w:pPr>
      <w:r w:rsidRPr="00180CFC">
        <w:rPr>
          <w:rFonts w:ascii="Arial" w:hAnsi="Arial" w:cs="Arial"/>
        </w:rPr>
        <w:t xml:space="preserve"> </w:t>
      </w:r>
    </w:p>
    <w:p w:rsidR="004748F8" w:rsidRPr="00796D1F" w:rsidRDefault="00A45F1F">
      <w:pPr>
        <w:rPr>
          <w:rFonts w:ascii="Arial" w:hAnsi="Arial" w:cs="Arial"/>
          <w:b/>
        </w:rPr>
      </w:pPr>
      <w:r w:rsidRPr="00796D1F">
        <w:rPr>
          <w:rFonts w:ascii="Arial" w:hAnsi="Arial" w:cs="Arial"/>
          <w:b/>
        </w:rPr>
        <w:t xml:space="preserve">4.3 </w:t>
      </w:r>
      <w:r w:rsidR="00796D1F" w:rsidRPr="00796D1F">
        <w:rPr>
          <w:rFonts w:ascii="Arial" w:hAnsi="Arial" w:cs="Arial"/>
          <w:b/>
        </w:rPr>
        <w:t>Discussion</w:t>
      </w:r>
    </w:p>
    <w:p w:rsidR="003B1E72" w:rsidRDefault="00E21DEF" w:rsidP="00E703F7">
      <w:pPr>
        <w:spacing w:after="0"/>
        <w:jc w:val="both"/>
        <w:rPr>
          <w:rFonts w:ascii="Arial" w:hAnsi="Arial" w:cs="Arial"/>
        </w:rPr>
      </w:pPr>
      <w:r>
        <w:rPr>
          <w:rFonts w:ascii="Arial" w:hAnsi="Arial" w:cs="Arial"/>
        </w:rPr>
        <w:t>All three time and geography combinations’ results imply the same conclusions on</w:t>
      </w:r>
      <w:r w:rsidRPr="00E33A7C">
        <w:rPr>
          <w:rFonts w:ascii="Arial" w:hAnsi="Arial" w:cs="Arial"/>
        </w:rPr>
        <w:t xml:space="preserve"> </w:t>
      </w:r>
      <w:r>
        <w:rPr>
          <w:rFonts w:ascii="Arial" w:hAnsi="Arial" w:cs="Arial"/>
        </w:rPr>
        <w:t xml:space="preserve">the significance of SIMD. </w:t>
      </w:r>
      <w:r w:rsidRPr="00180CFC">
        <w:rPr>
          <w:rFonts w:ascii="Arial" w:hAnsi="Arial" w:cs="Arial"/>
        </w:rPr>
        <w:t xml:space="preserve">The </w:t>
      </w:r>
      <w:r w:rsidR="00A45F1F">
        <w:rPr>
          <w:rFonts w:ascii="Arial" w:hAnsi="Arial" w:cs="Arial"/>
        </w:rPr>
        <w:t xml:space="preserve">adjusted </w:t>
      </w:r>
      <w:r w:rsidRPr="00180CFC">
        <w:rPr>
          <w:rFonts w:ascii="Arial" w:hAnsi="Arial" w:cs="Arial"/>
        </w:rPr>
        <w:t xml:space="preserve">R-squared values </w:t>
      </w:r>
      <w:r>
        <w:rPr>
          <w:rFonts w:ascii="Arial" w:hAnsi="Arial" w:cs="Arial"/>
        </w:rPr>
        <w:t xml:space="preserve">of the single variable models </w:t>
      </w:r>
      <w:r w:rsidRPr="00180CFC">
        <w:rPr>
          <w:rFonts w:ascii="Arial" w:hAnsi="Arial" w:cs="Arial"/>
        </w:rPr>
        <w:t>in the table</w:t>
      </w:r>
      <w:r>
        <w:rPr>
          <w:rFonts w:ascii="Arial" w:hAnsi="Arial" w:cs="Arial"/>
        </w:rPr>
        <w:t>s</w:t>
      </w:r>
      <w:r w:rsidRPr="00180CFC">
        <w:rPr>
          <w:rFonts w:ascii="Arial" w:hAnsi="Arial" w:cs="Arial"/>
        </w:rPr>
        <w:t xml:space="preserve"> above suggest that </w:t>
      </w:r>
      <w:r w:rsidR="00E703F7">
        <w:rPr>
          <w:rFonts w:ascii="Arial" w:hAnsi="Arial" w:cs="Arial"/>
        </w:rPr>
        <w:t>the SIMD Income domain score is as powerful a predictor of need as either LLTI or SMR (at Data Zone level only)</w:t>
      </w:r>
      <w:r>
        <w:rPr>
          <w:rFonts w:ascii="Arial" w:hAnsi="Arial" w:cs="Arial"/>
        </w:rPr>
        <w:t xml:space="preserve">. The ‘best’ model in terms of highest </w:t>
      </w:r>
      <w:r w:rsidR="00A45F1F">
        <w:rPr>
          <w:rFonts w:ascii="Arial" w:hAnsi="Arial" w:cs="Arial"/>
        </w:rPr>
        <w:t xml:space="preserve">adjusted </w:t>
      </w:r>
      <w:r>
        <w:rPr>
          <w:rFonts w:ascii="Arial" w:hAnsi="Arial" w:cs="Arial"/>
        </w:rPr>
        <w:t>R-squared value is the supply model plus SMR, LLTI and Income domain variable (Income domain score at Data Zone level and Income 5% local sha</w:t>
      </w:r>
      <w:r w:rsidR="00E703F7">
        <w:rPr>
          <w:rFonts w:ascii="Arial" w:hAnsi="Arial" w:cs="Arial"/>
        </w:rPr>
        <w:t xml:space="preserve">re at Intermediate Zone level); however, the addition of SIMD to the existing model would add only a modest (generally less than 2% of cost ratio variance) amount of </w:t>
      </w:r>
      <w:r w:rsidR="00E703F7" w:rsidRPr="003B1E72">
        <w:rPr>
          <w:rFonts w:ascii="Arial" w:hAnsi="Arial" w:cs="Arial"/>
          <w:i/>
        </w:rPr>
        <w:t>additional</w:t>
      </w:r>
      <w:r w:rsidR="00E703F7">
        <w:rPr>
          <w:rFonts w:ascii="Arial" w:hAnsi="Arial" w:cs="Arial"/>
        </w:rPr>
        <w:t xml:space="preserve"> explanatory power. The extra explanatory power brought by the inclusion of SIMD is even smaller at Intermediate Zone level than at Data Zone level, likely due </w:t>
      </w:r>
      <w:r w:rsidR="00F504B5">
        <w:rPr>
          <w:rFonts w:ascii="Arial" w:hAnsi="Arial" w:cs="Arial"/>
        </w:rPr>
        <w:t>to weaknesses of the variable such as the frequent occurrence of zero values</w:t>
      </w:r>
      <w:r w:rsidR="00E36FF6">
        <w:rPr>
          <w:rFonts w:ascii="Arial" w:hAnsi="Arial" w:cs="Arial"/>
        </w:rPr>
        <w:t>, which should be borne in mind if Intermediate Zones were to be chosen as the geography</w:t>
      </w:r>
      <w:r w:rsidR="00E703F7">
        <w:rPr>
          <w:rFonts w:ascii="Arial" w:hAnsi="Arial" w:cs="Arial"/>
        </w:rPr>
        <w:t>.</w:t>
      </w:r>
      <w:r w:rsidR="003B1E72">
        <w:rPr>
          <w:rFonts w:ascii="Arial" w:hAnsi="Arial" w:cs="Arial"/>
        </w:rPr>
        <w:t xml:space="preserve"> </w:t>
      </w:r>
    </w:p>
    <w:p w:rsidR="000D479F" w:rsidRDefault="000D479F" w:rsidP="003B1E72">
      <w:pPr>
        <w:spacing w:after="0"/>
        <w:jc w:val="both"/>
        <w:rPr>
          <w:rFonts w:ascii="Arial" w:hAnsi="Arial" w:cs="Arial"/>
        </w:rPr>
      </w:pPr>
    </w:p>
    <w:p w:rsidR="000D479F" w:rsidRDefault="00E703F7" w:rsidP="003B1E72">
      <w:pPr>
        <w:spacing w:after="0"/>
        <w:jc w:val="both"/>
        <w:rPr>
          <w:rFonts w:ascii="Arial" w:hAnsi="Arial" w:cs="Arial"/>
        </w:rPr>
      </w:pPr>
      <w:r>
        <w:rPr>
          <w:rFonts w:ascii="Arial" w:hAnsi="Arial" w:cs="Arial"/>
        </w:rPr>
        <w:t xml:space="preserve">Any gain that SIMD </w:t>
      </w:r>
      <w:r w:rsidR="00E36FF6">
        <w:rPr>
          <w:rFonts w:ascii="Arial" w:hAnsi="Arial" w:cs="Arial"/>
        </w:rPr>
        <w:t xml:space="preserve">2016 </w:t>
      </w:r>
      <w:r>
        <w:rPr>
          <w:rFonts w:ascii="Arial" w:hAnsi="Arial" w:cs="Arial"/>
        </w:rPr>
        <w:t xml:space="preserve">is anticipated to bring to the final model must be balanced against the disadvantages in terms of </w:t>
      </w:r>
      <w:r w:rsidR="000D479F">
        <w:rPr>
          <w:rFonts w:ascii="Arial" w:hAnsi="Arial" w:cs="Arial"/>
        </w:rPr>
        <w:t>the potential change of definitions and components between releases, the complexity of the structure, and the w</w:t>
      </w:r>
      <w:r w:rsidR="00E36FF6">
        <w:rPr>
          <w:rFonts w:ascii="Arial" w:hAnsi="Arial" w:cs="Arial"/>
        </w:rPr>
        <w:t>eights used to combine domains.</w:t>
      </w:r>
      <w:r w:rsidR="00E36FF6" w:rsidRPr="00E36FF6">
        <w:rPr>
          <w:rFonts w:ascii="Arial" w:hAnsi="Arial" w:cs="Arial"/>
          <w:b/>
        </w:rPr>
        <w:t xml:space="preserve"> </w:t>
      </w:r>
      <w:r w:rsidR="00E36FF6">
        <w:rPr>
          <w:rFonts w:ascii="Arial" w:hAnsi="Arial" w:cs="Arial"/>
        </w:rPr>
        <w:t>Also, i</w:t>
      </w:r>
      <w:r w:rsidR="00E36FF6" w:rsidRPr="00E36FF6">
        <w:rPr>
          <w:rFonts w:ascii="Arial" w:hAnsi="Arial" w:cs="Arial"/>
        </w:rPr>
        <w:t>f SIMD variables are to be included in the list of indicators of need, then the main work of the Review cannot be undertaken until the release of the next SIMD update in 2016, and its outcomes would not be incorporated into the NRAC formula until the 2019/20 Resource Allocation Formula run.</w:t>
      </w:r>
    </w:p>
    <w:p w:rsidR="003B1E72" w:rsidRDefault="003B1E72" w:rsidP="003B1E72">
      <w:pPr>
        <w:spacing w:after="0"/>
        <w:jc w:val="both"/>
        <w:rPr>
          <w:rFonts w:ascii="Arial" w:hAnsi="Arial" w:cs="Arial"/>
        </w:rPr>
      </w:pPr>
    </w:p>
    <w:p w:rsidR="003B1E72" w:rsidRPr="003B1E72" w:rsidRDefault="003B1E72" w:rsidP="003B1E72">
      <w:pPr>
        <w:jc w:val="both"/>
        <w:rPr>
          <w:rFonts w:ascii="Arial" w:hAnsi="Arial" w:cs="Arial"/>
          <w:b/>
        </w:rPr>
      </w:pPr>
      <w:r w:rsidRPr="000E6064">
        <w:rPr>
          <w:rFonts w:ascii="Arial" w:hAnsi="Arial" w:cs="Arial"/>
          <w:b/>
        </w:rPr>
        <w:t>The Subgroup is asked to reflect on whether the additional (modest) gain of explanatory power offered by the SIMD variables (especially if the review is to be conducted at I</w:t>
      </w:r>
      <w:r w:rsidR="00A45F1F">
        <w:rPr>
          <w:rFonts w:ascii="Arial" w:hAnsi="Arial" w:cs="Arial"/>
          <w:b/>
        </w:rPr>
        <w:t xml:space="preserve">ntermediate </w:t>
      </w:r>
      <w:r w:rsidRPr="000E6064">
        <w:rPr>
          <w:rFonts w:ascii="Arial" w:hAnsi="Arial" w:cs="Arial"/>
          <w:b/>
        </w:rPr>
        <w:t>Z</w:t>
      </w:r>
      <w:r w:rsidR="00A45F1F">
        <w:rPr>
          <w:rFonts w:ascii="Arial" w:hAnsi="Arial" w:cs="Arial"/>
          <w:b/>
        </w:rPr>
        <w:t>one</w:t>
      </w:r>
      <w:r w:rsidRPr="000E6064">
        <w:rPr>
          <w:rFonts w:ascii="Arial" w:hAnsi="Arial" w:cs="Arial"/>
          <w:b/>
        </w:rPr>
        <w:t xml:space="preserve"> geography) is a sufficient reason to include SIMD 2</w:t>
      </w:r>
      <w:r>
        <w:rPr>
          <w:rFonts w:ascii="Arial" w:hAnsi="Arial" w:cs="Arial"/>
          <w:b/>
        </w:rPr>
        <w:t>016 variables in the list of in</w:t>
      </w:r>
      <w:r w:rsidRPr="000E6064">
        <w:rPr>
          <w:rFonts w:ascii="Arial" w:hAnsi="Arial" w:cs="Arial"/>
          <w:b/>
        </w:rPr>
        <w:t>d</w:t>
      </w:r>
      <w:r>
        <w:rPr>
          <w:rFonts w:ascii="Arial" w:hAnsi="Arial" w:cs="Arial"/>
          <w:b/>
        </w:rPr>
        <w:t>i</w:t>
      </w:r>
      <w:r w:rsidRPr="000E6064">
        <w:rPr>
          <w:rFonts w:ascii="Arial" w:hAnsi="Arial" w:cs="Arial"/>
          <w:b/>
        </w:rPr>
        <w:t>cators of ne</w:t>
      </w:r>
      <w:bookmarkStart w:id="0" w:name="_GoBack"/>
      <w:bookmarkEnd w:id="0"/>
      <w:r w:rsidRPr="000E6064">
        <w:rPr>
          <w:rFonts w:ascii="Arial" w:hAnsi="Arial" w:cs="Arial"/>
          <w:b/>
        </w:rPr>
        <w:t>ed</w:t>
      </w:r>
      <w:r w:rsidRPr="003B1E72">
        <w:rPr>
          <w:rFonts w:ascii="Arial" w:hAnsi="Arial" w:cs="Arial"/>
          <w:b/>
        </w:rPr>
        <w:t xml:space="preserve">. </w:t>
      </w:r>
    </w:p>
    <w:p w:rsidR="003B1E72" w:rsidRPr="001E67BF" w:rsidRDefault="003B1E72" w:rsidP="003B1E72">
      <w:pPr>
        <w:jc w:val="both"/>
        <w:rPr>
          <w:rFonts w:ascii="Arial" w:hAnsi="Arial" w:cs="Arial"/>
          <w:b/>
        </w:rPr>
      </w:pPr>
    </w:p>
    <w:p w:rsidR="00074EDC" w:rsidRPr="004616C8" w:rsidRDefault="00074EDC" w:rsidP="00E00E24">
      <w:pPr>
        <w:jc w:val="both"/>
        <w:rPr>
          <w:rFonts w:ascii="Arial" w:hAnsi="Arial" w:cs="Arial"/>
          <w:b/>
          <w:u w:val="single"/>
        </w:rPr>
      </w:pPr>
      <w:r w:rsidRPr="004616C8">
        <w:rPr>
          <w:rFonts w:ascii="Arial" w:hAnsi="Arial" w:cs="Arial"/>
          <w:b/>
          <w:u w:val="single"/>
        </w:rPr>
        <w:br w:type="page"/>
      </w:r>
    </w:p>
    <w:p w:rsidR="004D37F7" w:rsidRPr="00180CFC" w:rsidRDefault="004D37F7" w:rsidP="004D37F7">
      <w:pPr>
        <w:jc w:val="both"/>
        <w:rPr>
          <w:rFonts w:ascii="Arial" w:hAnsi="Arial" w:cs="Arial"/>
          <w:b/>
        </w:rPr>
      </w:pPr>
      <w:r>
        <w:rPr>
          <w:rFonts w:ascii="Arial" w:hAnsi="Arial" w:cs="Arial"/>
          <w:b/>
        </w:rPr>
        <w:lastRenderedPageBreak/>
        <w:t xml:space="preserve">Annex </w:t>
      </w:r>
      <w:r w:rsidR="005C1566">
        <w:rPr>
          <w:rFonts w:ascii="Arial" w:hAnsi="Arial" w:cs="Arial"/>
          <w:b/>
        </w:rPr>
        <w:t>A</w:t>
      </w:r>
      <w:r>
        <w:rPr>
          <w:rFonts w:ascii="Arial" w:hAnsi="Arial" w:cs="Arial"/>
          <w:b/>
        </w:rPr>
        <w:t>:</w:t>
      </w:r>
      <w:r w:rsidRPr="00180CFC">
        <w:rPr>
          <w:rFonts w:ascii="Arial" w:hAnsi="Arial" w:cs="Arial"/>
          <w:b/>
        </w:rPr>
        <w:t xml:space="preserve"> Actual Acute MLC spend</w:t>
      </w:r>
    </w:p>
    <w:p w:rsidR="004D37F7" w:rsidRPr="00180CFC" w:rsidRDefault="004D37F7" w:rsidP="004D37F7">
      <w:pPr>
        <w:jc w:val="both"/>
        <w:rPr>
          <w:rFonts w:ascii="Arial" w:hAnsi="Arial" w:cs="Arial"/>
        </w:rPr>
      </w:pPr>
      <w:r w:rsidRPr="00180CFC">
        <w:rPr>
          <w:rFonts w:ascii="Arial" w:hAnsi="Arial" w:cs="Arial"/>
        </w:rPr>
        <w:t>At the last Acute MLC subgroup meeting,</w:t>
      </w:r>
      <w:r w:rsidR="001F335E">
        <w:rPr>
          <w:rFonts w:ascii="Arial" w:hAnsi="Arial" w:cs="Arial"/>
        </w:rPr>
        <w:t xml:space="preserve"> it</w:t>
      </w:r>
      <w:r w:rsidR="001F335E" w:rsidRPr="00180CFC">
        <w:rPr>
          <w:rFonts w:ascii="Arial" w:hAnsi="Arial" w:cs="Arial"/>
        </w:rPr>
        <w:t xml:space="preserve"> was suggested to </w:t>
      </w:r>
      <w:r w:rsidR="001F335E">
        <w:rPr>
          <w:rFonts w:ascii="Arial" w:hAnsi="Arial" w:cs="Arial"/>
        </w:rPr>
        <w:t>look at the actual Acute MLC expenditure by diagnostic group, in order to select the most</w:t>
      </w:r>
      <w:r w:rsidR="001F335E" w:rsidRPr="00180CFC">
        <w:rPr>
          <w:rFonts w:ascii="Arial" w:hAnsi="Arial" w:cs="Arial"/>
        </w:rPr>
        <w:t xml:space="preserve"> ‘expensive’ diagnostic groups for the initial age split analysis</w:t>
      </w:r>
      <w:r w:rsidRPr="00180CFC">
        <w:rPr>
          <w:rFonts w:ascii="Arial" w:hAnsi="Arial" w:cs="Arial"/>
        </w:rPr>
        <w:t xml:space="preserve">. Actual Acute MLC </w:t>
      </w:r>
      <w:proofErr w:type="gramStart"/>
      <w:r w:rsidRPr="00180CFC">
        <w:rPr>
          <w:rFonts w:ascii="Arial" w:hAnsi="Arial" w:cs="Arial"/>
        </w:rPr>
        <w:t>spend</w:t>
      </w:r>
      <w:proofErr w:type="gramEnd"/>
      <w:r w:rsidRPr="00180CFC">
        <w:rPr>
          <w:rFonts w:ascii="Arial" w:hAnsi="Arial" w:cs="Arial"/>
        </w:rPr>
        <w:t xml:space="preserve"> for 2012/13 financial year is shown in Table </w:t>
      </w:r>
      <w:r w:rsidR="0049766B">
        <w:rPr>
          <w:rFonts w:ascii="Arial" w:hAnsi="Arial" w:cs="Arial"/>
        </w:rPr>
        <w:t>A</w:t>
      </w:r>
      <w:r>
        <w:rPr>
          <w:rFonts w:ascii="Arial" w:hAnsi="Arial" w:cs="Arial"/>
        </w:rPr>
        <w:t>.</w:t>
      </w:r>
      <w:r w:rsidRPr="00180CFC">
        <w:rPr>
          <w:rFonts w:ascii="Arial" w:hAnsi="Arial" w:cs="Arial"/>
        </w:rPr>
        <w:t>1</w:t>
      </w:r>
      <w:r>
        <w:rPr>
          <w:rFonts w:ascii="Arial" w:hAnsi="Arial" w:cs="Arial"/>
        </w:rPr>
        <w:t xml:space="preserve"> as well as the number of episodes</w:t>
      </w:r>
      <w:r w:rsidRPr="00180CFC">
        <w:rPr>
          <w:rFonts w:ascii="Arial" w:hAnsi="Arial" w:cs="Arial"/>
        </w:rPr>
        <w:t>.</w:t>
      </w:r>
    </w:p>
    <w:p w:rsidR="004D37F7" w:rsidRPr="00180CFC" w:rsidRDefault="004D37F7" w:rsidP="004D37F7">
      <w:pPr>
        <w:spacing w:after="0"/>
        <w:rPr>
          <w:rFonts w:ascii="Arial" w:hAnsi="Arial" w:cs="Arial"/>
          <w:i/>
        </w:rPr>
      </w:pPr>
      <w:r w:rsidRPr="00180CFC">
        <w:rPr>
          <w:rFonts w:ascii="Arial" w:hAnsi="Arial" w:cs="Arial"/>
          <w:i/>
        </w:rPr>
        <w:t xml:space="preserve">Table </w:t>
      </w:r>
      <w:r w:rsidR="0049766B">
        <w:rPr>
          <w:rFonts w:ascii="Arial" w:hAnsi="Arial" w:cs="Arial"/>
          <w:i/>
        </w:rPr>
        <w:t>A</w:t>
      </w:r>
      <w:r>
        <w:rPr>
          <w:rFonts w:ascii="Arial" w:hAnsi="Arial" w:cs="Arial"/>
          <w:i/>
        </w:rPr>
        <w:t>.</w:t>
      </w:r>
      <w:r w:rsidRPr="00180CFC">
        <w:rPr>
          <w:rFonts w:ascii="Arial" w:hAnsi="Arial" w:cs="Arial"/>
          <w:i/>
        </w:rPr>
        <w:t>1. Actual Acute MLC spend for 2012/13 financial year.</w:t>
      </w:r>
    </w:p>
    <w:tbl>
      <w:tblPr>
        <w:tblStyle w:val="TableGrid"/>
        <w:tblW w:w="0" w:type="auto"/>
        <w:tblLook w:val="04A0"/>
      </w:tblPr>
      <w:tblGrid>
        <w:gridCol w:w="1894"/>
        <w:gridCol w:w="2517"/>
        <w:gridCol w:w="2139"/>
      </w:tblGrid>
      <w:tr w:rsidR="004D37F7" w:rsidRPr="007807C9" w:rsidTr="004D37F7">
        <w:trPr>
          <w:trHeight w:val="622"/>
        </w:trPr>
        <w:tc>
          <w:tcPr>
            <w:tcW w:w="0" w:type="auto"/>
            <w:vAlign w:val="center"/>
          </w:tcPr>
          <w:p w:rsidR="004D37F7" w:rsidRPr="007807C9" w:rsidRDefault="004D37F7" w:rsidP="004D37F7">
            <w:pPr>
              <w:jc w:val="center"/>
              <w:rPr>
                <w:rFonts w:ascii="Arial" w:hAnsi="Arial" w:cs="Arial"/>
                <w:b/>
                <w:sz w:val="20"/>
                <w:szCs w:val="20"/>
              </w:rPr>
            </w:pPr>
            <w:r w:rsidRPr="007807C9">
              <w:rPr>
                <w:rFonts w:ascii="Arial" w:hAnsi="Arial" w:cs="Arial"/>
                <w:b/>
                <w:sz w:val="20"/>
                <w:szCs w:val="20"/>
              </w:rPr>
              <w:t>Diagnostic Group</w:t>
            </w:r>
          </w:p>
        </w:tc>
        <w:tc>
          <w:tcPr>
            <w:tcW w:w="0" w:type="auto"/>
            <w:vAlign w:val="center"/>
          </w:tcPr>
          <w:p w:rsidR="004D37F7" w:rsidRPr="007807C9" w:rsidRDefault="004D37F7" w:rsidP="004D37F7">
            <w:pPr>
              <w:jc w:val="center"/>
              <w:rPr>
                <w:rFonts w:ascii="Arial" w:hAnsi="Arial" w:cs="Arial"/>
                <w:b/>
                <w:sz w:val="20"/>
                <w:szCs w:val="20"/>
              </w:rPr>
            </w:pPr>
            <w:r w:rsidRPr="007807C9">
              <w:rPr>
                <w:rFonts w:ascii="Arial" w:hAnsi="Arial" w:cs="Arial"/>
                <w:b/>
                <w:sz w:val="20"/>
                <w:szCs w:val="20"/>
              </w:rPr>
              <w:t>Actual spend in millions</w:t>
            </w:r>
          </w:p>
        </w:tc>
        <w:tc>
          <w:tcPr>
            <w:tcW w:w="0" w:type="auto"/>
            <w:vAlign w:val="center"/>
          </w:tcPr>
          <w:p w:rsidR="004D37F7" w:rsidRPr="007807C9" w:rsidRDefault="004D37F7" w:rsidP="004D37F7">
            <w:pPr>
              <w:jc w:val="center"/>
              <w:rPr>
                <w:rFonts w:ascii="Arial" w:hAnsi="Arial" w:cs="Arial"/>
                <w:b/>
                <w:sz w:val="20"/>
                <w:szCs w:val="20"/>
              </w:rPr>
            </w:pPr>
            <w:r>
              <w:rPr>
                <w:rFonts w:ascii="Arial" w:hAnsi="Arial" w:cs="Arial"/>
                <w:b/>
                <w:sz w:val="20"/>
                <w:szCs w:val="20"/>
              </w:rPr>
              <w:t>Number of episodes</w:t>
            </w:r>
          </w:p>
        </w:tc>
      </w:tr>
      <w:tr w:rsidR="004D37F7" w:rsidRPr="007807C9" w:rsidTr="004D37F7">
        <w:tc>
          <w:tcPr>
            <w:tcW w:w="0" w:type="auto"/>
          </w:tcPr>
          <w:p w:rsidR="004D37F7" w:rsidRPr="007807C9" w:rsidRDefault="004D37F7" w:rsidP="004D37F7">
            <w:pPr>
              <w:jc w:val="both"/>
              <w:rPr>
                <w:rFonts w:ascii="Arial" w:hAnsi="Arial" w:cs="Arial"/>
                <w:sz w:val="20"/>
                <w:szCs w:val="20"/>
              </w:rPr>
            </w:pPr>
            <w:r w:rsidRPr="007807C9">
              <w:rPr>
                <w:rFonts w:ascii="Arial" w:hAnsi="Arial" w:cs="Arial"/>
                <w:sz w:val="20"/>
                <w:szCs w:val="20"/>
              </w:rPr>
              <w:t>Cancer</w:t>
            </w:r>
          </w:p>
        </w:tc>
        <w:tc>
          <w:tcPr>
            <w:tcW w:w="0" w:type="auto"/>
            <w:vAlign w:val="center"/>
          </w:tcPr>
          <w:p w:rsidR="004D37F7" w:rsidRPr="007807C9" w:rsidRDefault="004D37F7" w:rsidP="004D37F7">
            <w:pPr>
              <w:jc w:val="right"/>
              <w:rPr>
                <w:rFonts w:ascii="Arial" w:hAnsi="Arial" w:cs="Arial"/>
                <w:sz w:val="20"/>
                <w:szCs w:val="20"/>
              </w:rPr>
            </w:pPr>
            <w:r w:rsidRPr="007807C9">
              <w:rPr>
                <w:rFonts w:ascii="Arial" w:hAnsi="Arial" w:cs="Arial"/>
                <w:sz w:val="20"/>
                <w:szCs w:val="20"/>
              </w:rPr>
              <w:t>£400m</w:t>
            </w:r>
          </w:p>
        </w:tc>
        <w:tc>
          <w:tcPr>
            <w:tcW w:w="0" w:type="auto"/>
            <w:vAlign w:val="center"/>
          </w:tcPr>
          <w:p w:rsidR="004D37F7" w:rsidRPr="007807C9" w:rsidRDefault="004D37F7" w:rsidP="004D37F7">
            <w:pPr>
              <w:jc w:val="right"/>
              <w:rPr>
                <w:rFonts w:ascii="Arial" w:hAnsi="Arial" w:cs="Arial"/>
                <w:sz w:val="20"/>
                <w:szCs w:val="20"/>
              </w:rPr>
            </w:pPr>
            <w:r>
              <w:rPr>
                <w:rFonts w:ascii="Arial" w:hAnsi="Arial" w:cs="Arial"/>
                <w:sz w:val="20"/>
                <w:szCs w:val="20"/>
              </w:rPr>
              <w:t>199,581</w:t>
            </w:r>
          </w:p>
        </w:tc>
      </w:tr>
      <w:tr w:rsidR="004D37F7" w:rsidRPr="007807C9" w:rsidTr="004D37F7">
        <w:tc>
          <w:tcPr>
            <w:tcW w:w="0" w:type="auto"/>
          </w:tcPr>
          <w:p w:rsidR="004D37F7" w:rsidRPr="007807C9" w:rsidRDefault="004D37F7" w:rsidP="004D37F7">
            <w:pPr>
              <w:jc w:val="both"/>
              <w:rPr>
                <w:rFonts w:ascii="Arial" w:hAnsi="Arial" w:cs="Arial"/>
                <w:sz w:val="20"/>
                <w:szCs w:val="20"/>
              </w:rPr>
            </w:pPr>
            <w:r w:rsidRPr="007807C9">
              <w:rPr>
                <w:rFonts w:ascii="Arial" w:hAnsi="Arial" w:cs="Arial"/>
                <w:sz w:val="20"/>
                <w:szCs w:val="20"/>
              </w:rPr>
              <w:t>Heart</w:t>
            </w:r>
          </w:p>
        </w:tc>
        <w:tc>
          <w:tcPr>
            <w:tcW w:w="0" w:type="auto"/>
            <w:vAlign w:val="center"/>
          </w:tcPr>
          <w:p w:rsidR="004D37F7" w:rsidRPr="007807C9" w:rsidRDefault="004D37F7" w:rsidP="004D37F7">
            <w:pPr>
              <w:jc w:val="right"/>
              <w:rPr>
                <w:rFonts w:ascii="Arial" w:hAnsi="Arial" w:cs="Arial"/>
                <w:sz w:val="20"/>
                <w:szCs w:val="20"/>
              </w:rPr>
            </w:pPr>
            <w:r w:rsidRPr="007807C9">
              <w:rPr>
                <w:rFonts w:ascii="Arial" w:hAnsi="Arial" w:cs="Arial"/>
                <w:sz w:val="20"/>
                <w:szCs w:val="20"/>
              </w:rPr>
              <w:t>£407m</w:t>
            </w:r>
          </w:p>
        </w:tc>
        <w:tc>
          <w:tcPr>
            <w:tcW w:w="0" w:type="auto"/>
            <w:vAlign w:val="center"/>
          </w:tcPr>
          <w:p w:rsidR="004D37F7" w:rsidRPr="007807C9" w:rsidRDefault="004D37F7" w:rsidP="004D37F7">
            <w:pPr>
              <w:jc w:val="right"/>
              <w:rPr>
                <w:rFonts w:ascii="Arial" w:hAnsi="Arial" w:cs="Arial"/>
                <w:sz w:val="20"/>
                <w:szCs w:val="20"/>
              </w:rPr>
            </w:pPr>
            <w:r>
              <w:rPr>
                <w:rFonts w:ascii="Arial" w:hAnsi="Arial" w:cs="Arial"/>
                <w:sz w:val="20"/>
                <w:szCs w:val="20"/>
              </w:rPr>
              <w:t>148,762</w:t>
            </w:r>
          </w:p>
        </w:tc>
      </w:tr>
      <w:tr w:rsidR="004D37F7" w:rsidRPr="007807C9" w:rsidTr="004D37F7">
        <w:tc>
          <w:tcPr>
            <w:tcW w:w="0" w:type="auto"/>
          </w:tcPr>
          <w:p w:rsidR="004D37F7" w:rsidRPr="007807C9" w:rsidRDefault="004D37F7" w:rsidP="004D37F7">
            <w:pPr>
              <w:jc w:val="both"/>
              <w:rPr>
                <w:rFonts w:ascii="Arial" w:hAnsi="Arial" w:cs="Arial"/>
                <w:sz w:val="20"/>
                <w:szCs w:val="20"/>
              </w:rPr>
            </w:pPr>
            <w:r w:rsidRPr="007807C9">
              <w:rPr>
                <w:rFonts w:ascii="Arial" w:hAnsi="Arial" w:cs="Arial"/>
                <w:sz w:val="20"/>
                <w:szCs w:val="20"/>
              </w:rPr>
              <w:t>Digestive</w:t>
            </w:r>
          </w:p>
        </w:tc>
        <w:tc>
          <w:tcPr>
            <w:tcW w:w="0" w:type="auto"/>
            <w:vAlign w:val="center"/>
          </w:tcPr>
          <w:p w:rsidR="004D37F7" w:rsidRPr="007807C9" w:rsidRDefault="004D37F7" w:rsidP="004D37F7">
            <w:pPr>
              <w:jc w:val="right"/>
              <w:rPr>
                <w:rFonts w:ascii="Arial" w:hAnsi="Arial" w:cs="Arial"/>
                <w:sz w:val="20"/>
                <w:szCs w:val="20"/>
              </w:rPr>
            </w:pPr>
            <w:r w:rsidRPr="007807C9">
              <w:rPr>
                <w:rFonts w:ascii="Arial" w:hAnsi="Arial" w:cs="Arial"/>
                <w:sz w:val="20"/>
                <w:szCs w:val="20"/>
              </w:rPr>
              <w:t>£347m</w:t>
            </w:r>
          </w:p>
        </w:tc>
        <w:tc>
          <w:tcPr>
            <w:tcW w:w="0" w:type="auto"/>
            <w:vAlign w:val="center"/>
          </w:tcPr>
          <w:p w:rsidR="004D37F7" w:rsidRPr="007807C9" w:rsidRDefault="004D37F7" w:rsidP="004D37F7">
            <w:pPr>
              <w:jc w:val="right"/>
              <w:rPr>
                <w:rFonts w:ascii="Arial" w:hAnsi="Arial" w:cs="Arial"/>
                <w:sz w:val="20"/>
                <w:szCs w:val="20"/>
              </w:rPr>
            </w:pPr>
            <w:r>
              <w:rPr>
                <w:rFonts w:ascii="Arial" w:hAnsi="Arial" w:cs="Arial"/>
                <w:sz w:val="20"/>
                <w:szCs w:val="20"/>
              </w:rPr>
              <w:t>193,086</w:t>
            </w:r>
          </w:p>
        </w:tc>
      </w:tr>
      <w:tr w:rsidR="004D37F7" w:rsidRPr="007807C9" w:rsidTr="004D37F7">
        <w:tc>
          <w:tcPr>
            <w:tcW w:w="0" w:type="auto"/>
          </w:tcPr>
          <w:p w:rsidR="004D37F7" w:rsidRPr="007807C9" w:rsidRDefault="004D37F7" w:rsidP="004D37F7">
            <w:pPr>
              <w:jc w:val="both"/>
              <w:rPr>
                <w:rFonts w:ascii="Arial" w:hAnsi="Arial" w:cs="Arial"/>
                <w:sz w:val="20"/>
                <w:szCs w:val="20"/>
              </w:rPr>
            </w:pPr>
            <w:r w:rsidRPr="007807C9">
              <w:rPr>
                <w:rFonts w:ascii="Arial" w:hAnsi="Arial" w:cs="Arial"/>
                <w:sz w:val="20"/>
                <w:szCs w:val="20"/>
              </w:rPr>
              <w:t>Injury</w:t>
            </w:r>
          </w:p>
        </w:tc>
        <w:tc>
          <w:tcPr>
            <w:tcW w:w="0" w:type="auto"/>
            <w:vAlign w:val="center"/>
          </w:tcPr>
          <w:p w:rsidR="004D37F7" w:rsidRPr="007807C9" w:rsidRDefault="004D37F7" w:rsidP="004D37F7">
            <w:pPr>
              <w:jc w:val="right"/>
              <w:rPr>
                <w:rFonts w:ascii="Arial" w:hAnsi="Arial" w:cs="Arial"/>
                <w:sz w:val="20"/>
                <w:szCs w:val="20"/>
              </w:rPr>
            </w:pPr>
            <w:r w:rsidRPr="007807C9">
              <w:rPr>
                <w:rFonts w:ascii="Arial" w:hAnsi="Arial" w:cs="Arial"/>
                <w:sz w:val="20"/>
                <w:szCs w:val="20"/>
              </w:rPr>
              <w:t>£391m</w:t>
            </w:r>
          </w:p>
        </w:tc>
        <w:tc>
          <w:tcPr>
            <w:tcW w:w="0" w:type="auto"/>
            <w:vAlign w:val="center"/>
          </w:tcPr>
          <w:p w:rsidR="004D37F7" w:rsidRPr="007807C9" w:rsidRDefault="004D37F7" w:rsidP="004D37F7">
            <w:pPr>
              <w:jc w:val="right"/>
              <w:rPr>
                <w:rFonts w:ascii="Arial" w:hAnsi="Arial" w:cs="Arial"/>
                <w:sz w:val="20"/>
                <w:szCs w:val="20"/>
              </w:rPr>
            </w:pPr>
            <w:r>
              <w:rPr>
                <w:rFonts w:ascii="Arial" w:hAnsi="Arial" w:cs="Arial"/>
                <w:sz w:val="20"/>
                <w:szCs w:val="20"/>
              </w:rPr>
              <w:t>118,641</w:t>
            </w:r>
          </w:p>
        </w:tc>
      </w:tr>
      <w:tr w:rsidR="004D37F7" w:rsidRPr="007807C9" w:rsidTr="004D37F7">
        <w:tc>
          <w:tcPr>
            <w:tcW w:w="0" w:type="auto"/>
          </w:tcPr>
          <w:p w:rsidR="004D37F7" w:rsidRPr="007807C9" w:rsidRDefault="004D37F7" w:rsidP="004D37F7">
            <w:pPr>
              <w:jc w:val="both"/>
              <w:rPr>
                <w:rFonts w:ascii="Arial" w:hAnsi="Arial" w:cs="Arial"/>
                <w:sz w:val="20"/>
                <w:szCs w:val="20"/>
              </w:rPr>
            </w:pPr>
            <w:r w:rsidRPr="007807C9">
              <w:rPr>
                <w:rFonts w:ascii="Arial" w:hAnsi="Arial" w:cs="Arial"/>
                <w:sz w:val="20"/>
                <w:szCs w:val="20"/>
              </w:rPr>
              <w:t>Other</w:t>
            </w:r>
          </w:p>
        </w:tc>
        <w:tc>
          <w:tcPr>
            <w:tcW w:w="0" w:type="auto"/>
            <w:vAlign w:val="center"/>
          </w:tcPr>
          <w:p w:rsidR="004D37F7" w:rsidRPr="007807C9" w:rsidRDefault="004D37F7" w:rsidP="004D37F7">
            <w:pPr>
              <w:jc w:val="right"/>
              <w:rPr>
                <w:rFonts w:ascii="Arial" w:hAnsi="Arial" w:cs="Arial"/>
                <w:sz w:val="20"/>
                <w:szCs w:val="20"/>
              </w:rPr>
            </w:pPr>
            <w:r w:rsidRPr="007807C9">
              <w:rPr>
                <w:rFonts w:ascii="Arial" w:hAnsi="Arial" w:cs="Arial"/>
                <w:sz w:val="20"/>
                <w:szCs w:val="20"/>
              </w:rPr>
              <w:t>£1,245m</w:t>
            </w:r>
          </w:p>
        </w:tc>
        <w:tc>
          <w:tcPr>
            <w:tcW w:w="0" w:type="auto"/>
            <w:vAlign w:val="center"/>
          </w:tcPr>
          <w:p w:rsidR="004D37F7" w:rsidRPr="007807C9" w:rsidRDefault="004D37F7" w:rsidP="004D37F7">
            <w:pPr>
              <w:jc w:val="right"/>
              <w:rPr>
                <w:rFonts w:ascii="Arial" w:hAnsi="Arial" w:cs="Arial"/>
                <w:sz w:val="20"/>
                <w:szCs w:val="20"/>
              </w:rPr>
            </w:pPr>
            <w:r>
              <w:rPr>
                <w:rFonts w:ascii="Arial" w:hAnsi="Arial" w:cs="Arial"/>
                <w:sz w:val="20"/>
                <w:szCs w:val="20"/>
              </w:rPr>
              <w:t>684,139</w:t>
            </w:r>
          </w:p>
        </w:tc>
      </w:tr>
      <w:tr w:rsidR="004D37F7" w:rsidRPr="007807C9" w:rsidTr="004D37F7">
        <w:tc>
          <w:tcPr>
            <w:tcW w:w="0" w:type="auto"/>
          </w:tcPr>
          <w:p w:rsidR="004D37F7" w:rsidRPr="007807C9" w:rsidRDefault="004D37F7" w:rsidP="004D37F7">
            <w:pPr>
              <w:jc w:val="both"/>
              <w:rPr>
                <w:rFonts w:ascii="Arial" w:hAnsi="Arial" w:cs="Arial"/>
                <w:sz w:val="20"/>
                <w:szCs w:val="20"/>
              </w:rPr>
            </w:pPr>
            <w:r w:rsidRPr="007807C9">
              <w:rPr>
                <w:rFonts w:ascii="Arial" w:hAnsi="Arial" w:cs="Arial"/>
                <w:sz w:val="20"/>
                <w:szCs w:val="20"/>
              </w:rPr>
              <w:t>Respiratory</w:t>
            </w:r>
          </w:p>
        </w:tc>
        <w:tc>
          <w:tcPr>
            <w:tcW w:w="0" w:type="auto"/>
            <w:vAlign w:val="center"/>
          </w:tcPr>
          <w:p w:rsidR="004D37F7" w:rsidRPr="007807C9" w:rsidRDefault="004D37F7" w:rsidP="004D37F7">
            <w:pPr>
              <w:jc w:val="right"/>
              <w:rPr>
                <w:rFonts w:ascii="Arial" w:hAnsi="Arial" w:cs="Arial"/>
                <w:sz w:val="20"/>
                <w:szCs w:val="20"/>
              </w:rPr>
            </w:pPr>
            <w:r w:rsidRPr="007807C9">
              <w:rPr>
                <w:rFonts w:ascii="Arial" w:hAnsi="Arial" w:cs="Arial"/>
                <w:sz w:val="20"/>
                <w:szCs w:val="20"/>
              </w:rPr>
              <w:t>£292m</w:t>
            </w:r>
          </w:p>
        </w:tc>
        <w:tc>
          <w:tcPr>
            <w:tcW w:w="0" w:type="auto"/>
            <w:vAlign w:val="center"/>
          </w:tcPr>
          <w:p w:rsidR="004D37F7" w:rsidRPr="007807C9" w:rsidRDefault="004D37F7" w:rsidP="004D37F7">
            <w:pPr>
              <w:jc w:val="right"/>
              <w:rPr>
                <w:rFonts w:ascii="Arial" w:hAnsi="Arial" w:cs="Arial"/>
                <w:sz w:val="20"/>
                <w:szCs w:val="20"/>
              </w:rPr>
            </w:pPr>
            <w:r>
              <w:rPr>
                <w:rFonts w:ascii="Arial" w:hAnsi="Arial" w:cs="Arial"/>
                <w:sz w:val="20"/>
                <w:szCs w:val="20"/>
              </w:rPr>
              <w:t>133,220</w:t>
            </w:r>
          </w:p>
        </w:tc>
      </w:tr>
      <w:tr w:rsidR="004D37F7" w:rsidRPr="007807C9" w:rsidTr="004D37F7">
        <w:tc>
          <w:tcPr>
            <w:tcW w:w="0" w:type="auto"/>
          </w:tcPr>
          <w:p w:rsidR="004D37F7" w:rsidRPr="007807C9" w:rsidRDefault="004D37F7" w:rsidP="004D37F7">
            <w:pPr>
              <w:jc w:val="both"/>
              <w:rPr>
                <w:rFonts w:ascii="Arial" w:hAnsi="Arial" w:cs="Arial"/>
                <w:sz w:val="20"/>
                <w:szCs w:val="20"/>
              </w:rPr>
            </w:pPr>
            <w:r w:rsidRPr="007807C9">
              <w:rPr>
                <w:rFonts w:ascii="Arial" w:hAnsi="Arial" w:cs="Arial"/>
                <w:sz w:val="20"/>
                <w:szCs w:val="20"/>
              </w:rPr>
              <w:t>Acute Outpatients</w:t>
            </w:r>
          </w:p>
        </w:tc>
        <w:tc>
          <w:tcPr>
            <w:tcW w:w="0" w:type="auto"/>
            <w:vAlign w:val="center"/>
          </w:tcPr>
          <w:p w:rsidR="004D37F7" w:rsidRPr="007807C9" w:rsidRDefault="004D37F7" w:rsidP="004D37F7">
            <w:pPr>
              <w:jc w:val="right"/>
              <w:rPr>
                <w:rFonts w:ascii="Arial" w:hAnsi="Arial" w:cs="Arial"/>
                <w:sz w:val="20"/>
                <w:szCs w:val="20"/>
              </w:rPr>
            </w:pPr>
            <w:r w:rsidRPr="007807C9">
              <w:rPr>
                <w:rFonts w:ascii="Arial" w:hAnsi="Arial" w:cs="Arial"/>
                <w:sz w:val="20"/>
                <w:szCs w:val="20"/>
              </w:rPr>
              <w:t>£583m</w:t>
            </w:r>
          </w:p>
        </w:tc>
        <w:tc>
          <w:tcPr>
            <w:tcW w:w="0" w:type="auto"/>
            <w:vAlign w:val="center"/>
          </w:tcPr>
          <w:p w:rsidR="004D37F7" w:rsidRPr="007807C9" w:rsidRDefault="004D37F7" w:rsidP="004D37F7">
            <w:pPr>
              <w:jc w:val="right"/>
              <w:rPr>
                <w:rFonts w:ascii="Arial" w:hAnsi="Arial" w:cs="Arial"/>
                <w:sz w:val="20"/>
                <w:szCs w:val="20"/>
              </w:rPr>
            </w:pPr>
            <w:r>
              <w:rPr>
                <w:rFonts w:ascii="Arial" w:hAnsi="Arial" w:cs="Arial"/>
                <w:sz w:val="20"/>
                <w:szCs w:val="20"/>
              </w:rPr>
              <w:t>1,519,100</w:t>
            </w:r>
          </w:p>
        </w:tc>
      </w:tr>
      <w:tr w:rsidR="004D37F7" w:rsidRPr="007807C9" w:rsidTr="004D37F7">
        <w:trPr>
          <w:trHeight w:val="444"/>
        </w:trPr>
        <w:tc>
          <w:tcPr>
            <w:tcW w:w="0" w:type="auto"/>
            <w:vAlign w:val="center"/>
          </w:tcPr>
          <w:p w:rsidR="004D37F7" w:rsidRPr="007807C9" w:rsidRDefault="004D37F7" w:rsidP="004D37F7">
            <w:pPr>
              <w:jc w:val="both"/>
              <w:rPr>
                <w:rFonts w:ascii="Arial" w:hAnsi="Arial" w:cs="Arial"/>
                <w:b/>
                <w:sz w:val="20"/>
                <w:szCs w:val="20"/>
              </w:rPr>
            </w:pPr>
            <w:r>
              <w:rPr>
                <w:rFonts w:ascii="Arial" w:hAnsi="Arial" w:cs="Arial"/>
                <w:b/>
                <w:sz w:val="20"/>
                <w:szCs w:val="20"/>
              </w:rPr>
              <w:t>Total</w:t>
            </w:r>
          </w:p>
        </w:tc>
        <w:tc>
          <w:tcPr>
            <w:tcW w:w="0" w:type="auto"/>
            <w:vAlign w:val="center"/>
          </w:tcPr>
          <w:p w:rsidR="004D37F7" w:rsidRPr="007807C9" w:rsidRDefault="004D37F7" w:rsidP="004D37F7">
            <w:pPr>
              <w:jc w:val="right"/>
              <w:rPr>
                <w:rFonts w:ascii="Arial" w:hAnsi="Arial" w:cs="Arial"/>
                <w:b/>
                <w:sz w:val="20"/>
                <w:szCs w:val="20"/>
              </w:rPr>
            </w:pPr>
            <w:r w:rsidRPr="007807C9">
              <w:rPr>
                <w:rFonts w:ascii="Arial" w:hAnsi="Arial" w:cs="Arial"/>
                <w:b/>
                <w:sz w:val="20"/>
                <w:szCs w:val="20"/>
              </w:rPr>
              <w:t>£3,665m</w:t>
            </w:r>
          </w:p>
        </w:tc>
        <w:tc>
          <w:tcPr>
            <w:tcW w:w="0" w:type="auto"/>
            <w:vAlign w:val="center"/>
          </w:tcPr>
          <w:p w:rsidR="004D37F7" w:rsidRPr="007807C9" w:rsidRDefault="004D37F7" w:rsidP="004D37F7">
            <w:pPr>
              <w:jc w:val="right"/>
              <w:rPr>
                <w:rFonts w:ascii="Arial" w:hAnsi="Arial" w:cs="Arial"/>
                <w:b/>
                <w:sz w:val="20"/>
                <w:szCs w:val="20"/>
              </w:rPr>
            </w:pPr>
            <w:r>
              <w:rPr>
                <w:rFonts w:ascii="Arial" w:hAnsi="Arial" w:cs="Arial"/>
                <w:b/>
                <w:sz w:val="20"/>
                <w:szCs w:val="20"/>
              </w:rPr>
              <w:t>2,999,529</w:t>
            </w:r>
          </w:p>
        </w:tc>
      </w:tr>
    </w:tbl>
    <w:p w:rsidR="004D37F7" w:rsidRDefault="004D37F7" w:rsidP="004D37F7">
      <w:pPr>
        <w:spacing w:after="0"/>
        <w:jc w:val="both"/>
        <w:rPr>
          <w:rFonts w:ascii="Arial" w:hAnsi="Arial" w:cs="Arial"/>
          <w:b/>
        </w:rPr>
      </w:pPr>
    </w:p>
    <w:p w:rsidR="004D37F7" w:rsidRPr="00E457E6" w:rsidRDefault="004D37F7" w:rsidP="004D37F7">
      <w:pPr>
        <w:spacing w:after="0"/>
        <w:jc w:val="both"/>
        <w:rPr>
          <w:rFonts w:ascii="Arial" w:hAnsi="Arial" w:cs="Arial"/>
        </w:rPr>
      </w:pPr>
      <w:r w:rsidRPr="00E457E6">
        <w:rPr>
          <w:rFonts w:ascii="Arial" w:hAnsi="Arial" w:cs="Arial"/>
        </w:rPr>
        <w:t xml:space="preserve">When the age split analysis is done, it will be performed for only a selection of diagnostic groups, not for all </w:t>
      </w:r>
      <w:r w:rsidR="00F504B5">
        <w:rPr>
          <w:rFonts w:ascii="Arial" w:hAnsi="Arial" w:cs="Arial"/>
        </w:rPr>
        <w:t>seven</w:t>
      </w:r>
      <w:r w:rsidRPr="00E457E6">
        <w:rPr>
          <w:rFonts w:ascii="Arial" w:hAnsi="Arial" w:cs="Arial"/>
        </w:rPr>
        <w:t xml:space="preserve"> of them. </w:t>
      </w:r>
      <w:r w:rsidR="00F504B5">
        <w:rPr>
          <w:rFonts w:ascii="Arial" w:hAnsi="Arial" w:cs="Arial"/>
        </w:rPr>
        <w:t>AST decided that the</w:t>
      </w:r>
      <w:r w:rsidRPr="00E457E6">
        <w:rPr>
          <w:rFonts w:ascii="Arial" w:hAnsi="Arial" w:cs="Arial"/>
        </w:rPr>
        <w:t xml:space="preserve"> two most ‘expensive’ diagnostic groups </w:t>
      </w:r>
      <w:r w:rsidR="00F504B5">
        <w:rPr>
          <w:rFonts w:ascii="Arial" w:hAnsi="Arial" w:cs="Arial"/>
        </w:rPr>
        <w:t>should be</w:t>
      </w:r>
      <w:r w:rsidRPr="00E457E6">
        <w:rPr>
          <w:rFonts w:ascii="Arial" w:hAnsi="Arial" w:cs="Arial"/>
        </w:rPr>
        <w:t xml:space="preserve"> chosen (Other and Acute Outpatients) as well as Cancer (known as the worst fit to the models in the past) and Heart.</w:t>
      </w:r>
    </w:p>
    <w:p w:rsidR="004D37F7" w:rsidRPr="00180CFC" w:rsidRDefault="004D37F7" w:rsidP="004D37F7">
      <w:pPr>
        <w:jc w:val="both"/>
        <w:rPr>
          <w:rFonts w:ascii="Arial" w:hAnsi="Arial" w:cs="Arial"/>
        </w:rPr>
      </w:pPr>
    </w:p>
    <w:p w:rsidR="004D37F7" w:rsidRDefault="004D37F7">
      <w:pPr>
        <w:rPr>
          <w:rFonts w:ascii="Arial" w:hAnsi="Arial" w:cs="Arial"/>
          <w:b/>
        </w:rPr>
      </w:pPr>
      <w:r>
        <w:rPr>
          <w:rFonts w:ascii="Arial" w:hAnsi="Arial" w:cs="Arial"/>
          <w:b/>
        </w:rPr>
        <w:br w:type="page"/>
      </w:r>
    </w:p>
    <w:p w:rsidR="00180CFC" w:rsidRPr="00180CFC" w:rsidRDefault="007D4337" w:rsidP="00180CFC">
      <w:pPr>
        <w:rPr>
          <w:rFonts w:ascii="Arial" w:hAnsi="Arial" w:cs="Arial"/>
          <w:b/>
        </w:rPr>
      </w:pPr>
      <w:r>
        <w:rPr>
          <w:rFonts w:ascii="Arial" w:hAnsi="Arial" w:cs="Arial"/>
          <w:b/>
        </w:rPr>
        <w:lastRenderedPageBreak/>
        <w:t>Annex</w:t>
      </w:r>
      <w:r w:rsidR="004A018D">
        <w:rPr>
          <w:rFonts w:ascii="Arial" w:hAnsi="Arial" w:cs="Arial"/>
          <w:b/>
        </w:rPr>
        <w:t xml:space="preserve"> </w:t>
      </w:r>
      <w:r w:rsidR="005C1566">
        <w:rPr>
          <w:rFonts w:ascii="Arial" w:hAnsi="Arial" w:cs="Arial"/>
          <w:b/>
        </w:rPr>
        <w:t>B</w:t>
      </w:r>
      <w:r w:rsidR="00180CFC" w:rsidRPr="00180CFC">
        <w:rPr>
          <w:rFonts w:ascii="Arial" w:hAnsi="Arial" w:cs="Arial"/>
          <w:b/>
        </w:rPr>
        <w:t xml:space="preserve">: Limiting long-term illness definition  </w:t>
      </w:r>
    </w:p>
    <w:p w:rsidR="00180CFC" w:rsidRPr="00180CFC" w:rsidRDefault="00C32D3D" w:rsidP="00180CFC">
      <w:pPr>
        <w:jc w:val="both"/>
        <w:rPr>
          <w:rFonts w:ascii="Arial" w:hAnsi="Arial" w:cs="Arial"/>
        </w:rPr>
      </w:pPr>
      <w:r>
        <w:rPr>
          <w:rFonts w:ascii="Arial" w:hAnsi="Arial" w:cs="Arial"/>
        </w:rPr>
        <w:t xml:space="preserve">Limiting long-term illness (LLTI) is one of the indicators within the current Acute MLC needs index and in order to update the LLTI ratio variable, the LLTI 2011 Census data is used. </w:t>
      </w:r>
      <w:r w:rsidR="00180CFC" w:rsidRPr="00180CFC">
        <w:rPr>
          <w:rFonts w:ascii="Arial" w:hAnsi="Arial" w:cs="Arial"/>
        </w:rPr>
        <w:t>T</w:t>
      </w:r>
      <w:r>
        <w:rPr>
          <w:rFonts w:ascii="Arial" w:hAnsi="Arial" w:cs="Arial"/>
        </w:rPr>
        <w:t xml:space="preserve">he LLTI </w:t>
      </w:r>
      <w:r w:rsidR="00180CFC" w:rsidRPr="00180CFC">
        <w:rPr>
          <w:rFonts w:ascii="Arial" w:hAnsi="Arial" w:cs="Arial"/>
        </w:rPr>
        <w:t xml:space="preserve">question in 2011 Census is different compared to the one in 2001 Census. </w:t>
      </w:r>
    </w:p>
    <w:p w:rsidR="00180CFC" w:rsidRPr="00180CFC" w:rsidRDefault="00180CFC" w:rsidP="00180CFC">
      <w:pPr>
        <w:jc w:val="both"/>
        <w:rPr>
          <w:rFonts w:ascii="Arial" w:hAnsi="Arial" w:cs="Arial"/>
        </w:rPr>
      </w:pPr>
      <w:r w:rsidRPr="00180CFC">
        <w:rPr>
          <w:rFonts w:ascii="Arial" w:hAnsi="Arial" w:cs="Arial"/>
        </w:rPr>
        <w:t>In the 2001 Census, the question about long-term illness was:</w:t>
      </w:r>
    </w:p>
    <w:p w:rsidR="00180CFC" w:rsidRPr="00180CFC" w:rsidRDefault="00180CFC" w:rsidP="00180CFC">
      <w:pPr>
        <w:jc w:val="both"/>
        <w:rPr>
          <w:rFonts w:ascii="Arial" w:hAnsi="Arial" w:cs="Arial"/>
          <w:i/>
        </w:rPr>
      </w:pPr>
      <w:r w:rsidRPr="00180CFC">
        <w:rPr>
          <w:rFonts w:ascii="Arial" w:hAnsi="Arial" w:cs="Arial"/>
          <w:i/>
        </w:rPr>
        <w:t>Do you have any long-term illness, health problem or disability which limits your daily activities or the work you can do? (Include problems which are due to old age)</w:t>
      </w:r>
    </w:p>
    <w:p w:rsidR="00180CFC" w:rsidRPr="00180CFC" w:rsidRDefault="00133961" w:rsidP="00180CFC">
      <w:pPr>
        <w:jc w:val="center"/>
        <w:rPr>
          <w:rFonts w:ascii="Arial" w:hAnsi="Arial" w:cs="Arial"/>
          <w:i/>
        </w:rPr>
      </w:pPr>
      <w:r>
        <w:rPr>
          <w:rFonts w:ascii="Arial" w:hAnsi="Arial" w:cs="Arial"/>
          <w:i/>
          <w:noProof/>
          <w:lang w:eastAsia="en-GB"/>
        </w:rPr>
        <w:pict>
          <v:rect id="_x0000_s1026" style="position:absolute;left:0;text-align:left;margin-left:205.5pt;margin-top:14.5pt;width:8.25pt;height:7.5pt;z-index:251662336"/>
        </w:pict>
      </w:r>
      <w:r>
        <w:rPr>
          <w:rFonts w:ascii="Arial" w:hAnsi="Arial" w:cs="Arial"/>
          <w:i/>
          <w:noProof/>
          <w:lang w:eastAsia="en-GB"/>
        </w:rPr>
        <w:pict>
          <v:rect id="_x0000_s1027" style="position:absolute;left:0;text-align:left;margin-left:241.5pt;margin-top:14.5pt;width:8.25pt;height:7.5pt;z-index:251663360"/>
        </w:pict>
      </w:r>
      <w:r w:rsidR="00180CFC" w:rsidRPr="00180CFC">
        <w:rPr>
          <w:rFonts w:ascii="Arial" w:hAnsi="Arial" w:cs="Arial"/>
          <w:i/>
        </w:rPr>
        <w:t>Yes</w:t>
      </w:r>
      <w:r w:rsidR="00180CFC" w:rsidRPr="00180CFC">
        <w:rPr>
          <w:rFonts w:ascii="Arial" w:hAnsi="Arial" w:cs="Arial"/>
          <w:i/>
        </w:rPr>
        <w:tab/>
        <w:t>No</w:t>
      </w:r>
    </w:p>
    <w:p w:rsidR="00180CFC" w:rsidRPr="00180CFC" w:rsidRDefault="00180CFC" w:rsidP="00180CFC">
      <w:pPr>
        <w:rPr>
          <w:rFonts w:ascii="Arial" w:hAnsi="Arial" w:cs="Arial"/>
          <w:i/>
        </w:rPr>
      </w:pPr>
      <w:r w:rsidRPr="00180CFC">
        <w:rPr>
          <w:rFonts w:ascii="Arial" w:hAnsi="Arial" w:cs="Arial"/>
          <w:i/>
        </w:rPr>
        <w:tab/>
      </w:r>
    </w:p>
    <w:p w:rsidR="00180CFC" w:rsidRPr="00180CFC" w:rsidRDefault="00180CFC" w:rsidP="00180CFC">
      <w:pPr>
        <w:jc w:val="both"/>
        <w:rPr>
          <w:rFonts w:ascii="Arial" w:hAnsi="Arial" w:cs="Arial"/>
        </w:rPr>
      </w:pPr>
      <w:r w:rsidRPr="00180CFC">
        <w:rPr>
          <w:rFonts w:ascii="Arial" w:hAnsi="Arial" w:cs="Arial"/>
        </w:rPr>
        <w:t>In the 2011 Census, the question about long-term illness was:</w:t>
      </w:r>
    </w:p>
    <w:p w:rsidR="00180CFC" w:rsidRPr="00180CFC" w:rsidRDefault="00180CFC" w:rsidP="00180CFC">
      <w:pPr>
        <w:jc w:val="both"/>
        <w:rPr>
          <w:rFonts w:ascii="Arial" w:hAnsi="Arial" w:cs="Arial"/>
          <w:i/>
        </w:rPr>
      </w:pPr>
      <w:r w:rsidRPr="00180CFC">
        <w:rPr>
          <w:rFonts w:ascii="Arial" w:hAnsi="Arial" w:cs="Arial"/>
          <w:i/>
        </w:rPr>
        <w:t>Are your day-to-day activities limited because of a health problem or disability which has lasted, or is expected to last, at least 12 months?</w:t>
      </w:r>
    </w:p>
    <w:p w:rsidR="00180CFC" w:rsidRPr="00180CFC" w:rsidRDefault="00180CFC" w:rsidP="00180CFC">
      <w:pPr>
        <w:jc w:val="center"/>
        <w:rPr>
          <w:rFonts w:ascii="Arial" w:hAnsi="Arial" w:cs="Arial"/>
          <w:i/>
        </w:rPr>
      </w:pPr>
      <w:r w:rsidRPr="00180CFC">
        <w:rPr>
          <w:rFonts w:ascii="Arial" w:hAnsi="Arial" w:cs="Arial"/>
          <w:i/>
        </w:rPr>
        <w:t>Yes – a lot</w:t>
      </w:r>
      <w:r w:rsidRPr="00180CFC">
        <w:rPr>
          <w:rFonts w:ascii="Arial" w:hAnsi="Arial" w:cs="Arial"/>
          <w:i/>
        </w:rPr>
        <w:tab/>
        <w:t>Yes – a little</w:t>
      </w:r>
      <w:r w:rsidRPr="00180CFC">
        <w:rPr>
          <w:rFonts w:ascii="Arial" w:hAnsi="Arial" w:cs="Arial"/>
          <w:i/>
        </w:rPr>
        <w:tab/>
        <w:t>No</w:t>
      </w:r>
    </w:p>
    <w:p w:rsidR="00180CFC" w:rsidRPr="00180CFC" w:rsidRDefault="00133961" w:rsidP="00180CFC">
      <w:pPr>
        <w:rPr>
          <w:rFonts w:ascii="Arial" w:hAnsi="Arial" w:cs="Arial"/>
          <w:i/>
        </w:rPr>
      </w:pPr>
      <w:r>
        <w:rPr>
          <w:rFonts w:ascii="Arial" w:hAnsi="Arial" w:cs="Arial"/>
          <w:i/>
          <w:noProof/>
          <w:lang w:eastAsia="en-GB"/>
        </w:rPr>
        <w:pict>
          <v:rect id="_x0000_s1030" style="position:absolute;margin-left:292.75pt;margin-top:1pt;width:8.25pt;height:7.5pt;z-index:251666432"/>
        </w:pict>
      </w:r>
      <w:r>
        <w:rPr>
          <w:rFonts w:ascii="Arial" w:hAnsi="Arial" w:cs="Arial"/>
          <w:i/>
          <w:noProof/>
          <w:lang w:eastAsia="en-GB"/>
        </w:rPr>
        <w:pict>
          <v:rect id="_x0000_s1029" style="position:absolute;margin-left:241.5pt;margin-top:1pt;width:8.25pt;height:7.5pt;z-index:251665408"/>
        </w:pict>
      </w:r>
      <w:r>
        <w:rPr>
          <w:rFonts w:ascii="Arial" w:hAnsi="Arial" w:cs="Arial"/>
          <w:i/>
          <w:noProof/>
          <w:lang w:eastAsia="en-GB"/>
        </w:rPr>
        <w:pict>
          <v:rect id="_x0000_s1028" style="position:absolute;margin-left:161.25pt;margin-top:1pt;width:8.25pt;height:7.5pt;z-index:251664384"/>
        </w:pict>
      </w:r>
    </w:p>
    <w:p w:rsidR="00180CFC" w:rsidRPr="00180CFC" w:rsidRDefault="00180CFC" w:rsidP="00180CFC">
      <w:pPr>
        <w:jc w:val="both"/>
        <w:rPr>
          <w:rFonts w:ascii="Arial" w:hAnsi="Arial" w:cs="Arial"/>
        </w:rPr>
      </w:pPr>
      <w:r w:rsidRPr="00180CFC">
        <w:rPr>
          <w:rFonts w:ascii="Arial" w:hAnsi="Arial" w:cs="Arial"/>
        </w:rPr>
        <w:t>The main change between these two questions is the number of possible answers. The investigation presented below is performed in order to choose the best LLTI predictor of need. The three potential variables compared in the analysis are:</w:t>
      </w:r>
    </w:p>
    <w:p w:rsidR="00180CFC" w:rsidRPr="00180CFC" w:rsidRDefault="00180CFC" w:rsidP="00180CFC">
      <w:pPr>
        <w:pStyle w:val="ListParagraph"/>
        <w:numPr>
          <w:ilvl w:val="0"/>
          <w:numId w:val="2"/>
        </w:numPr>
        <w:jc w:val="both"/>
        <w:rPr>
          <w:rFonts w:ascii="Arial" w:hAnsi="Arial" w:cs="Arial"/>
        </w:rPr>
      </w:pPr>
      <w:r w:rsidRPr="00180CFC">
        <w:rPr>
          <w:rFonts w:ascii="Arial" w:hAnsi="Arial" w:cs="Arial"/>
        </w:rPr>
        <w:t>Using only ‘Yes a lot’ answers and calculate an age-sex adjusted LLTI ratio;</w:t>
      </w:r>
    </w:p>
    <w:p w:rsidR="00180CFC" w:rsidRPr="00180CFC" w:rsidRDefault="00180CFC" w:rsidP="00180CFC">
      <w:pPr>
        <w:pStyle w:val="ListParagraph"/>
        <w:numPr>
          <w:ilvl w:val="0"/>
          <w:numId w:val="2"/>
        </w:numPr>
        <w:jc w:val="both"/>
        <w:rPr>
          <w:rFonts w:ascii="Arial" w:hAnsi="Arial" w:cs="Arial"/>
        </w:rPr>
      </w:pPr>
      <w:r w:rsidRPr="00180CFC">
        <w:rPr>
          <w:rFonts w:ascii="Arial" w:hAnsi="Arial" w:cs="Arial"/>
        </w:rPr>
        <w:t>Using only ‘Yes a little’ answers and calculate an age-sex adjusted LLTI ratio;</w:t>
      </w:r>
    </w:p>
    <w:p w:rsidR="00180CFC" w:rsidRDefault="00180CFC" w:rsidP="00180CFC">
      <w:pPr>
        <w:pStyle w:val="ListParagraph"/>
        <w:numPr>
          <w:ilvl w:val="0"/>
          <w:numId w:val="2"/>
        </w:numPr>
        <w:jc w:val="both"/>
        <w:rPr>
          <w:rFonts w:ascii="Arial" w:hAnsi="Arial" w:cs="Arial"/>
        </w:rPr>
      </w:pPr>
      <w:r w:rsidRPr="00180CFC">
        <w:rPr>
          <w:rFonts w:ascii="Arial" w:hAnsi="Arial" w:cs="Arial"/>
        </w:rPr>
        <w:t>Using ‘Yes a lot’ and ‘Yes a little’ answers (equally weighted) and calculate</w:t>
      </w:r>
      <w:r w:rsidR="007B6B9F">
        <w:rPr>
          <w:rFonts w:ascii="Arial" w:hAnsi="Arial" w:cs="Arial"/>
        </w:rPr>
        <w:t xml:space="preserve"> an age-sex adjusted LLTI ratio (</w:t>
      </w:r>
      <w:proofErr w:type="gramStart"/>
      <w:r w:rsidR="007B6B9F">
        <w:rPr>
          <w:rFonts w:ascii="Arial" w:hAnsi="Arial" w:cs="Arial"/>
        </w:rPr>
        <w:t>‘Yes</w:t>
      </w:r>
      <w:proofErr w:type="gramEnd"/>
      <w:r w:rsidR="007B6B9F">
        <w:rPr>
          <w:rFonts w:ascii="Arial" w:hAnsi="Arial" w:cs="Arial"/>
        </w:rPr>
        <w:t xml:space="preserve"> both’).</w:t>
      </w:r>
    </w:p>
    <w:p w:rsidR="005B0848" w:rsidRDefault="005B0848">
      <w:pPr>
        <w:pStyle w:val="ListParagraph"/>
        <w:ind w:left="360"/>
        <w:jc w:val="both"/>
        <w:rPr>
          <w:rFonts w:ascii="Arial" w:hAnsi="Arial" w:cs="Arial"/>
        </w:rPr>
      </w:pPr>
    </w:p>
    <w:p w:rsidR="00180CFC" w:rsidRPr="00180CFC" w:rsidRDefault="005F30B5" w:rsidP="00180CFC">
      <w:pPr>
        <w:rPr>
          <w:rFonts w:ascii="Arial" w:hAnsi="Arial" w:cs="Arial"/>
          <w:b/>
        </w:rPr>
      </w:pPr>
      <w:r>
        <w:rPr>
          <w:rFonts w:ascii="Arial" w:hAnsi="Arial" w:cs="Arial"/>
          <w:b/>
        </w:rPr>
        <w:t>B.</w:t>
      </w:r>
      <w:r w:rsidR="00180CFC" w:rsidRPr="00180CFC">
        <w:rPr>
          <w:rFonts w:ascii="Arial" w:hAnsi="Arial" w:cs="Arial"/>
          <w:b/>
        </w:rPr>
        <w:t>1 Correlations</w:t>
      </w:r>
    </w:p>
    <w:p w:rsidR="00821736" w:rsidRPr="00D70F6D" w:rsidRDefault="00180CFC" w:rsidP="00D70F6D">
      <w:pPr>
        <w:jc w:val="both"/>
        <w:rPr>
          <w:rFonts w:ascii="Arial" w:hAnsi="Arial" w:cs="Arial"/>
        </w:rPr>
      </w:pPr>
      <w:r w:rsidRPr="00180CFC">
        <w:rPr>
          <w:rFonts w:ascii="Arial" w:hAnsi="Arial" w:cs="Arial"/>
        </w:rPr>
        <w:t>Correlations between the LLTI variables</w:t>
      </w:r>
      <w:r w:rsidR="00C32D3D">
        <w:rPr>
          <w:rFonts w:ascii="Arial" w:hAnsi="Arial" w:cs="Arial"/>
        </w:rPr>
        <w:t xml:space="preserve"> and their correlations to the cost r</w:t>
      </w:r>
      <w:r w:rsidRPr="00180CFC">
        <w:rPr>
          <w:rFonts w:ascii="Arial" w:hAnsi="Arial" w:cs="Arial"/>
        </w:rPr>
        <w:t>atios are calculated to get an initial impression of the strength and direction of the relationships. T</w:t>
      </w:r>
      <w:r w:rsidR="00D70F6D">
        <w:rPr>
          <w:rFonts w:ascii="Arial" w:hAnsi="Arial" w:cs="Arial"/>
        </w:rPr>
        <w:t xml:space="preserve">he results are shown in Table </w:t>
      </w:r>
      <w:r w:rsidR="005F30B5">
        <w:rPr>
          <w:rFonts w:ascii="Arial" w:hAnsi="Arial" w:cs="Arial"/>
        </w:rPr>
        <w:t>B.</w:t>
      </w:r>
      <w:r w:rsidR="00D70F6D">
        <w:rPr>
          <w:rFonts w:ascii="Arial" w:hAnsi="Arial" w:cs="Arial"/>
        </w:rPr>
        <w:t xml:space="preserve">1 and Table </w:t>
      </w:r>
      <w:r w:rsidR="005F30B5">
        <w:rPr>
          <w:rFonts w:ascii="Arial" w:hAnsi="Arial" w:cs="Arial"/>
        </w:rPr>
        <w:t>B.</w:t>
      </w:r>
      <w:r w:rsidRPr="00180CFC">
        <w:rPr>
          <w:rFonts w:ascii="Arial" w:hAnsi="Arial" w:cs="Arial"/>
        </w:rPr>
        <w:t xml:space="preserve">2.  </w:t>
      </w:r>
    </w:p>
    <w:p w:rsidR="00180CFC" w:rsidRPr="00180CFC" w:rsidRDefault="00D70F6D" w:rsidP="00D70F6D">
      <w:pPr>
        <w:spacing w:after="0"/>
        <w:rPr>
          <w:rFonts w:ascii="Arial" w:hAnsi="Arial" w:cs="Arial"/>
          <w:i/>
        </w:rPr>
      </w:pPr>
      <w:r>
        <w:rPr>
          <w:rFonts w:ascii="Arial" w:hAnsi="Arial" w:cs="Arial"/>
          <w:i/>
        </w:rPr>
        <w:t xml:space="preserve">Table </w:t>
      </w:r>
      <w:r w:rsidR="005F30B5">
        <w:rPr>
          <w:rFonts w:ascii="Arial" w:hAnsi="Arial" w:cs="Arial"/>
          <w:i/>
        </w:rPr>
        <w:t>B.</w:t>
      </w:r>
      <w:r w:rsidR="00C32D3D">
        <w:rPr>
          <w:rFonts w:ascii="Arial" w:hAnsi="Arial" w:cs="Arial"/>
          <w:i/>
        </w:rPr>
        <w:t xml:space="preserve">1. </w:t>
      </w:r>
      <w:proofErr w:type="gramStart"/>
      <w:r w:rsidR="00C32D3D">
        <w:rPr>
          <w:rFonts w:ascii="Arial" w:hAnsi="Arial" w:cs="Arial"/>
          <w:i/>
        </w:rPr>
        <w:t>LLTI variables</w:t>
      </w:r>
      <w:r w:rsidR="00180CFC" w:rsidRPr="00180CFC">
        <w:rPr>
          <w:rFonts w:ascii="Arial" w:hAnsi="Arial" w:cs="Arial"/>
          <w:i/>
        </w:rPr>
        <w:t xml:space="preserve"> correlations.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994"/>
        <w:gridCol w:w="848"/>
        <w:gridCol w:w="1126"/>
        <w:gridCol w:w="1710"/>
        <w:gridCol w:w="993"/>
        <w:gridCol w:w="839"/>
        <w:gridCol w:w="1065"/>
      </w:tblGrid>
      <w:tr w:rsidR="00180CFC" w:rsidRPr="007807C9" w:rsidTr="007A0D18">
        <w:trPr>
          <w:trHeight w:val="735"/>
        </w:trPr>
        <w:tc>
          <w:tcPr>
            <w:tcW w:w="902" w:type="pct"/>
            <w:shd w:val="clear" w:color="auto" w:fill="auto"/>
            <w:vAlign w:val="center"/>
            <w:hideMark/>
          </w:tcPr>
          <w:p w:rsidR="00180CFC" w:rsidRPr="007807C9" w:rsidRDefault="00180CFC" w:rsidP="00180CFC">
            <w:pPr>
              <w:spacing w:after="0" w:line="240" w:lineRule="auto"/>
              <w:rPr>
                <w:rFonts w:ascii="Arial" w:eastAsia="Times New Roman" w:hAnsi="Arial" w:cs="Arial"/>
                <w:b/>
                <w:bCs/>
                <w:color w:val="000000"/>
                <w:sz w:val="20"/>
                <w:szCs w:val="20"/>
                <w:lang w:eastAsia="en-GB"/>
              </w:rPr>
            </w:pPr>
            <w:r w:rsidRPr="007807C9">
              <w:rPr>
                <w:rFonts w:ascii="Arial" w:eastAsia="Times New Roman" w:hAnsi="Arial" w:cs="Arial"/>
                <w:b/>
                <w:bCs/>
                <w:color w:val="000000"/>
                <w:sz w:val="20"/>
                <w:szCs w:val="20"/>
                <w:lang w:eastAsia="en-GB"/>
              </w:rPr>
              <w:t xml:space="preserve">Correlations </w:t>
            </w:r>
            <w:r w:rsidRPr="007807C9">
              <w:rPr>
                <w:rFonts w:ascii="Arial" w:eastAsia="Times New Roman" w:hAnsi="Arial" w:cs="Arial"/>
                <w:b/>
                <w:bCs/>
                <w:color w:val="000000"/>
                <w:sz w:val="20"/>
                <w:szCs w:val="20"/>
                <w:lang w:eastAsia="en-GB"/>
              </w:rPr>
              <w:br/>
              <w:t>at Data Zone level</w:t>
            </w:r>
          </w:p>
        </w:tc>
        <w:tc>
          <w:tcPr>
            <w:tcW w:w="538" w:type="pct"/>
            <w:shd w:val="clear" w:color="auto" w:fill="auto"/>
            <w:vAlign w:val="center"/>
            <w:hideMark/>
          </w:tcPr>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LLTI</w:t>
            </w:r>
          </w:p>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Yes a lot</w:t>
            </w:r>
          </w:p>
        </w:tc>
        <w:tc>
          <w:tcPr>
            <w:tcW w:w="459" w:type="pct"/>
            <w:shd w:val="clear" w:color="auto" w:fill="auto"/>
            <w:vAlign w:val="center"/>
            <w:hideMark/>
          </w:tcPr>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LLTI</w:t>
            </w:r>
          </w:p>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Yes a little</w:t>
            </w:r>
          </w:p>
        </w:tc>
        <w:tc>
          <w:tcPr>
            <w:tcW w:w="609" w:type="pct"/>
            <w:shd w:val="clear" w:color="auto" w:fill="auto"/>
            <w:vAlign w:val="center"/>
            <w:hideMark/>
          </w:tcPr>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LLTI</w:t>
            </w:r>
          </w:p>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Yes both (equal weight)</w:t>
            </w:r>
          </w:p>
        </w:tc>
        <w:tc>
          <w:tcPr>
            <w:tcW w:w="925" w:type="pct"/>
            <w:vAlign w:val="center"/>
          </w:tcPr>
          <w:p w:rsidR="00180CFC" w:rsidRPr="007807C9" w:rsidRDefault="00180CFC" w:rsidP="00180CFC">
            <w:pPr>
              <w:spacing w:after="0" w:line="240" w:lineRule="auto"/>
              <w:rPr>
                <w:rFonts w:ascii="Arial" w:eastAsia="Times New Roman" w:hAnsi="Arial" w:cs="Arial"/>
                <w:b/>
                <w:bCs/>
                <w:color w:val="000000"/>
                <w:sz w:val="20"/>
                <w:szCs w:val="20"/>
                <w:lang w:eastAsia="en-GB"/>
              </w:rPr>
            </w:pPr>
            <w:r w:rsidRPr="007807C9">
              <w:rPr>
                <w:rFonts w:ascii="Arial" w:eastAsia="Times New Roman" w:hAnsi="Arial" w:cs="Arial"/>
                <w:b/>
                <w:bCs/>
                <w:color w:val="000000"/>
                <w:sz w:val="20"/>
                <w:szCs w:val="20"/>
                <w:lang w:eastAsia="en-GB"/>
              </w:rPr>
              <w:t xml:space="preserve">Correlations </w:t>
            </w:r>
          </w:p>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
                <w:bCs/>
                <w:color w:val="000000"/>
                <w:sz w:val="20"/>
                <w:szCs w:val="20"/>
                <w:lang w:eastAsia="en-GB"/>
              </w:rPr>
              <w:t>at Intermediate Zone level</w:t>
            </w:r>
          </w:p>
        </w:tc>
        <w:tc>
          <w:tcPr>
            <w:tcW w:w="537" w:type="pct"/>
            <w:vAlign w:val="center"/>
          </w:tcPr>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LLTI</w:t>
            </w:r>
          </w:p>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Yes a lot</w:t>
            </w:r>
          </w:p>
        </w:tc>
        <w:tc>
          <w:tcPr>
            <w:tcW w:w="454" w:type="pct"/>
            <w:vAlign w:val="center"/>
          </w:tcPr>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LLTI</w:t>
            </w:r>
          </w:p>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Yes a little</w:t>
            </w:r>
          </w:p>
        </w:tc>
        <w:tc>
          <w:tcPr>
            <w:tcW w:w="576" w:type="pct"/>
            <w:vAlign w:val="center"/>
          </w:tcPr>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LLTI</w:t>
            </w:r>
          </w:p>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Yes both (equal weight)</w:t>
            </w:r>
          </w:p>
        </w:tc>
      </w:tr>
      <w:tr w:rsidR="00180CFC" w:rsidRPr="007807C9" w:rsidTr="007A0D18">
        <w:trPr>
          <w:trHeight w:val="300"/>
        </w:trPr>
        <w:tc>
          <w:tcPr>
            <w:tcW w:w="902" w:type="pct"/>
            <w:shd w:val="clear" w:color="auto" w:fill="auto"/>
            <w:hideMark/>
          </w:tcPr>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LLTI Yes a lot</w:t>
            </w:r>
          </w:p>
        </w:tc>
        <w:tc>
          <w:tcPr>
            <w:tcW w:w="538" w:type="pct"/>
            <w:shd w:val="clear" w:color="auto" w:fill="auto"/>
            <w:noWrap/>
            <w:vAlign w:val="center"/>
            <w:hideMark/>
          </w:tcPr>
          <w:p w:rsidR="00180CFC" w:rsidRPr="007807C9" w:rsidRDefault="00180CFC" w:rsidP="00180CFC">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1</w:t>
            </w:r>
          </w:p>
        </w:tc>
        <w:tc>
          <w:tcPr>
            <w:tcW w:w="459" w:type="pct"/>
            <w:shd w:val="clear" w:color="auto" w:fill="auto"/>
            <w:noWrap/>
            <w:vAlign w:val="center"/>
            <w:hideMark/>
          </w:tcPr>
          <w:p w:rsidR="00180CFC" w:rsidRPr="007807C9" w:rsidRDefault="00C32D3D" w:rsidP="00180CFC">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609" w:type="pct"/>
            <w:shd w:val="clear" w:color="auto" w:fill="auto"/>
            <w:noWrap/>
            <w:vAlign w:val="center"/>
            <w:hideMark/>
          </w:tcPr>
          <w:p w:rsidR="00180CFC" w:rsidRPr="007807C9" w:rsidRDefault="00C32D3D" w:rsidP="00180CFC">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925" w:type="pct"/>
          </w:tcPr>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LLTI Yes a lot</w:t>
            </w:r>
          </w:p>
        </w:tc>
        <w:tc>
          <w:tcPr>
            <w:tcW w:w="537" w:type="pct"/>
            <w:vAlign w:val="center"/>
          </w:tcPr>
          <w:p w:rsidR="00180CFC" w:rsidRPr="007807C9" w:rsidRDefault="00180CFC" w:rsidP="00180CFC">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1</w:t>
            </w:r>
          </w:p>
        </w:tc>
        <w:tc>
          <w:tcPr>
            <w:tcW w:w="454" w:type="pct"/>
            <w:vAlign w:val="center"/>
          </w:tcPr>
          <w:p w:rsidR="00180CFC" w:rsidRPr="007807C9" w:rsidRDefault="00C32D3D" w:rsidP="00180CFC">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576" w:type="pct"/>
            <w:vAlign w:val="center"/>
          </w:tcPr>
          <w:p w:rsidR="00180CFC" w:rsidRPr="007807C9" w:rsidRDefault="00C32D3D" w:rsidP="00180CFC">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r>
      <w:tr w:rsidR="00180CFC" w:rsidRPr="007807C9" w:rsidTr="007A0D18">
        <w:trPr>
          <w:trHeight w:val="300"/>
        </w:trPr>
        <w:tc>
          <w:tcPr>
            <w:tcW w:w="902" w:type="pct"/>
            <w:shd w:val="clear" w:color="auto" w:fill="auto"/>
            <w:hideMark/>
          </w:tcPr>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LLTI Yes a little</w:t>
            </w:r>
          </w:p>
        </w:tc>
        <w:tc>
          <w:tcPr>
            <w:tcW w:w="538" w:type="pct"/>
            <w:shd w:val="clear" w:color="auto" w:fill="auto"/>
            <w:noWrap/>
            <w:vAlign w:val="center"/>
            <w:hideMark/>
          </w:tcPr>
          <w:p w:rsidR="00180CFC" w:rsidRPr="007807C9" w:rsidRDefault="00180CFC" w:rsidP="00180CFC">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0.651</w:t>
            </w:r>
          </w:p>
        </w:tc>
        <w:tc>
          <w:tcPr>
            <w:tcW w:w="459" w:type="pct"/>
            <w:shd w:val="clear" w:color="auto" w:fill="auto"/>
            <w:noWrap/>
            <w:vAlign w:val="center"/>
            <w:hideMark/>
          </w:tcPr>
          <w:p w:rsidR="00180CFC" w:rsidRPr="007807C9" w:rsidRDefault="00180CFC" w:rsidP="00180CFC">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1</w:t>
            </w:r>
          </w:p>
        </w:tc>
        <w:tc>
          <w:tcPr>
            <w:tcW w:w="609" w:type="pct"/>
            <w:shd w:val="clear" w:color="auto" w:fill="auto"/>
            <w:noWrap/>
            <w:vAlign w:val="center"/>
            <w:hideMark/>
          </w:tcPr>
          <w:p w:rsidR="00180CFC" w:rsidRPr="007807C9" w:rsidRDefault="00C32D3D" w:rsidP="00180CFC">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925" w:type="pct"/>
          </w:tcPr>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LLTI Yes a little</w:t>
            </w:r>
          </w:p>
        </w:tc>
        <w:tc>
          <w:tcPr>
            <w:tcW w:w="537" w:type="pct"/>
            <w:vAlign w:val="center"/>
          </w:tcPr>
          <w:p w:rsidR="00180CFC" w:rsidRPr="007807C9" w:rsidRDefault="00180CFC" w:rsidP="00180CFC">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0.793</w:t>
            </w:r>
          </w:p>
        </w:tc>
        <w:tc>
          <w:tcPr>
            <w:tcW w:w="454" w:type="pct"/>
            <w:vAlign w:val="center"/>
          </w:tcPr>
          <w:p w:rsidR="00180CFC" w:rsidRPr="007807C9" w:rsidRDefault="00180CFC" w:rsidP="00180CFC">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1</w:t>
            </w:r>
          </w:p>
        </w:tc>
        <w:tc>
          <w:tcPr>
            <w:tcW w:w="576" w:type="pct"/>
            <w:vAlign w:val="center"/>
          </w:tcPr>
          <w:p w:rsidR="00180CFC" w:rsidRPr="007807C9" w:rsidRDefault="00C32D3D" w:rsidP="00180CFC">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r>
      <w:tr w:rsidR="00180CFC" w:rsidRPr="007807C9" w:rsidTr="007A0D18">
        <w:trPr>
          <w:trHeight w:val="480"/>
        </w:trPr>
        <w:tc>
          <w:tcPr>
            <w:tcW w:w="902" w:type="pct"/>
            <w:shd w:val="clear" w:color="auto" w:fill="auto"/>
            <w:hideMark/>
          </w:tcPr>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 xml:space="preserve">LLTI Yes both </w:t>
            </w:r>
            <w:r w:rsidRPr="007807C9">
              <w:rPr>
                <w:rFonts w:ascii="Arial" w:eastAsia="Times New Roman" w:hAnsi="Arial" w:cs="Arial"/>
                <w:bCs/>
                <w:color w:val="000000"/>
                <w:sz w:val="20"/>
                <w:szCs w:val="20"/>
                <w:lang w:eastAsia="en-GB"/>
              </w:rPr>
              <w:br/>
              <w:t>(equal weight)</w:t>
            </w:r>
          </w:p>
        </w:tc>
        <w:tc>
          <w:tcPr>
            <w:tcW w:w="538" w:type="pct"/>
            <w:shd w:val="clear" w:color="auto" w:fill="auto"/>
            <w:noWrap/>
            <w:vAlign w:val="center"/>
            <w:hideMark/>
          </w:tcPr>
          <w:p w:rsidR="00180CFC" w:rsidRPr="007807C9" w:rsidRDefault="00180CFC" w:rsidP="00180CFC">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0.964</w:t>
            </w:r>
          </w:p>
        </w:tc>
        <w:tc>
          <w:tcPr>
            <w:tcW w:w="459" w:type="pct"/>
            <w:shd w:val="clear" w:color="auto" w:fill="auto"/>
            <w:noWrap/>
            <w:vAlign w:val="center"/>
            <w:hideMark/>
          </w:tcPr>
          <w:p w:rsidR="00180CFC" w:rsidRPr="007807C9" w:rsidRDefault="00180CFC" w:rsidP="00180CFC">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0.829</w:t>
            </w:r>
          </w:p>
        </w:tc>
        <w:tc>
          <w:tcPr>
            <w:tcW w:w="609" w:type="pct"/>
            <w:shd w:val="clear" w:color="auto" w:fill="auto"/>
            <w:noWrap/>
            <w:vAlign w:val="center"/>
            <w:hideMark/>
          </w:tcPr>
          <w:p w:rsidR="00180CFC" w:rsidRPr="007807C9" w:rsidRDefault="00180CFC" w:rsidP="00180CFC">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1</w:t>
            </w:r>
          </w:p>
        </w:tc>
        <w:tc>
          <w:tcPr>
            <w:tcW w:w="925" w:type="pct"/>
          </w:tcPr>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LLTI Yes both</w:t>
            </w:r>
          </w:p>
          <w:p w:rsidR="00180CFC" w:rsidRPr="007807C9" w:rsidRDefault="00180CFC" w:rsidP="00180CFC">
            <w:pPr>
              <w:spacing w:after="0" w:line="240" w:lineRule="auto"/>
              <w:rPr>
                <w:rFonts w:ascii="Arial" w:eastAsia="Times New Roman" w:hAnsi="Arial" w:cs="Arial"/>
                <w:bCs/>
                <w:color w:val="000000"/>
                <w:sz w:val="20"/>
                <w:szCs w:val="20"/>
                <w:lang w:eastAsia="en-GB"/>
              </w:rPr>
            </w:pPr>
            <w:r w:rsidRPr="007807C9">
              <w:rPr>
                <w:rFonts w:ascii="Arial" w:eastAsia="Times New Roman" w:hAnsi="Arial" w:cs="Arial"/>
                <w:bCs/>
                <w:color w:val="000000"/>
                <w:sz w:val="20"/>
                <w:szCs w:val="20"/>
                <w:lang w:eastAsia="en-GB"/>
              </w:rPr>
              <w:t>(equal weight)</w:t>
            </w:r>
          </w:p>
        </w:tc>
        <w:tc>
          <w:tcPr>
            <w:tcW w:w="537" w:type="pct"/>
            <w:vAlign w:val="center"/>
          </w:tcPr>
          <w:p w:rsidR="00180CFC" w:rsidRPr="007807C9" w:rsidRDefault="00180CFC" w:rsidP="00180CFC">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0.984</w:t>
            </w:r>
          </w:p>
        </w:tc>
        <w:tc>
          <w:tcPr>
            <w:tcW w:w="454" w:type="pct"/>
            <w:vAlign w:val="center"/>
          </w:tcPr>
          <w:p w:rsidR="00180CFC" w:rsidRPr="007807C9" w:rsidRDefault="00180CFC" w:rsidP="00180CFC">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0.889</w:t>
            </w:r>
          </w:p>
        </w:tc>
        <w:tc>
          <w:tcPr>
            <w:tcW w:w="576" w:type="pct"/>
            <w:vAlign w:val="center"/>
          </w:tcPr>
          <w:p w:rsidR="00180CFC" w:rsidRPr="007807C9" w:rsidRDefault="00180CFC" w:rsidP="00180CFC">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1</w:t>
            </w:r>
          </w:p>
        </w:tc>
      </w:tr>
    </w:tbl>
    <w:p w:rsidR="00180CFC" w:rsidRDefault="00180CFC" w:rsidP="00180CFC">
      <w:pPr>
        <w:jc w:val="both"/>
        <w:rPr>
          <w:rFonts w:ascii="Arial" w:hAnsi="Arial" w:cs="Arial"/>
          <w:b/>
        </w:rPr>
      </w:pPr>
    </w:p>
    <w:p w:rsidR="00C32D3D" w:rsidRDefault="00C32D3D" w:rsidP="00D70F6D">
      <w:pPr>
        <w:spacing w:after="0"/>
        <w:jc w:val="both"/>
        <w:rPr>
          <w:rFonts w:ascii="Arial" w:hAnsi="Arial" w:cs="Arial"/>
          <w:b/>
        </w:rPr>
      </w:pPr>
    </w:p>
    <w:p w:rsidR="007602DB" w:rsidRDefault="007602DB" w:rsidP="00D70F6D">
      <w:pPr>
        <w:spacing w:after="0"/>
        <w:jc w:val="both"/>
        <w:rPr>
          <w:rFonts w:ascii="Arial" w:hAnsi="Arial" w:cs="Arial"/>
          <w:b/>
        </w:rPr>
      </w:pPr>
    </w:p>
    <w:p w:rsidR="00180CFC" w:rsidRPr="00180CFC" w:rsidRDefault="00D70F6D" w:rsidP="00D70F6D">
      <w:pPr>
        <w:spacing w:after="0"/>
        <w:jc w:val="both"/>
        <w:rPr>
          <w:rFonts w:ascii="Arial" w:hAnsi="Arial" w:cs="Arial"/>
          <w:i/>
        </w:rPr>
      </w:pPr>
      <w:r>
        <w:rPr>
          <w:rFonts w:ascii="Arial" w:hAnsi="Arial" w:cs="Arial"/>
          <w:i/>
        </w:rPr>
        <w:lastRenderedPageBreak/>
        <w:t xml:space="preserve">Table </w:t>
      </w:r>
      <w:r w:rsidR="005F30B5">
        <w:rPr>
          <w:rFonts w:ascii="Arial" w:hAnsi="Arial" w:cs="Arial"/>
          <w:i/>
        </w:rPr>
        <w:t>B.</w:t>
      </w:r>
      <w:r w:rsidR="00180CFC" w:rsidRPr="00180CFC">
        <w:rPr>
          <w:rFonts w:ascii="Arial" w:hAnsi="Arial" w:cs="Arial"/>
          <w:i/>
        </w:rPr>
        <w:t xml:space="preserve">2. </w:t>
      </w:r>
      <w:proofErr w:type="gramStart"/>
      <w:r w:rsidR="00180CFC" w:rsidRPr="00180CFC">
        <w:rPr>
          <w:rFonts w:ascii="Arial" w:hAnsi="Arial" w:cs="Arial"/>
          <w:i/>
        </w:rPr>
        <w:t>Correlations between LLTI variables and cost ratios.</w:t>
      </w:r>
      <w:proofErr w:type="gramEnd"/>
    </w:p>
    <w:tbl>
      <w:tblPr>
        <w:tblStyle w:val="TableGrid"/>
        <w:tblW w:w="0" w:type="auto"/>
        <w:tblLook w:val="04A0"/>
      </w:tblPr>
      <w:tblGrid>
        <w:gridCol w:w="2085"/>
        <w:gridCol w:w="861"/>
        <w:gridCol w:w="808"/>
        <w:gridCol w:w="1039"/>
        <w:gridCol w:w="989"/>
        <w:gridCol w:w="934"/>
        <w:gridCol w:w="1246"/>
        <w:gridCol w:w="1280"/>
      </w:tblGrid>
      <w:tr w:rsidR="00180CFC" w:rsidRPr="007807C9" w:rsidTr="007A0D18">
        <w:tc>
          <w:tcPr>
            <w:tcW w:w="2093" w:type="dxa"/>
          </w:tcPr>
          <w:p w:rsidR="00180CFC" w:rsidRPr="007807C9" w:rsidRDefault="00180CFC" w:rsidP="00180CFC">
            <w:pPr>
              <w:rPr>
                <w:rFonts w:ascii="Arial" w:hAnsi="Arial" w:cs="Arial"/>
                <w:b/>
                <w:sz w:val="20"/>
                <w:szCs w:val="20"/>
              </w:rPr>
            </w:pPr>
            <w:r w:rsidRPr="007807C9">
              <w:rPr>
                <w:rFonts w:ascii="Arial" w:hAnsi="Arial" w:cs="Arial"/>
                <w:b/>
                <w:sz w:val="20"/>
                <w:szCs w:val="20"/>
              </w:rPr>
              <w:t>Correlations</w:t>
            </w:r>
          </w:p>
        </w:tc>
        <w:tc>
          <w:tcPr>
            <w:tcW w:w="850" w:type="dxa"/>
          </w:tcPr>
          <w:p w:rsidR="00180CFC" w:rsidRPr="007807C9" w:rsidRDefault="00180CFC" w:rsidP="00180CFC">
            <w:pPr>
              <w:rPr>
                <w:rFonts w:ascii="Arial" w:hAnsi="Arial" w:cs="Arial"/>
                <w:sz w:val="20"/>
                <w:szCs w:val="20"/>
              </w:rPr>
            </w:pPr>
            <w:r w:rsidRPr="007807C9">
              <w:rPr>
                <w:rFonts w:ascii="Arial" w:hAnsi="Arial" w:cs="Arial"/>
                <w:sz w:val="20"/>
                <w:szCs w:val="20"/>
              </w:rPr>
              <w:t>Cancer</w:t>
            </w:r>
          </w:p>
          <w:p w:rsidR="00180CFC" w:rsidRPr="007807C9" w:rsidRDefault="00180CFC" w:rsidP="00180CFC">
            <w:pPr>
              <w:rPr>
                <w:rFonts w:ascii="Arial" w:hAnsi="Arial" w:cs="Arial"/>
                <w:sz w:val="20"/>
                <w:szCs w:val="20"/>
              </w:rPr>
            </w:pPr>
            <w:r w:rsidRPr="007807C9">
              <w:rPr>
                <w:rFonts w:ascii="Arial" w:hAnsi="Arial" w:cs="Arial"/>
                <w:sz w:val="20"/>
                <w:szCs w:val="20"/>
              </w:rPr>
              <w:t>cost ratios</w:t>
            </w:r>
          </w:p>
        </w:tc>
        <w:tc>
          <w:tcPr>
            <w:tcW w:w="809" w:type="dxa"/>
          </w:tcPr>
          <w:p w:rsidR="00180CFC" w:rsidRPr="007807C9" w:rsidRDefault="00180CFC" w:rsidP="00180CFC">
            <w:pPr>
              <w:rPr>
                <w:rFonts w:ascii="Arial" w:hAnsi="Arial" w:cs="Arial"/>
                <w:sz w:val="20"/>
                <w:szCs w:val="20"/>
              </w:rPr>
            </w:pPr>
            <w:r w:rsidRPr="007807C9">
              <w:rPr>
                <w:rFonts w:ascii="Arial" w:hAnsi="Arial" w:cs="Arial"/>
                <w:sz w:val="20"/>
                <w:szCs w:val="20"/>
              </w:rPr>
              <w:t>Heart cost ratios</w:t>
            </w:r>
          </w:p>
        </w:tc>
        <w:tc>
          <w:tcPr>
            <w:tcW w:w="1034" w:type="dxa"/>
          </w:tcPr>
          <w:p w:rsidR="00180CFC" w:rsidRPr="007807C9" w:rsidRDefault="00180CFC" w:rsidP="00180CFC">
            <w:pPr>
              <w:rPr>
                <w:rFonts w:ascii="Arial" w:hAnsi="Arial" w:cs="Arial"/>
                <w:sz w:val="20"/>
                <w:szCs w:val="20"/>
              </w:rPr>
            </w:pPr>
            <w:r w:rsidRPr="007807C9">
              <w:rPr>
                <w:rFonts w:ascii="Arial" w:hAnsi="Arial" w:cs="Arial"/>
                <w:sz w:val="20"/>
                <w:szCs w:val="20"/>
              </w:rPr>
              <w:t>Digestive cost ratios</w:t>
            </w:r>
          </w:p>
        </w:tc>
        <w:tc>
          <w:tcPr>
            <w:tcW w:w="992" w:type="dxa"/>
          </w:tcPr>
          <w:p w:rsidR="00180CFC" w:rsidRPr="007807C9" w:rsidRDefault="00180CFC" w:rsidP="00180CFC">
            <w:pPr>
              <w:rPr>
                <w:rFonts w:ascii="Arial" w:hAnsi="Arial" w:cs="Arial"/>
                <w:sz w:val="20"/>
                <w:szCs w:val="20"/>
              </w:rPr>
            </w:pPr>
            <w:r w:rsidRPr="007807C9">
              <w:rPr>
                <w:rFonts w:ascii="Arial" w:hAnsi="Arial" w:cs="Arial"/>
                <w:sz w:val="20"/>
                <w:szCs w:val="20"/>
              </w:rPr>
              <w:t>Injury cost ratios</w:t>
            </w:r>
          </w:p>
        </w:tc>
        <w:tc>
          <w:tcPr>
            <w:tcW w:w="937" w:type="dxa"/>
          </w:tcPr>
          <w:p w:rsidR="00180CFC" w:rsidRPr="007807C9" w:rsidRDefault="00180CFC" w:rsidP="00180CFC">
            <w:pPr>
              <w:rPr>
                <w:rFonts w:ascii="Arial" w:hAnsi="Arial" w:cs="Arial"/>
                <w:sz w:val="20"/>
                <w:szCs w:val="20"/>
              </w:rPr>
            </w:pPr>
            <w:r w:rsidRPr="007807C9">
              <w:rPr>
                <w:rFonts w:ascii="Arial" w:hAnsi="Arial" w:cs="Arial"/>
                <w:sz w:val="20"/>
                <w:szCs w:val="20"/>
              </w:rPr>
              <w:t>Other cost ratios</w:t>
            </w:r>
          </w:p>
        </w:tc>
        <w:tc>
          <w:tcPr>
            <w:tcW w:w="1246" w:type="dxa"/>
          </w:tcPr>
          <w:p w:rsidR="00180CFC" w:rsidRPr="007807C9" w:rsidRDefault="00180CFC" w:rsidP="00180CFC">
            <w:pPr>
              <w:rPr>
                <w:rFonts w:ascii="Arial" w:hAnsi="Arial" w:cs="Arial"/>
                <w:sz w:val="20"/>
                <w:szCs w:val="20"/>
              </w:rPr>
            </w:pPr>
            <w:r w:rsidRPr="007807C9">
              <w:rPr>
                <w:rFonts w:ascii="Arial" w:hAnsi="Arial" w:cs="Arial"/>
                <w:sz w:val="20"/>
                <w:szCs w:val="20"/>
              </w:rPr>
              <w:t>Respiratory cost ratios</w:t>
            </w:r>
          </w:p>
        </w:tc>
        <w:tc>
          <w:tcPr>
            <w:tcW w:w="1281" w:type="dxa"/>
          </w:tcPr>
          <w:p w:rsidR="00180CFC" w:rsidRPr="007807C9" w:rsidRDefault="00180CFC" w:rsidP="00180CFC">
            <w:pPr>
              <w:rPr>
                <w:rFonts w:ascii="Arial" w:hAnsi="Arial" w:cs="Arial"/>
                <w:sz w:val="20"/>
                <w:szCs w:val="20"/>
              </w:rPr>
            </w:pPr>
            <w:r w:rsidRPr="007807C9">
              <w:rPr>
                <w:rFonts w:ascii="Arial" w:hAnsi="Arial" w:cs="Arial"/>
                <w:sz w:val="20"/>
                <w:szCs w:val="20"/>
              </w:rPr>
              <w:t>Outpatients cost ratios</w:t>
            </w:r>
          </w:p>
        </w:tc>
      </w:tr>
      <w:tr w:rsidR="00180CFC" w:rsidRPr="007807C9" w:rsidTr="007A0D18">
        <w:tc>
          <w:tcPr>
            <w:tcW w:w="2093" w:type="dxa"/>
          </w:tcPr>
          <w:p w:rsidR="00180CFC" w:rsidRPr="007807C9" w:rsidRDefault="00180CFC" w:rsidP="00180CFC">
            <w:pPr>
              <w:rPr>
                <w:rFonts w:ascii="Arial" w:hAnsi="Arial" w:cs="Arial"/>
                <w:b/>
                <w:sz w:val="20"/>
                <w:szCs w:val="20"/>
              </w:rPr>
            </w:pPr>
            <w:r w:rsidRPr="007807C9">
              <w:rPr>
                <w:rFonts w:ascii="Arial" w:hAnsi="Arial" w:cs="Arial"/>
                <w:b/>
                <w:sz w:val="20"/>
                <w:szCs w:val="20"/>
              </w:rPr>
              <w:t>Data Zones</w:t>
            </w:r>
          </w:p>
          <w:p w:rsidR="00180CFC" w:rsidRPr="007807C9" w:rsidRDefault="00180CFC" w:rsidP="00180CFC">
            <w:pPr>
              <w:rPr>
                <w:rFonts w:ascii="Arial" w:hAnsi="Arial" w:cs="Arial"/>
                <w:sz w:val="20"/>
                <w:szCs w:val="20"/>
              </w:rPr>
            </w:pPr>
            <w:r w:rsidRPr="007807C9">
              <w:rPr>
                <w:rFonts w:ascii="Arial" w:hAnsi="Arial" w:cs="Arial"/>
                <w:sz w:val="20"/>
                <w:szCs w:val="20"/>
              </w:rPr>
              <w:t>LLTI Yes a lot</w:t>
            </w:r>
          </w:p>
        </w:tc>
        <w:tc>
          <w:tcPr>
            <w:tcW w:w="850"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0.149</w:t>
            </w:r>
          </w:p>
        </w:tc>
        <w:tc>
          <w:tcPr>
            <w:tcW w:w="809"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0.275</w:t>
            </w:r>
          </w:p>
        </w:tc>
        <w:tc>
          <w:tcPr>
            <w:tcW w:w="1034"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0.415</w:t>
            </w:r>
          </w:p>
        </w:tc>
        <w:tc>
          <w:tcPr>
            <w:tcW w:w="992"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0.281</w:t>
            </w:r>
          </w:p>
        </w:tc>
        <w:tc>
          <w:tcPr>
            <w:tcW w:w="937"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0.467</w:t>
            </w:r>
          </w:p>
        </w:tc>
        <w:tc>
          <w:tcPr>
            <w:tcW w:w="1246"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0.455</w:t>
            </w:r>
          </w:p>
        </w:tc>
        <w:tc>
          <w:tcPr>
            <w:tcW w:w="1281"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0.384</w:t>
            </w:r>
          </w:p>
        </w:tc>
      </w:tr>
      <w:tr w:rsidR="00180CFC" w:rsidRPr="007807C9" w:rsidTr="007A0D18">
        <w:tc>
          <w:tcPr>
            <w:tcW w:w="2093" w:type="dxa"/>
          </w:tcPr>
          <w:p w:rsidR="00180CFC" w:rsidRPr="007807C9" w:rsidRDefault="00180CFC" w:rsidP="00180CFC">
            <w:pPr>
              <w:rPr>
                <w:rFonts w:ascii="Arial" w:hAnsi="Arial" w:cs="Arial"/>
                <w:b/>
                <w:sz w:val="20"/>
                <w:szCs w:val="20"/>
              </w:rPr>
            </w:pPr>
            <w:r w:rsidRPr="007807C9">
              <w:rPr>
                <w:rFonts w:ascii="Arial" w:hAnsi="Arial" w:cs="Arial"/>
                <w:b/>
                <w:sz w:val="20"/>
                <w:szCs w:val="20"/>
              </w:rPr>
              <w:t>Data Zones</w:t>
            </w:r>
          </w:p>
          <w:p w:rsidR="00180CFC" w:rsidRPr="007807C9" w:rsidRDefault="00180CFC" w:rsidP="00180CFC">
            <w:pPr>
              <w:rPr>
                <w:rFonts w:ascii="Arial" w:hAnsi="Arial" w:cs="Arial"/>
                <w:sz w:val="20"/>
                <w:szCs w:val="20"/>
              </w:rPr>
            </w:pPr>
            <w:r w:rsidRPr="007807C9">
              <w:rPr>
                <w:rFonts w:ascii="Arial" w:hAnsi="Arial" w:cs="Arial"/>
                <w:sz w:val="20"/>
                <w:szCs w:val="20"/>
              </w:rPr>
              <w:t>LLTI Yes a little</w:t>
            </w:r>
          </w:p>
        </w:tc>
        <w:tc>
          <w:tcPr>
            <w:tcW w:w="850"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0.119</w:t>
            </w:r>
          </w:p>
        </w:tc>
        <w:tc>
          <w:tcPr>
            <w:tcW w:w="809"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0.237</w:t>
            </w:r>
          </w:p>
        </w:tc>
        <w:tc>
          <w:tcPr>
            <w:tcW w:w="1034"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0.28</w:t>
            </w:r>
          </w:p>
        </w:tc>
        <w:tc>
          <w:tcPr>
            <w:tcW w:w="992"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0.249</w:t>
            </w:r>
          </w:p>
        </w:tc>
        <w:tc>
          <w:tcPr>
            <w:tcW w:w="937"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0.373</w:t>
            </w:r>
          </w:p>
        </w:tc>
        <w:tc>
          <w:tcPr>
            <w:tcW w:w="1246"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0.313</w:t>
            </w:r>
          </w:p>
        </w:tc>
        <w:tc>
          <w:tcPr>
            <w:tcW w:w="1281"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0.221</w:t>
            </w:r>
          </w:p>
        </w:tc>
      </w:tr>
      <w:tr w:rsidR="00180CFC" w:rsidRPr="007807C9" w:rsidTr="007A0D18">
        <w:tc>
          <w:tcPr>
            <w:tcW w:w="2093" w:type="dxa"/>
          </w:tcPr>
          <w:p w:rsidR="00180CFC" w:rsidRPr="007807C9" w:rsidRDefault="00180CFC" w:rsidP="00180CFC">
            <w:pPr>
              <w:rPr>
                <w:rFonts w:ascii="Arial" w:hAnsi="Arial" w:cs="Arial"/>
                <w:b/>
                <w:sz w:val="20"/>
                <w:szCs w:val="20"/>
              </w:rPr>
            </w:pPr>
            <w:r w:rsidRPr="007807C9">
              <w:rPr>
                <w:rFonts w:ascii="Arial" w:hAnsi="Arial" w:cs="Arial"/>
                <w:b/>
                <w:sz w:val="20"/>
                <w:szCs w:val="20"/>
              </w:rPr>
              <w:t>Data Zones</w:t>
            </w:r>
          </w:p>
          <w:p w:rsidR="00180CFC" w:rsidRPr="007807C9" w:rsidRDefault="00180CFC" w:rsidP="00180CFC">
            <w:pPr>
              <w:rPr>
                <w:rFonts w:ascii="Arial" w:hAnsi="Arial" w:cs="Arial"/>
                <w:sz w:val="20"/>
                <w:szCs w:val="20"/>
              </w:rPr>
            </w:pPr>
            <w:r w:rsidRPr="007807C9">
              <w:rPr>
                <w:rFonts w:ascii="Arial" w:hAnsi="Arial" w:cs="Arial"/>
                <w:sz w:val="20"/>
                <w:szCs w:val="20"/>
              </w:rPr>
              <w:t xml:space="preserve">LLYI Yes both </w:t>
            </w:r>
          </w:p>
          <w:p w:rsidR="00180CFC" w:rsidRPr="007807C9" w:rsidRDefault="00180CFC" w:rsidP="00180CFC">
            <w:pPr>
              <w:rPr>
                <w:rFonts w:ascii="Arial" w:hAnsi="Arial" w:cs="Arial"/>
                <w:sz w:val="20"/>
                <w:szCs w:val="20"/>
              </w:rPr>
            </w:pPr>
            <w:r w:rsidRPr="007807C9">
              <w:rPr>
                <w:rFonts w:ascii="Arial" w:hAnsi="Arial" w:cs="Arial"/>
                <w:sz w:val="20"/>
                <w:szCs w:val="20"/>
              </w:rPr>
              <w:t>(equal weight)</w:t>
            </w:r>
          </w:p>
        </w:tc>
        <w:tc>
          <w:tcPr>
            <w:tcW w:w="850"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0.152</w:t>
            </w:r>
          </w:p>
        </w:tc>
        <w:tc>
          <w:tcPr>
            <w:tcW w:w="809"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0.285</w:t>
            </w:r>
          </w:p>
        </w:tc>
        <w:tc>
          <w:tcPr>
            <w:tcW w:w="1034"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0.403</w:t>
            </w:r>
          </w:p>
        </w:tc>
        <w:tc>
          <w:tcPr>
            <w:tcW w:w="992"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0.294</w:t>
            </w:r>
          </w:p>
        </w:tc>
        <w:tc>
          <w:tcPr>
            <w:tcW w:w="937"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0.474</w:t>
            </w:r>
          </w:p>
        </w:tc>
        <w:tc>
          <w:tcPr>
            <w:tcW w:w="1246"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0.445</w:t>
            </w:r>
          </w:p>
        </w:tc>
        <w:tc>
          <w:tcPr>
            <w:tcW w:w="1281"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0.359</w:t>
            </w:r>
          </w:p>
        </w:tc>
      </w:tr>
      <w:tr w:rsidR="00180CFC" w:rsidRPr="007807C9" w:rsidTr="007A0D18">
        <w:tc>
          <w:tcPr>
            <w:tcW w:w="2093" w:type="dxa"/>
          </w:tcPr>
          <w:p w:rsidR="00180CFC" w:rsidRPr="007807C9" w:rsidRDefault="00180CFC" w:rsidP="00180CFC">
            <w:pPr>
              <w:rPr>
                <w:rFonts w:ascii="Arial" w:hAnsi="Arial" w:cs="Arial"/>
                <w:b/>
                <w:sz w:val="20"/>
                <w:szCs w:val="20"/>
              </w:rPr>
            </w:pPr>
            <w:r w:rsidRPr="007807C9">
              <w:rPr>
                <w:rFonts w:ascii="Arial" w:hAnsi="Arial" w:cs="Arial"/>
                <w:b/>
                <w:sz w:val="20"/>
                <w:szCs w:val="20"/>
              </w:rPr>
              <w:t>Intermediate Zones</w:t>
            </w:r>
          </w:p>
          <w:p w:rsidR="00180CFC" w:rsidRPr="007807C9" w:rsidRDefault="00180CFC" w:rsidP="00180CFC">
            <w:pPr>
              <w:rPr>
                <w:rFonts w:ascii="Arial" w:hAnsi="Arial" w:cs="Arial"/>
                <w:sz w:val="20"/>
                <w:szCs w:val="20"/>
              </w:rPr>
            </w:pPr>
            <w:r w:rsidRPr="007807C9">
              <w:rPr>
                <w:rFonts w:ascii="Arial" w:hAnsi="Arial" w:cs="Arial"/>
                <w:sz w:val="20"/>
                <w:szCs w:val="20"/>
              </w:rPr>
              <w:t>LLTI Yes a lot</w:t>
            </w:r>
          </w:p>
        </w:tc>
        <w:tc>
          <w:tcPr>
            <w:tcW w:w="850"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0.282</w:t>
            </w:r>
          </w:p>
        </w:tc>
        <w:tc>
          <w:tcPr>
            <w:tcW w:w="809"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0.487</w:t>
            </w:r>
          </w:p>
        </w:tc>
        <w:tc>
          <w:tcPr>
            <w:tcW w:w="1034"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0.641</w:t>
            </w:r>
          </w:p>
        </w:tc>
        <w:tc>
          <w:tcPr>
            <w:tcW w:w="992"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0.437</w:t>
            </w:r>
          </w:p>
        </w:tc>
        <w:tc>
          <w:tcPr>
            <w:tcW w:w="937"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0.671</w:t>
            </w:r>
          </w:p>
        </w:tc>
        <w:tc>
          <w:tcPr>
            <w:tcW w:w="1246"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0.722</w:t>
            </w:r>
          </w:p>
        </w:tc>
        <w:tc>
          <w:tcPr>
            <w:tcW w:w="1281"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0.498</w:t>
            </w:r>
          </w:p>
        </w:tc>
      </w:tr>
      <w:tr w:rsidR="00180CFC" w:rsidRPr="007807C9" w:rsidTr="007A0D18">
        <w:tc>
          <w:tcPr>
            <w:tcW w:w="2093" w:type="dxa"/>
          </w:tcPr>
          <w:p w:rsidR="00180CFC" w:rsidRPr="007807C9" w:rsidRDefault="00180CFC" w:rsidP="00180CFC">
            <w:pPr>
              <w:rPr>
                <w:rFonts w:ascii="Arial" w:hAnsi="Arial" w:cs="Arial"/>
                <w:b/>
                <w:sz w:val="20"/>
                <w:szCs w:val="20"/>
              </w:rPr>
            </w:pPr>
            <w:r w:rsidRPr="007807C9">
              <w:rPr>
                <w:rFonts w:ascii="Arial" w:hAnsi="Arial" w:cs="Arial"/>
                <w:b/>
                <w:sz w:val="20"/>
                <w:szCs w:val="20"/>
              </w:rPr>
              <w:t>Intermediate Zones</w:t>
            </w:r>
          </w:p>
          <w:p w:rsidR="00180CFC" w:rsidRPr="007807C9" w:rsidRDefault="00180CFC" w:rsidP="00180CFC">
            <w:pPr>
              <w:rPr>
                <w:rFonts w:ascii="Arial" w:hAnsi="Arial" w:cs="Arial"/>
                <w:sz w:val="20"/>
                <w:szCs w:val="20"/>
              </w:rPr>
            </w:pPr>
            <w:r w:rsidRPr="007807C9">
              <w:rPr>
                <w:rFonts w:ascii="Arial" w:hAnsi="Arial" w:cs="Arial"/>
                <w:sz w:val="20"/>
                <w:szCs w:val="20"/>
              </w:rPr>
              <w:t>Yes a little</w:t>
            </w:r>
          </w:p>
        </w:tc>
        <w:tc>
          <w:tcPr>
            <w:tcW w:w="850"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0.226</w:t>
            </w:r>
          </w:p>
        </w:tc>
        <w:tc>
          <w:tcPr>
            <w:tcW w:w="809"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0.466</w:t>
            </w:r>
          </w:p>
        </w:tc>
        <w:tc>
          <w:tcPr>
            <w:tcW w:w="1034"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0.482</w:t>
            </w:r>
          </w:p>
        </w:tc>
        <w:tc>
          <w:tcPr>
            <w:tcW w:w="992"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0.448</w:t>
            </w:r>
          </w:p>
        </w:tc>
        <w:tc>
          <w:tcPr>
            <w:tcW w:w="937"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0.602</w:t>
            </w:r>
          </w:p>
        </w:tc>
        <w:tc>
          <w:tcPr>
            <w:tcW w:w="1246"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0.56</w:t>
            </w:r>
          </w:p>
        </w:tc>
        <w:tc>
          <w:tcPr>
            <w:tcW w:w="1281"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0.315</w:t>
            </w:r>
          </w:p>
        </w:tc>
      </w:tr>
      <w:tr w:rsidR="00180CFC" w:rsidRPr="007807C9" w:rsidTr="007A0D18">
        <w:tc>
          <w:tcPr>
            <w:tcW w:w="2093" w:type="dxa"/>
          </w:tcPr>
          <w:p w:rsidR="00180CFC" w:rsidRPr="007807C9" w:rsidRDefault="00180CFC" w:rsidP="00180CFC">
            <w:pPr>
              <w:rPr>
                <w:rFonts w:ascii="Arial" w:hAnsi="Arial" w:cs="Arial"/>
                <w:b/>
                <w:sz w:val="20"/>
                <w:szCs w:val="20"/>
              </w:rPr>
            </w:pPr>
            <w:r w:rsidRPr="007807C9">
              <w:rPr>
                <w:rFonts w:ascii="Arial" w:hAnsi="Arial" w:cs="Arial"/>
                <w:b/>
                <w:sz w:val="20"/>
                <w:szCs w:val="20"/>
              </w:rPr>
              <w:t>Intermediate Zones</w:t>
            </w:r>
          </w:p>
          <w:p w:rsidR="00180CFC" w:rsidRPr="007807C9" w:rsidRDefault="00180CFC" w:rsidP="00180CFC">
            <w:pPr>
              <w:rPr>
                <w:rFonts w:ascii="Arial" w:hAnsi="Arial" w:cs="Arial"/>
                <w:sz w:val="20"/>
                <w:szCs w:val="20"/>
              </w:rPr>
            </w:pPr>
            <w:r w:rsidRPr="007807C9">
              <w:rPr>
                <w:rFonts w:ascii="Arial" w:hAnsi="Arial" w:cs="Arial"/>
                <w:sz w:val="20"/>
                <w:szCs w:val="20"/>
              </w:rPr>
              <w:t xml:space="preserve">Yes both </w:t>
            </w:r>
          </w:p>
          <w:p w:rsidR="00180CFC" w:rsidRPr="007807C9" w:rsidRDefault="00180CFC" w:rsidP="00180CFC">
            <w:pPr>
              <w:rPr>
                <w:rFonts w:ascii="Arial" w:hAnsi="Arial" w:cs="Arial"/>
                <w:sz w:val="20"/>
                <w:szCs w:val="20"/>
              </w:rPr>
            </w:pPr>
            <w:r w:rsidRPr="007807C9">
              <w:rPr>
                <w:rFonts w:ascii="Arial" w:hAnsi="Arial" w:cs="Arial"/>
                <w:sz w:val="20"/>
                <w:szCs w:val="20"/>
              </w:rPr>
              <w:t>(equal weight)</w:t>
            </w:r>
          </w:p>
        </w:tc>
        <w:tc>
          <w:tcPr>
            <w:tcW w:w="850"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0.278</w:t>
            </w:r>
          </w:p>
        </w:tc>
        <w:tc>
          <w:tcPr>
            <w:tcW w:w="809"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0.502</w:t>
            </w:r>
          </w:p>
        </w:tc>
        <w:tc>
          <w:tcPr>
            <w:tcW w:w="1034"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0.623</w:t>
            </w:r>
          </w:p>
        </w:tc>
        <w:tc>
          <w:tcPr>
            <w:tcW w:w="992"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0.459</w:t>
            </w:r>
          </w:p>
        </w:tc>
        <w:tc>
          <w:tcPr>
            <w:tcW w:w="937"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0.68</w:t>
            </w:r>
          </w:p>
        </w:tc>
        <w:tc>
          <w:tcPr>
            <w:tcW w:w="1246"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0.706</w:t>
            </w:r>
          </w:p>
        </w:tc>
        <w:tc>
          <w:tcPr>
            <w:tcW w:w="1281" w:type="dxa"/>
            <w:vAlign w:val="center"/>
          </w:tcPr>
          <w:p w:rsidR="00180CFC" w:rsidRPr="007807C9" w:rsidRDefault="00180CFC" w:rsidP="00180CFC">
            <w:pPr>
              <w:jc w:val="right"/>
              <w:rPr>
                <w:rFonts w:ascii="Arial" w:hAnsi="Arial" w:cs="Arial"/>
                <w:color w:val="000000"/>
                <w:sz w:val="20"/>
                <w:szCs w:val="20"/>
              </w:rPr>
            </w:pPr>
            <w:r w:rsidRPr="007807C9">
              <w:rPr>
                <w:rFonts w:ascii="Arial" w:hAnsi="Arial" w:cs="Arial"/>
                <w:color w:val="000000"/>
                <w:sz w:val="20"/>
                <w:szCs w:val="20"/>
              </w:rPr>
              <w:t>0.467</w:t>
            </w:r>
          </w:p>
        </w:tc>
      </w:tr>
    </w:tbl>
    <w:p w:rsidR="00180CFC" w:rsidRPr="00180CFC" w:rsidRDefault="00180CFC" w:rsidP="00C32D3D">
      <w:pPr>
        <w:spacing w:after="0"/>
        <w:jc w:val="both"/>
        <w:rPr>
          <w:rFonts w:ascii="Arial" w:hAnsi="Arial" w:cs="Arial"/>
        </w:rPr>
      </w:pPr>
    </w:p>
    <w:p w:rsidR="00180CFC" w:rsidRDefault="00180CFC" w:rsidP="00C32D3D">
      <w:pPr>
        <w:spacing w:after="0"/>
        <w:jc w:val="both"/>
        <w:rPr>
          <w:rFonts w:ascii="Arial" w:hAnsi="Arial" w:cs="Arial"/>
        </w:rPr>
      </w:pPr>
      <w:r w:rsidRPr="00180CFC">
        <w:rPr>
          <w:rFonts w:ascii="Arial" w:hAnsi="Arial" w:cs="Arial"/>
        </w:rPr>
        <w:t>The three LLTI variables are highly correlated especially at Intermediate Zone level. ‘Yes a lot’ and ‘Yes both’ have correlation of almost 1 at both geographies which suggests they may be interchangeable in the analysis.</w:t>
      </w:r>
    </w:p>
    <w:p w:rsidR="00A45F1F" w:rsidRPr="00180CFC" w:rsidRDefault="00A45F1F" w:rsidP="00C32D3D">
      <w:pPr>
        <w:spacing w:after="0"/>
        <w:jc w:val="both"/>
        <w:rPr>
          <w:rFonts w:ascii="Arial" w:hAnsi="Arial" w:cs="Arial"/>
        </w:rPr>
      </w:pPr>
    </w:p>
    <w:p w:rsidR="00C32D3D" w:rsidRDefault="00180CFC" w:rsidP="00180CFC">
      <w:pPr>
        <w:jc w:val="both"/>
        <w:rPr>
          <w:rFonts w:ascii="Arial" w:hAnsi="Arial" w:cs="Arial"/>
        </w:rPr>
      </w:pPr>
      <w:r w:rsidRPr="00180CFC">
        <w:rPr>
          <w:rFonts w:ascii="Arial" w:hAnsi="Arial" w:cs="Arial"/>
        </w:rPr>
        <w:t>The correlations betwee</w:t>
      </w:r>
      <w:r w:rsidR="00C32D3D">
        <w:rPr>
          <w:rFonts w:ascii="Arial" w:hAnsi="Arial" w:cs="Arial"/>
        </w:rPr>
        <w:t>n the 3 LLTI variables and the cost r</w:t>
      </w:r>
      <w:r w:rsidRPr="00180CFC">
        <w:rPr>
          <w:rFonts w:ascii="Arial" w:hAnsi="Arial" w:cs="Arial"/>
        </w:rPr>
        <w:t>atios suggest that ‘Yes a little’ is a weaker predictor of need compared to ‘Yes a lot</w:t>
      </w:r>
      <w:r w:rsidR="00F504B5">
        <w:rPr>
          <w:rFonts w:ascii="Arial" w:hAnsi="Arial" w:cs="Arial"/>
        </w:rPr>
        <w:t>’</w:t>
      </w:r>
      <w:r w:rsidRPr="00180CFC">
        <w:rPr>
          <w:rFonts w:ascii="Arial" w:hAnsi="Arial" w:cs="Arial"/>
        </w:rPr>
        <w:t xml:space="preserve"> and ‘Yes both’.  Formal analysis is performed to choose the best variable between ‘Yes a lot’ and ‘Yes both’ and the results are included in section </w:t>
      </w:r>
      <w:r w:rsidR="005F30B5">
        <w:rPr>
          <w:rFonts w:ascii="Arial" w:hAnsi="Arial" w:cs="Arial"/>
        </w:rPr>
        <w:t>B.</w:t>
      </w:r>
      <w:r w:rsidRPr="00180CFC">
        <w:rPr>
          <w:rFonts w:ascii="Arial" w:hAnsi="Arial" w:cs="Arial"/>
        </w:rPr>
        <w:t>3.</w:t>
      </w:r>
    </w:p>
    <w:p w:rsidR="00124FD7" w:rsidRDefault="00124FD7" w:rsidP="00180CFC">
      <w:pPr>
        <w:jc w:val="both"/>
        <w:rPr>
          <w:rFonts w:ascii="Arial" w:hAnsi="Arial" w:cs="Arial"/>
        </w:rPr>
      </w:pPr>
      <w:r>
        <w:rPr>
          <w:rFonts w:ascii="Arial" w:hAnsi="Arial" w:cs="Arial"/>
        </w:rPr>
        <w:t xml:space="preserve">In addition to the correlations applied in Tables </w:t>
      </w:r>
      <w:r w:rsidR="005F30B5">
        <w:rPr>
          <w:rFonts w:ascii="Arial" w:hAnsi="Arial" w:cs="Arial"/>
        </w:rPr>
        <w:t>B.</w:t>
      </w:r>
      <w:r>
        <w:rPr>
          <w:rFonts w:ascii="Arial" w:hAnsi="Arial" w:cs="Arial"/>
        </w:rPr>
        <w:t xml:space="preserve">1 and </w:t>
      </w:r>
      <w:r w:rsidR="005F30B5">
        <w:rPr>
          <w:rFonts w:ascii="Arial" w:hAnsi="Arial" w:cs="Arial"/>
        </w:rPr>
        <w:t>B.</w:t>
      </w:r>
      <w:r>
        <w:rPr>
          <w:rFonts w:ascii="Arial" w:hAnsi="Arial" w:cs="Arial"/>
        </w:rPr>
        <w:t>2, the correlation between LLTI ratio using 2001 Census data (LLTI 2001) and LLTI ‘Yes a lot’ and LLTI ‘Yes both’ using 2011 Census data were investigated. At Data Zones, the correlation between the LLTI 2001 and LLTI ‘Yes a lot’ is 0.82</w:t>
      </w:r>
      <w:r w:rsidR="00F504B5">
        <w:rPr>
          <w:rFonts w:ascii="Arial" w:hAnsi="Arial" w:cs="Arial"/>
        </w:rPr>
        <w:t>;</w:t>
      </w:r>
      <w:r>
        <w:rPr>
          <w:rFonts w:ascii="Arial" w:hAnsi="Arial" w:cs="Arial"/>
        </w:rPr>
        <w:t xml:space="preserve"> between LLTI 2001 and LLTI ‘Yes both’ </w:t>
      </w:r>
      <w:r w:rsidR="00F504B5">
        <w:rPr>
          <w:rFonts w:ascii="Arial" w:hAnsi="Arial" w:cs="Arial"/>
        </w:rPr>
        <w:t>it is 0.81.</w:t>
      </w:r>
      <w:r>
        <w:rPr>
          <w:rFonts w:ascii="Arial" w:hAnsi="Arial" w:cs="Arial"/>
        </w:rPr>
        <w:t xml:space="preserve"> </w:t>
      </w:r>
      <w:r w:rsidR="00F504B5">
        <w:rPr>
          <w:rFonts w:ascii="Arial" w:hAnsi="Arial" w:cs="Arial"/>
        </w:rPr>
        <w:t>At</w:t>
      </w:r>
      <w:r>
        <w:rPr>
          <w:rFonts w:ascii="Arial" w:hAnsi="Arial" w:cs="Arial"/>
        </w:rPr>
        <w:t xml:space="preserve"> Intermediate Zones </w:t>
      </w:r>
      <w:r w:rsidR="00F504B5">
        <w:rPr>
          <w:rFonts w:ascii="Arial" w:hAnsi="Arial" w:cs="Arial"/>
        </w:rPr>
        <w:t>the correlations are</w:t>
      </w:r>
      <w:r>
        <w:rPr>
          <w:rFonts w:ascii="Arial" w:hAnsi="Arial" w:cs="Arial"/>
        </w:rPr>
        <w:t xml:space="preserve"> 0.96 and 0.96</w:t>
      </w:r>
      <w:r w:rsidR="00F504B5">
        <w:rPr>
          <w:rFonts w:ascii="Arial" w:hAnsi="Arial" w:cs="Arial"/>
        </w:rPr>
        <w:t xml:space="preserve"> respectively</w:t>
      </w:r>
      <w:r>
        <w:rPr>
          <w:rFonts w:ascii="Arial" w:hAnsi="Arial" w:cs="Arial"/>
        </w:rPr>
        <w:t xml:space="preserve">. The correlations at both geographies are high which reassures that the </w:t>
      </w:r>
      <w:r w:rsidR="00F504B5">
        <w:rPr>
          <w:rFonts w:ascii="Arial" w:hAnsi="Arial" w:cs="Arial"/>
        </w:rPr>
        <w:t>new definition should be consistent with the old one</w:t>
      </w:r>
      <w:r w:rsidR="007602DB">
        <w:rPr>
          <w:rFonts w:ascii="Arial" w:hAnsi="Arial" w:cs="Arial"/>
        </w:rPr>
        <w:t>.</w:t>
      </w:r>
      <w:r w:rsidR="006A1FC1">
        <w:rPr>
          <w:rFonts w:ascii="Arial" w:hAnsi="Arial" w:cs="Arial"/>
        </w:rPr>
        <w:t xml:space="preserve"> </w:t>
      </w:r>
    </w:p>
    <w:p w:rsidR="00180CFC" w:rsidRPr="00180CFC" w:rsidRDefault="005F30B5" w:rsidP="00180CFC">
      <w:pPr>
        <w:rPr>
          <w:rFonts w:ascii="Arial" w:hAnsi="Arial" w:cs="Arial"/>
          <w:b/>
        </w:rPr>
      </w:pPr>
      <w:r>
        <w:rPr>
          <w:rFonts w:ascii="Arial" w:hAnsi="Arial" w:cs="Arial"/>
          <w:b/>
        </w:rPr>
        <w:t>B.</w:t>
      </w:r>
      <w:r w:rsidR="00180CFC" w:rsidRPr="00180CFC">
        <w:rPr>
          <w:rFonts w:ascii="Arial" w:hAnsi="Arial" w:cs="Arial"/>
          <w:b/>
        </w:rPr>
        <w:t>2 Scatter plots and descriptive statistics</w:t>
      </w:r>
    </w:p>
    <w:p w:rsidR="00180CFC" w:rsidRPr="00180CFC" w:rsidRDefault="00230081" w:rsidP="00180CFC">
      <w:pPr>
        <w:autoSpaceDE w:val="0"/>
        <w:autoSpaceDN w:val="0"/>
        <w:adjustRightInd w:val="0"/>
        <w:jc w:val="both"/>
        <w:rPr>
          <w:rFonts w:ascii="Arial" w:hAnsi="Arial" w:cs="Arial"/>
        </w:rPr>
      </w:pPr>
      <w:r>
        <w:rPr>
          <w:rFonts w:ascii="Arial" w:hAnsi="Arial" w:cs="Arial"/>
        </w:rPr>
        <w:t>Scatter plots of cost ratios against LLTI r</w:t>
      </w:r>
      <w:r w:rsidR="00180CFC" w:rsidRPr="00180CFC">
        <w:rPr>
          <w:rFonts w:ascii="Arial" w:hAnsi="Arial" w:cs="Arial"/>
        </w:rPr>
        <w:t>atios are produced for all diagnostic groups at Data Zone and Intermediate Zone level. All scatter plots suggest the same overall impression that there is a positive linear relati</w:t>
      </w:r>
      <w:r>
        <w:rPr>
          <w:rFonts w:ascii="Arial" w:hAnsi="Arial" w:cs="Arial"/>
        </w:rPr>
        <w:t>onship between LLTI ratios and cost r</w:t>
      </w:r>
      <w:r w:rsidR="00180CFC" w:rsidRPr="00180CFC">
        <w:rPr>
          <w:rFonts w:ascii="Arial" w:hAnsi="Arial" w:cs="Arial"/>
        </w:rPr>
        <w:t xml:space="preserve">atios. The strength of the relationship is higher at Intermediate Zones (as already suggested by the correlations in Table </w:t>
      </w:r>
      <w:r w:rsidR="005F30B5">
        <w:rPr>
          <w:rFonts w:ascii="Arial" w:hAnsi="Arial" w:cs="Arial"/>
        </w:rPr>
        <w:t>B.</w:t>
      </w:r>
      <w:r w:rsidR="00180CFC" w:rsidRPr="00180CFC">
        <w:rPr>
          <w:rFonts w:ascii="Arial" w:hAnsi="Arial" w:cs="Arial"/>
        </w:rPr>
        <w:t>2) and the stand</w:t>
      </w:r>
      <w:r w:rsidR="00D70F6D">
        <w:rPr>
          <w:rFonts w:ascii="Arial" w:hAnsi="Arial" w:cs="Arial"/>
        </w:rPr>
        <w:t xml:space="preserve">ard deviation is lower (Table </w:t>
      </w:r>
      <w:r w:rsidR="005F30B5">
        <w:rPr>
          <w:rFonts w:ascii="Arial" w:hAnsi="Arial" w:cs="Arial"/>
        </w:rPr>
        <w:t>B.</w:t>
      </w:r>
      <w:r w:rsidR="00180CFC" w:rsidRPr="00180CFC">
        <w:rPr>
          <w:rFonts w:ascii="Arial" w:hAnsi="Arial" w:cs="Arial"/>
        </w:rPr>
        <w:t xml:space="preserve">3). </w:t>
      </w:r>
    </w:p>
    <w:p w:rsidR="00180CFC" w:rsidRPr="00180CFC" w:rsidRDefault="006A447C" w:rsidP="00180CFC">
      <w:pPr>
        <w:autoSpaceDE w:val="0"/>
        <w:autoSpaceDN w:val="0"/>
        <w:adjustRightInd w:val="0"/>
        <w:jc w:val="both"/>
        <w:rPr>
          <w:rFonts w:ascii="Arial" w:hAnsi="Arial" w:cs="Arial"/>
        </w:rPr>
      </w:pPr>
      <w:r>
        <w:rPr>
          <w:rFonts w:ascii="Arial" w:hAnsi="Arial" w:cs="Arial"/>
        </w:rPr>
        <w:t>‘</w:t>
      </w:r>
      <w:r w:rsidR="00180CFC" w:rsidRPr="00180CFC">
        <w:rPr>
          <w:rFonts w:ascii="Arial" w:hAnsi="Arial" w:cs="Arial"/>
        </w:rPr>
        <w:t>Other</w:t>
      </w:r>
      <w:r>
        <w:rPr>
          <w:rFonts w:ascii="Arial" w:hAnsi="Arial" w:cs="Arial"/>
        </w:rPr>
        <w:t>’</w:t>
      </w:r>
      <w:r w:rsidR="00180CFC" w:rsidRPr="00180CFC">
        <w:rPr>
          <w:rFonts w:ascii="Arial" w:hAnsi="Arial" w:cs="Arial"/>
        </w:rPr>
        <w:t xml:space="preserve"> is the diagnostic group chosen </w:t>
      </w:r>
      <w:r w:rsidR="00230081">
        <w:rPr>
          <w:rFonts w:ascii="Arial" w:hAnsi="Arial" w:cs="Arial"/>
        </w:rPr>
        <w:t>as an example and scatter plots of cost ratios against LLTI ratios are included</w:t>
      </w:r>
      <w:r>
        <w:rPr>
          <w:rFonts w:ascii="Arial" w:hAnsi="Arial" w:cs="Arial"/>
        </w:rPr>
        <w:t xml:space="preserve"> </w:t>
      </w:r>
      <w:r w:rsidR="00D70F6D">
        <w:rPr>
          <w:rFonts w:ascii="Arial" w:hAnsi="Arial" w:cs="Arial"/>
        </w:rPr>
        <w:t xml:space="preserve">below (Figure </w:t>
      </w:r>
      <w:r w:rsidR="005F30B5">
        <w:rPr>
          <w:rFonts w:ascii="Arial" w:hAnsi="Arial" w:cs="Arial"/>
        </w:rPr>
        <w:t>B.</w:t>
      </w:r>
      <w:r w:rsidR="00180CFC" w:rsidRPr="00180CFC">
        <w:rPr>
          <w:rFonts w:ascii="Arial" w:hAnsi="Arial" w:cs="Arial"/>
        </w:rPr>
        <w:t xml:space="preserve">1) at both geography levels. </w:t>
      </w:r>
    </w:p>
    <w:p w:rsidR="00180CFC" w:rsidRPr="00180CFC" w:rsidRDefault="00D70F6D" w:rsidP="00D70F6D">
      <w:pPr>
        <w:autoSpaceDE w:val="0"/>
        <w:autoSpaceDN w:val="0"/>
        <w:adjustRightInd w:val="0"/>
        <w:spacing w:after="0"/>
        <w:jc w:val="both"/>
        <w:rPr>
          <w:rFonts w:ascii="Arial" w:hAnsi="Arial" w:cs="Arial"/>
          <w:i/>
        </w:rPr>
      </w:pPr>
      <w:r>
        <w:rPr>
          <w:rFonts w:ascii="Arial" w:hAnsi="Arial" w:cs="Arial"/>
          <w:i/>
        </w:rPr>
        <w:t xml:space="preserve">Table </w:t>
      </w:r>
      <w:r w:rsidR="005F30B5">
        <w:rPr>
          <w:rFonts w:ascii="Arial" w:hAnsi="Arial" w:cs="Arial"/>
          <w:i/>
        </w:rPr>
        <w:t>B.</w:t>
      </w:r>
      <w:r w:rsidR="00180CFC" w:rsidRPr="00180CFC">
        <w:rPr>
          <w:rFonts w:ascii="Arial" w:hAnsi="Arial" w:cs="Arial"/>
          <w:i/>
        </w:rPr>
        <w:t xml:space="preserve">3. </w:t>
      </w:r>
      <w:proofErr w:type="gramStart"/>
      <w:r w:rsidR="00180CFC" w:rsidRPr="00180CFC">
        <w:rPr>
          <w:rFonts w:ascii="Arial" w:hAnsi="Arial" w:cs="Arial"/>
          <w:i/>
        </w:rPr>
        <w:t>Standard Deviations of LLTI variables.</w:t>
      </w:r>
      <w:proofErr w:type="gramEnd"/>
    </w:p>
    <w:tbl>
      <w:tblPr>
        <w:tblStyle w:val="TableGrid"/>
        <w:tblW w:w="0" w:type="auto"/>
        <w:tblLook w:val="04A0"/>
      </w:tblPr>
      <w:tblGrid>
        <w:gridCol w:w="2150"/>
        <w:gridCol w:w="1450"/>
        <w:gridCol w:w="1595"/>
        <w:gridCol w:w="1462"/>
      </w:tblGrid>
      <w:tr w:rsidR="00180CFC" w:rsidRPr="007807C9" w:rsidTr="00D70F6D">
        <w:tc>
          <w:tcPr>
            <w:tcW w:w="0" w:type="auto"/>
          </w:tcPr>
          <w:p w:rsidR="00180CFC" w:rsidRPr="007807C9" w:rsidRDefault="00180CFC" w:rsidP="007A0D18">
            <w:pPr>
              <w:spacing w:line="276" w:lineRule="auto"/>
              <w:rPr>
                <w:rFonts w:ascii="Arial" w:hAnsi="Arial" w:cs="Arial"/>
                <w:b/>
                <w:sz w:val="20"/>
                <w:szCs w:val="20"/>
              </w:rPr>
            </w:pPr>
            <w:r w:rsidRPr="007807C9">
              <w:rPr>
                <w:rFonts w:ascii="Arial" w:hAnsi="Arial" w:cs="Arial"/>
                <w:b/>
                <w:sz w:val="20"/>
                <w:szCs w:val="20"/>
              </w:rPr>
              <w:t>Standard Deviations</w:t>
            </w:r>
          </w:p>
        </w:tc>
        <w:tc>
          <w:tcPr>
            <w:tcW w:w="0" w:type="auto"/>
          </w:tcPr>
          <w:p w:rsidR="00180CFC" w:rsidRPr="007807C9" w:rsidRDefault="00180CFC" w:rsidP="007A0D18">
            <w:pPr>
              <w:spacing w:line="276" w:lineRule="auto"/>
              <w:rPr>
                <w:rFonts w:ascii="Arial" w:hAnsi="Arial" w:cs="Arial"/>
                <w:sz w:val="20"/>
                <w:szCs w:val="20"/>
              </w:rPr>
            </w:pPr>
            <w:r w:rsidRPr="007807C9">
              <w:rPr>
                <w:rFonts w:ascii="Arial" w:hAnsi="Arial" w:cs="Arial"/>
                <w:sz w:val="20"/>
                <w:szCs w:val="20"/>
              </w:rPr>
              <w:t>LLTI Yes a lot</w:t>
            </w:r>
          </w:p>
        </w:tc>
        <w:tc>
          <w:tcPr>
            <w:tcW w:w="0" w:type="auto"/>
          </w:tcPr>
          <w:p w:rsidR="00180CFC" w:rsidRPr="007807C9" w:rsidRDefault="00180CFC" w:rsidP="007A0D18">
            <w:pPr>
              <w:spacing w:line="276" w:lineRule="auto"/>
              <w:rPr>
                <w:rFonts w:ascii="Arial" w:hAnsi="Arial" w:cs="Arial"/>
                <w:sz w:val="20"/>
                <w:szCs w:val="20"/>
              </w:rPr>
            </w:pPr>
            <w:r w:rsidRPr="007807C9">
              <w:rPr>
                <w:rFonts w:ascii="Arial" w:hAnsi="Arial" w:cs="Arial"/>
                <w:sz w:val="20"/>
                <w:szCs w:val="20"/>
              </w:rPr>
              <w:t>LLTI Yes a little</w:t>
            </w:r>
          </w:p>
        </w:tc>
        <w:tc>
          <w:tcPr>
            <w:tcW w:w="0" w:type="auto"/>
          </w:tcPr>
          <w:p w:rsidR="00180CFC" w:rsidRPr="007807C9" w:rsidRDefault="00180CFC" w:rsidP="007A0D18">
            <w:pPr>
              <w:spacing w:line="276" w:lineRule="auto"/>
              <w:rPr>
                <w:rFonts w:ascii="Arial" w:hAnsi="Arial" w:cs="Arial"/>
                <w:sz w:val="20"/>
                <w:szCs w:val="20"/>
              </w:rPr>
            </w:pPr>
            <w:r w:rsidRPr="007807C9">
              <w:rPr>
                <w:rFonts w:ascii="Arial" w:hAnsi="Arial" w:cs="Arial"/>
                <w:sz w:val="20"/>
                <w:szCs w:val="20"/>
              </w:rPr>
              <w:t>LLTI Yes both</w:t>
            </w:r>
          </w:p>
        </w:tc>
      </w:tr>
      <w:tr w:rsidR="00180CFC" w:rsidRPr="007807C9" w:rsidTr="00D70F6D">
        <w:tc>
          <w:tcPr>
            <w:tcW w:w="0" w:type="auto"/>
          </w:tcPr>
          <w:p w:rsidR="00180CFC" w:rsidRPr="007807C9" w:rsidRDefault="00180CFC" w:rsidP="007A0D18">
            <w:pPr>
              <w:spacing w:line="276" w:lineRule="auto"/>
              <w:rPr>
                <w:rFonts w:ascii="Arial" w:hAnsi="Arial" w:cs="Arial"/>
                <w:sz w:val="20"/>
                <w:szCs w:val="20"/>
              </w:rPr>
            </w:pPr>
            <w:r w:rsidRPr="007807C9">
              <w:rPr>
                <w:rFonts w:ascii="Arial" w:hAnsi="Arial" w:cs="Arial"/>
                <w:sz w:val="20"/>
                <w:szCs w:val="20"/>
              </w:rPr>
              <w:t>Data zones</w:t>
            </w:r>
          </w:p>
        </w:tc>
        <w:tc>
          <w:tcPr>
            <w:tcW w:w="0" w:type="auto"/>
            <w:vAlign w:val="center"/>
          </w:tcPr>
          <w:p w:rsidR="00180CFC" w:rsidRPr="007807C9" w:rsidRDefault="00180CFC" w:rsidP="007A0D18">
            <w:pPr>
              <w:spacing w:line="276" w:lineRule="auto"/>
              <w:jc w:val="right"/>
              <w:rPr>
                <w:rFonts w:ascii="Arial" w:hAnsi="Arial" w:cs="Arial"/>
                <w:sz w:val="20"/>
                <w:szCs w:val="20"/>
              </w:rPr>
            </w:pPr>
            <w:r w:rsidRPr="007807C9">
              <w:rPr>
                <w:rFonts w:ascii="Arial" w:hAnsi="Arial" w:cs="Arial"/>
                <w:sz w:val="20"/>
                <w:szCs w:val="20"/>
              </w:rPr>
              <w:t>0.47</w:t>
            </w:r>
          </w:p>
        </w:tc>
        <w:tc>
          <w:tcPr>
            <w:tcW w:w="0" w:type="auto"/>
            <w:vAlign w:val="center"/>
          </w:tcPr>
          <w:p w:rsidR="00180CFC" w:rsidRPr="007807C9" w:rsidRDefault="00180CFC" w:rsidP="007A0D18">
            <w:pPr>
              <w:spacing w:line="276" w:lineRule="auto"/>
              <w:jc w:val="right"/>
              <w:rPr>
                <w:rFonts w:ascii="Arial" w:hAnsi="Arial" w:cs="Arial"/>
                <w:sz w:val="20"/>
                <w:szCs w:val="20"/>
              </w:rPr>
            </w:pPr>
            <w:r w:rsidRPr="007807C9">
              <w:rPr>
                <w:rFonts w:ascii="Arial" w:hAnsi="Arial" w:cs="Arial"/>
                <w:sz w:val="20"/>
                <w:szCs w:val="20"/>
              </w:rPr>
              <w:t>0.21</w:t>
            </w:r>
          </w:p>
        </w:tc>
        <w:tc>
          <w:tcPr>
            <w:tcW w:w="0" w:type="auto"/>
            <w:vAlign w:val="center"/>
          </w:tcPr>
          <w:p w:rsidR="00180CFC" w:rsidRPr="007807C9" w:rsidRDefault="00180CFC" w:rsidP="007A0D18">
            <w:pPr>
              <w:spacing w:line="276" w:lineRule="auto"/>
              <w:jc w:val="right"/>
              <w:rPr>
                <w:rFonts w:ascii="Arial" w:hAnsi="Arial" w:cs="Arial"/>
                <w:sz w:val="20"/>
                <w:szCs w:val="20"/>
              </w:rPr>
            </w:pPr>
            <w:r w:rsidRPr="007807C9">
              <w:rPr>
                <w:rFonts w:ascii="Arial" w:hAnsi="Arial" w:cs="Arial"/>
                <w:sz w:val="20"/>
                <w:szCs w:val="20"/>
              </w:rPr>
              <w:t>0.31</w:t>
            </w:r>
          </w:p>
        </w:tc>
      </w:tr>
      <w:tr w:rsidR="00180CFC" w:rsidRPr="007807C9" w:rsidTr="00D70F6D">
        <w:tc>
          <w:tcPr>
            <w:tcW w:w="0" w:type="auto"/>
          </w:tcPr>
          <w:p w:rsidR="00180CFC" w:rsidRPr="007807C9" w:rsidRDefault="00180CFC" w:rsidP="007A0D18">
            <w:pPr>
              <w:spacing w:line="276" w:lineRule="auto"/>
              <w:rPr>
                <w:rFonts w:ascii="Arial" w:hAnsi="Arial" w:cs="Arial"/>
                <w:sz w:val="20"/>
                <w:szCs w:val="20"/>
              </w:rPr>
            </w:pPr>
            <w:r w:rsidRPr="007807C9">
              <w:rPr>
                <w:rFonts w:ascii="Arial" w:hAnsi="Arial" w:cs="Arial"/>
                <w:sz w:val="20"/>
                <w:szCs w:val="20"/>
              </w:rPr>
              <w:t>Intermediate zones</w:t>
            </w:r>
          </w:p>
        </w:tc>
        <w:tc>
          <w:tcPr>
            <w:tcW w:w="0" w:type="auto"/>
            <w:vAlign w:val="center"/>
          </w:tcPr>
          <w:p w:rsidR="00180CFC" w:rsidRPr="007807C9" w:rsidRDefault="00180CFC" w:rsidP="007A0D18">
            <w:pPr>
              <w:spacing w:line="276" w:lineRule="auto"/>
              <w:jc w:val="right"/>
              <w:rPr>
                <w:rFonts w:ascii="Arial" w:hAnsi="Arial" w:cs="Arial"/>
                <w:sz w:val="20"/>
                <w:szCs w:val="20"/>
              </w:rPr>
            </w:pPr>
            <w:r w:rsidRPr="007807C9">
              <w:rPr>
                <w:rFonts w:ascii="Arial" w:hAnsi="Arial" w:cs="Arial"/>
                <w:sz w:val="20"/>
                <w:szCs w:val="20"/>
              </w:rPr>
              <w:t>0.39</w:t>
            </w:r>
          </w:p>
        </w:tc>
        <w:tc>
          <w:tcPr>
            <w:tcW w:w="0" w:type="auto"/>
            <w:vAlign w:val="center"/>
          </w:tcPr>
          <w:p w:rsidR="00180CFC" w:rsidRPr="007807C9" w:rsidRDefault="00180CFC" w:rsidP="007A0D18">
            <w:pPr>
              <w:spacing w:line="276" w:lineRule="auto"/>
              <w:jc w:val="right"/>
              <w:rPr>
                <w:rFonts w:ascii="Arial" w:hAnsi="Arial" w:cs="Arial"/>
                <w:sz w:val="20"/>
                <w:szCs w:val="20"/>
              </w:rPr>
            </w:pPr>
            <w:r w:rsidRPr="007807C9">
              <w:rPr>
                <w:rFonts w:ascii="Arial" w:hAnsi="Arial" w:cs="Arial"/>
                <w:sz w:val="20"/>
                <w:szCs w:val="20"/>
              </w:rPr>
              <w:t>0.14</w:t>
            </w:r>
          </w:p>
        </w:tc>
        <w:tc>
          <w:tcPr>
            <w:tcW w:w="0" w:type="auto"/>
            <w:vAlign w:val="center"/>
          </w:tcPr>
          <w:p w:rsidR="00180CFC" w:rsidRPr="007807C9" w:rsidRDefault="00180CFC" w:rsidP="007A0D18">
            <w:pPr>
              <w:spacing w:line="276" w:lineRule="auto"/>
              <w:jc w:val="right"/>
              <w:rPr>
                <w:rFonts w:ascii="Arial" w:hAnsi="Arial" w:cs="Arial"/>
                <w:sz w:val="20"/>
                <w:szCs w:val="20"/>
              </w:rPr>
            </w:pPr>
            <w:r w:rsidRPr="007807C9">
              <w:rPr>
                <w:rFonts w:ascii="Arial" w:hAnsi="Arial" w:cs="Arial"/>
                <w:sz w:val="20"/>
                <w:szCs w:val="20"/>
              </w:rPr>
              <w:t>0.25</w:t>
            </w:r>
          </w:p>
        </w:tc>
      </w:tr>
    </w:tbl>
    <w:p w:rsidR="00180CFC" w:rsidRPr="00180CFC" w:rsidRDefault="00180CFC" w:rsidP="00180CFC">
      <w:pPr>
        <w:autoSpaceDE w:val="0"/>
        <w:autoSpaceDN w:val="0"/>
        <w:adjustRightInd w:val="0"/>
        <w:jc w:val="both"/>
        <w:rPr>
          <w:rFonts w:ascii="Arial" w:hAnsi="Arial" w:cs="Arial"/>
        </w:rPr>
      </w:pPr>
    </w:p>
    <w:p w:rsidR="00180CFC" w:rsidRPr="00180CFC" w:rsidRDefault="00D70F6D" w:rsidP="00180CFC">
      <w:pPr>
        <w:autoSpaceDE w:val="0"/>
        <w:autoSpaceDN w:val="0"/>
        <w:adjustRightInd w:val="0"/>
        <w:jc w:val="both"/>
        <w:rPr>
          <w:rFonts w:ascii="Arial" w:hAnsi="Arial" w:cs="Arial"/>
        </w:rPr>
      </w:pPr>
      <w:r>
        <w:rPr>
          <w:rFonts w:ascii="Arial" w:hAnsi="Arial" w:cs="Arial"/>
          <w:noProof/>
          <w:lang w:eastAsia="en-GB"/>
        </w:rPr>
        <w:lastRenderedPageBreak/>
        <w:drawing>
          <wp:anchor distT="0" distB="0" distL="114300" distR="114300" simplePos="0" relativeHeight="251667456" behindDoc="1" locked="0" layoutInCell="1" allowOverlap="1">
            <wp:simplePos x="0" y="0"/>
            <wp:positionH relativeFrom="column">
              <wp:posOffset>-657225</wp:posOffset>
            </wp:positionH>
            <wp:positionV relativeFrom="paragraph">
              <wp:posOffset>-371475</wp:posOffset>
            </wp:positionV>
            <wp:extent cx="2924175" cy="25241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924175" cy="2524125"/>
                    </a:xfrm>
                    <a:prstGeom prst="rect">
                      <a:avLst/>
                    </a:prstGeom>
                    <a:noFill/>
                    <a:ln w="9525">
                      <a:noFill/>
                      <a:miter lim="800000"/>
                      <a:headEnd/>
                      <a:tailEnd/>
                    </a:ln>
                  </pic:spPr>
                </pic:pic>
              </a:graphicData>
            </a:graphic>
          </wp:anchor>
        </w:drawing>
      </w:r>
      <w:r>
        <w:rPr>
          <w:rFonts w:ascii="Arial" w:hAnsi="Arial" w:cs="Arial"/>
          <w:noProof/>
          <w:lang w:eastAsia="en-GB"/>
        </w:rPr>
        <w:drawing>
          <wp:anchor distT="0" distB="0" distL="114300" distR="114300" simplePos="0" relativeHeight="251670528" behindDoc="1" locked="0" layoutInCell="1" allowOverlap="1">
            <wp:simplePos x="0" y="0"/>
            <wp:positionH relativeFrom="column">
              <wp:posOffset>2609850</wp:posOffset>
            </wp:positionH>
            <wp:positionV relativeFrom="paragraph">
              <wp:posOffset>-371475</wp:posOffset>
            </wp:positionV>
            <wp:extent cx="2914650" cy="252412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2914650" cy="2524125"/>
                    </a:xfrm>
                    <a:prstGeom prst="rect">
                      <a:avLst/>
                    </a:prstGeom>
                    <a:noFill/>
                    <a:ln w="9525">
                      <a:noFill/>
                      <a:miter lim="800000"/>
                      <a:headEnd/>
                      <a:tailEnd/>
                    </a:ln>
                  </pic:spPr>
                </pic:pic>
              </a:graphicData>
            </a:graphic>
          </wp:anchor>
        </w:drawing>
      </w:r>
    </w:p>
    <w:p w:rsidR="00180CFC" w:rsidRPr="00180CFC" w:rsidRDefault="00180CFC" w:rsidP="00180CFC">
      <w:pPr>
        <w:autoSpaceDE w:val="0"/>
        <w:autoSpaceDN w:val="0"/>
        <w:adjustRightInd w:val="0"/>
        <w:rPr>
          <w:rFonts w:ascii="Arial" w:hAnsi="Arial" w:cs="Arial"/>
        </w:rPr>
      </w:pPr>
      <w:r w:rsidRPr="00180CFC">
        <w:rPr>
          <w:rFonts w:ascii="Arial" w:hAnsi="Arial" w:cs="Arial"/>
          <w:b/>
        </w:rPr>
        <w:tab/>
      </w:r>
      <w:r w:rsidRPr="00180CFC">
        <w:rPr>
          <w:rFonts w:ascii="Arial" w:hAnsi="Arial" w:cs="Arial"/>
          <w:b/>
        </w:rPr>
        <w:tab/>
      </w:r>
      <w:r w:rsidRPr="00180CFC">
        <w:rPr>
          <w:rFonts w:ascii="Arial" w:hAnsi="Arial" w:cs="Arial"/>
          <w:b/>
        </w:rPr>
        <w:tab/>
      </w:r>
      <w:r w:rsidRPr="00180CFC">
        <w:rPr>
          <w:rFonts w:ascii="Arial" w:hAnsi="Arial" w:cs="Arial"/>
          <w:b/>
        </w:rPr>
        <w:tab/>
      </w:r>
      <w:r w:rsidRPr="00180CFC">
        <w:rPr>
          <w:rFonts w:ascii="Arial" w:hAnsi="Arial" w:cs="Arial"/>
          <w:b/>
        </w:rPr>
        <w:tab/>
      </w:r>
      <w:r w:rsidRPr="00180CFC">
        <w:rPr>
          <w:rFonts w:ascii="Arial" w:hAnsi="Arial" w:cs="Arial"/>
          <w:b/>
        </w:rPr>
        <w:tab/>
      </w:r>
    </w:p>
    <w:p w:rsidR="00180CFC" w:rsidRPr="00180CFC" w:rsidRDefault="00180CFC" w:rsidP="00180CFC">
      <w:pPr>
        <w:autoSpaceDE w:val="0"/>
        <w:autoSpaceDN w:val="0"/>
        <w:adjustRightInd w:val="0"/>
        <w:rPr>
          <w:rFonts w:ascii="Arial" w:hAnsi="Arial" w:cs="Arial"/>
        </w:rPr>
      </w:pPr>
    </w:p>
    <w:p w:rsidR="00180CFC" w:rsidRPr="00180CFC" w:rsidRDefault="00180CFC" w:rsidP="00180CFC">
      <w:pPr>
        <w:autoSpaceDE w:val="0"/>
        <w:autoSpaceDN w:val="0"/>
        <w:adjustRightInd w:val="0"/>
        <w:rPr>
          <w:rFonts w:ascii="Arial" w:hAnsi="Arial" w:cs="Arial"/>
        </w:rPr>
      </w:pPr>
    </w:p>
    <w:p w:rsidR="00180CFC" w:rsidRPr="00180CFC" w:rsidRDefault="00180CFC" w:rsidP="00180CFC">
      <w:pPr>
        <w:rPr>
          <w:rFonts w:ascii="Arial" w:hAnsi="Arial" w:cs="Arial"/>
          <w:b/>
        </w:rPr>
      </w:pPr>
    </w:p>
    <w:p w:rsidR="00180CFC" w:rsidRPr="00180CFC" w:rsidRDefault="00180CFC" w:rsidP="00180CFC">
      <w:pPr>
        <w:rPr>
          <w:rFonts w:ascii="Arial" w:hAnsi="Arial" w:cs="Arial"/>
          <w:b/>
        </w:rPr>
      </w:pPr>
    </w:p>
    <w:p w:rsidR="00180CFC" w:rsidRPr="00180CFC" w:rsidRDefault="00D70F6D" w:rsidP="00180CFC">
      <w:pPr>
        <w:rPr>
          <w:rFonts w:ascii="Arial" w:hAnsi="Arial" w:cs="Arial"/>
          <w:b/>
        </w:rPr>
      </w:pPr>
      <w:r>
        <w:rPr>
          <w:rFonts w:ascii="Arial" w:hAnsi="Arial" w:cs="Arial"/>
          <w:b/>
          <w:noProof/>
          <w:lang w:eastAsia="en-GB"/>
        </w:rPr>
        <w:drawing>
          <wp:anchor distT="0" distB="0" distL="114300" distR="114300" simplePos="0" relativeHeight="251668480" behindDoc="1" locked="0" layoutInCell="1" allowOverlap="1">
            <wp:simplePos x="0" y="0"/>
            <wp:positionH relativeFrom="column">
              <wp:posOffset>-657225</wp:posOffset>
            </wp:positionH>
            <wp:positionV relativeFrom="paragraph">
              <wp:posOffset>215265</wp:posOffset>
            </wp:positionV>
            <wp:extent cx="2914650" cy="252412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914650" cy="2524125"/>
                    </a:xfrm>
                    <a:prstGeom prst="rect">
                      <a:avLst/>
                    </a:prstGeom>
                    <a:noFill/>
                    <a:ln w="9525">
                      <a:noFill/>
                      <a:miter lim="800000"/>
                      <a:headEnd/>
                      <a:tailEnd/>
                    </a:ln>
                  </pic:spPr>
                </pic:pic>
              </a:graphicData>
            </a:graphic>
          </wp:anchor>
        </w:drawing>
      </w:r>
      <w:r>
        <w:rPr>
          <w:rFonts w:ascii="Arial" w:hAnsi="Arial" w:cs="Arial"/>
          <w:b/>
          <w:noProof/>
          <w:lang w:eastAsia="en-GB"/>
        </w:rPr>
        <w:drawing>
          <wp:anchor distT="0" distB="0" distL="114300" distR="114300" simplePos="0" relativeHeight="251671552" behindDoc="0" locked="0" layoutInCell="1" allowOverlap="1">
            <wp:simplePos x="0" y="0"/>
            <wp:positionH relativeFrom="column">
              <wp:posOffset>2657475</wp:posOffset>
            </wp:positionH>
            <wp:positionV relativeFrom="paragraph">
              <wp:posOffset>215265</wp:posOffset>
            </wp:positionV>
            <wp:extent cx="2914650" cy="2524125"/>
            <wp:effectExtent l="19050" t="0" r="0" b="0"/>
            <wp:wrapThrough wrapText="bothSides">
              <wp:wrapPolygon edited="0">
                <wp:start x="-141" y="0"/>
                <wp:lineTo x="-141" y="21518"/>
                <wp:lineTo x="21600" y="21518"/>
                <wp:lineTo x="21600" y="0"/>
                <wp:lineTo x="-141"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2914650" cy="2524125"/>
                    </a:xfrm>
                    <a:prstGeom prst="rect">
                      <a:avLst/>
                    </a:prstGeom>
                    <a:noFill/>
                    <a:ln w="9525">
                      <a:noFill/>
                      <a:miter lim="800000"/>
                      <a:headEnd/>
                      <a:tailEnd/>
                    </a:ln>
                  </pic:spPr>
                </pic:pic>
              </a:graphicData>
            </a:graphic>
          </wp:anchor>
        </w:drawing>
      </w:r>
    </w:p>
    <w:p w:rsidR="00180CFC" w:rsidRPr="00180CFC" w:rsidRDefault="00180CFC" w:rsidP="00180CFC">
      <w:pPr>
        <w:autoSpaceDE w:val="0"/>
        <w:autoSpaceDN w:val="0"/>
        <w:adjustRightInd w:val="0"/>
        <w:rPr>
          <w:rFonts w:ascii="Arial" w:hAnsi="Arial" w:cs="Arial"/>
        </w:rPr>
      </w:pPr>
    </w:p>
    <w:p w:rsidR="00180CFC" w:rsidRPr="00180CFC" w:rsidRDefault="00180CFC" w:rsidP="00180CFC">
      <w:pPr>
        <w:autoSpaceDE w:val="0"/>
        <w:autoSpaceDN w:val="0"/>
        <w:adjustRightInd w:val="0"/>
        <w:rPr>
          <w:rFonts w:ascii="Arial" w:hAnsi="Arial" w:cs="Arial"/>
        </w:rPr>
      </w:pPr>
      <w:r w:rsidRPr="00180CFC">
        <w:rPr>
          <w:rFonts w:ascii="Arial" w:hAnsi="Arial" w:cs="Arial"/>
        </w:rPr>
        <w:tab/>
      </w:r>
      <w:r w:rsidRPr="00180CFC">
        <w:rPr>
          <w:rFonts w:ascii="Arial" w:hAnsi="Arial" w:cs="Arial"/>
        </w:rPr>
        <w:tab/>
      </w:r>
      <w:r w:rsidRPr="00180CFC">
        <w:rPr>
          <w:rFonts w:ascii="Arial" w:hAnsi="Arial" w:cs="Arial"/>
        </w:rPr>
        <w:tab/>
      </w:r>
      <w:r w:rsidRPr="00180CFC">
        <w:rPr>
          <w:rFonts w:ascii="Arial" w:hAnsi="Arial" w:cs="Arial"/>
        </w:rPr>
        <w:tab/>
      </w:r>
      <w:r w:rsidRPr="00180CFC">
        <w:rPr>
          <w:rFonts w:ascii="Arial" w:hAnsi="Arial" w:cs="Arial"/>
        </w:rPr>
        <w:tab/>
      </w:r>
      <w:r w:rsidRPr="00180CFC">
        <w:rPr>
          <w:rFonts w:ascii="Arial" w:hAnsi="Arial" w:cs="Arial"/>
        </w:rPr>
        <w:tab/>
      </w:r>
    </w:p>
    <w:p w:rsidR="00180CFC" w:rsidRPr="00180CFC" w:rsidRDefault="00180CFC" w:rsidP="00180CFC">
      <w:pPr>
        <w:autoSpaceDE w:val="0"/>
        <w:autoSpaceDN w:val="0"/>
        <w:adjustRightInd w:val="0"/>
        <w:rPr>
          <w:rFonts w:ascii="Arial" w:hAnsi="Arial" w:cs="Arial"/>
        </w:rPr>
      </w:pPr>
    </w:p>
    <w:p w:rsidR="00180CFC" w:rsidRPr="00180CFC" w:rsidRDefault="00180CFC" w:rsidP="00180CFC">
      <w:pPr>
        <w:autoSpaceDE w:val="0"/>
        <w:autoSpaceDN w:val="0"/>
        <w:adjustRightInd w:val="0"/>
        <w:rPr>
          <w:rFonts w:ascii="Arial" w:hAnsi="Arial" w:cs="Arial"/>
        </w:rPr>
      </w:pPr>
    </w:p>
    <w:p w:rsidR="00180CFC" w:rsidRPr="00180CFC" w:rsidRDefault="00180CFC" w:rsidP="00180CFC">
      <w:pPr>
        <w:autoSpaceDE w:val="0"/>
        <w:autoSpaceDN w:val="0"/>
        <w:adjustRightInd w:val="0"/>
        <w:rPr>
          <w:rFonts w:ascii="Arial" w:hAnsi="Arial" w:cs="Arial"/>
        </w:rPr>
      </w:pPr>
      <w:r w:rsidRPr="00180CFC">
        <w:rPr>
          <w:rFonts w:ascii="Arial" w:hAnsi="Arial" w:cs="Arial"/>
        </w:rPr>
        <w:tab/>
      </w:r>
      <w:r w:rsidRPr="00180CFC">
        <w:rPr>
          <w:rFonts w:ascii="Arial" w:hAnsi="Arial" w:cs="Arial"/>
        </w:rPr>
        <w:tab/>
      </w:r>
      <w:r w:rsidRPr="00180CFC">
        <w:rPr>
          <w:rFonts w:ascii="Arial" w:hAnsi="Arial" w:cs="Arial"/>
        </w:rPr>
        <w:tab/>
      </w:r>
      <w:r w:rsidRPr="00180CFC">
        <w:rPr>
          <w:rFonts w:ascii="Arial" w:hAnsi="Arial" w:cs="Arial"/>
        </w:rPr>
        <w:tab/>
      </w:r>
      <w:r w:rsidRPr="00180CFC">
        <w:rPr>
          <w:rFonts w:ascii="Arial" w:hAnsi="Arial" w:cs="Arial"/>
        </w:rPr>
        <w:tab/>
      </w:r>
      <w:r w:rsidRPr="00180CFC">
        <w:rPr>
          <w:rFonts w:ascii="Arial" w:hAnsi="Arial" w:cs="Arial"/>
        </w:rPr>
        <w:tab/>
      </w:r>
    </w:p>
    <w:p w:rsidR="00180CFC" w:rsidRPr="00180CFC" w:rsidRDefault="00180CFC" w:rsidP="00180CFC">
      <w:pPr>
        <w:autoSpaceDE w:val="0"/>
        <w:autoSpaceDN w:val="0"/>
        <w:adjustRightInd w:val="0"/>
        <w:rPr>
          <w:rFonts w:ascii="Arial" w:hAnsi="Arial" w:cs="Arial"/>
        </w:rPr>
      </w:pPr>
    </w:p>
    <w:p w:rsidR="00180CFC" w:rsidRPr="00180CFC" w:rsidRDefault="00D70F6D" w:rsidP="00180CFC">
      <w:pPr>
        <w:rPr>
          <w:rFonts w:ascii="Arial" w:hAnsi="Arial" w:cs="Arial"/>
          <w:b/>
        </w:rPr>
      </w:pPr>
      <w:r>
        <w:rPr>
          <w:rFonts w:ascii="Arial" w:hAnsi="Arial" w:cs="Arial"/>
          <w:b/>
          <w:noProof/>
          <w:lang w:eastAsia="en-GB"/>
        </w:rPr>
        <w:drawing>
          <wp:anchor distT="0" distB="0" distL="114300" distR="114300" simplePos="0" relativeHeight="251669504" behindDoc="1" locked="0" layoutInCell="1" allowOverlap="1">
            <wp:simplePos x="0" y="0"/>
            <wp:positionH relativeFrom="column">
              <wp:posOffset>-552450</wp:posOffset>
            </wp:positionH>
            <wp:positionV relativeFrom="paragraph">
              <wp:posOffset>121285</wp:posOffset>
            </wp:positionV>
            <wp:extent cx="2914650" cy="252412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914650" cy="2524125"/>
                    </a:xfrm>
                    <a:prstGeom prst="rect">
                      <a:avLst/>
                    </a:prstGeom>
                    <a:noFill/>
                    <a:ln w="9525">
                      <a:noFill/>
                      <a:miter lim="800000"/>
                      <a:headEnd/>
                      <a:tailEnd/>
                    </a:ln>
                  </pic:spPr>
                </pic:pic>
              </a:graphicData>
            </a:graphic>
          </wp:anchor>
        </w:drawing>
      </w:r>
      <w:r>
        <w:rPr>
          <w:rFonts w:ascii="Arial" w:hAnsi="Arial" w:cs="Arial"/>
          <w:b/>
          <w:noProof/>
          <w:lang w:eastAsia="en-GB"/>
        </w:rPr>
        <w:drawing>
          <wp:anchor distT="0" distB="0" distL="114300" distR="114300" simplePos="0" relativeHeight="251672576" behindDoc="0" locked="0" layoutInCell="1" allowOverlap="1">
            <wp:simplePos x="0" y="0"/>
            <wp:positionH relativeFrom="column">
              <wp:posOffset>2657475</wp:posOffset>
            </wp:positionH>
            <wp:positionV relativeFrom="paragraph">
              <wp:posOffset>121285</wp:posOffset>
            </wp:positionV>
            <wp:extent cx="2914650" cy="2524125"/>
            <wp:effectExtent l="19050" t="0" r="0" b="0"/>
            <wp:wrapThrough wrapText="bothSides">
              <wp:wrapPolygon edited="0">
                <wp:start x="-141" y="0"/>
                <wp:lineTo x="-141" y="21518"/>
                <wp:lineTo x="21600" y="21518"/>
                <wp:lineTo x="21600" y="0"/>
                <wp:lineTo x="-141"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2914650" cy="2524125"/>
                    </a:xfrm>
                    <a:prstGeom prst="rect">
                      <a:avLst/>
                    </a:prstGeom>
                    <a:noFill/>
                    <a:ln w="9525">
                      <a:noFill/>
                      <a:miter lim="800000"/>
                      <a:headEnd/>
                      <a:tailEnd/>
                    </a:ln>
                  </pic:spPr>
                </pic:pic>
              </a:graphicData>
            </a:graphic>
          </wp:anchor>
        </w:drawing>
      </w:r>
    </w:p>
    <w:p w:rsidR="00180CFC" w:rsidRPr="00180CFC" w:rsidRDefault="00180CFC" w:rsidP="00180CFC">
      <w:pPr>
        <w:rPr>
          <w:rFonts w:ascii="Arial" w:hAnsi="Arial" w:cs="Arial"/>
          <w:b/>
        </w:rPr>
      </w:pPr>
    </w:p>
    <w:p w:rsidR="00180CFC" w:rsidRPr="00180CFC" w:rsidRDefault="00180CFC" w:rsidP="00180CFC">
      <w:pPr>
        <w:rPr>
          <w:rFonts w:ascii="Arial" w:hAnsi="Arial" w:cs="Arial"/>
          <w:b/>
        </w:rPr>
      </w:pPr>
    </w:p>
    <w:p w:rsidR="00180CFC" w:rsidRPr="00180CFC" w:rsidRDefault="00180CFC" w:rsidP="00180CFC">
      <w:pPr>
        <w:rPr>
          <w:rFonts w:ascii="Arial" w:hAnsi="Arial" w:cs="Arial"/>
          <w:b/>
        </w:rPr>
      </w:pPr>
    </w:p>
    <w:p w:rsidR="00180CFC" w:rsidRPr="00180CFC" w:rsidRDefault="00180CFC" w:rsidP="00180CFC">
      <w:pPr>
        <w:autoSpaceDE w:val="0"/>
        <w:autoSpaceDN w:val="0"/>
        <w:adjustRightInd w:val="0"/>
        <w:rPr>
          <w:rFonts w:ascii="Arial" w:hAnsi="Arial" w:cs="Arial"/>
        </w:rPr>
      </w:pPr>
      <w:r w:rsidRPr="00180CFC">
        <w:rPr>
          <w:rFonts w:ascii="Arial" w:hAnsi="Arial" w:cs="Arial"/>
          <w:b/>
        </w:rPr>
        <w:tab/>
      </w:r>
      <w:r w:rsidRPr="00180CFC">
        <w:rPr>
          <w:rFonts w:ascii="Arial" w:hAnsi="Arial" w:cs="Arial"/>
          <w:b/>
        </w:rPr>
        <w:tab/>
      </w:r>
      <w:r w:rsidRPr="00180CFC">
        <w:rPr>
          <w:rFonts w:ascii="Arial" w:hAnsi="Arial" w:cs="Arial"/>
          <w:b/>
        </w:rPr>
        <w:tab/>
      </w:r>
      <w:r w:rsidRPr="00180CFC">
        <w:rPr>
          <w:rFonts w:ascii="Arial" w:hAnsi="Arial" w:cs="Arial"/>
          <w:b/>
        </w:rPr>
        <w:tab/>
      </w:r>
      <w:r w:rsidRPr="00180CFC">
        <w:rPr>
          <w:rFonts w:ascii="Arial" w:hAnsi="Arial" w:cs="Arial"/>
          <w:b/>
        </w:rPr>
        <w:tab/>
      </w:r>
      <w:r w:rsidRPr="00180CFC">
        <w:rPr>
          <w:rFonts w:ascii="Arial" w:hAnsi="Arial" w:cs="Arial"/>
          <w:b/>
        </w:rPr>
        <w:tab/>
      </w:r>
    </w:p>
    <w:p w:rsidR="00180CFC" w:rsidRPr="00180CFC" w:rsidRDefault="00180CFC" w:rsidP="00180CFC">
      <w:pPr>
        <w:autoSpaceDE w:val="0"/>
        <w:autoSpaceDN w:val="0"/>
        <w:adjustRightInd w:val="0"/>
        <w:rPr>
          <w:rFonts w:ascii="Arial" w:hAnsi="Arial" w:cs="Arial"/>
        </w:rPr>
      </w:pPr>
    </w:p>
    <w:p w:rsidR="00180CFC" w:rsidRPr="00180CFC" w:rsidRDefault="00180CFC" w:rsidP="00180CFC">
      <w:pPr>
        <w:autoSpaceDE w:val="0"/>
        <w:autoSpaceDN w:val="0"/>
        <w:adjustRightInd w:val="0"/>
        <w:rPr>
          <w:rFonts w:ascii="Arial" w:hAnsi="Arial" w:cs="Arial"/>
        </w:rPr>
      </w:pPr>
    </w:p>
    <w:p w:rsidR="00180CFC" w:rsidRPr="00180CFC" w:rsidRDefault="00180CFC" w:rsidP="00180CFC">
      <w:pPr>
        <w:rPr>
          <w:rFonts w:ascii="Arial" w:hAnsi="Arial" w:cs="Arial"/>
          <w:b/>
        </w:rPr>
      </w:pPr>
    </w:p>
    <w:p w:rsidR="00180CFC" w:rsidRPr="00180CFC" w:rsidRDefault="00D70F6D" w:rsidP="0089514E">
      <w:pPr>
        <w:jc w:val="both"/>
        <w:rPr>
          <w:rFonts w:ascii="Arial" w:hAnsi="Arial" w:cs="Arial"/>
          <w:i/>
        </w:rPr>
      </w:pPr>
      <w:r>
        <w:rPr>
          <w:rFonts w:ascii="Arial" w:hAnsi="Arial" w:cs="Arial"/>
          <w:i/>
        </w:rPr>
        <w:t xml:space="preserve">Figure </w:t>
      </w:r>
      <w:r w:rsidR="005F30B5">
        <w:rPr>
          <w:rFonts w:ascii="Arial" w:hAnsi="Arial" w:cs="Arial"/>
          <w:i/>
        </w:rPr>
        <w:t>B.</w:t>
      </w:r>
      <w:r w:rsidR="00180CFC" w:rsidRPr="00180CFC">
        <w:rPr>
          <w:rFonts w:ascii="Arial" w:hAnsi="Arial" w:cs="Arial"/>
          <w:i/>
        </w:rPr>
        <w:t>1. Scatter plots of Other Cost Ratios against LLTI variables</w:t>
      </w:r>
    </w:p>
    <w:p w:rsidR="00180CFC" w:rsidRDefault="0089514E" w:rsidP="00180CFC">
      <w:pPr>
        <w:jc w:val="both"/>
        <w:rPr>
          <w:rFonts w:ascii="Arial" w:hAnsi="Arial" w:cs="Arial"/>
        </w:rPr>
      </w:pPr>
      <w:r>
        <w:rPr>
          <w:rFonts w:ascii="Arial" w:hAnsi="Arial" w:cs="Arial"/>
        </w:rPr>
        <w:t xml:space="preserve">As can be seen from the scatter plots and </w:t>
      </w:r>
      <w:r w:rsidR="006A447C">
        <w:rPr>
          <w:rFonts w:ascii="Arial" w:hAnsi="Arial" w:cs="Arial"/>
        </w:rPr>
        <w:t xml:space="preserve">standard deviations, the range of values of the </w:t>
      </w:r>
      <w:r w:rsidR="00C32D3D">
        <w:rPr>
          <w:rFonts w:ascii="Arial" w:hAnsi="Arial" w:cs="Arial"/>
        </w:rPr>
        <w:t>LLTI r</w:t>
      </w:r>
      <w:r w:rsidR="00180CFC" w:rsidRPr="00180CFC">
        <w:rPr>
          <w:rFonts w:ascii="Arial" w:hAnsi="Arial" w:cs="Arial"/>
        </w:rPr>
        <w:t xml:space="preserve">atio </w:t>
      </w:r>
      <w:r w:rsidR="006A447C">
        <w:rPr>
          <w:rFonts w:ascii="Arial" w:hAnsi="Arial" w:cs="Arial"/>
        </w:rPr>
        <w:t xml:space="preserve">for </w:t>
      </w:r>
      <w:r w:rsidR="00180CFC" w:rsidRPr="00180CFC">
        <w:rPr>
          <w:rFonts w:ascii="Arial" w:hAnsi="Arial" w:cs="Arial"/>
        </w:rPr>
        <w:t>‘Yes a little’ is narrow</w:t>
      </w:r>
      <w:r w:rsidR="006A447C">
        <w:rPr>
          <w:rFonts w:ascii="Arial" w:hAnsi="Arial" w:cs="Arial"/>
        </w:rPr>
        <w:t xml:space="preserve"> compared to the other definitions</w:t>
      </w:r>
      <w:r w:rsidR="005E3764">
        <w:rPr>
          <w:rFonts w:ascii="Arial" w:hAnsi="Arial" w:cs="Arial"/>
        </w:rPr>
        <w:t>. LLTI r</w:t>
      </w:r>
      <w:r w:rsidR="00180CFC" w:rsidRPr="00180CFC">
        <w:rPr>
          <w:rFonts w:ascii="Arial" w:hAnsi="Arial" w:cs="Arial"/>
        </w:rPr>
        <w:t>atio ‘Yes a lot’ values are a bit more scattered than the ‘Yes both’ values which suggests ‘Yes both’ may perform better in the regression analysis. B</w:t>
      </w:r>
      <w:r w:rsidR="005E3764">
        <w:rPr>
          <w:rFonts w:ascii="Arial" w:hAnsi="Arial" w:cs="Arial"/>
        </w:rPr>
        <w:t>ased on the correlations, the scatter plots</w:t>
      </w:r>
      <w:r w:rsidR="00C32D3D">
        <w:rPr>
          <w:rFonts w:ascii="Arial" w:hAnsi="Arial" w:cs="Arial"/>
        </w:rPr>
        <w:t xml:space="preserve"> and </w:t>
      </w:r>
      <w:r w:rsidR="005E3764">
        <w:rPr>
          <w:rFonts w:ascii="Arial" w:hAnsi="Arial" w:cs="Arial"/>
        </w:rPr>
        <w:t xml:space="preserve">the </w:t>
      </w:r>
      <w:r w:rsidR="00C32D3D">
        <w:rPr>
          <w:rFonts w:ascii="Arial" w:hAnsi="Arial" w:cs="Arial"/>
        </w:rPr>
        <w:t>standard deviations, LLTI r</w:t>
      </w:r>
      <w:r w:rsidR="00180CFC" w:rsidRPr="00180CFC">
        <w:rPr>
          <w:rFonts w:ascii="Arial" w:hAnsi="Arial" w:cs="Arial"/>
        </w:rPr>
        <w:t xml:space="preserve">atio ‘Yes a little’ is not further investigated. The formal analysis is carried only for the other two LLTI variables.  </w:t>
      </w:r>
    </w:p>
    <w:p w:rsidR="00A31CD5" w:rsidRDefault="00A31CD5" w:rsidP="0089514E">
      <w:pPr>
        <w:jc w:val="both"/>
        <w:rPr>
          <w:rFonts w:ascii="Arial" w:hAnsi="Arial" w:cs="Arial"/>
        </w:rPr>
      </w:pPr>
    </w:p>
    <w:p w:rsidR="00180CFC" w:rsidRPr="00180CFC" w:rsidRDefault="005F30B5" w:rsidP="0089514E">
      <w:pPr>
        <w:jc w:val="both"/>
        <w:rPr>
          <w:rFonts w:ascii="Arial" w:hAnsi="Arial" w:cs="Arial"/>
          <w:b/>
        </w:rPr>
      </w:pPr>
      <w:r>
        <w:rPr>
          <w:rFonts w:ascii="Arial" w:hAnsi="Arial" w:cs="Arial"/>
          <w:b/>
        </w:rPr>
        <w:lastRenderedPageBreak/>
        <w:t>B.</w:t>
      </w:r>
      <w:r w:rsidR="00180CFC" w:rsidRPr="00180CFC">
        <w:rPr>
          <w:rFonts w:ascii="Arial" w:hAnsi="Arial" w:cs="Arial"/>
          <w:b/>
        </w:rPr>
        <w:t xml:space="preserve">3. </w:t>
      </w:r>
      <w:r w:rsidR="0065699F">
        <w:rPr>
          <w:rFonts w:ascii="Arial" w:hAnsi="Arial" w:cs="Arial"/>
          <w:b/>
        </w:rPr>
        <w:t xml:space="preserve">Adjusted </w:t>
      </w:r>
      <w:r w:rsidR="00180CFC" w:rsidRPr="00180CFC">
        <w:rPr>
          <w:rFonts w:ascii="Arial" w:hAnsi="Arial" w:cs="Arial"/>
          <w:b/>
        </w:rPr>
        <w:t>R-squared values</w:t>
      </w:r>
    </w:p>
    <w:p w:rsidR="00180CFC" w:rsidRPr="00180CFC" w:rsidRDefault="00180CFC" w:rsidP="00180CFC">
      <w:pPr>
        <w:jc w:val="both"/>
        <w:rPr>
          <w:rFonts w:ascii="Arial" w:hAnsi="Arial" w:cs="Arial"/>
        </w:rPr>
      </w:pPr>
      <w:r w:rsidRPr="00180CFC">
        <w:rPr>
          <w:rFonts w:ascii="Arial" w:hAnsi="Arial" w:cs="Arial"/>
        </w:rPr>
        <w:t xml:space="preserve">Regression analysis </w:t>
      </w:r>
      <w:r w:rsidR="00B672B9">
        <w:rPr>
          <w:rFonts w:ascii="Arial" w:hAnsi="Arial" w:cs="Arial"/>
        </w:rPr>
        <w:t>is carried out using only LLTI r</w:t>
      </w:r>
      <w:r w:rsidRPr="00180CFC">
        <w:rPr>
          <w:rFonts w:ascii="Arial" w:hAnsi="Arial" w:cs="Arial"/>
        </w:rPr>
        <w:t>atio as a predictor of need at Data Zones and Intermedia</w:t>
      </w:r>
      <w:r w:rsidR="0064634F">
        <w:rPr>
          <w:rFonts w:ascii="Arial" w:hAnsi="Arial" w:cs="Arial"/>
        </w:rPr>
        <w:t xml:space="preserve">te Zones as well as using LLTI ratio </w:t>
      </w:r>
      <w:r w:rsidR="00B672B9">
        <w:rPr>
          <w:rFonts w:ascii="Arial" w:hAnsi="Arial" w:cs="Arial"/>
        </w:rPr>
        <w:t>in addition to the supply model (supply variables IPACX and OPACX and health board dummy variables)</w:t>
      </w:r>
      <w:r w:rsidRPr="00180CFC">
        <w:rPr>
          <w:rFonts w:ascii="Arial" w:hAnsi="Arial" w:cs="Arial"/>
        </w:rPr>
        <w:t xml:space="preserve">. </w:t>
      </w:r>
      <w:r w:rsidR="00B672B9">
        <w:rPr>
          <w:rFonts w:ascii="Arial" w:hAnsi="Arial" w:cs="Arial"/>
        </w:rPr>
        <w:t>Supply variables and health b</w:t>
      </w:r>
      <w:r w:rsidR="0064634F">
        <w:rPr>
          <w:rFonts w:ascii="Arial" w:hAnsi="Arial" w:cs="Arial"/>
        </w:rPr>
        <w:t>oard dummy</w:t>
      </w:r>
      <w:r w:rsidRPr="00180CFC">
        <w:rPr>
          <w:rFonts w:ascii="Arial" w:hAnsi="Arial" w:cs="Arial"/>
        </w:rPr>
        <w:t xml:space="preserve"> variables will be included in the final model since they capture the board to board variation and improve the model fit</w:t>
      </w:r>
      <w:r w:rsidR="006A447C">
        <w:rPr>
          <w:rFonts w:ascii="Arial" w:hAnsi="Arial" w:cs="Arial"/>
        </w:rPr>
        <w:t>,</w:t>
      </w:r>
      <w:r w:rsidRPr="00180CFC">
        <w:rPr>
          <w:rFonts w:ascii="Arial" w:hAnsi="Arial" w:cs="Arial"/>
        </w:rPr>
        <w:t xml:space="preserve"> as can be seen from the adj</w:t>
      </w:r>
      <w:r w:rsidR="00B672B9">
        <w:rPr>
          <w:rFonts w:ascii="Arial" w:hAnsi="Arial" w:cs="Arial"/>
        </w:rPr>
        <w:t>usted R-</w:t>
      </w:r>
      <w:r w:rsidR="00D70F6D">
        <w:rPr>
          <w:rFonts w:ascii="Arial" w:hAnsi="Arial" w:cs="Arial"/>
        </w:rPr>
        <w:t xml:space="preserve">squared values (Table </w:t>
      </w:r>
      <w:r w:rsidR="005F30B5">
        <w:rPr>
          <w:rFonts w:ascii="Arial" w:hAnsi="Arial" w:cs="Arial"/>
        </w:rPr>
        <w:t>B.</w:t>
      </w:r>
      <w:r w:rsidRPr="00180CFC">
        <w:rPr>
          <w:rFonts w:ascii="Arial" w:hAnsi="Arial" w:cs="Arial"/>
        </w:rPr>
        <w:t xml:space="preserve">4). </w:t>
      </w:r>
    </w:p>
    <w:p w:rsidR="00180CFC" w:rsidRPr="00180CFC" w:rsidRDefault="00180CFC" w:rsidP="00C32D3D">
      <w:pPr>
        <w:spacing w:after="0"/>
        <w:jc w:val="both"/>
        <w:rPr>
          <w:rFonts w:ascii="Arial" w:hAnsi="Arial" w:cs="Arial"/>
          <w:i/>
        </w:rPr>
      </w:pPr>
      <w:r w:rsidRPr="00180CFC">
        <w:rPr>
          <w:rFonts w:ascii="Arial" w:hAnsi="Arial" w:cs="Arial"/>
          <w:i/>
        </w:rPr>
        <w:t>T</w:t>
      </w:r>
      <w:r w:rsidR="00D70F6D">
        <w:rPr>
          <w:rFonts w:ascii="Arial" w:hAnsi="Arial" w:cs="Arial"/>
          <w:i/>
        </w:rPr>
        <w:t xml:space="preserve">able </w:t>
      </w:r>
      <w:r w:rsidR="005F30B5">
        <w:rPr>
          <w:rFonts w:ascii="Arial" w:hAnsi="Arial" w:cs="Arial"/>
          <w:i/>
        </w:rPr>
        <w:t>B.</w:t>
      </w:r>
      <w:r w:rsidRPr="00180CFC">
        <w:rPr>
          <w:rFonts w:ascii="Arial" w:hAnsi="Arial" w:cs="Arial"/>
          <w:i/>
        </w:rPr>
        <w:t xml:space="preserve">4. </w:t>
      </w:r>
      <w:proofErr w:type="gramStart"/>
      <w:r w:rsidRPr="00180CFC">
        <w:rPr>
          <w:rFonts w:ascii="Arial" w:hAnsi="Arial" w:cs="Arial"/>
          <w:i/>
        </w:rPr>
        <w:t>Adjusted R-squared values of models comparing the LLTI variables’ performance.</w:t>
      </w:r>
      <w:proofErr w:type="gramEnd"/>
    </w:p>
    <w:tbl>
      <w:tblPr>
        <w:tblW w:w="0" w:type="auto"/>
        <w:tblLook w:val="04A0"/>
      </w:tblPr>
      <w:tblGrid>
        <w:gridCol w:w="1281"/>
        <w:gridCol w:w="764"/>
        <w:gridCol w:w="764"/>
        <w:gridCol w:w="984"/>
        <w:gridCol w:w="984"/>
        <w:gridCol w:w="1053"/>
        <w:gridCol w:w="1053"/>
        <w:gridCol w:w="1053"/>
        <w:gridCol w:w="1053"/>
      </w:tblGrid>
      <w:tr w:rsidR="00822B06" w:rsidRPr="00724622" w:rsidTr="00124FD7">
        <w:trPr>
          <w:trHeight w:val="81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06" w:rsidRDefault="00822B06" w:rsidP="00124FD7">
            <w:pPr>
              <w:spacing w:after="0" w:line="240" w:lineRule="auto"/>
              <w:rPr>
                <w:rFonts w:ascii="Calibri" w:eastAsia="Times New Roman" w:hAnsi="Calibri" w:cs="Times New Roman"/>
                <w:b/>
                <w:color w:val="000000"/>
                <w:lang w:eastAsia="en-GB"/>
              </w:rPr>
            </w:pPr>
            <w:r w:rsidRPr="00EE1A67">
              <w:rPr>
                <w:rFonts w:ascii="Calibri" w:eastAsia="Times New Roman" w:hAnsi="Calibri" w:cs="Times New Roman"/>
                <w:b/>
                <w:color w:val="000000"/>
                <w:lang w:eastAsia="en-GB"/>
              </w:rPr>
              <w:t>adj</w:t>
            </w:r>
            <w:r>
              <w:rPr>
                <w:rFonts w:ascii="Calibri" w:eastAsia="Times New Roman" w:hAnsi="Calibri" w:cs="Times New Roman"/>
                <w:b/>
                <w:color w:val="000000"/>
                <w:lang w:eastAsia="en-GB"/>
              </w:rPr>
              <w:t xml:space="preserve">usted </w:t>
            </w:r>
          </w:p>
          <w:p w:rsidR="00822B06" w:rsidRPr="00EE1A67" w:rsidRDefault="00822B06" w:rsidP="00124FD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w:t>
            </w:r>
            <w:r w:rsidRPr="00EE1A67">
              <w:rPr>
                <w:rFonts w:ascii="Calibri" w:eastAsia="Times New Roman" w:hAnsi="Calibri" w:cs="Times New Roman"/>
                <w:b/>
                <w:color w:val="000000"/>
                <w:lang w:eastAsia="en-GB"/>
              </w:rPr>
              <w:t>squared</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22B06" w:rsidRPr="00724622" w:rsidRDefault="00822B06" w:rsidP="00124FD7">
            <w:pPr>
              <w:spacing w:after="0" w:line="240" w:lineRule="auto"/>
              <w:jc w:val="center"/>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 xml:space="preserve">Data Zones </w:t>
            </w:r>
            <w:r w:rsidRPr="00724622">
              <w:rPr>
                <w:rFonts w:ascii="Calibri" w:eastAsia="Times New Roman" w:hAnsi="Calibri" w:cs="Times New Roman"/>
                <w:color w:val="000000"/>
                <w:lang w:eastAsia="en-GB"/>
              </w:rPr>
              <w:br/>
              <w:t>(LLTI only)</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22B06" w:rsidRPr="00724622" w:rsidRDefault="00822B06" w:rsidP="00124FD7">
            <w:pPr>
              <w:spacing w:after="0" w:line="240" w:lineRule="auto"/>
              <w:jc w:val="center"/>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Intermediate Zones</w:t>
            </w:r>
            <w:r w:rsidRPr="00724622">
              <w:rPr>
                <w:rFonts w:ascii="Calibri" w:eastAsia="Times New Roman" w:hAnsi="Calibri" w:cs="Times New Roman"/>
                <w:color w:val="000000"/>
                <w:lang w:eastAsia="en-GB"/>
              </w:rPr>
              <w:br/>
              <w:t>(LLTI only)</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22B06" w:rsidRPr="0073062E" w:rsidRDefault="00822B06" w:rsidP="00124FD7">
            <w:pPr>
              <w:spacing w:after="0" w:line="240" w:lineRule="auto"/>
              <w:jc w:val="center"/>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 xml:space="preserve">Data Zones </w:t>
            </w:r>
            <w:r w:rsidRPr="0073062E">
              <w:rPr>
                <w:rFonts w:ascii="Calibri" w:eastAsia="Times New Roman" w:hAnsi="Calibri" w:cs="Times New Roman"/>
                <w:color w:val="000000"/>
                <w:lang w:eastAsia="en-GB"/>
              </w:rPr>
              <w:br/>
              <w:t>(supply model + LLTI)</w:t>
            </w:r>
          </w:p>
        </w:tc>
        <w:tc>
          <w:tcPr>
            <w:tcW w:w="0" w:type="auto"/>
            <w:gridSpan w:val="2"/>
            <w:tcBorders>
              <w:top w:val="single" w:sz="4" w:space="0" w:color="auto"/>
              <w:left w:val="nil"/>
              <w:bottom w:val="single" w:sz="4" w:space="0" w:color="auto"/>
              <w:right w:val="single" w:sz="4" w:space="0" w:color="auto"/>
            </w:tcBorders>
            <w:vAlign w:val="center"/>
          </w:tcPr>
          <w:p w:rsidR="00822B06" w:rsidRPr="0073062E" w:rsidRDefault="00822B06" w:rsidP="00124FD7">
            <w:pPr>
              <w:spacing w:after="0" w:line="240" w:lineRule="auto"/>
              <w:jc w:val="center"/>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Intermediate Zones</w:t>
            </w:r>
          </w:p>
          <w:p w:rsidR="00822B06" w:rsidRPr="0073062E" w:rsidRDefault="00822B06" w:rsidP="00124FD7">
            <w:pPr>
              <w:spacing w:after="0" w:line="240" w:lineRule="auto"/>
              <w:jc w:val="center"/>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(supply model + LLTI)</w:t>
            </w:r>
          </w:p>
        </w:tc>
      </w:tr>
      <w:tr w:rsidR="00822B06" w:rsidRPr="00724622" w:rsidTr="00124FD7">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B06" w:rsidRPr="00724622" w:rsidRDefault="00822B06" w:rsidP="00124FD7">
            <w:pPr>
              <w:spacing w:after="0" w:line="240" w:lineRule="auto"/>
              <w:rPr>
                <w:rFonts w:ascii="Calibri" w:eastAsia="Times New Roman" w:hAnsi="Calibri" w:cs="Times New Roman"/>
                <w:color w:val="000000"/>
                <w:lang w:eastAsia="en-GB"/>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822B06" w:rsidRPr="00724622" w:rsidRDefault="00822B06" w:rsidP="00124FD7">
            <w:pPr>
              <w:spacing w:after="0" w:line="240" w:lineRule="auto"/>
              <w:ind w:left="113" w:right="113"/>
              <w:jc w:val="center"/>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Yes a lot</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822B06" w:rsidRPr="00724622" w:rsidRDefault="00822B06" w:rsidP="00124FD7">
            <w:pPr>
              <w:spacing w:after="0" w:line="240" w:lineRule="auto"/>
              <w:ind w:left="113" w:right="113"/>
              <w:jc w:val="center"/>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Yes both</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822B06" w:rsidRPr="00724622" w:rsidRDefault="00822B06" w:rsidP="00124FD7">
            <w:pPr>
              <w:spacing w:after="0" w:line="240" w:lineRule="auto"/>
              <w:ind w:left="113" w:right="113"/>
              <w:jc w:val="center"/>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Yes a lot</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822B06" w:rsidRPr="00724622" w:rsidRDefault="00822B06" w:rsidP="00124FD7">
            <w:pPr>
              <w:spacing w:after="0" w:line="240" w:lineRule="auto"/>
              <w:ind w:left="113" w:right="113"/>
              <w:jc w:val="center"/>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Yes both</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822B06" w:rsidRPr="0073062E" w:rsidRDefault="00822B06" w:rsidP="00124FD7">
            <w:pPr>
              <w:spacing w:after="0" w:line="240" w:lineRule="auto"/>
              <w:ind w:left="113" w:right="113"/>
              <w:jc w:val="center"/>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Yes a lot</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822B06" w:rsidRPr="0073062E" w:rsidRDefault="00822B06" w:rsidP="00124FD7">
            <w:pPr>
              <w:spacing w:after="0" w:line="240" w:lineRule="auto"/>
              <w:ind w:left="113" w:right="113"/>
              <w:jc w:val="center"/>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Yes both</w:t>
            </w:r>
          </w:p>
        </w:tc>
        <w:tc>
          <w:tcPr>
            <w:tcW w:w="0" w:type="auto"/>
            <w:tcBorders>
              <w:top w:val="single" w:sz="4" w:space="0" w:color="auto"/>
              <w:left w:val="nil"/>
              <w:bottom w:val="single" w:sz="4" w:space="0" w:color="auto"/>
              <w:right w:val="single" w:sz="4" w:space="0" w:color="auto"/>
            </w:tcBorders>
            <w:textDirection w:val="btLr"/>
            <w:vAlign w:val="center"/>
          </w:tcPr>
          <w:p w:rsidR="00822B06" w:rsidRPr="0073062E" w:rsidRDefault="00822B06" w:rsidP="00124FD7">
            <w:pPr>
              <w:spacing w:after="0" w:line="240" w:lineRule="auto"/>
              <w:ind w:left="113" w:right="113"/>
              <w:jc w:val="center"/>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Yes a lot</w:t>
            </w:r>
          </w:p>
        </w:tc>
        <w:tc>
          <w:tcPr>
            <w:tcW w:w="0" w:type="auto"/>
            <w:tcBorders>
              <w:top w:val="nil"/>
              <w:left w:val="single" w:sz="4" w:space="0" w:color="auto"/>
              <w:bottom w:val="single" w:sz="4" w:space="0" w:color="auto"/>
              <w:right w:val="single" w:sz="4" w:space="0" w:color="auto"/>
            </w:tcBorders>
            <w:textDirection w:val="btLr"/>
            <w:vAlign w:val="center"/>
          </w:tcPr>
          <w:p w:rsidR="00822B06" w:rsidRPr="0073062E" w:rsidRDefault="00822B06" w:rsidP="00124FD7">
            <w:pPr>
              <w:spacing w:after="0" w:line="240" w:lineRule="auto"/>
              <w:ind w:left="113" w:right="113"/>
              <w:jc w:val="center"/>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Yes both</w:t>
            </w:r>
          </w:p>
        </w:tc>
      </w:tr>
      <w:tr w:rsidR="00822B06" w:rsidRPr="00724622" w:rsidTr="00822B0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2B06" w:rsidRPr="00724622" w:rsidRDefault="00822B06" w:rsidP="00124FD7">
            <w:pPr>
              <w:spacing w:after="0" w:line="240" w:lineRule="auto"/>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Cancer</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2.2%</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2.3%</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7.9%</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7.7%</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5.8%</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6.0%</w:t>
            </w:r>
          </w:p>
        </w:tc>
        <w:tc>
          <w:tcPr>
            <w:tcW w:w="0" w:type="auto"/>
            <w:tcBorders>
              <w:top w:val="single" w:sz="4" w:space="0" w:color="auto"/>
              <w:left w:val="nil"/>
              <w:bottom w:val="single" w:sz="4" w:space="0" w:color="auto"/>
              <w:right w:val="single" w:sz="4" w:space="0" w:color="auto"/>
            </w:tcBorders>
            <w:vAlign w:val="center"/>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23.8%</w:t>
            </w:r>
          </w:p>
        </w:tc>
        <w:tc>
          <w:tcPr>
            <w:tcW w:w="0" w:type="auto"/>
            <w:tcBorders>
              <w:top w:val="nil"/>
              <w:left w:val="single" w:sz="4" w:space="0" w:color="auto"/>
              <w:bottom w:val="single" w:sz="4" w:space="0" w:color="auto"/>
              <w:right w:val="single" w:sz="4" w:space="0" w:color="auto"/>
            </w:tcBorders>
            <w:vAlign w:val="center"/>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24.2%</w:t>
            </w:r>
          </w:p>
        </w:tc>
      </w:tr>
      <w:tr w:rsidR="00822B06" w:rsidRPr="00724622" w:rsidTr="00822B0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2B06" w:rsidRPr="00724622" w:rsidRDefault="00822B06" w:rsidP="00124FD7">
            <w:pPr>
              <w:spacing w:after="0" w:line="240" w:lineRule="auto"/>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Heart</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7.6%</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8.1%</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23.7%</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25.1%</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8.4%</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8.9%</w:t>
            </w:r>
          </w:p>
        </w:tc>
        <w:tc>
          <w:tcPr>
            <w:tcW w:w="0" w:type="auto"/>
            <w:tcBorders>
              <w:top w:val="single" w:sz="4" w:space="0" w:color="auto"/>
              <w:left w:val="nil"/>
              <w:bottom w:val="single" w:sz="4" w:space="0" w:color="auto"/>
              <w:right w:val="single" w:sz="4" w:space="0" w:color="auto"/>
            </w:tcBorders>
            <w:vAlign w:val="center"/>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28.5%</w:t>
            </w:r>
          </w:p>
        </w:tc>
        <w:tc>
          <w:tcPr>
            <w:tcW w:w="0" w:type="auto"/>
            <w:tcBorders>
              <w:top w:val="nil"/>
              <w:left w:val="single" w:sz="4" w:space="0" w:color="auto"/>
              <w:bottom w:val="single" w:sz="4" w:space="0" w:color="auto"/>
              <w:right w:val="single" w:sz="4" w:space="0" w:color="auto"/>
            </w:tcBorders>
            <w:vAlign w:val="center"/>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29.7%</w:t>
            </w:r>
          </w:p>
        </w:tc>
      </w:tr>
      <w:tr w:rsidR="00822B06" w:rsidRPr="00724622" w:rsidTr="00822B0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2B06" w:rsidRPr="00724622" w:rsidRDefault="00822B06" w:rsidP="00124FD7">
            <w:pPr>
              <w:spacing w:after="0" w:line="240" w:lineRule="auto"/>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Digestive</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17.2%</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16.2%</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41.0%</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38.7%</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21.5%</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21.5%</w:t>
            </w:r>
          </w:p>
        </w:tc>
        <w:tc>
          <w:tcPr>
            <w:tcW w:w="0" w:type="auto"/>
            <w:tcBorders>
              <w:top w:val="single" w:sz="4" w:space="0" w:color="auto"/>
              <w:left w:val="nil"/>
              <w:bottom w:val="single" w:sz="4" w:space="0" w:color="auto"/>
              <w:right w:val="single" w:sz="4" w:space="0" w:color="auto"/>
            </w:tcBorders>
            <w:vAlign w:val="center"/>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52.1%</w:t>
            </w:r>
          </w:p>
        </w:tc>
        <w:tc>
          <w:tcPr>
            <w:tcW w:w="0" w:type="auto"/>
            <w:tcBorders>
              <w:top w:val="nil"/>
              <w:left w:val="single" w:sz="4" w:space="0" w:color="auto"/>
              <w:bottom w:val="single" w:sz="4" w:space="0" w:color="auto"/>
              <w:right w:val="single" w:sz="4" w:space="0" w:color="auto"/>
            </w:tcBorders>
            <w:vAlign w:val="center"/>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52.3%</w:t>
            </w:r>
          </w:p>
        </w:tc>
      </w:tr>
      <w:tr w:rsidR="00822B06" w:rsidRPr="00724622" w:rsidTr="00822B0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2B06" w:rsidRPr="00724622" w:rsidRDefault="00822B06" w:rsidP="00124FD7">
            <w:pPr>
              <w:spacing w:after="0" w:line="240" w:lineRule="auto"/>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Injury</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7.9%</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8.6%</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19.0%</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21.0%</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10.5%</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11.0%</w:t>
            </w:r>
          </w:p>
        </w:tc>
        <w:tc>
          <w:tcPr>
            <w:tcW w:w="0" w:type="auto"/>
            <w:tcBorders>
              <w:top w:val="single" w:sz="4" w:space="0" w:color="auto"/>
              <w:left w:val="nil"/>
              <w:bottom w:val="single" w:sz="4" w:space="0" w:color="auto"/>
              <w:right w:val="single" w:sz="4" w:space="0" w:color="auto"/>
            </w:tcBorders>
            <w:vAlign w:val="center"/>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29.0%</w:t>
            </w:r>
          </w:p>
        </w:tc>
        <w:tc>
          <w:tcPr>
            <w:tcW w:w="0" w:type="auto"/>
            <w:tcBorders>
              <w:top w:val="nil"/>
              <w:left w:val="single" w:sz="4" w:space="0" w:color="auto"/>
              <w:bottom w:val="single" w:sz="4" w:space="0" w:color="auto"/>
              <w:right w:val="single" w:sz="4" w:space="0" w:color="auto"/>
            </w:tcBorders>
            <w:vAlign w:val="center"/>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30.5%</w:t>
            </w:r>
          </w:p>
        </w:tc>
      </w:tr>
      <w:tr w:rsidR="00822B06" w:rsidRPr="00724622" w:rsidTr="00822B0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2B06" w:rsidRPr="00724622" w:rsidRDefault="00822B06" w:rsidP="00124FD7">
            <w:pPr>
              <w:spacing w:after="0" w:line="240" w:lineRule="auto"/>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Other</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23.9%</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24.4%</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48.9%</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49.6%</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124FD7" w:rsidRDefault="00822B06" w:rsidP="00822B06">
            <w:pPr>
              <w:spacing w:after="0" w:line="240" w:lineRule="auto"/>
              <w:jc w:val="right"/>
              <w:rPr>
                <w:rFonts w:ascii="Calibri" w:eastAsia="Times New Roman" w:hAnsi="Calibri" w:cs="Times New Roman"/>
                <w:lang w:eastAsia="en-GB"/>
              </w:rPr>
            </w:pPr>
            <w:r w:rsidRPr="00124FD7">
              <w:rPr>
                <w:rFonts w:ascii="Calibri" w:eastAsia="Times New Roman" w:hAnsi="Calibri" w:cs="Times New Roman"/>
                <w:lang w:eastAsia="en-GB"/>
              </w:rPr>
              <w:t>25.3%</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124FD7" w:rsidRDefault="00822B06" w:rsidP="00822B06">
            <w:pPr>
              <w:spacing w:after="0" w:line="240" w:lineRule="auto"/>
              <w:jc w:val="right"/>
              <w:rPr>
                <w:rFonts w:ascii="Calibri" w:eastAsia="Times New Roman" w:hAnsi="Calibri" w:cs="Times New Roman"/>
                <w:lang w:eastAsia="en-GB"/>
              </w:rPr>
            </w:pPr>
            <w:r w:rsidRPr="00124FD7">
              <w:rPr>
                <w:rFonts w:ascii="Calibri" w:eastAsia="Times New Roman" w:hAnsi="Calibri" w:cs="Times New Roman"/>
                <w:lang w:eastAsia="en-GB"/>
              </w:rPr>
              <w:t>21.3%</w:t>
            </w:r>
          </w:p>
        </w:tc>
        <w:tc>
          <w:tcPr>
            <w:tcW w:w="0" w:type="auto"/>
            <w:tcBorders>
              <w:top w:val="single" w:sz="4" w:space="0" w:color="auto"/>
              <w:left w:val="nil"/>
              <w:bottom w:val="single" w:sz="4" w:space="0" w:color="auto"/>
              <w:right w:val="single" w:sz="4" w:space="0" w:color="auto"/>
            </w:tcBorders>
            <w:vAlign w:val="center"/>
          </w:tcPr>
          <w:p w:rsidR="00822B06" w:rsidRPr="00124FD7" w:rsidRDefault="00822B06" w:rsidP="00822B06">
            <w:pPr>
              <w:spacing w:after="0" w:line="240" w:lineRule="auto"/>
              <w:jc w:val="right"/>
              <w:rPr>
                <w:rFonts w:ascii="Calibri" w:eastAsia="Times New Roman" w:hAnsi="Calibri" w:cs="Times New Roman"/>
                <w:lang w:eastAsia="en-GB"/>
              </w:rPr>
            </w:pPr>
            <w:r w:rsidRPr="00124FD7">
              <w:rPr>
                <w:rFonts w:ascii="Calibri" w:eastAsia="Times New Roman" w:hAnsi="Calibri" w:cs="Times New Roman"/>
                <w:lang w:eastAsia="en-GB"/>
              </w:rPr>
              <w:t>54.7%</w:t>
            </w:r>
          </w:p>
        </w:tc>
        <w:tc>
          <w:tcPr>
            <w:tcW w:w="0" w:type="auto"/>
            <w:tcBorders>
              <w:top w:val="nil"/>
              <w:left w:val="single" w:sz="4" w:space="0" w:color="auto"/>
              <w:bottom w:val="single" w:sz="4" w:space="0" w:color="auto"/>
              <w:right w:val="single" w:sz="4" w:space="0" w:color="auto"/>
            </w:tcBorders>
            <w:vAlign w:val="center"/>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56.5%</w:t>
            </w:r>
          </w:p>
        </w:tc>
      </w:tr>
      <w:tr w:rsidR="00822B06" w:rsidRPr="00724622" w:rsidTr="00822B0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2B06" w:rsidRPr="00724622" w:rsidRDefault="00822B06" w:rsidP="00124FD7">
            <w:pPr>
              <w:spacing w:after="0" w:line="240" w:lineRule="auto"/>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Respiratory</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20.7%</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19.8%</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52.1%</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49.8%</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124FD7" w:rsidRDefault="00822B06" w:rsidP="00822B06">
            <w:pPr>
              <w:spacing w:after="0" w:line="240" w:lineRule="auto"/>
              <w:jc w:val="right"/>
              <w:rPr>
                <w:rFonts w:ascii="Calibri" w:eastAsia="Times New Roman" w:hAnsi="Calibri" w:cs="Times New Roman"/>
                <w:lang w:eastAsia="en-GB"/>
              </w:rPr>
            </w:pPr>
            <w:r w:rsidRPr="00124FD7">
              <w:rPr>
                <w:rFonts w:ascii="Calibri" w:eastAsia="Times New Roman" w:hAnsi="Calibri" w:cs="Times New Roman"/>
                <w:lang w:eastAsia="en-GB"/>
              </w:rPr>
              <w:t>21.8%</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124FD7" w:rsidRDefault="00822B06" w:rsidP="00822B06">
            <w:pPr>
              <w:spacing w:after="0" w:line="240" w:lineRule="auto"/>
              <w:jc w:val="right"/>
              <w:rPr>
                <w:rFonts w:ascii="Calibri" w:eastAsia="Times New Roman" w:hAnsi="Calibri" w:cs="Times New Roman"/>
                <w:lang w:eastAsia="en-GB"/>
              </w:rPr>
            </w:pPr>
            <w:r w:rsidRPr="00124FD7">
              <w:rPr>
                <w:rFonts w:ascii="Calibri" w:eastAsia="Times New Roman" w:hAnsi="Calibri" w:cs="Times New Roman"/>
                <w:lang w:eastAsia="en-GB"/>
              </w:rPr>
              <w:t>21.3%</w:t>
            </w:r>
          </w:p>
        </w:tc>
        <w:tc>
          <w:tcPr>
            <w:tcW w:w="0" w:type="auto"/>
            <w:tcBorders>
              <w:top w:val="single" w:sz="4" w:space="0" w:color="auto"/>
              <w:left w:val="nil"/>
              <w:bottom w:val="single" w:sz="4" w:space="0" w:color="auto"/>
              <w:right w:val="single" w:sz="4" w:space="0" w:color="auto"/>
            </w:tcBorders>
            <w:vAlign w:val="center"/>
          </w:tcPr>
          <w:p w:rsidR="00822B06" w:rsidRPr="00124FD7" w:rsidRDefault="00822B06" w:rsidP="00822B06">
            <w:pPr>
              <w:spacing w:after="0" w:line="240" w:lineRule="auto"/>
              <w:jc w:val="right"/>
              <w:rPr>
                <w:rFonts w:ascii="Calibri" w:eastAsia="Times New Roman" w:hAnsi="Calibri" w:cs="Times New Roman"/>
                <w:lang w:eastAsia="en-GB"/>
              </w:rPr>
            </w:pPr>
            <w:r w:rsidRPr="00124FD7">
              <w:rPr>
                <w:rFonts w:ascii="Calibri" w:eastAsia="Times New Roman" w:hAnsi="Calibri" w:cs="Times New Roman"/>
                <w:lang w:eastAsia="en-GB"/>
              </w:rPr>
              <w:t>55.5%</w:t>
            </w:r>
          </w:p>
        </w:tc>
        <w:tc>
          <w:tcPr>
            <w:tcW w:w="0" w:type="auto"/>
            <w:tcBorders>
              <w:top w:val="nil"/>
              <w:left w:val="single" w:sz="4" w:space="0" w:color="auto"/>
              <w:bottom w:val="single" w:sz="4" w:space="0" w:color="auto"/>
              <w:right w:val="single" w:sz="4" w:space="0" w:color="auto"/>
            </w:tcBorders>
            <w:vAlign w:val="center"/>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54.7%</w:t>
            </w:r>
          </w:p>
        </w:tc>
      </w:tr>
      <w:tr w:rsidR="00822B06" w:rsidRPr="00724622" w:rsidTr="00822B0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2B06" w:rsidRPr="00724622" w:rsidRDefault="00822B06" w:rsidP="00124FD7">
            <w:pPr>
              <w:spacing w:after="0" w:line="240" w:lineRule="auto"/>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Outpatients</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14.7%</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12.9%</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24.8%</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24622" w:rsidRDefault="00822B06" w:rsidP="00822B06">
            <w:pPr>
              <w:spacing w:after="0" w:line="240" w:lineRule="auto"/>
              <w:jc w:val="right"/>
              <w:rPr>
                <w:rFonts w:ascii="Calibri" w:eastAsia="Times New Roman" w:hAnsi="Calibri" w:cs="Times New Roman"/>
                <w:color w:val="000000"/>
                <w:lang w:eastAsia="en-GB"/>
              </w:rPr>
            </w:pPr>
            <w:r w:rsidRPr="00724622">
              <w:rPr>
                <w:rFonts w:ascii="Calibri" w:eastAsia="Times New Roman" w:hAnsi="Calibri" w:cs="Times New Roman"/>
                <w:color w:val="000000"/>
                <w:lang w:eastAsia="en-GB"/>
              </w:rPr>
              <w:t>21.7%</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43.6%</w:t>
            </w:r>
          </w:p>
        </w:tc>
        <w:tc>
          <w:tcPr>
            <w:tcW w:w="0" w:type="auto"/>
            <w:tcBorders>
              <w:top w:val="nil"/>
              <w:left w:val="nil"/>
              <w:bottom w:val="single" w:sz="4" w:space="0" w:color="auto"/>
              <w:right w:val="single" w:sz="4" w:space="0" w:color="auto"/>
            </w:tcBorders>
            <w:shd w:val="clear" w:color="auto" w:fill="auto"/>
            <w:noWrap/>
            <w:vAlign w:val="center"/>
            <w:hideMark/>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43.7%</w:t>
            </w:r>
          </w:p>
        </w:tc>
        <w:tc>
          <w:tcPr>
            <w:tcW w:w="0" w:type="auto"/>
            <w:tcBorders>
              <w:top w:val="single" w:sz="4" w:space="0" w:color="auto"/>
              <w:left w:val="nil"/>
              <w:bottom w:val="single" w:sz="4" w:space="0" w:color="auto"/>
              <w:right w:val="single" w:sz="4" w:space="0" w:color="auto"/>
            </w:tcBorders>
            <w:vAlign w:val="center"/>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68.0%</w:t>
            </w:r>
          </w:p>
        </w:tc>
        <w:tc>
          <w:tcPr>
            <w:tcW w:w="0" w:type="auto"/>
            <w:tcBorders>
              <w:top w:val="nil"/>
              <w:left w:val="single" w:sz="4" w:space="0" w:color="auto"/>
              <w:bottom w:val="single" w:sz="4" w:space="0" w:color="auto"/>
              <w:right w:val="single" w:sz="4" w:space="0" w:color="auto"/>
            </w:tcBorders>
            <w:vAlign w:val="center"/>
          </w:tcPr>
          <w:p w:rsidR="00822B06" w:rsidRPr="0073062E" w:rsidRDefault="00822B06" w:rsidP="00822B06">
            <w:pPr>
              <w:spacing w:after="0" w:line="240" w:lineRule="auto"/>
              <w:jc w:val="right"/>
              <w:rPr>
                <w:rFonts w:ascii="Calibri" w:eastAsia="Times New Roman" w:hAnsi="Calibri" w:cs="Times New Roman"/>
                <w:color w:val="000000"/>
                <w:lang w:eastAsia="en-GB"/>
              </w:rPr>
            </w:pPr>
            <w:r w:rsidRPr="0073062E">
              <w:rPr>
                <w:rFonts w:ascii="Calibri" w:eastAsia="Times New Roman" w:hAnsi="Calibri" w:cs="Times New Roman"/>
                <w:color w:val="000000"/>
                <w:lang w:eastAsia="en-GB"/>
              </w:rPr>
              <w:t>68.2%</w:t>
            </w:r>
          </w:p>
        </w:tc>
      </w:tr>
    </w:tbl>
    <w:p w:rsidR="00180CFC" w:rsidRPr="00180CFC" w:rsidRDefault="00180CFC" w:rsidP="0064634F">
      <w:pPr>
        <w:spacing w:after="0"/>
        <w:rPr>
          <w:rFonts w:ascii="Arial" w:hAnsi="Arial" w:cs="Arial"/>
          <w:b/>
        </w:rPr>
      </w:pPr>
    </w:p>
    <w:p w:rsidR="00180CFC" w:rsidRDefault="00180CFC" w:rsidP="0064634F">
      <w:pPr>
        <w:spacing w:after="0"/>
        <w:jc w:val="both"/>
        <w:rPr>
          <w:rFonts w:ascii="Arial" w:hAnsi="Arial" w:cs="Arial"/>
        </w:rPr>
      </w:pPr>
      <w:r w:rsidRPr="00180CFC">
        <w:rPr>
          <w:rFonts w:ascii="Arial" w:hAnsi="Arial" w:cs="Arial"/>
        </w:rPr>
        <w:t xml:space="preserve">Both LLTI variables are good predictors of need and perform approximately equally well in the models. When looking at the </w:t>
      </w:r>
      <w:r w:rsidR="00B672B9">
        <w:rPr>
          <w:rFonts w:ascii="Arial" w:hAnsi="Arial" w:cs="Arial"/>
        </w:rPr>
        <w:t>models testing LLTI variables in addition to the supply model</w:t>
      </w:r>
      <w:r w:rsidRPr="00180CFC">
        <w:rPr>
          <w:rFonts w:ascii="Arial" w:hAnsi="Arial" w:cs="Arial"/>
        </w:rPr>
        <w:t xml:space="preserve">, only </w:t>
      </w:r>
      <w:r w:rsidR="00B672B9">
        <w:rPr>
          <w:rFonts w:ascii="Arial" w:hAnsi="Arial" w:cs="Arial"/>
        </w:rPr>
        <w:t xml:space="preserve">Other and </w:t>
      </w:r>
      <w:r w:rsidRPr="00180CFC">
        <w:rPr>
          <w:rFonts w:ascii="Arial" w:hAnsi="Arial" w:cs="Arial"/>
        </w:rPr>
        <w:t>Respiratory cost ratios ar</w:t>
      </w:r>
      <w:r w:rsidR="00124FD7">
        <w:rPr>
          <w:rFonts w:ascii="Arial" w:hAnsi="Arial" w:cs="Arial"/>
        </w:rPr>
        <w:t>e better explained by the LLTI r</w:t>
      </w:r>
      <w:r w:rsidRPr="00180CFC">
        <w:rPr>
          <w:rFonts w:ascii="Arial" w:hAnsi="Arial" w:cs="Arial"/>
        </w:rPr>
        <w:t>atio ‘Yes a lot’</w:t>
      </w:r>
      <w:r w:rsidR="00B672B9">
        <w:rPr>
          <w:rFonts w:ascii="Arial" w:hAnsi="Arial" w:cs="Arial"/>
        </w:rPr>
        <w:t xml:space="preserve"> at Data Zones and only Respiratory cost ratios at Intermediate Zones</w:t>
      </w:r>
      <w:r w:rsidRPr="00180CFC">
        <w:rPr>
          <w:rFonts w:ascii="Arial" w:hAnsi="Arial" w:cs="Arial"/>
        </w:rPr>
        <w:t xml:space="preserve">. For all the other diagnostic groups ‘Yes a lot’ and ‘Yes both’ perform equally well or ‘Yes both’ is a stronger predictor of need. </w:t>
      </w:r>
    </w:p>
    <w:p w:rsidR="00A45F1F" w:rsidRPr="00180CFC" w:rsidRDefault="00A45F1F" w:rsidP="0064634F">
      <w:pPr>
        <w:spacing w:after="0"/>
        <w:jc w:val="both"/>
        <w:rPr>
          <w:rFonts w:ascii="Arial" w:hAnsi="Arial" w:cs="Arial"/>
        </w:rPr>
      </w:pPr>
    </w:p>
    <w:p w:rsidR="00782FB4" w:rsidRDefault="00180CFC" w:rsidP="000C2A96">
      <w:pPr>
        <w:jc w:val="both"/>
        <w:rPr>
          <w:rFonts w:ascii="Arial" w:hAnsi="Arial" w:cs="Arial"/>
        </w:rPr>
      </w:pPr>
      <w:r w:rsidRPr="00180CFC">
        <w:rPr>
          <w:rFonts w:ascii="Arial" w:hAnsi="Arial" w:cs="Arial"/>
        </w:rPr>
        <w:t xml:space="preserve">Considering the initial impression and the results from the regression analysis, ‘Yes both’ is chosen as the LLTI variable to be used in the reference model. </w:t>
      </w:r>
    </w:p>
    <w:p w:rsidR="00074EDC" w:rsidRDefault="00074EDC" w:rsidP="000C2A96">
      <w:pPr>
        <w:jc w:val="both"/>
        <w:rPr>
          <w:rFonts w:ascii="Arial" w:hAnsi="Arial" w:cs="Arial"/>
        </w:rPr>
      </w:pPr>
    </w:p>
    <w:p w:rsidR="00074EDC" w:rsidRDefault="00074EDC">
      <w:pPr>
        <w:rPr>
          <w:rFonts w:ascii="Arial" w:hAnsi="Arial" w:cs="Arial"/>
          <w:b/>
        </w:rPr>
      </w:pPr>
      <w:r>
        <w:rPr>
          <w:rFonts w:ascii="Arial" w:hAnsi="Arial" w:cs="Arial"/>
          <w:b/>
        </w:rPr>
        <w:br w:type="page"/>
      </w:r>
    </w:p>
    <w:p w:rsidR="005C1566" w:rsidRPr="00180CFC" w:rsidRDefault="005C1566" w:rsidP="005C1566">
      <w:pPr>
        <w:rPr>
          <w:rFonts w:ascii="Arial" w:hAnsi="Arial" w:cs="Arial"/>
          <w:b/>
        </w:rPr>
      </w:pPr>
      <w:r>
        <w:rPr>
          <w:rFonts w:ascii="Arial" w:hAnsi="Arial" w:cs="Arial"/>
          <w:b/>
        </w:rPr>
        <w:lastRenderedPageBreak/>
        <w:t>Annex C</w:t>
      </w:r>
      <w:r w:rsidRPr="00180CFC">
        <w:rPr>
          <w:rFonts w:ascii="Arial" w:hAnsi="Arial" w:cs="Arial"/>
          <w:b/>
        </w:rPr>
        <w:t xml:space="preserve">: </w:t>
      </w:r>
      <w:r>
        <w:rPr>
          <w:rFonts w:ascii="Arial" w:hAnsi="Arial" w:cs="Arial"/>
          <w:b/>
        </w:rPr>
        <w:t>Rule-of-thumb tests for normality of residuals</w:t>
      </w:r>
      <w:r w:rsidRPr="00180CFC">
        <w:rPr>
          <w:rFonts w:ascii="Arial" w:hAnsi="Arial" w:cs="Arial"/>
          <w:b/>
        </w:rPr>
        <w:t xml:space="preserve">  </w:t>
      </w:r>
    </w:p>
    <w:p w:rsidR="005C1566" w:rsidRPr="00180CFC" w:rsidRDefault="005C1566" w:rsidP="005C1566">
      <w:pPr>
        <w:jc w:val="both"/>
        <w:rPr>
          <w:rFonts w:ascii="Arial" w:hAnsi="Arial" w:cs="Arial"/>
        </w:rPr>
      </w:pPr>
      <w:r w:rsidRPr="00180CFC">
        <w:rPr>
          <w:rFonts w:ascii="Arial" w:hAnsi="Arial" w:cs="Arial"/>
        </w:rPr>
        <w:t xml:space="preserve">Deviations from normality were noticed in the residuals while performing the regression analysis. </w:t>
      </w:r>
      <w:r>
        <w:rPr>
          <w:rFonts w:ascii="Arial" w:hAnsi="Arial" w:cs="Arial"/>
        </w:rPr>
        <w:t>Tests</w:t>
      </w:r>
      <w:r w:rsidRPr="00180CFC">
        <w:rPr>
          <w:rFonts w:ascii="Arial" w:hAnsi="Arial" w:cs="Arial"/>
        </w:rPr>
        <w:t xml:space="preserve"> of </w:t>
      </w:r>
      <w:proofErr w:type="spellStart"/>
      <w:r w:rsidRPr="00180CFC">
        <w:rPr>
          <w:rFonts w:ascii="Arial" w:hAnsi="Arial" w:cs="Arial"/>
        </w:rPr>
        <w:t>skewness</w:t>
      </w:r>
      <w:proofErr w:type="spellEnd"/>
      <w:r w:rsidRPr="00180CFC">
        <w:rPr>
          <w:rFonts w:ascii="Arial" w:hAnsi="Arial" w:cs="Arial"/>
        </w:rPr>
        <w:t xml:space="preserve"> and kurtosis</w:t>
      </w:r>
      <w:r>
        <w:rPr>
          <w:rFonts w:ascii="Arial" w:hAnsi="Arial" w:cs="Arial"/>
        </w:rPr>
        <w:t xml:space="preserve"> are carried out to evaluate this more formally and the results are given below</w:t>
      </w:r>
      <w:r w:rsidRPr="00180CFC">
        <w:rPr>
          <w:rFonts w:ascii="Arial" w:hAnsi="Arial" w:cs="Arial"/>
        </w:rPr>
        <w:t xml:space="preserve">. </w:t>
      </w:r>
    </w:p>
    <w:p w:rsidR="005C1566" w:rsidRPr="00180CFC" w:rsidRDefault="005C1566" w:rsidP="005C1566">
      <w:pPr>
        <w:jc w:val="both"/>
        <w:rPr>
          <w:rFonts w:ascii="Arial" w:hAnsi="Arial" w:cs="Arial"/>
        </w:rPr>
      </w:pPr>
      <w:proofErr w:type="spellStart"/>
      <w:r w:rsidRPr="00180CFC">
        <w:rPr>
          <w:rFonts w:ascii="Arial" w:hAnsi="Arial" w:cs="Arial"/>
        </w:rPr>
        <w:t>Skewness</w:t>
      </w:r>
      <w:proofErr w:type="spellEnd"/>
      <w:r w:rsidRPr="00180CFC">
        <w:rPr>
          <w:rFonts w:ascii="Arial" w:hAnsi="Arial" w:cs="Arial"/>
        </w:rPr>
        <w:t xml:space="preserve"> is a measure of the extent to which a distribution of values deviate</w:t>
      </w:r>
      <w:r>
        <w:rPr>
          <w:rFonts w:ascii="Arial" w:hAnsi="Arial" w:cs="Arial"/>
        </w:rPr>
        <w:t>s</w:t>
      </w:r>
      <w:r w:rsidRPr="00180CFC">
        <w:rPr>
          <w:rFonts w:ascii="Arial" w:hAnsi="Arial" w:cs="Arial"/>
        </w:rPr>
        <w:t xml:space="preserve"> from symmetry around the mean. A value of zero means the distribution is symmetric, while a positive </w:t>
      </w:r>
      <w:proofErr w:type="spellStart"/>
      <w:r w:rsidRPr="00180CFC">
        <w:rPr>
          <w:rFonts w:ascii="Arial" w:hAnsi="Arial" w:cs="Arial"/>
        </w:rPr>
        <w:t>skewness</w:t>
      </w:r>
      <w:proofErr w:type="spellEnd"/>
      <w:r w:rsidRPr="00180CFC">
        <w:rPr>
          <w:rFonts w:ascii="Arial" w:hAnsi="Arial" w:cs="Arial"/>
        </w:rPr>
        <w:t xml:space="preserve"> indicates a greater number of smaller values, and </w:t>
      </w:r>
      <w:r>
        <w:rPr>
          <w:rFonts w:ascii="Arial" w:hAnsi="Arial" w:cs="Arial"/>
        </w:rPr>
        <w:t>vice versa</w:t>
      </w:r>
      <w:r w:rsidRPr="00180CFC">
        <w:rPr>
          <w:rFonts w:ascii="Arial" w:hAnsi="Arial" w:cs="Arial"/>
        </w:rPr>
        <w:t xml:space="preserve">. If the </w:t>
      </w:r>
      <w:proofErr w:type="spellStart"/>
      <w:r w:rsidRPr="00180CFC">
        <w:rPr>
          <w:rFonts w:ascii="Arial" w:hAnsi="Arial" w:cs="Arial"/>
        </w:rPr>
        <w:t>skewness</w:t>
      </w:r>
      <w:proofErr w:type="spellEnd"/>
      <w:r w:rsidRPr="00180CFC">
        <w:rPr>
          <w:rFonts w:ascii="Arial" w:hAnsi="Arial" w:cs="Arial"/>
        </w:rPr>
        <w:t xml:space="preserve"> is greater than 1 (or less than -1), the distribution is far from symmetrical (</w:t>
      </w:r>
      <w:r>
        <w:rPr>
          <w:rFonts w:ascii="Arial" w:hAnsi="Arial" w:cs="Arial"/>
        </w:rPr>
        <w:t xml:space="preserve">as a </w:t>
      </w:r>
      <w:r w:rsidRPr="00180CFC">
        <w:rPr>
          <w:rFonts w:ascii="Arial" w:hAnsi="Arial" w:cs="Arial"/>
        </w:rPr>
        <w:t>rule of thumb).</w:t>
      </w:r>
    </w:p>
    <w:p w:rsidR="005C1566" w:rsidRPr="00180CFC" w:rsidRDefault="005C1566" w:rsidP="005C1566">
      <w:pPr>
        <w:jc w:val="both"/>
        <w:rPr>
          <w:rFonts w:ascii="Arial" w:hAnsi="Arial" w:cs="Arial"/>
        </w:rPr>
      </w:pPr>
      <w:r w:rsidRPr="00180CFC">
        <w:rPr>
          <w:rFonts w:ascii="Arial" w:hAnsi="Arial" w:cs="Arial"/>
        </w:rPr>
        <w:t>Kurtosis is a measure of the ‘</w:t>
      </w:r>
      <w:proofErr w:type="spellStart"/>
      <w:r w:rsidRPr="00180CFC">
        <w:rPr>
          <w:rFonts w:ascii="Arial" w:hAnsi="Arial" w:cs="Arial"/>
        </w:rPr>
        <w:t>peakedness</w:t>
      </w:r>
      <w:proofErr w:type="spellEnd"/>
      <w:r w:rsidRPr="00180CFC">
        <w:rPr>
          <w:rFonts w:ascii="Arial" w:hAnsi="Arial" w:cs="Arial"/>
        </w:rPr>
        <w:t>’ or ‘flatness’ of a distribution. A kurtosis value near zero indicate</w:t>
      </w:r>
      <w:r>
        <w:rPr>
          <w:rFonts w:ascii="Arial" w:hAnsi="Arial" w:cs="Arial"/>
        </w:rPr>
        <w:t>s</w:t>
      </w:r>
      <w:r w:rsidRPr="00180CFC">
        <w:rPr>
          <w:rFonts w:ascii="Arial" w:hAnsi="Arial" w:cs="Arial"/>
        </w:rPr>
        <w:t xml:space="preserve"> a shape close to normal. A negative value indicate</w:t>
      </w:r>
      <w:r>
        <w:rPr>
          <w:rFonts w:ascii="Arial" w:hAnsi="Arial" w:cs="Arial"/>
        </w:rPr>
        <w:t>s</w:t>
      </w:r>
      <w:r w:rsidRPr="00180CFC">
        <w:rPr>
          <w:rFonts w:ascii="Arial" w:hAnsi="Arial" w:cs="Arial"/>
        </w:rPr>
        <w:t xml:space="preserve"> a distribution which is more peaked than normal, and </w:t>
      </w:r>
      <w:r>
        <w:rPr>
          <w:rFonts w:ascii="Arial" w:hAnsi="Arial" w:cs="Arial"/>
        </w:rPr>
        <w:t>vice versa</w:t>
      </w:r>
      <w:r w:rsidRPr="00180CFC">
        <w:rPr>
          <w:rFonts w:ascii="Arial" w:hAnsi="Arial" w:cs="Arial"/>
        </w:rPr>
        <w:t xml:space="preserve">. A kurtosis value of ±1 is considered very </w:t>
      </w:r>
      <w:proofErr w:type="gramStart"/>
      <w:r w:rsidRPr="00180CFC">
        <w:rPr>
          <w:rFonts w:ascii="Arial" w:hAnsi="Arial" w:cs="Arial"/>
        </w:rPr>
        <w:t>good</w:t>
      </w:r>
      <w:proofErr w:type="gramEnd"/>
      <w:r w:rsidRPr="00180CFC">
        <w:rPr>
          <w:rFonts w:ascii="Arial" w:hAnsi="Arial" w:cs="Arial"/>
        </w:rPr>
        <w:t>, but ±2 is also usually acceptable</w:t>
      </w:r>
      <w:r>
        <w:rPr>
          <w:rFonts w:ascii="Arial" w:hAnsi="Arial" w:cs="Arial"/>
        </w:rPr>
        <w:t xml:space="preserve"> (as a rule of thumb)</w:t>
      </w:r>
      <w:r w:rsidRPr="00180CFC">
        <w:rPr>
          <w:rFonts w:ascii="Arial" w:hAnsi="Arial" w:cs="Arial"/>
        </w:rPr>
        <w:t xml:space="preserve">. </w:t>
      </w:r>
    </w:p>
    <w:p w:rsidR="005C1566" w:rsidRPr="00180CFC" w:rsidRDefault="005C1566" w:rsidP="005C1566">
      <w:pPr>
        <w:jc w:val="both"/>
        <w:rPr>
          <w:rFonts w:ascii="Arial" w:hAnsi="Arial" w:cs="Arial"/>
        </w:rPr>
      </w:pPr>
      <w:r>
        <w:rPr>
          <w:rFonts w:ascii="Arial" w:hAnsi="Arial" w:cs="Arial"/>
        </w:rPr>
        <w:t>The reference model is fitted to</w:t>
      </w:r>
      <w:r w:rsidRPr="00180CFC">
        <w:rPr>
          <w:rFonts w:ascii="Arial" w:hAnsi="Arial" w:cs="Arial"/>
        </w:rPr>
        <w:t xml:space="preserve"> all diagn</w:t>
      </w:r>
      <w:r>
        <w:rPr>
          <w:rFonts w:ascii="Arial" w:hAnsi="Arial" w:cs="Arial"/>
        </w:rPr>
        <w:t>ostic groups at both geography levels and for 1 and 3 years at Data Zones</w:t>
      </w:r>
      <w:r w:rsidRPr="00180CFC">
        <w:rPr>
          <w:rFonts w:ascii="Arial" w:hAnsi="Arial" w:cs="Arial"/>
        </w:rPr>
        <w:t xml:space="preserve">. </w:t>
      </w:r>
      <w:proofErr w:type="spellStart"/>
      <w:r>
        <w:rPr>
          <w:rFonts w:ascii="Arial" w:hAnsi="Arial" w:cs="Arial"/>
        </w:rPr>
        <w:t>S</w:t>
      </w:r>
      <w:r w:rsidRPr="00180CFC">
        <w:rPr>
          <w:rFonts w:ascii="Arial" w:hAnsi="Arial" w:cs="Arial"/>
        </w:rPr>
        <w:t>kewness</w:t>
      </w:r>
      <w:proofErr w:type="spellEnd"/>
      <w:r w:rsidRPr="00180CFC">
        <w:rPr>
          <w:rFonts w:ascii="Arial" w:hAnsi="Arial" w:cs="Arial"/>
        </w:rPr>
        <w:t xml:space="preserve"> and kurtosis of t</w:t>
      </w:r>
      <w:r>
        <w:rPr>
          <w:rFonts w:ascii="Arial" w:hAnsi="Arial" w:cs="Arial"/>
        </w:rPr>
        <w:t>he residuals are then calculated for all health b</w:t>
      </w:r>
      <w:r w:rsidRPr="00180CFC">
        <w:rPr>
          <w:rFonts w:ascii="Arial" w:hAnsi="Arial" w:cs="Arial"/>
        </w:rPr>
        <w:t xml:space="preserve">oards together. The results are shown in Table </w:t>
      </w:r>
      <w:r>
        <w:rPr>
          <w:rFonts w:ascii="Arial" w:hAnsi="Arial" w:cs="Arial"/>
        </w:rPr>
        <w:t>C.1</w:t>
      </w:r>
      <w:r w:rsidRPr="00180CFC">
        <w:rPr>
          <w:rFonts w:ascii="Arial" w:hAnsi="Arial" w:cs="Arial"/>
        </w:rPr>
        <w:t xml:space="preserve"> below for all diagnostic groups.</w:t>
      </w:r>
      <w:r>
        <w:rPr>
          <w:rFonts w:ascii="Arial" w:hAnsi="Arial" w:cs="Arial"/>
        </w:rPr>
        <w:t xml:space="preserve"> The shaded cells indicate when normality of the residuals is not violated by either of the two heuristic measures. </w:t>
      </w:r>
    </w:p>
    <w:p w:rsidR="005C1566" w:rsidRPr="00180CFC" w:rsidRDefault="005C1566" w:rsidP="005C1566">
      <w:pPr>
        <w:spacing w:after="0"/>
        <w:rPr>
          <w:rFonts w:ascii="Arial" w:hAnsi="Arial" w:cs="Arial"/>
          <w:i/>
        </w:rPr>
      </w:pPr>
      <w:r w:rsidRPr="00180CFC">
        <w:rPr>
          <w:rFonts w:ascii="Arial" w:hAnsi="Arial" w:cs="Arial"/>
          <w:i/>
        </w:rPr>
        <w:t xml:space="preserve">Table </w:t>
      </w:r>
      <w:r>
        <w:rPr>
          <w:rFonts w:ascii="Arial" w:hAnsi="Arial" w:cs="Arial"/>
          <w:i/>
        </w:rPr>
        <w:t>C.1</w:t>
      </w:r>
      <w:r w:rsidRPr="00180CFC">
        <w:rPr>
          <w:rFonts w:ascii="Arial" w:hAnsi="Arial" w:cs="Arial"/>
          <w:i/>
        </w:rPr>
        <w:t xml:space="preserve">. </w:t>
      </w:r>
      <w:proofErr w:type="spellStart"/>
      <w:r w:rsidRPr="00180CFC">
        <w:rPr>
          <w:rFonts w:ascii="Arial" w:hAnsi="Arial" w:cs="Arial"/>
          <w:i/>
        </w:rPr>
        <w:t>Skewness</w:t>
      </w:r>
      <w:proofErr w:type="spellEnd"/>
      <w:r w:rsidRPr="00180CFC">
        <w:rPr>
          <w:rFonts w:ascii="Arial" w:hAnsi="Arial" w:cs="Arial"/>
          <w:i/>
        </w:rPr>
        <w:t xml:space="preserve"> and Kurtosis</w:t>
      </w:r>
      <w:r>
        <w:rPr>
          <w:rFonts w:ascii="Arial" w:hAnsi="Arial" w:cs="Arial"/>
          <w:i/>
        </w:rPr>
        <w:t xml:space="preserve"> of the reference model residuals</w:t>
      </w:r>
      <w:r w:rsidRPr="00180CFC">
        <w:rPr>
          <w:rFonts w:ascii="Arial" w:hAnsi="Arial" w:cs="Arial"/>
          <w:i/>
        </w:rPr>
        <w:t>.</w:t>
      </w:r>
    </w:p>
    <w:tbl>
      <w:tblPr>
        <w:tblW w:w="5000" w:type="pct"/>
        <w:tblLook w:val="04A0"/>
      </w:tblPr>
      <w:tblGrid>
        <w:gridCol w:w="2365"/>
        <w:gridCol w:w="1373"/>
        <w:gridCol w:w="848"/>
        <w:gridCol w:w="721"/>
        <w:gridCol w:w="848"/>
        <w:gridCol w:w="721"/>
        <w:gridCol w:w="721"/>
        <w:gridCol w:w="848"/>
        <w:gridCol w:w="797"/>
      </w:tblGrid>
      <w:tr w:rsidR="005C1566" w:rsidRPr="00C55668" w:rsidTr="005C1566">
        <w:trPr>
          <w:cantSplit/>
          <w:trHeight w:val="1412"/>
        </w:trPr>
        <w:tc>
          <w:tcPr>
            <w:tcW w:w="20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C1566" w:rsidRPr="00C55668" w:rsidRDefault="005C1566" w:rsidP="005C1566">
            <w:pPr>
              <w:spacing w:after="0" w:line="240" w:lineRule="auto"/>
              <w:rPr>
                <w:rFonts w:ascii="Arial" w:eastAsia="Times New Roman" w:hAnsi="Arial" w:cs="Arial"/>
                <w:b/>
                <w:bCs/>
                <w:color w:val="000000"/>
                <w:sz w:val="18"/>
                <w:szCs w:val="18"/>
                <w:lang w:eastAsia="en-GB"/>
              </w:rPr>
            </w:pPr>
            <w:r w:rsidRPr="00C55668">
              <w:rPr>
                <w:rFonts w:ascii="Arial" w:eastAsia="Times New Roman" w:hAnsi="Arial" w:cs="Arial"/>
                <w:b/>
                <w:bCs/>
                <w:color w:val="000000"/>
                <w:sz w:val="20"/>
                <w:szCs w:val="18"/>
                <w:lang w:eastAsia="en-GB"/>
              </w:rPr>
              <w:t>Normality che</w:t>
            </w:r>
            <w:r>
              <w:rPr>
                <w:rFonts w:ascii="Arial" w:eastAsia="Times New Roman" w:hAnsi="Arial" w:cs="Arial"/>
                <w:b/>
                <w:bCs/>
                <w:color w:val="000000"/>
                <w:sz w:val="20"/>
                <w:szCs w:val="18"/>
                <w:lang w:eastAsia="en-GB"/>
              </w:rPr>
              <w:t>ck of residuals</w:t>
            </w:r>
            <w:r>
              <w:rPr>
                <w:rFonts w:ascii="Arial" w:eastAsia="Times New Roman" w:hAnsi="Arial" w:cs="Arial"/>
                <w:b/>
                <w:bCs/>
                <w:color w:val="000000"/>
                <w:sz w:val="20"/>
                <w:szCs w:val="18"/>
                <w:lang w:eastAsia="en-GB"/>
              </w:rPr>
              <w:br/>
              <w:t>Reference model</w:t>
            </w:r>
          </w:p>
        </w:tc>
        <w:tc>
          <w:tcPr>
            <w:tcW w:w="45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C1566" w:rsidRPr="00C55668" w:rsidRDefault="005C1566" w:rsidP="005C1566">
            <w:pPr>
              <w:spacing w:after="0" w:line="240" w:lineRule="auto"/>
              <w:ind w:left="113" w:right="113"/>
              <w:rPr>
                <w:rFonts w:ascii="Arial" w:eastAsia="Times New Roman" w:hAnsi="Arial" w:cs="Arial"/>
                <w:color w:val="000000"/>
                <w:sz w:val="20"/>
                <w:szCs w:val="18"/>
                <w:lang w:eastAsia="en-GB"/>
              </w:rPr>
            </w:pPr>
            <w:r w:rsidRPr="00C55668">
              <w:rPr>
                <w:rFonts w:ascii="Arial" w:eastAsia="Times New Roman" w:hAnsi="Arial" w:cs="Arial"/>
                <w:color w:val="000000"/>
                <w:sz w:val="20"/>
                <w:szCs w:val="18"/>
                <w:lang w:eastAsia="en-GB"/>
              </w:rPr>
              <w:t>Cancer</w:t>
            </w:r>
          </w:p>
        </w:tc>
        <w:tc>
          <w:tcPr>
            <w:tcW w:w="39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C1566" w:rsidRPr="00C55668" w:rsidRDefault="005C1566" w:rsidP="005C1566">
            <w:pPr>
              <w:spacing w:after="0" w:line="240" w:lineRule="auto"/>
              <w:ind w:left="113" w:right="113"/>
              <w:rPr>
                <w:rFonts w:ascii="Arial" w:eastAsia="Times New Roman" w:hAnsi="Arial" w:cs="Arial"/>
                <w:color w:val="000000"/>
                <w:sz w:val="20"/>
                <w:szCs w:val="18"/>
                <w:lang w:eastAsia="en-GB"/>
              </w:rPr>
            </w:pPr>
            <w:r w:rsidRPr="00C55668">
              <w:rPr>
                <w:rFonts w:ascii="Arial" w:eastAsia="Times New Roman" w:hAnsi="Arial" w:cs="Arial"/>
                <w:color w:val="000000"/>
                <w:sz w:val="20"/>
                <w:szCs w:val="18"/>
                <w:lang w:eastAsia="en-GB"/>
              </w:rPr>
              <w:t>Heart</w:t>
            </w:r>
          </w:p>
        </w:tc>
        <w:tc>
          <w:tcPr>
            <w:tcW w:w="45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C1566" w:rsidRPr="00C55668" w:rsidRDefault="005C1566" w:rsidP="005C1566">
            <w:pPr>
              <w:spacing w:after="0" w:line="240" w:lineRule="auto"/>
              <w:ind w:left="113" w:right="113"/>
              <w:rPr>
                <w:rFonts w:ascii="Arial" w:eastAsia="Times New Roman" w:hAnsi="Arial" w:cs="Arial"/>
                <w:color w:val="000000"/>
                <w:sz w:val="20"/>
                <w:szCs w:val="18"/>
                <w:lang w:eastAsia="en-GB"/>
              </w:rPr>
            </w:pPr>
            <w:r w:rsidRPr="00C55668">
              <w:rPr>
                <w:rFonts w:ascii="Arial" w:eastAsia="Times New Roman" w:hAnsi="Arial" w:cs="Arial"/>
                <w:color w:val="000000"/>
                <w:sz w:val="20"/>
                <w:szCs w:val="18"/>
                <w:lang w:eastAsia="en-GB"/>
              </w:rPr>
              <w:t>Digestive</w:t>
            </w:r>
          </w:p>
        </w:tc>
        <w:tc>
          <w:tcPr>
            <w:tcW w:w="39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C1566" w:rsidRPr="00C55668" w:rsidRDefault="005C1566" w:rsidP="005C1566">
            <w:pPr>
              <w:spacing w:after="0" w:line="240" w:lineRule="auto"/>
              <w:ind w:left="113" w:right="113"/>
              <w:rPr>
                <w:rFonts w:ascii="Arial" w:eastAsia="Times New Roman" w:hAnsi="Arial" w:cs="Arial"/>
                <w:color w:val="000000"/>
                <w:sz w:val="20"/>
                <w:szCs w:val="18"/>
                <w:lang w:eastAsia="en-GB"/>
              </w:rPr>
            </w:pPr>
            <w:r w:rsidRPr="00C55668">
              <w:rPr>
                <w:rFonts w:ascii="Arial" w:eastAsia="Times New Roman" w:hAnsi="Arial" w:cs="Arial"/>
                <w:color w:val="000000"/>
                <w:sz w:val="20"/>
                <w:szCs w:val="18"/>
                <w:lang w:eastAsia="en-GB"/>
              </w:rPr>
              <w:t>Injury</w:t>
            </w:r>
          </w:p>
        </w:tc>
        <w:tc>
          <w:tcPr>
            <w:tcW w:w="39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C1566" w:rsidRPr="00C55668" w:rsidRDefault="005C1566" w:rsidP="005C1566">
            <w:pPr>
              <w:spacing w:after="0" w:line="240" w:lineRule="auto"/>
              <w:ind w:left="113" w:right="113"/>
              <w:rPr>
                <w:rFonts w:ascii="Arial" w:eastAsia="Times New Roman" w:hAnsi="Arial" w:cs="Arial"/>
                <w:color w:val="000000"/>
                <w:sz w:val="20"/>
                <w:szCs w:val="18"/>
                <w:lang w:eastAsia="en-GB"/>
              </w:rPr>
            </w:pPr>
            <w:r w:rsidRPr="00C55668">
              <w:rPr>
                <w:rFonts w:ascii="Arial" w:eastAsia="Times New Roman" w:hAnsi="Arial" w:cs="Arial"/>
                <w:color w:val="000000"/>
                <w:sz w:val="20"/>
                <w:szCs w:val="18"/>
                <w:lang w:eastAsia="en-GB"/>
              </w:rPr>
              <w:t>Other</w:t>
            </w:r>
          </w:p>
        </w:tc>
        <w:tc>
          <w:tcPr>
            <w:tcW w:w="45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C1566" w:rsidRPr="00C55668" w:rsidRDefault="005C1566" w:rsidP="005C1566">
            <w:pPr>
              <w:spacing w:after="0" w:line="240" w:lineRule="auto"/>
              <w:ind w:left="113" w:right="113"/>
              <w:rPr>
                <w:rFonts w:ascii="Arial" w:eastAsia="Times New Roman" w:hAnsi="Arial" w:cs="Arial"/>
                <w:color w:val="000000"/>
                <w:sz w:val="20"/>
                <w:szCs w:val="18"/>
                <w:lang w:eastAsia="en-GB"/>
              </w:rPr>
            </w:pPr>
            <w:r w:rsidRPr="00C55668">
              <w:rPr>
                <w:rFonts w:ascii="Arial" w:eastAsia="Times New Roman" w:hAnsi="Arial" w:cs="Arial"/>
                <w:color w:val="000000"/>
                <w:sz w:val="20"/>
                <w:szCs w:val="18"/>
                <w:lang w:eastAsia="en-GB"/>
              </w:rPr>
              <w:t>Respiratory</w:t>
            </w:r>
          </w:p>
        </w:tc>
        <w:tc>
          <w:tcPr>
            <w:tcW w:w="43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C1566" w:rsidRPr="00C55668" w:rsidRDefault="005C1566" w:rsidP="005C1566">
            <w:pPr>
              <w:spacing w:after="0" w:line="240" w:lineRule="auto"/>
              <w:ind w:left="113" w:right="113"/>
              <w:rPr>
                <w:rFonts w:ascii="Arial" w:eastAsia="Times New Roman" w:hAnsi="Arial" w:cs="Arial"/>
                <w:color w:val="000000"/>
                <w:sz w:val="20"/>
                <w:szCs w:val="18"/>
                <w:lang w:eastAsia="en-GB"/>
              </w:rPr>
            </w:pPr>
            <w:r w:rsidRPr="00C55668">
              <w:rPr>
                <w:rFonts w:ascii="Arial" w:eastAsia="Times New Roman" w:hAnsi="Arial" w:cs="Arial"/>
                <w:color w:val="000000"/>
                <w:sz w:val="20"/>
                <w:szCs w:val="18"/>
                <w:lang w:eastAsia="en-GB"/>
              </w:rPr>
              <w:t>Outpatients</w:t>
            </w:r>
          </w:p>
        </w:tc>
      </w:tr>
      <w:tr w:rsidR="005C1566" w:rsidRPr="00C55668" w:rsidTr="005C1566">
        <w:trPr>
          <w:trHeight w:val="300"/>
        </w:trPr>
        <w:tc>
          <w:tcPr>
            <w:tcW w:w="1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rPr>
                <w:rFonts w:ascii="Arial" w:eastAsia="Times New Roman" w:hAnsi="Arial" w:cs="Arial"/>
                <w:color w:val="000000"/>
                <w:sz w:val="20"/>
                <w:szCs w:val="18"/>
                <w:lang w:eastAsia="en-GB"/>
              </w:rPr>
            </w:pPr>
            <w:r>
              <w:rPr>
                <w:rFonts w:ascii="Arial" w:eastAsia="Times New Roman" w:hAnsi="Arial" w:cs="Arial"/>
                <w:color w:val="000000"/>
                <w:sz w:val="20"/>
                <w:szCs w:val="18"/>
                <w:lang w:eastAsia="en-GB"/>
              </w:rPr>
              <w:t xml:space="preserve">1 year </w:t>
            </w:r>
            <w:r w:rsidRPr="00C55668">
              <w:rPr>
                <w:rFonts w:ascii="Arial" w:eastAsia="Times New Roman" w:hAnsi="Arial" w:cs="Arial"/>
                <w:color w:val="000000"/>
                <w:sz w:val="20"/>
                <w:szCs w:val="18"/>
                <w:lang w:eastAsia="en-GB"/>
              </w:rPr>
              <w:t>Data Zones</w:t>
            </w:r>
          </w:p>
        </w:tc>
        <w:tc>
          <w:tcPr>
            <w:tcW w:w="743" w:type="pct"/>
            <w:tcBorders>
              <w:top w:val="nil"/>
              <w:left w:val="nil"/>
              <w:bottom w:val="single" w:sz="4" w:space="0" w:color="auto"/>
              <w:right w:val="single" w:sz="4" w:space="0" w:color="auto"/>
            </w:tcBorders>
            <w:shd w:val="clear" w:color="auto" w:fill="auto"/>
            <w:noWrap/>
            <w:vAlign w:val="bottom"/>
            <w:hideMark/>
          </w:tcPr>
          <w:p w:rsidR="005C1566" w:rsidRPr="00C55668" w:rsidRDefault="005C1566" w:rsidP="005C1566">
            <w:pPr>
              <w:spacing w:after="0" w:line="240" w:lineRule="auto"/>
              <w:rPr>
                <w:rFonts w:ascii="Arial" w:eastAsia="Times New Roman" w:hAnsi="Arial" w:cs="Arial"/>
                <w:color w:val="000000"/>
                <w:sz w:val="20"/>
                <w:szCs w:val="18"/>
                <w:lang w:eastAsia="en-GB"/>
              </w:rPr>
            </w:pPr>
            <w:proofErr w:type="spellStart"/>
            <w:r w:rsidRPr="00C55668">
              <w:rPr>
                <w:rFonts w:ascii="Arial" w:eastAsia="Times New Roman" w:hAnsi="Arial" w:cs="Arial"/>
                <w:color w:val="000000"/>
                <w:sz w:val="20"/>
                <w:szCs w:val="18"/>
                <w:lang w:eastAsia="en-GB"/>
              </w:rPr>
              <w:t>Skewness</w:t>
            </w:r>
            <w:proofErr w:type="spellEnd"/>
          </w:p>
        </w:tc>
        <w:tc>
          <w:tcPr>
            <w:tcW w:w="459"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1.98</w:t>
            </w:r>
          </w:p>
        </w:tc>
        <w:tc>
          <w:tcPr>
            <w:tcW w:w="390"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1.74</w:t>
            </w:r>
          </w:p>
        </w:tc>
        <w:tc>
          <w:tcPr>
            <w:tcW w:w="459"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2.38</w:t>
            </w:r>
          </w:p>
        </w:tc>
        <w:tc>
          <w:tcPr>
            <w:tcW w:w="390"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1.67</w:t>
            </w:r>
          </w:p>
        </w:tc>
        <w:tc>
          <w:tcPr>
            <w:tcW w:w="390"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1.47</w:t>
            </w:r>
          </w:p>
        </w:tc>
        <w:tc>
          <w:tcPr>
            <w:tcW w:w="459"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4.44</w:t>
            </w:r>
          </w:p>
        </w:tc>
        <w:tc>
          <w:tcPr>
            <w:tcW w:w="431"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1.00</w:t>
            </w:r>
          </w:p>
        </w:tc>
      </w:tr>
      <w:tr w:rsidR="005C1566" w:rsidRPr="00C55668" w:rsidTr="005C1566">
        <w:trPr>
          <w:trHeight w:val="300"/>
        </w:trPr>
        <w:tc>
          <w:tcPr>
            <w:tcW w:w="1279" w:type="pct"/>
            <w:vMerge/>
            <w:tcBorders>
              <w:top w:val="nil"/>
              <w:left w:val="single" w:sz="4" w:space="0" w:color="auto"/>
              <w:bottom w:val="single" w:sz="4" w:space="0" w:color="auto"/>
              <w:right w:val="single" w:sz="4" w:space="0" w:color="auto"/>
            </w:tcBorders>
            <w:vAlign w:val="center"/>
            <w:hideMark/>
          </w:tcPr>
          <w:p w:rsidR="005C1566" w:rsidRPr="00C55668" w:rsidRDefault="005C1566" w:rsidP="005C1566">
            <w:pPr>
              <w:spacing w:after="0" w:line="240" w:lineRule="auto"/>
              <w:rPr>
                <w:rFonts w:ascii="Arial" w:eastAsia="Times New Roman" w:hAnsi="Arial" w:cs="Arial"/>
                <w:color w:val="000000"/>
                <w:sz w:val="20"/>
                <w:szCs w:val="18"/>
                <w:lang w:eastAsia="en-GB"/>
              </w:rPr>
            </w:pPr>
          </w:p>
        </w:tc>
        <w:tc>
          <w:tcPr>
            <w:tcW w:w="743" w:type="pct"/>
            <w:tcBorders>
              <w:top w:val="nil"/>
              <w:left w:val="nil"/>
              <w:bottom w:val="single" w:sz="4" w:space="0" w:color="auto"/>
              <w:right w:val="single" w:sz="4" w:space="0" w:color="auto"/>
            </w:tcBorders>
            <w:shd w:val="clear" w:color="auto" w:fill="auto"/>
            <w:noWrap/>
            <w:vAlign w:val="bottom"/>
            <w:hideMark/>
          </w:tcPr>
          <w:p w:rsidR="005C1566" w:rsidRPr="00C55668" w:rsidRDefault="005C1566" w:rsidP="005C1566">
            <w:pPr>
              <w:spacing w:after="0" w:line="240" w:lineRule="auto"/>
              <w:rPr>
                <w:rFonts w:ascii="Arial" w:eastAsia="Times New Roman" w:hAnsi="Arial" w:cs="Arial"/>
                <w:color w:val="000000"/>
                <w:sz w:val="20"/>
                <w:szCs w:val="18"/>
                <w:lang w:eastAsia="en-GB"/>
              </w:rPr>
            </w:pPr>
            <w:r w:rsidRPr="00C55668">
              <w:rPr>
                <w:rFonts w:ascii="Arial" w:eastAsia="Times New Roman" w:hAnsi="Arial" w:cs="Arial"/>
                <w:color w:val="000000"/>
                <w:sz w:val="20"/>
                <w:szCs w:val="18"/>
                <w:lang w:eastAsia="en-GB"/>
              </w:rPr>
              <w:t>Kurtosis</w:t>
            </w:r>
          </w:p>
        </w:tc>
        <w:tc>
          <w:tcPr>
            <w:tcW w:w="459"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11.89</w:t>
            </w:r>
          </w:p>
        </w:tc>
        <w:tc>
          <w:tcPr>
            <w:tcW w:w="390"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6.55</w:t>
            </w:r>
          </w:p>
        </w:tc>
        <w:tc>
          <w:tcPr>
            <w:tcW w:w="459"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15.04</w:t>
            </w:r>
          </w:p>
        </w:tc>
        <w:tc>
          <w:tcPr>
            <w:tcW w:w="390"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5.94</w:t>
            </w:r>
          </w:p>
        </w:tc>
        <w:tc>
          <w:tcPr>
            <w:tcW w:w="390"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7.06</w:t>
            </w:r>
          </w:p>
        </w:tc>
        <w:tc>
          <w:tcPr>
            <w:tcW w:w="459"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73.39</w:t>
            </w:r>
          </w:p>
        </w:tc>
        <w:tc>
          <w:tcPr>
            <w:tcW w:w="431"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6.32</w:t>
            </w:r>
          </w:p>
        </w:tc>
      </w:tr>
      <w:tr w:rsidR="005C1566" w:rsidRPr="00C55668" w:rsidTr="005C1566">
        <w:trPr>
          <w:trHeight w:val="300"/>
        </w:trPr>
        <w:tc>
          <w:tcPr>
            <w:tcW w:w="1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rPr>
                <w:rFonts w:ascii="Arial" w:eastAsia="Times New Roman" w:hAnsi="Arial" w:cs="Arial"/>
                <w:color w:val="000000"/>
                <w:sz w:val="20"/>
                <w:szCs w:val="18"/>
                <w:lang w:eastAsia="en-GB"/>
              </w:rPr>
            </w:pPr>
            <w:r w:rsidRPr="00C55668">
              <w:rPr>
                <w:rFonts w:ascii="Arial" w:eastAsia="Times New Roman" w:hAnsi="Arial" w:cs="Arial"/>
                <w:color w:val="000000"/>
                <w:sz w:val="20"/>
                <w:szCs w:val="18"/>
                <w:lang w:eastAsia="en-GB"/>
              </w:rPr>
              <w:t>3 years Data Zones</w:t>
            </w:r>
          </w:p>
        </w:tc>
        <w:tc>
          <w:tcPr>
            <w:tcW w:w="743" w:type="pct"/>
            <w:tcBorders>
              <w:top w:val="nil"/>
              <w:left w:val="nil"/>
              <w:bottom w:val="single" w:sz="4" w:space="0" w:color="auto"/>
              <w:right w:val="single" w:sz="4" w:space="0" w:color="auto"/>
            </w:tcBorders>
            <w:shd w:val="clear" w:color="auto" w:fill="auto"/>
            <w:noWrap/>
            <w:vAlign w:val="bottom"/>
            <w:hideMark/>
          </w:tcPr>
          <w:p w:rsidR="005C1566" w:rsidRPr="00C55668" w:rsidRDefault="005C1566" w:rsidP="005C1566">
            <w:pPr>
              <w:spacing w:after="0" w:line="240" w:lineRule="auto"/>
              <w:rPr>
                <w:rFonts w:ascii="Arial" w:eastAsia="Times New Roman" w:hAnsi="Arial" w:cs="Arial"/>
                <w:color w:val="000000"/>
                <w:sz w:val="20"/>
                <w:szCs w:val="18"/>
                <w:lang w:eastAsia="en-GB"/>
              </w:rPr>
            </w:pPr>
            <w:proofErr w:type="spellStart"/>
            <w:r w:rsidRPr="00C55668">
              <w:rPr>
                <w:rFonts w:ascii="Arial" w:eastAsia="Times New Roman" w:hAnsi="Arial" w:cs="Arial"/>
                <w:color w:val="000000"/>
                <w:sz w:val="20"/>
                <w:szCs w:val="18"/>
                <w:lang w:eastAsia="en-GB"/>
              </w:rPr>
              <w:t>Skewness</w:t>
            </w:r>
            <w:proofErr w:type="spellEnd"/>
          </w:p>
        </w:tc>
        <w:tc>
          <w:tcPr>
            <w:tcW w:w="459"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1.20</w:t>
            </w:r>
          </w:p>
        </w:tc>
        <w:tc>
          <w:tcPr>
            <w:tcW w:w="390"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1.07</w:t>
            </w:r>
          </w:p>
        </w:tc>
        <w:tc>
          <w:tcPr>
            <w:tcW w:w="459"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1.28</w:t>
            </w:r>
          </w:p>
        </w:tc>
        <w:tc>
          <w:tcPr>
            <w:tcW w:w="390"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1.08</w:t>
            </w:r>
          </w:p>
        </w:tc>
        <w:tc>
          <w:tcPr>
            <w:tcW w:w="390"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0.80</w:t>
            </w:r>
          </w:p>
        </w:tc>
        <w:tc>
          <w:tcPr>
            <w:tcW w:w="459"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1.84</w:t>
            </w:r>
          </w:p>
        </w:tc>
        <w:tc>
          <w:tcPr>
            <w:tcW w:w="431"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0.58</w:t>
            </w:r>
          </w:p>
        </w:tc>
      </w:tr>
      <w:tr w:rsidR="005C1566" w:rsidRPr="00C55668" w:rsidTr="005C1566">
        <w:trPr>
          <w:trHeight w:val="300"/>
        </w:trPr>
        <w:tc>
          <w:tcPr>
            <w:tcW w:w="1279" w:type="pct"/>
            <w:vMerge/>
            <w:tcBorders>
              <w:top w:val="nil"/>
              <w:left w:val="single" w:sz="4" w:space="0" w:color="auto"/>
              <w:bottom w:val="single" w:sz="4" w:space="0" w:color="auto"/>
              <w:right w:val="single" w:sz="4" w:space="0" w:color="auto"/>
            </w:tcBorders>
            <w:vAlign w:val="center"/>
            <w:hideMark/>
          </w:tcPr>
          <w:p w:rsidR="005C1566" w:rsidRPr="00C55668" w:rsidRDefault="005C1566" w:rsidP="005C1566">
            <w:pPr>
              <w:spacing w:after="0" w:line="240" w:lineRule="auto"/>
              <w:rPr>
                <w:rFonts w:ascii="Arial" w:eastAsia="Times New Roman" w:hAnsi="Arial" w:cs="Arial"/>
                <w:color w:val="000000"/>
                <w:sz w:val="20"/>
                <w:szCs w:val="18"/>
                <w:lang w:eastAsia="en-GB"/>
              </w:rPr>
            </w:pPr>
          </w:p>
        </w:tc>
        <w:tc>
          <w:tcPr>
            <w:tcW w:w="743" w:type="pct"/>
            <w:tcBorders>
              <w:top w:val="nil"/>
              <w:left w:val="nil"/>
              <w:bottom w:val="single" w:sz="4" w:space="0" w:color="auto"/>
              <w:right w:val="single" w:sz="4" w:space="0" w:color="auto"/>
            </w:tcBorders>
            <w:shd w:val="clear" w:color="auto" w:fill="auto"/>
            <w:noWrap/>
            <w:vAlign w:val="bottom"/>
            <w:hideMark/>
          </w:tcPr>
          <w:p w:rsidR="005C1566" w:rsidRPr="00C55668" w:rsidRDefault="005C1566" w:rsidP="005C1566">
            <w:pPr>
              <w:spacing w:after="0" w:line="240" w:lineRule="auto"/>
              <w:rPr>
                <w:rFonts w:ascii="Arial" w:eastAsia="Times New Roman" w:hAnsi="Arial" w:cs="Arial"/>
                <w:color w:val="000000"/>
                <w:sz w:val="20"/>
                <w:szCs w:val="18"/>
                <w:lang w:eastAsia="en-GB"/>
              </w:rPr>
            </w:pPr>
            <w:r w:rsidRPr="00C55668">
              <w:rPr>
                <w:rFonts w:ascii="Arial" w:eastAsia="Times New Roman" w:hAnsi="Arial" w:cs="Arial"/>
                <w:color w:val="000000"/>
                <w:sz w:val="20"/>
                <w:szCs w:val="18"/>
                <w:lang w:eastAsia="en-GB"/>
              </w:rPr>
              <w:t>Kurtosis</w:t>
            </w:r>
          </w:p>
        </w:tc>
        <w:tc>
          <w:tcPr>
            <w:tcW w:w="459"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3.73</w:t>
            </w:r>
          </w:p>
        </w:tc>
        <w:tc>
          <w:tcPr>
            <w:tcW w:w="390"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4.10</w:t>
            </w:r>
          </w:p>
        </w:tc>
        <w:tc>
          <w:tcPr>
            <w:tcW w:w="459"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7.13</w:t>
            </w:r>
          </w:p>
        </w:tc>
        <w:tc>
          <w:tcPr>
            <w:tcW w:w="390"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4.81</w:t>
            </w:r>
          </w:p>
        </w:tc>
        <w:tc>
          <w:tcPr>
            <w:tcW w:w="390"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4.94</w:t>
            </w:r>
          </w:p>
        </w:tc>
        <w:tc>
          <w:tcPr>
            <w:tcW w:w="459"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13.09</w:t>
            </w:r>
          </w:p>
        </w:tc>
        <w:tc>
          <w:tcPr>
            <w:tcW w:w="431"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3.00</w:t>
            </w:r>
          </w:p>
        </w:tc>
      </w:tr>
      <w:tr w:rsidR="005C1566" w:rsidRPr="00C55668" w:rsidTr="005C1566">
        <w:trPr>
          <w:trHeight w:val="300"/>
        </w:trPr>
        <w:tc>
          <w:tcPr>
            <w:tcW w:w="1279" w:type="pct"/>
            <w:vMerge w:val="restart"/>
            <w:tcBorders>
              <w:top w:val="nil"/>
              <w:left w:val="single" w:sz="4" w:space="0" w:color="auto"/>
              <w:bottom w:val="single" w:sz="4" w:space="0" w:color="auto"/>
              <w:right w:val="single" w:sz="4" w:space="0" w:color="auto"/>
            </w:tcBorders>
            <w:shd w:val="clear" w:color="auto" w:fill="auto"/>
            <w:vAlign w:val="center"/>
            <w:hideMark/>
          </w:tcPr>
          <w:p w:rsidR="005C1566" w:rsidRPr="00C55668" w:rsidRDefault="005C1566" w:rsidP="005C1566">
            <w:pPr>
              <w:spacing w:after="0" w:line="240" w:lineRule="auto"/>
              <w:rPr>
                <w:rFonts w:ascii="Arial" w:eastAsia="Times New Roman" w:hAnsi="Arial" w:cs="Arial"/>
                <w:color w:val="000000"/>
                <w:sz w:val="20"/>
                <w:szCs w:val="18"/>
                <w:lang w:eastAsia="en-GB"/>
              </w:rPr>
            </w:pPr>
            <w:r>
              <w:rPr>
                <w:rFonts w:ascii="Arial" w:eastAsia="Times New Roman" w:hAnsi="Arial" w:cs="Arial"/>
                <w:color w:val="000000"/>
                <w:sz w:val="20"/>
                <w:szCs w:val="18"/>
                <w:lang w:eastAsia="en-GB"/>
              </w:rPr>
              <w:t xml:space="preserve">1 year </w:t>
            </w:r>
            <w:r w:rsidRPr="00C55668">
              <w:rPr>
                <w:rFonts w:ascii="Arial" w:eastAsia="Times New Roman" w:hAnsi="Arial" w:cs="Arial"/>
                <w:color w:val="000000"/>
                <w:sz w:val="20"/>
                <w:szCs w:val="18"/>
                <w:lang w:eastAsia="en-GB"/>
              </w:rPr>
              <w:t xml:space="preserve">Intermediate </w:t>
            </w:r>
            <w:r w:rsidRPr="00C55668">
              <w:rPr>
                <w:rFonts w:ascii="Arial" w:eastAsia="Times New Roman" w:hAnsi="Arial" w:cs="Arial"/>
                <w:color w:val="000000"/>
                <w:sz w:val="20"/>
                <w:szCs w:val="18"/>
                <w:lang w:eastAsia="en-GB"/>
              </w:rPr>
              <w:br/>
              <w:t>Zones</w:t>
            </w:r>
          </w:p>
        </w:tc>
        <w:tc>
          <w:tcPr>
            <w:tcW w:w="743" w:type="pct"/>
            <w:tcBorders>
              <w:top w:val="nil"/>
              <w:left w:val="nil"/>
              <w:bottom w:val="single" w:sz="4" w:space="0" w:color="auto"/>
              <w:right w:val="single" w:sz="4" w:space="0" w:color="auto"/>
            </w:tcBorders>
            <w:shd w:val="clear" w:color="auto" w:fill="auto"/>
            <w:noWrap/>
            <w:vAlign w:val="bottom"/>
            <w:hideMark/>
          </w:tcPr>
          <w:p w:rsidR="005C1566" w:rsidRPr="00C55668" w:rsidRDefault="005C1566" w:rsidP="005C1566">
            <w:pPr>
              <w:spacing w:after="0" w:line="240" w:lineRule="auto"/>
              <w:rPr>
                <w:rFonts w:ascii="Arial" w:eastAsia="Times New Roman" w:hAnsi="Arial" w:cs="Arial"/>
                <w:color w:val="000000"/>
                <w:sz w:val="20"/>
                <w:szCs w:val="18"/>
                <w:lang w:eastAsia="en-GB"/>
              </w:rPr>
            </w:pPr>
            <w:proofErr w:type="spellStart"/>
            <w:r w:rsidRPr="00C55668">
              <w:rPr>
                <w:rFonts w:ascii="Arial" w:eastAsia="Times New Roman" w:hAnsi="Arial" w:cs="Arial"/>
                <w:color w:val="000000"/>
                <w:sz w:val="20"/>
                <w:szCs w:val="18"/>
                <w:lang w:eastAsia="en-GB"/>
              </w:rPr>
              <w:t>Skewness</w:t>
            </w:r>
            <w:proofErr w:type="spellEnd"/>
          </w:p>
        </w:tc>
        <w:tc>
          <w:tcPr>
            <w:tcW w:w="459" w:type="pct"/>
            <w:tcBorders>
              <w:top w:val="nil"/>
              <w:left w:val="nil"/>
              <w:bottom w:val="single" w:sz="4" w:space="0" w:color="auto"/>
              <w:right w:val="single" w:sz="4" w:space="0" w:color="auto"/>
            </w:tcBorders>
            <w:shd w:val="clear" w:color="000000" w:fill="FAC090"/>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0.57</w:t>
            </w:r>
          </w:p>
        </w:tc>
        <w:tc>
          <w:tcPr>
            <w:tcW w:w="390" w:type="pct"/>
            <w:tcBorders>
              <w:top w:val="nil"/>
              <w:left w:val="nil"/>
              <w:bottom w:val="single" w:sz="4" w:space="0" w:color="auto"/>
              <w:right w:val="single" w:sz="4" w:space="0" w:color="auto"/>
            </w:tcBorders>
            <w:shd w:val="clear" w:color="000000" w:fill="FAC090"/>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0.73</w:t>
            </w:r>
          </w:p>
        </w:tc>
        <w:tc>
          <w:tcPr>
            <w:tcW w:w="459"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0.98</w:t>
            </w:r>
          </w:p>
        </w:tc>
        <w:tc>
          <w:tcPr>
            <w:tcW w:w="390" w:type="pct"/>
            <w:tcBorders>
              <w:top w:val="nil"/>
              <w:left w:val="nil"/>
              <w:bottom w:val="single" w:sz="4" w:space="0" w:color="auto"/>
              <w:right w:val="single" w:sz="4" w:space="0" w:color="auto"/>
            </w:tcBorders>
            <w:shd w:val="clear" w:color="000000" w:fill="FAC090"/>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0.70</w:t>
            </w:r>
          </w:p>
        </w:tc>
        <w:tc>
          <w:tcPr>
            <w:tcW w:w="390" w:type="pct"/>
            <w:tcBorders>
              <w:top w:val="nil"/>
              <w:left w:val="nil"/>
              <w:bottom w:val="single" w:sz="4" w:space="0" w:color="auto"/>
              <w:right w:val="single" w:sz="4" w:space="0" w:color="auto"/>
            </w:tcBorders>
            <w:shd w:val="clear" w:color="000000" w:fill="FAC090"/>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0.67</w:t>
            </w:r>
          </w:p>
        </w:tc>
        <w:tc>
          <w:tcPr>
            <w:tcW w:w="459"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1.21</w:t>
            </w:r>
          </w:p>
        </w:tc>
        <w:tc>
          <w:tcPr>
            <w:tcW w:w="431" w:type="pct"/>
            <w:tcBorders>
              <w:top w:val="nil"/>
              <w:left w:val="nil"/>
              <w:bottom w:val="single" w:sz="4" w:space="0" w:color="auto"/>
              <w:right w:val="single" w:sz="4" w:space="0" w:color="auto"/>
            </w:tcBorders>
            <w:shd w:val="clear" w:color="000000" w:fill="FAC090"/>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0.06</w:t>
            </w:r>
          </w:p>
        </w:tc>
      </w:tr>
      <w:tr w:rsidR="005C1566" w:rsidRPr="00C55668" w:rsidTr="005C1566">
        <w:trPr>
          <w:trHeight w:val="300"/>
        </w:trPr>
        <w:tc>
          <w:tcPr>
            <w:tcW w:w="1279" w:type="pct"/>
            <w:vMerge/>
            <w:tcBorders>
              <w:top w:val="nil"/>
              <w:left w:val="single" w:sz="4" w:space="0" w:color="auto"/>
              <w:bottom w:val="single" w:sz="4" w:space="0" w:color="auto"/>
              <w:right w:val="single" w:sz="4" w:space="0" w:color="auto"/>
            </w:tcBorders>
            <w:vAlign w:val="center"/>
            <w:hideMark/>
          </w:tcPr>
          <w:p w:rsidR="005C1566" w:rsidRPr="00C55668" w:rsidRDefault="005C1566" w:rsidP="005C1566">
            <w:pPr>
              <w:spacing w:after="0" w:line="240" w:lineRule="auto"/>
              <w:rPr>
                <w:rFonts w:ascii="Arial" w:eastAsia="Times New Roman" w:hAnsi="Arial" w:cs="Arial"/>
                <w:color w:val="000000"/>
                <w:sz w:val="18"/>
                <w:szCs w:val="18"/>
                <w:lang w:eastAsia="en-GB"/>
              </w:rPr>
            </w:pPr>
          </w:p>
        </w:tc>
        <w:tc>
          <w:tcPr>
            <w:tcW w:w="743" w:type="pct"/>
            <w:tcBorders>
              <w:top w:val="nil"/>
              <w:left w:val="nil"/>
              <w:bottom w:val="single" w:sz="4" w:space="0" w:color="auto"/>
              <w:right w:val="single" w:sz="4" w:space="0" w:color="auto"/>
            </w:tcBorders>
            <w:shd w:val="clear" w:color="auto" w:fill="auto"/>
            <w:noWrap/>
            <w:vAlign w:val="bottom"/>
            <w:hideMark/>
          </w:tcPr>
          <w:p w:rsidR="005C1566" w:rsidRPr="00C55668" w:rsidRDefault="005C1566" w:rsidP="005C1566">
            <w:pPr>
              <w:spacing w:after="0" w:line="240" w:lineRule="auto"/>
              <w:rPr>
                <w:rFonts w:ascii="Arial" w:eastAsia="Times New Roman" w:hAnsi="Arial" w:cs="Arial"/>
                <w:color w:val="000000"/>
                <w:sz w:val="20"/>
                <w:szCs w:val="18"/>
                <w:lang w:eastAsia="en-GB"/>
              </w:rPr>
            </w:pPr>
            <w:r w:rsidRPr="00C55668">
              <w:rPr>
                <w:rFonts w:ascii="Arial" w:eastAsia="Times New Roman" w:hAnsi="Arial" w:cs="Arial"/>
                <w:color w:val="000000"/>
                <w:sz w:val="20"/>
                <w:szCs w:val="18"/>
                <w:lang w:eastAsia="en-GB"/>
              </w:rPr>
              <w:t>Kurtosis</w:t>
            </w:r>
          </w:p>
        </w:tc>
        <w:tc>
          <w:tcPr>
            <w:tcW w:w="459" w:type="pct"/>
            <w:tcBorders>
              <w:top w:val="nil"/>
              <w:left w:val="nil"/>
              <w:bottom w:val="single" w:sz="4" w:space="0" w:color="auto"/>
              <w:right w:val="single" w:sz="4" w:space="0" w:color="auto"/>
            </w:tcBorders>
            <w:shd w:val="clear" w:color="000000" w:fill="FAC090"/>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0.67</w:t>
            </w:r>
          </w:p>
        </w:tc>
        <w:tc>
          <w:tcPr>
            <w:tcW w:w="390" w:type="pct"/>
            <w:tcBorders>
              <w:top w:val="nil"/>
              <w:left w:val="nil"/>
              <w:bottom w:val="single" w:sz="4" w:space="0" w:color="auto"/>
              <w:right w:val="single" w:sz="4" w:space="0" w:color="auto"/>
            </w:tcBorders>
            <w:shd w:val="clear" w:color="000000" w:fill="FAC090"/>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0.77</w:t>
            </w:r>
          </w:p>
        </w:tc>
        <w:tc>
          <w:tcPr>
            <w:tcW w:w="459"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3.47</w:t>
            </w:r>
          </w:p>
        </w:tc>
        <w:tc>
          <w:tcPr>
            <w:tcW w:w="390" w:type="pct"/>
            <w:tcBorders>
              <w:top w:val="nil"/>
              <w:left w:val="nil"/>
              <w:bottom w:val="single" w:sz="4" w:space="0" w:color="auto"/>
              <w:right w:val="single" w:sz="4" w:space="0" w:color="auto"/>
            </w:tcBorders>
            <w:shd w:val="clear" w:color="000000" w:fill="FAC090"/>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0.59</w:t>
            </w:r>
          </w:p>
        </w:tc>
        <w:tc>
          <w:tcPr>
            <w:tcW w:w="390" w:type="pct"/>
            <w:tcBorders>
              <w:top w:val="nil"/>
              <w:left w:val="nil"/>
              <w:bottom w:val="single" w:sz="4" w:space="0" w:color="auto"/>
              <w:right w:val="single" w:sz="4" w:space="0" w:color="auto"/>
            </w:tcBorders>
            <w:shd w:val="clear" w:color="000000" w:fill="FAC090"/>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1.65</w:t>
            </w:r>
          </w:p>
        </w:tc>
        <w:tc>
          <w:tcPr>
            <w:tcW w:w="459" w:type="pct"/>
            <w:tcBorders>
              <w:top w:val="nil"/>
              <w:left w:val="nil"/>
              <w:bottom w:val="single" w:sz="4" w:space="0" w:color="auto"/>
              <w:right w:val="single" w:sz="4" w:space="0" w:color="auto"/>
            </w:tcBorders>
            <w:shd w:val="clear" w:color="auto" w:fill="auto"/>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6.14</w:t>
            </w:r>
          </w:p>
        </w:tc>
        <w:tc>
          <w:tcPr>
            <w:tcW w:w="431" w:type="pct"/>
            <w:tcBorders>
              <w:top w:val="nil"/>
              <w:left w:val="nil"/>
              <w:bottom w:val="single" w:sz="4" w:space="0" w:color="auto"/>
              <w:right w:val="single" w:sz="4" w:space="0" w:color="auto"/>
            </w:tcBorders>
            <w:shd w:val="clear" w:color="000000" w:fill="FAC090"/>
            <w:noWrap/>
            <w:vAlign w:val="center"/>
            <w:hideMark/>
          </w:tcPr>
          <w:p w:rsidR="005C1566" w:rsidRPr="00C55668" w:rsidRDefault="005C1566" w:rsidP="005C1566">
            <w:pPr>
              <w:spacing w:after="0" w:line="240" w:lineRule="auto"/>
              <w:jc w:val="right"/>
              <w:rPr>
                <w:rFonts w:ascii="Arial" w:eastAsia="Times New Roman" w:hAnsi="Arial" w:cs="Arial"/>
                <w:color w:val="000000"/>
                <w:sz w:val="18"/>
                <w:szCs w:val="18"/>
                <w:lang w:eastAsia="en-GB"/>
              </w:rPr>
            </w:pPr>
            <w:r w:rsidRPr="00C55668">
              <w:rPr>
                <w:rFonts w:ascii="Arial" w:eastAsia="Times New Roman" w:hAnsi="Arial" w:cs="Arial"/>
                <w:color w:val="000000"/>
                <w:sz w:val="18"/>
                <w:szCs w:val="18"/>
                <w:lang w:eastAsia="en-GB"/>
              </w:rPr>
              <w:t>-0.42</w:t>
            </w:r>
          </w:p>
        </w:tc>
      </w:tr>
      <w:tr w:rsidR="005C1566" w:rsidRPr="00C55668" w:rsidTr="005C1566">
        <w:trPr>
          <w:trHeight w:val="300"/>
        </w:trPr>
        <w:tc>
          <w:tcPr>
            <w:tcW w:w="5000" w:type="pct"/>
            <w:gridSpan w:val="9"/>
            <w:tcBorders>
              <w:top w:val="single" w:sz="4" w:space="0" w:color="auto"/>
              <w:left w:val="nil"/>
              <w:bottom w:val="nil"/>
              <w:right w:val="nil"/>
            </w:tcBorders>
            <w:shd w:val="clear" w:color="auto" w:fill="auto"/>
            <w:vAlign w:val="center"/>
            <w:hideMark/>
          </w:tcPr>
          <w:p w:rsidR="005C1566" w:rsidRPr="00C55668" w:rsidRDefault="005C1566" w:rsidP="005C1566">
            <w:pPr>
              <w:spacing w:after="0" w:line="240" w:lineRule="auto"/>
              <w:rPr>
                <w:rFonts w:ascii="Arial" w:eastAsia="Times New Roman" w:hAnsi="Arial" w:cs="Arial"/>
                <w:color w:val="000000"/>
                <w:sz w:val="18"/>
                <w:szCs w:val="18"/>
                <w:lang w:eastAsia="en-GB"/>
              </w:rPr>
            </w:pPr>
          </w:p>
        </w:tc>
      </w:tr>
    </w:tbl>
    <w:p w:rsidR="005C1566" w:rsidRDefault="005C1566" w:rsidP="005C1566">
      <w:pPr>
        <w:spacing w:before="240"/>
        <w:jc w:val="both"/>
        <w:rPr>
          <w:rFonts w:ascii="Arial" w:hAnsi="Arial" w:cs="Arial"/>
        </w:rPr>
      </w:pPr>
      <w:r w:rsidRPr="00180CFC">
        <w:rPr>
          <w:rFonts w:ascii="Arial" w:hAnsi="Arial" w:cs="Arial"/>
        </w:rPr>
        <w:t xml:space="preserve">From the table above, </w:t>
      </w:r>
      <w:proofErr w:type="spellStart"/>
      <w:r w:rsidRPr="00180CFC">
        <w:rPr>
          <w:rFonts w:ascii="Arial" w:hAnsi="Arial" w:cs="Arial"/>
        </w:rPr>
        <w:t>skewness</w:t>
      </w:r>
      <w:proofErr w:type="spellEnd"/>
      <w:r w:rsidRPr="00180CFC">
        <w:rPr>
          <w:rFonts w:ascii="Arial" w:hAnsi="Arial" w:cs="Arial"/>
        </w:rPr>
        <w:t xml:space="preserve"> and kurtosis of the residuals are much smaller at Intermediate Zone level than at Data Zone level.</w:t>
      </w:r>
      <w:r>
        <w:rPr>
          <w:rFonts w:ascii="Arial" w:hAnsi="Arial" w:cs="Arial"/>
        </w:rPr>
        <w:t xml:space="preserve"> The reference model performs better over 3 years at Data Zones than in 1 year at Data Zones, but the model residuals are still not normally distributed.</w:t>
      </w:r>
      <w:r w:rsidRPr="00180CFC">
        <w:rPr>
          <w:rFonts w:ascii="Arial" w:hAnsi="Arial" w:cs="Arial"/>
        </w:rPr>
        <w:t xml:space="preserve"> </w:t>
      </w:r>
    </w:p>
    <w:p w:rsidR="005C1566" w:rsidRDefault="005C1566" w:rsidP="005C1566">
      <w:pPr>
        <w:spacing w:before="240"/>
        <w:jc w:val="both"/>
        <w:rPr>
          <w:rFonts w:ascii="Arial" w:hAnsi="Arial" w:cs="Arial"/>
        </w:rPr>
      </w:pPr>
      <w:r w:rsidRPr="00180CFC">
        <w:rPr>
          <w:rFonts w:ascii="Arial" w:hAnsi="Arial" w:cs="Arial"/>
        </w:rPr>
        <w:t xml:space="preserve">If the rule of thumb is used for </w:t>
      </w:r>
      <w:proofErr w:type="spellStart"/>
      <w:r w:rsidRPr="00180CFC">
        <w:rPr>
          <w:rFonts w:ascii="Arial" w:hAnsi="Arial" w:cs="Arial"/>
        </w:rPr>
        <w:t>skewness</w:t>
      </w:r>
      <w:proofErr w:type="spellEnd"/>
      <w:r w:rsidRPr="00180CFC">
        <w:rPr>
          <w:rFonts w:ascii="Arial" w:hAnsi="Arial" w:cs="Arial"/>
        </w:rPr>
        <w:t>, then the d</w:t>
      </w:r>
      <w:r>
        <w:rPr>
          <w:rFonts w:ascii="Arial" w:hAnsi="Arial" w:cs="Arial"/>
        </w:rPr>
        <w:t xml:space="preserve">istribution of the residuals is </w:t>
      </w:r>
      <w:r w:rsidRPr="00180CFC">
        <w:rPr>
          <w:rFonts w:ascii="Arial" w:hAnsi="Arial" w:cs="Arial"/>
        </w:rPr>
        <w:t>symmetric</w:t>
      </w:r>
      <w:r>
        <w:rPr>
          <w:rFonts w:ascii="Arial" w:hAnsi="Arial" w:cs="Arial"/>
        </w:rPr>
        <w:t xml:space="preserve"> only for Outpatients at 1 year Data Zones, for Other and Outpatients at 3 years Data Zones and for Cancer, Heart, Digestive, Injury, Other and Outpatients at 1 year Intermediate Zones.</w:t>
      </w:r>
    </w:p>
    <w:p w:rsidR="005C1566" w:rsidRDefault="005C1566" w:rsidP="005C1566">
      <w:pPr>
        <w:spacing w:before="240"/>
        <w:jc w:val="both"/>
        <w:rPr>
          <w:rFonts w:ascii="Arial" w:hAnsi="Arial" w:cs="Arial"/>
        </w:rPr>
      </w:pPr>
      <w:r w:rsidRPr="00180CFC">
        <w:rPr>
          <w:rFonts w:ascii="Arial" w:hAnsi="Arial" w:cs="Arial"/>
        </w:rPr>
        <w:t xml:space="preserve">If the rule of thumb is used for kurtosis, then the shape of the distribution of the residuals is not </w:t>
      </w:r>
      <w:r>
        <w:rPr>
          <w:rFonts w:ascii="Arial" w:hAnsi="Arial" w:cs="Arial"/>
        </w:rPr>
        <w:t>normal for any diagnostic group</w:t>
      </w:r>
      <w:r w:rsidRPr="00180CFC">
        <w:rPr>
          <w:rFonts w:ascii="Arial" w:hAnsi="Arial" w:cs="Arial"/>
        </w:rPr>
        <w:t xml:space="preserve"> at </w:t>
      </w:r>
      <w:r>
        <w:rPr>
          <w:rFonts w:ascii="Arial" w:hAnsi="Arial" w:cs="Arial"/>
        </w:rPr>
        <w:t xml:space="preserve">1 year and 3 years </w:t>
      </w:r>
      <w:r w:rsidRPr="00180CFC">
        <w:rPr>
          <w:rFonts w:ascii="Arial" w:hAnsi="Arial" w:cs="Arial"/>
        </w:rPr>
        <w:t>Data Zone</w:t>
      </w:r>
      <w:r>
        <w:rPr>
          <w:rFonts w:ascii="Arial" w:hAnsi="Arial" w:cs="Arial"/>
        </w:rPr>
        <w:t>s</w:t>
      </w:r>
      <w:r w:rsidRPr="00180CFC">
        <w:rPr>
          <w:rFonts w:ascii="Arial" w:hAnsi="Arial" w:cs="Arial"/>
        </w:rPr>
        <w:t xml:space="preserve"> and for only Digestive and Respiratory at Intermediate Zone level. </w:t>
      </w:r>
    </w:p>
    <w:p w:rsidR="005C1566" w:rsidRDefault="005C1566" w:rsidP="005C1566">
      <w:pPr>
        <w:spacing w:before="240"/>
        <w:jc w:val="both"/>
        <w:rPr>
          <w:rFonts w:ascii="Arial" w:hAnsi="Arial" w:cs="Arial"/>
        </w:rPr>
      </w:pPr>
      <w:r>
        <w:rPr>
          <w:rFonts w:ascii="Arial" w:hAnsi="Arial" w:cs="Arial"/>
        </w:rPr>
        <w:lastRenderedPageBreak/>
        <w:t xml:space="preserve">Overall, normality of the residuals is least violated at Intermediate Zones and for </w:t>
      </w:r>
      <w:r w:rsidR="00F504B5">
        <w:rPr>
          <w:rFonts w:ascii="Arial" w:hAnsi="Arial" w:cs="Arial"/>
        </w:rPr>
        <w:t>five</w:t>
      </w:r>
      <w:r>
        <w:rPr>
          <w:rFonts w:ascii="Arial" w:hAnsi="Arial" w:cs="Arial"/>
        </w:rPr>
        <w:t xml:space="preserve"> of the diagnostic group the assumption is valid.</w:t>
      </w:r>
    </w:p>
    <w:p w:rsidR="005C1566" w:rsidRPr="00180CFC" w:rsidRDefault="005C1566" w:rsidP="005C1566">
      <w:pPr>
        <w:jc w:val="both"/>
        <w:rPr>
          <w:rFonts w:ascii="Arial" w:hAnsi="Arial" w:cs="Arial"/>
        </w:rPr>
      </w:pPr>
      <w:r>
        <w:rPr>
          <w:rFonts w:ascii="Arial" w:hAnsi="Arial" w:cs="Arial"/>
        </w:rPr>
        <w:t>For the 1 year analysis at Data Zones,</w:t>
      </w:r>
      <w:r w:rsidRPr="00180CFC">
        <w:rPr>
          <w:rFonts w:ascii="Arial" w:hAnsi="Arial" w:cs="Arial"/>
        </w:rPr>
        <w:t xml:space="preserve"> </w:t>
      </w:r>
      <w:proofErr w:type="spellStart"/>
      <w:r w:rsidRPr="00180CFC">
        <w:rPr>
          <w:rFonts w:ascii="Arial" w:hAnsi="Arial" w:cs="Arial"/>
        </w:rPr>
        <w:t>skewness</w:t>
      </w:r>
      <w:proofErr w:type="spellEnd"/>
      <w:r w:rsidRPr="00180CFC">
        <w:rPr>
          <w:rFonts w:ascii="Arial" w:hAnsi="Arial" w:cs="Arial"/>
        </w:rPr>
        <w:t xml:space="preserve"> and kurtosis </w:t>
      </w:r>
      <w:r>
        <w:rPr>
          <w:rFonts w:ascii="Arial" w:hAnsi="Arial" w:cs="Arial"/>
        </w:rPr>
        <w:t>were</w:t>
      </w:r>
      <w:r w:rsidRPr="00180CFC">
        <w:rPr>
          <w:rFonts w:ascii="Arial" w:hAnsi="Arial" w:cs="Arial"/>
        </w:rPr>
        <w:t xml:space="preserve"> calculated for each Health board </w:t>
      </w:r>
      <w:r>
        <w:rPr>
          <w:rFonts w:ascii="Arial" w:hAnsi="Arial" w:cs="Arial"/>
        </w:rPr>
        <w:t xml:space="preserve">separately </w:t>
      </w:r>
      <w:r w:rsidRPr="00180CFC">
        <w:rPr>
          <w:rFonts w:ascii="Arial" w:hAnsi="Arial" w:cs="Arial"/>
        </w:rPr>
        <w:t xml:space="preserve">to check if the deviation from normality </w:t>
      </w:r>
      <w:r>
        <w:rPr>
          <w:rFonts w:ascii="Arial" w:hAnsi="Arial" w:cs="Arial"/>
        </w:rPr>
        <w:t>was due to only</w:t>
      </w:r>
      <w:r w:rsidRPr="00180CFC">
        <w:rPr>
          <w:rFonts w:ascii="Arial" w:hAnsi="Arial" w:cs="Arial"/>
        </w:rPr>
        <w:t xml:space="preserve"> one or two boards. However, the </w:t>
      </w:r>
      <w:proofErr w:type="spellStart"/>
      <w:r>
        <w:rPr>
          <w:rFonts w:ascii="Arial" w:hAnsi="Arial" w:cs="Arial"/>
        </w:rPr>
        <w:t>skewness</w:t>
      </w:r>
      <w:proofErr w:type="spellEnd"/>
      <w:r>
        <w:rPr>
          <w:rFonts w:ascii="Arial" w:hAnsi="Arial" w:cs="Arial"/>
        </w:rPr>
        <w:t xml:space="preserve"> and kurtosis for each health b</w:t>
      </w:r>
      <w:r w:rsidRPr="00180CFC">
        <w:rPr>
          <w:rFonts w:ascii="Arial" w:hAnsi="Arial" w:cs="Arial"/>
        </w:rPr>
        <w:t xml:space="preserve">oard and diagnostic group </w:t>
      </w:r>
      <w:r>
        <w:rPr>
          <w:rFonts w:ascii="Arial" w:hAnsi="Arial" w:cs="Arial"/>
        </w:rPr>
        <w:t>were</w:t>
      </w:r>
      <w:r w:rsidRPr="00180CFC">
        <w:rPr>
          <w:rFonts w:ascii="Arial" w:hAnsi="Arial" w:cs="Arial"/>
        </w:rPr>
        <w:t xml:space="preserve"> </w:t>
      </w:r>
      <w:r>
        <w:rPr>
          <w:rFonts w:ascii="Arial" w:hAnsi="Arial" w:cs="Arial"/>
        </w:rPr>
        <w:t xml:space="preserve">far from normal and at least </w:t>
      </w:r>
      <w:r w:rsidR="00F504B5">
        <w:rPr>
          <w:rFonts w:ascii="Arial" w:hAnsi="Arial" w:cs="Arial"/>
        </w:rPr>
        <w:t>five</w:t>
      </w:r>
      <w:r>
        <w:rPr>
          <w:rFonts w:ascii="Arial" w:hAnsi="Arial" w:cs="Arial"/>
        </w:rPr>
        <w:t xml:space="preserve"> health b</w:t>
      </w:r>
      <w:r w:rsidRPr="00180CFC">
        <w:rPr>
          <w:rFonts w:ascii="Arial" w:hAnsi="Arial" w:cs="Arial"/>
        </w:rPr>
        <w:t xml:space="preserve">oards have quite extreme </w:t>
      </w:r>
      <w:proofErr w:type="spellStart"/>
      <w:r w:rsidRPr="00180CFC">
        <w:rPr>
          <w:rFonts w:ascii="Arial" w:hAnsi="Arial" w:cs="Arial"/>
        </w:rPr>
        <w:t>skewness</w:t>
      </w:r>
      <w:proofErr w:type="spellEnd"/>
      <w:r w:rsidRPr="00180CFC">
        <w:rPr>
          <w:rFonts w:ascii="Arial" w:hAnsi="Arial" w:cs="Arial"/>
        </w:rPr>
        <w:t xml:space="preserve"> or kurtosis.  </w:t>
      </w:r>
    </w:p>
    <w:p w:rsidR="005C1566" w:rsidRDefault="005C1566">
      <w:pPr>
        <w:rPr>
          <w:rFonts w:ascii="Arial" w:hAnsi="Arial" w:cs="Arial"/>
          <w:b/>
        </w:rPr>
      </w:pPr>
      <w:r>
        <w:rPr>
          <w:rFonts w:ascii="Arial" w:hAnsi="Arial" w:cs="Arial"/>
          <w:b/>
        </w:rPr>
        <w:br w:type="page"/>
      </w:r>
    </w:p>
    <w:p w:rsidR="00465B8D" w:rsidRPr="00074EDC" w:rsidRDefault="00465B8D" w:rsidP="00465B8D">
      <w:pPr>
        <w:jc w:val="both"/>
        <w:rPr>
          <w:rFonts w:ascii="Arial" w:hAnsi="Arial" w:cs="Arial"/>
          <w:b/>
        </w:rPr>
      </w:pPr>
      <w:r w:rsidRPr="00074EDC">
        <w:rPr>
          <w:rFonts w:ascii="Arial" w:hAnsi="Arial" w:cs="Arial"/>
          <w:b/>
        </w:rPr>
        <w:lastRenderedPageBreak/>
        <w:t xml:space="preserve">Annex </w:t>
      </w:r>
      <w:r w:rsidR="00903FCA">
        <w:rPr>
          <w:rFonts w:ascii="Arial" w:hAnsi="Arial" w:cs="Arial"/>
          <w:b/>
        </w:rPr>
        <w:t>D</w:t>
      </w:r>
      <w:r w:rsidRPr="00074EDC">
        <w:rPr>
          <w:rFonts w:ascii="Arial" w:hAnsi="Arial" w:cs="Arial"/>
          <w:b/>
        </w:rPr>
        <w:t>: Outliers and Influential points</w:t>
      </w:r>
    </w:p>
    <w:p w:rsidR="00465B8D" w:rsidRDefault="00465B8D" w:rsidP="00465B8D">
      <w:pPr>
        <w:autoSpaceDE w:val="0"/>
        <w:autoSpaceDN w:val="0"/>
        <w:adjustRightInd w:val="0"/>
        <w:spacing w:after="0"/>
        <w:jc w:val="both"/>
        <w:rPr>
          <w:rFonts w:ascii="Arial" w:hAnsi="Arial" w:cs="Arial"/>
          <w:szCs w:val="24"/>
        </w:rPr>
      </w:pPr>
      <w:r>
        <w:rPr>
          <w:rFonts w:ascii="Arial" w:hAnsi="Arial" w:cs="Arial"/>
          <w:szCs w:val="24"/>
        </w:rPr>
        <w:t xml:space="preserve">The presence of outliers and influential points is investigated in order to differentiate between the geography (Data Zones versus Intermediate Zones) and the time span (1 year versus 3 years). The cost ratio outliers and the model residuals outliers are investigated and the results are presented below. </w:t>
      </w:r>
    </w:p>
    <w:p w:rsidR="00465B8D" w:rsidRDefault="00465B8D" w:rsidP="00465B8D">
      <w:pPr>
        <w:autoSpaceDE w:val="0"/>
        <w:autoSpaceDN w:val="0"/>
        <w:adjustRightInd w:val="0"/>
        <w:spacing w:after="0"/>
        <w:jc w:val="both"/>
        <w:rPr>
          <w:rFonts w:ascii="Arial" w:hAnsi="Arial" w:cs="Arial"/>
          <w:szCs w:val="24"/>
        </w:rPr>
      </w:pPr>
    </w:p>
    <w:p w:rsidR="00465B8D" w:rsidRDefault="005F30B5" w:rsidP="00465B8D">
      <w:pPr>
        <w:autoSpaceDE w:val="0"/>
        <w:autoSpaceDN w:val="0"/>
        <w:adjustRightInd w:val="0"/>
        <w:spacing w:after="0"/>
        <w:jc w:val="both"/>
        <w:rPr>
          <w:rFonts w:ascii="Arial" w:hAnsi="Arial" w:cs="Arial"/>
          <w:b/>
          <w:szCs w:val="24"/>
        </w:rPr>
      </w:pPr>
      <w:r>
        <w:rPr>
          <w:rFonts w:ascii="Arial" w:hAnsi="Arial" w:cs="Arial"/>
          <w:b/>
          <w:szCs w:val="24"/>
        </w:rPr>
        <w:t>D.</w:t>
      </w:r>
      <w:r w:rsidR="00465B8D">
        <w:rPr>
          <w:rFonts w:ascii="Arial" w:hAnsi="Arial" w:cs="Arial"/>
          <w:b/>
          <w:szCs w:val="24"/>
        </w:rPr>
        <w:t xml:space="preserve">1 </w:t>
      </w:r>
      <w:r w:rsidR="00465B8D" w:rsidRPr="001C3814">
        <w:rPr>
          <w:rFonts w:ascii="Arial" w:hAnsi="Arial" w:cs="Arial"/>
          <w:b/>
          <w:szCs w:val="24"/>
        </w:rPr>
        <w:t xml:space="preserve">Cost Ratio </w:t>
      </w:r>
      <w:r w:rsidR="00465B8D">
        <w:rPr>
          <w:rFonts w:ascii="Arial" w:hAnsi="Arial" w:cs="Arial"/>
          <w:b/>
          <w:szCs w:val="24"/>
        </w:rPr>
        <w:t>O</w:t>
      </w:r>
      <w:r w:rsidR="00465B8D" w:rsidRPr="001C3814">
        <w:rPr>
          <w:rFonts w:ascii="Arial" w:hAnsi="Arial" w:cs="Arial"/>
          <w:b/>
          <w:szCs w:val="24"/>
        </w:rPr>
        <w:t>utliers</w:t>
      </w:r>
    </w:p>
    <w:p w:rsidR="00465B8D" w:rsidRPr="001C3814" w:rsidRDefault="00465B8D" w:rsidP="00465B8D">
      <w:pPr>
        <w:autoSpaceDE w:val="0"/>
        <w:autoSpaceDN w:val="0"/>
        <w:adjustRightInd w:val="0"/>
        <w:spacing w:after="0"/>
        <w:jc w:val="both"/>
        <w:rPr>
          <w:rFonts w:ascii="Arial" w:hAnsi="Arial" w:cs="Arial"/>
          <w:b/>
          <w:szCs w:val="24"/>
        </w:rPr>
      </w:pPr>
    </w:p>
    <w:p w:rsidR="00465B8D" w:rsidRDefault="00465B8D" w:rsidP="00465B8D">
      <w:pPr>
        <w:autoSpaceDE w:val="0"/>
        <w:autoSpaceDN w:val="0"/>
        <w:adjustRightInd w:val="0"/>
        <w:spacing w:after="0"/>
        <w:jc w:val="both"/>
        <w:rPr>
          <w:rFonts w:ascii="Arial" w:hAnsi="Arial" w:cs="Arial"/>
        </w:rPr>
      </w:pPr>
      <w:r>
        <w:rPr>
          <w:rFonts w:ascii="Arial" w:hAnsi="Arial" w:cs="Arial"/>
          <w:szCs w:val="24"/>
        </w:rPr>
        <w:t>The cost ratio outliers are investigated in order to get a better understanding of the cost ratios’ variability. A cost ratio is defined as an outlier if it is bigger than a particular</w:t>
      </w:r>
      <w:r w:rsidRPr="008105CA">
        <w:rPr>
          <w:rFonts w:ascii="Arial" w:hAnsi="Arial" w:cs="Arial"/>
        </w:rPr>
        <w:t xml:space="preserve"> value (</w:t>
      </w:r>
      <w:r w:rsidRPr="008105CA">
        <w:rPr>
          <w:rFonts w:ascii="Arial" w:hAnsi="Arial" w:cs="Arial"/>
          <w:color w:val="000000"/>
          <w:shd w:val="clear" w:color="auto" w:fill="FFFFFF"/>
        </w:rPr>
        <w:t xml:space="preserve">75th percentile </w:t>
      </w:r>
      <w:r w:rsidRPr="008105CA">
        <w:rPr>
          <w:rFonts w:ascii="Arial" w:hAnsi="Arial" w:cs="Arial"/>
        </w:rPr>
        <w:t xml:space="preserve">+ 1.5 * </w:t>
      </w:r>
      <w:proofErr w:type="spellStart"/>
      <w:r w:rsidRPr="008105CA">
        <w:rPr>
          <w:rFonts w:ascii="Arial" w:hAnsi="Arial" w:cs="Arial"/>
        </w:rPr>
        <w:t>Interquartile</w:t>
      </w:r>
      <w:proofErr w:type="spellEnd"/>
      <w:r w:rsidRPr="008105CA">
        <w:rPr>
          <w:rFonts w:ascii="Arial" w:hAnsi="Arial" w:cs="Arial"/>
        </w:rPr>
        <w:t xml:space="preserve"> Range).</w:t>
      </w:r>
      <w:r>
        <w:rPr>
          <w:rFonts w:ascii="Arial" w:hAnsi="Arial" w:cs="Arial"/>
        </w:rPr>
        <w:t xml:space="preserve"> The numbers of cost ratio outliers for all diagnostic groups are included in Table </w:t>
      </w:r>
      <w:r w:rsidR="005F30B5">
        <w:rPr>
          <w:rFonts w:ascii="Arial" w:hAnsi="Arial" w:cs="Arial"/>
        </w:rPr>
        <w:t>D.</w:t>
      </w:r>
      <w:r>
        <w:rPr>
          <w:rFonts w:ascii="Arial" w:hAnsi="Arial" w:cs="Arial"/>
        </w:rPr>
        <w:t>1 below.</w:t>
      </w:r>
    </w:p>
    <w:p w:rsidR="00465B8D" w:rsidRDefault="00465B8D" w:rsidP="00465B8D">
      <w:pPr>
        <w:autoSpaceDE w:val="0"/>
        <w:autoSpaceDN w:val="0"/>
        <w:adjustRightInd w:val="0"/>
        <w:spacing w:after="0" w:line="240" w:lineRule="auto"/>
        <w:jc w:val="both"/>
        <w:rPr>
          <w:rFonts w:ascii="Arial" w:hAnsi="Arial" w:cs="Arial"/>
        </w:rPr>
      </w:pPr>
    </w:p>
    <w:p w:rsidR="00465B8D" w:rsidRDefault="00465B8D" w:rsidP="00465B8D">
      <w:pPr>
        <w:autoSpaceDE w:val="0"/>
        <w:autoSpaceDN w:val="0"/>
        <w:adjustRightInd w:val="0"/>
        <w:spacing w:after="0" w:line="240" w:lineRule="auto"/>
        <w:jc w:val="both"/>
        <w:rPr>
          <w:rFonts w:ascii="Arial" w:hAnsi="Arial" w:cs="Arial"/>
        </w:rPr>
      </w:pPr>
      <w:r>
        <w:rPr>
          <w:rFonts w:ascii="Arial" w:hAnsi="Arial" w:cs="Arial"/>
          <w:i/>
        </w:rPr>
        <w:t xml:space="preserve">Table </w:t>
      </w:r>
      <w:r w:rsidR="005F30B5">
        <w:rPr>
          <w:rFonts w:ascii="Arial" w:hAnsi="Arial" w:cs="Arial"/>
          <w:i/>
        </w:rPr>
        <w:t>D.</w:t>
      </w:r>
      <w:r>
        <w:rPr>
          <w:rFonts w:ascii="Arial" w:hAnsi="Arial" w:cs="Arial"/>
          <w:i/>
        </w:rPr>
        <w:t>1</w:t>
      </w:r>
      <w:r w:rsidRPr="008105CA">
        <w:rPr>
          <w:rFonts w:ascii="Arial" w:hAnsi="Arial" w:cs="Arial"/>
          <w:i/>
        </w:rPr>
        <w:t xml:space="preserve">. </w:t>
      </w:r>
      <w:proofErr w:type="gramStart"/>
      <w:r w:rsidRPr="008105CA">
        <w:rPr>
          <w:rFonts w:ascii="Arial" w:hAnsi="Arial" w:cs="Arial"/>
          <w:i/>
        </w:rPr>
        <w:t xml:space="preserve">Number </w:t>
      </w:r>
      <w:r w:rsidR="00C14DDE">
        <w:rPr>
          <w:rFonts w:ascii="Arial" w:hAnsi="Arial" w:cs="Arial"/>
          <w:i/>
        </w:rPr>
        <w:t xml:space="preserve">and Percentage </w:t>
      </w:r>
      <w:r w:rsidRPr="008105CA">
        <w:rPr>
          <w:rFonts w:ascii="Arial" w:hAnsi="Arial" w:cs="Arial"/>
          <w:i/>
        </w:rPr>
        <w:t xml:space="preserve">of </w:t>
      </w:r>
      <w:r w:rsidR="00C14DDE">
        <w:rPr>
          <w:rFonts w:ascii="Arial" w:hAnsi="Arial" w:cs="Arial"/>
          <w:i/>
        </w:rPr>
        <w:t>c</w:t>
      </w:r>
      <w:r w:rsidRPr="008105CA">
        <w:rPr>
          <w:rFonts w:ascii="Arial" w:hAnsi="Arial" w:cs="Arial"/>
          <w:i/>
        </w:rPr>
        <w:t xml:space="preserve">ost </w:t>
      </w:r>
      <w:r w:rsidR="00C14DDE">
        <w:rPr>
          <w:rFonts w:ascii="Arial" w:hAnsi="Arial" w:cs="Arial"/>
          <w:i/>
        </w:rPr>
        <w:t>r</w:t>
      </w:r>
      <w:r w:rsidRPr="008105CA">
        <w:rPr>
          <w:rFonts w:ascii="Arial" w:hAnsi="Arial" w:cs="Arial"/>
          <w:i/>
        </w:rPr>
        <w:t>atio outliers</w:t>
      </w:r>
      <w:r>
        <w:rPr>
          <w:rFonts w:ascii="Arial" w:hAnsi="Arial" w:cs="Arial"/>
        </w:rPr>
        <w:t>.</w:t>
      </w:r>
      <w:proofErr w:type="gramEnd"/>
    </w:p>
    <w:tbl>
      <w:tblPr>
        <w:tblW w:w="0" w:type="auto"/>
        <w:tblLayout w:type="fixed"/>
        <w:tblLook w:val="04A0"/>
      </w:tblPr>
      <w:tblGrid>
        <w:gridCol w:w="3227"/>
        <w:gridCol w:w="850"/>
        <w:gridCol w:w="851"/>
        <w:gridCol w:w="850"/>
        <w:gridCol w:w="851"/>
        <w:gridCol w:w="850"/>
        <w:gridCol w:w="851"/>
        <w:gridCol w:w="912"/>
      </w:tblGrid>
      <w:tr w:rsidR="00465B8D" w:rsidRPr="00F230CB" w:rsidTr="00124FD7">
        <w:trPr>
          <w:cantSplit/>
          <w:trHeight w:val="1408"/>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DDE" w:rsidRDefault="00465B8D" w:rsidP="00124FD7">
            <w:pPr>
              <w:spacing w:after="0" w:line="240" w:lineRule="auto"/>
              <w:rPr>
                <w:rFonts w:ascii="Arial" w:eastAsia="Times New Roman" w:hAnsi="Arial" w:cs="Arial"/>
                <w:b/>
                <w:bCs/>
                <w:color w:val="000000"/>
                <w:szCs w:val="20"/>
                <w:lang w:eastAsia="en-GB"/>
              </w:rPr>
            </w:pPr>
            <w:r w:rsidRPr="00F230CB">
              <w:rPr>
                <w:rFonts w:ascii="Arial" w:eastAsia="Times New Roman" w:hAnsi="Arial" w:cs="Arial"/>
                <w:b/>
                <w:bCs/>
                <w:color w:val="000000"/>
                <w:szCs w:val="20"/>
                <w:lang w:eastAsia="en-GB"/>
              </w:rPr>
              <w:t>Number</w:t>
            </w:r>
            <w:r w:rsidR="00C14DDE">
              <w:rPr>
                <w:rFonts w:ascii="Arial" w:eastAsia="Times New Roman" w:hAnsi="Arial" w:cs="Arial"/>
                <w:b/>
                <w:bCs/>
                <w:color w:val="000000"/>
                <w:szCs w:val="20"/>
                <w:lang w:eastAsia="en-GB"/>
              </w:rPr>
              <w:t xml:space="preserve"> and Percentage</w:t>
            </w:r>
          </w:p>
          <w:p w:rsidR="00465B8D" w:rsidRPr="00F230CB" w:rsidRDefault="00465B8D" w:rsidP="00124FD7">
            <w:pPr>
              <w:spacing w:after="0" w:line="240" w:lineRule="auto"/>
              <w:rPr>
                <w:rFonts w:ascii="Arial" w:eastAsia="Times New Roman" w:hAnsi="Arial" w:cs="Arial"/>
                <w:b/>
                <w:bCs/>
                <w:color w:val="000000"/>
                <w:szCs w:val="20"/>
                <w:lang w:eastAsia="en-GB"/>
              </w:rPr>
            </w:pPr>
            <w:r w:rsidRPr="00F230CB">
              <w:rPr>
                <w:rFonts w:ascii="Arial" w:eastAsia="Times New Roman" w:hAnsi="Arial" w:cs="Arial"/>
                <w:b/>
                <w:bCs/>
                <w:color w:val="000000"/>
                <w:szCs w:val="20"/>
                <w:lang w:eastAsia="en-GB"/>
              </w:rPr>
              <w:t>of cost ratio outliers</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65B8D" w:rsidRPr="00F230CB" w:rsidRDefault="00465B8D"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Cancer</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65B8D" w:rsidRPr="00F230CB" w:rsidRDefault="00465B8D"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Heart</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65B8D" w:rsidRPr="00F230CB" w:rsidRDefault="00465B8D"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Digestive</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65B8D" w:rsidRPr="00F230CB" w:rsidRDefault="00465B8D"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Injury</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65B8D" w:rsidRPr="00F230CB" w:rsidRDefault="00465B8D"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Other</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65B8D" w:rsidRPr="00F230CB" w:rsidRDefault="00465B8D"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Respiratory</w:t>
            </w:r>
          </w:p>
        </w:tc>
        <w:tc>
          <w:tcPr>
            <w:tcW w:w="91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65B8D" w:rsidRPr="00F230CB" w:rsidRDefault="00465B8D"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Outpatients</w:t>
            </w:r>
          </w:p>
        </w:tc>
      </w:tr>
      <w:tr w:rsidR="00465B8D" w:rsidRPr="00F230CB" w:rsidTr="00124FD7">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8D" w:rsidRPr="00F230CB" w:rsidRDefault="00465B8D" w:rsidP="00124FD7">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1 year Data Z</w:t>
            </w:r>
            <w:r w:rsidRPr="00F230CB">
              <w:rPr>
                <w:rFonts w:ascii="Arial" w:eastAsia="Times New Roman" w:hAnsi="Arial" w:cs="Arial"/>
                <w:color w:val="000000"/>
                <w:szCs w:val="20"/>
                <w:lang w:eastAsia="en-GB"/>
              </w:rPr>
              <w:t>ones</w:t>
            </w:r>
          </w:p>
        </w:tc>
        <w:tc>
          <w:tcPr>
            <w:tcW w:w="850" w:type="dxa"/>
            <w:tcBorders>
              <w:top w:val="nil"/>
              <w:left w:val="nil"/>
              <w:bottom w:val="single" w:sz="4" w:space="0" w:color="auto"/>
              <w:right w:val="single" w:sz="4" w:space="0" w:color="auto"/>
            </w:tcBorders>
            <w:shd w:val="clear" w:color="auto" w:fill="auto"/>
            <w:noWrap/>
            <w:vAlign w:val="bottom"/>
            <w:hideMark/>
          </w:tcPr>
          <w:p w:rsidR="00465B8D" w:rsidRPr="00AA66A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203</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3.12%</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Pr="00AA66A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245</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3.77%</w:t>
            </w:r>
          </w:p>
        </w:tc>
        <w:tc>
          <w:tcPr>
            <w:tcW w:w="850" w:type="dxa"/>
            <w:tcBorders>
              <w:top w:val="nil"/>
              <w:left w:val="nil"/>
              <w:bottom w:val="single" w:sz="4" w:space="0" w:color="auto"/>
              <w:right w:val="single" w:sz="4" w:space="0" w:color="auto"/>
            </w:tcBorders>
            <w:shd w:val="clear" w:color="auto" w:fill="auto"/>
            <w:noWrap/>
            <w:vAlign w:val="bottom"/>
            <w:hideMark/>
          </w:tcPr>
          <w:p w:rsidR="00465B8D" w:rsidRPr="00AA66A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198</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3.04%</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Pr="00AA66A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229</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3.52%</w:t>
            </w:r>
          </w:p>
        </w:tc>
        <w:tc>
          <w:tcPr>
            <w:tcW w:w="850" w:type="dxa"/>
            <w:tcBorders>
              <w:top w:val="nil"/>
              <w:left w:val="nil"/>
              <w:bottom w:val="single" w:sz="4" w:space="0" w:color="auto"/>
              <w:right w:val="single" w:sz="4" w:space="0" w:color="auto"/>
            </w:tcBorders>
            <w:shd w:val="clear" w:color="auto" w:fill="auto"/>
            <w:noWrap/>
            <w:vAlign w:val="bottom"/>
            <w:hideMark/>
          </w:tcPr>
          <w:p w:rsidR="00465B8D" w:rsidRPr="00AA66A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164</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2.52%</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Pr="00AA66A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253</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3.89%</w:t>
            </w:r>
          </w:p>
        </w:tc>
        <w:tc>
          <w:tcPr>
            <w:tcW w:w="912" w:type="dxa"/>
            <w:tcBorders>
              <w:top w:val="nil"/>
              <w:left w:val="nil"/>
              <w:bottom w:val="single" w:sz="4" w:space="0" w:color="auto"/>
              <w:right w:val="single" w:sz="4" w:space="0" w:color="auto"/>
            </w:tcBorders>
            <w:shd w:val="clear" w:color="auto" w:fill="auto"/>
            <w:noWrap/>
            <w:vAlign w:val="bottom"/>
            <w:hideMark/>
          </w:tcPr>
          <w:p w:rsidR="00465B8D" w:rsidRPr="00AA66A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103</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1.58%</w:t>
            </w:r>
          </w:p>
        </w:tc>
      </w:tr>
      <w:tr w:rsidR="00465B8D" w:rsidRPr="00F230CB" w:rsidTr="00124FD7">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8D" w:rsidRPr="00F230CB" w:rsidRDefault="00465B8D" w:rsidP="00124FD7">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3 years Data Z</w:t>
            </w:r>
            <w:r w:rsidRPr="00F230CB">
              <w:rPr>
                <w:rFonts w:ascii="Arial" w:eastAsia="Times New Roman" w:hAnsi="Arial" w:cs="Arial"/>
                <w:color w:val="000000"/>
                <w:szCs w:val="20"/>
                <w:lang w:eastAsia="en-GB"/>
              </w:rPr>
              <w:t>ones</w:t>
            </w:r>
          </w:p>
        </w:tc>
        <w:tc>
          <w:tcPr>
            <w:tcW w:w="850" w:type="dxa"/>
            <w:tcBorders>
              <w:top w:val="nil"/>
              <w:left w:val="nil"/>
              <w:bottom w:val="single" w:sz="4" w:space="0" w:color="auto"/>
              <w:right w:val="single" w:sz="4" w:space="0" w:color="auto"/>
            </w:tcBorders>
            <w:shd w:val="clear" w:color="auto" w:fill="auto"/>
            <w:noWrap/>
            <w:vAlign w:val="bottom"/>
            <w:hideMark/>
          </w:tcPr>
          <w:p w:rsidR="00465B8D" w:rsidRPr="00AA66A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155</w:t>
            </w:r>
          </w:p>
          <w:p w:rsidR="00465B8D" w:rsidRPr="00835230" w:rsidRDefault="00465B8D" w:rsidP="00124FD7">
            <w:pPr>
              <w:spacing w:after="0" w:line="240" w:lineRule="auto"/>
              <w:jc w:val="right"/>
              <w:rPr>
                <w:rFonts w:ascii="Arial" w:eastAsia="Times New Roman" w:hAnsi="Arial" w:cs="Arial"/>
                <w:color w:val="000000"/>
                <w:sz w:val="20"/>
                <w:szCs w:val="20"/>
                <w:lang w:eastAsia="en-GB"/>
              </w:rPr>
            </w:pPr>
            <w:r w:rsidRPr="00835230">
              <w:rPr>
                <w:rFonts w:ascii="Arial" w:eastAsia="Times New Roman" w:hAnsi="Arial" w:cs="Arial"/>
                <w:color w:val="000000"/>
                <w:sz w:val="20"/>
                <w:szCs w:val="20"/>
                <w:lang w:eastAsia="en-GB"/>
              </w:rPr>
              <w:t>2.38%</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Pr="00AA66A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167</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2.57%</w:t>
            </w:r>
          </w:p>
        </w:tc>
        <w:tc>
          <w:tcPr>
            <w:tcW w:w="850" w:type="dxa"/>
            <w:tcBorders>
              <w:top w:val="nil"/>
              <w:left w:val="nil"/>
              <w:bottom w:val="single" w:sz="4" w:space="0" w:color="auto"/>
              <w:right w:val="single" w:sz="4" w:space="0" w:color="auto"/>
            </w:tcBorders>
            <w:shd w:val="clear" w:color="auto" w:fill="auto"/>
            <w:noWrap/>
            <w:vAlign w:val="bottom"/>
            <w:hideMark/>
          </w:tcPr>
          <w:p w:rsidR="00465B8D" w:rsidRPr="00AA66A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164</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2.52%</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Pr="00AA66A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164</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2.52%</w:t>
            </w:r>
          </w:p>
        </w:tc>
        <w:tc>
          <w:tcPr>
            <w:tcW w:w="850" w:type="dxa"/>
            <w:tcBorders>
              <w:top w:val="nil"/>
              <w:left w:val="nil"/>
              <w:bottom w:val="single" w:sz="4" w:space="0" w:color="auto"/>
              <w:right w:val="single" w:sz="4" w:space="0" w:color="auto"/>
            </w:tcBorders>
            <w:shd w:val="clear" w:color="auto" w:fill="auto"/>
            <w:noWrap/>
            <w:vAlign w:val="bottom"/>
            <w:hideMark/>
          </w:tcPr>
          <w:p w:rsidR="00465B8D" w:rsidRPr="00AA66A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104</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1.60%</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Pr="00AA66A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227</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3.49%</w:t>
            </w:r>
          </w:p>
        </w:tc>
        <w:tc>
          <w:tcPr>
            <w:tcW w:w="912" w:type="dxa"/>
            <w:tcBorders>
              <w:top w:val="nil"/>
              <w:left w:val="nil"/>
              <w:bottom w:val="single" w:sz="4" w:space="0" w:color="auto"/>
              <w:right w:val="single" w:sz="4" w:space="0" w:color="auto"/>
            </w:tcBorders>
            <w:shd w:val="clear" w:color="auto" w:fill="auto"/>
            <w:noWrap/>
            <w:vAlign w:val="bottom"/>
            <w:hideMark/>
          </w:tcPr>
          <w:p w:rsidR="00465B8D" w:rsidRPr="00AA66A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47</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0.72%</w:t>
            </w:r>
          </w:p>
        </w:tc>
      </w:tr>
      <w:tr w:rsidR="00465B8D" w:rsidRPr="00F230CB" w:rsidTr="00124FD7">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8D" w:rsidRPr="00F230CB" w:rsidRDefault="00465B8D" w:rsidP="00124FD7">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1 year Intermediate Z</w:t>
            </w:r>
            <w:r w:rsidRPr="00F230CB">
              <w:rPr>
                <w:rFonts w:ascii="Arial" w:eastAsia="Times New Roman" w:hAnsi="Arial" w:cs="Arial"/>
                <w:color w:val="000000"/>
                <w:szCs w:val="20"/>
                <w:lang w:eastAsia="en-GB"/>
              </w:rPr>
              <w:t>ones</w:t>
            </w:r>
          </w:p>
        </w:tc>
        <w:tc>
          <w:tcPr>
            <w:tcW w:w="850" w:type="dxa"/>
            <w:tcBorders>
              <w:top w:val="nil"/>
              <w:left w:val="nil"/>
              <w:bottom w:val="single" w:sz="4" w:space="0" w:color="auto"/>
              <w:right w:val="single" w:sz="4" w:space="0" w:color="auto"/>
            </w:tcBorders>
            <w:shd w:val="clear" w:color="auto" w:fill="auto"/>
            <w:noWrap/>
            <w:vAlign w:val="bottom"/>
            <w:hideMark/>
          </w:tcPr>
          <w:p w:rsidR="00465B8D" w:rsidRPr="00835230" w:rsidRDefault="00465B8D" w:rsidP="00124FD7">
            <w:pPr>
              <w:spacing w:after="0" w:line="240" w:lineRule="auto"/>
              <w:jc w:val="right"/>
              <w:rPr>
                <w:rFonts w:ascii="Arial" w:eastAsia="Times New Roman" w:hAnsi="Arial" w:cs="Arial"/>
                <w:b/>
                <w:color w:val="000000"/>
                <w:sz w:val="20"/>
                <w:szCs w:val="20"/>
                <w:lang w:eastAsia="en-GB"/>
              </w:rPr>
            </w:pPr>
            <w:r w:rsidRPr="00835230">
              <w:rPr>
                <w:rFonts w:ascii="Arial" w:eastAsia="Times New Roman" w:hAnsi="Arial" w:cs="Arial"/>
                <w:b/>
                <w:color w:val="000000"/>
                <w:sz w:val="20"/>
                <w:szCs w:val="20"/>
                <w:lang w:eastAsia="en-GB"/>
              </w:rPr>
              <w:t>19</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1.54%</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Pr="00835230" w:rsidRDefault="00465B8D" w:rsidP="00124FD7">
            <w:pPr>
              <w:spacing w:after="0" w:line="240" w:lineRule="auto"/>
              <w:jc w:val="right"/>
              <w:rPr>
                <w:rFonts w:ascii="Arial" w:eastAsia="Times New Roman" w:hAnsi="Arial" w:cs="Arial"/>
                <w:b/>
                <w:color w:val="000000"/>
                <w:sz w:val="20"/>
                <w:szCs w:val="20"/>
                <w:lang w:eastAsia="en-GB"/>
              </w:rPr>
            </w:pPr>
            <w:r w:rsidRPr="00835230">
              <w:rPr>
                <w:rFonts w:ascii="Arial" w:eastAsia="Times New Roman" w:hAnsi="Arial" w:cs="Arial"/>
                <w:b/>
                <w:color w:val="000000"/>
                <w:sz w:val="20"/>
                <w:szCs w:val="20"/>
                <w:lang w:eastAsia="en-GB"/>
              </w:rPr>
              <w:t>26</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2.11%</w:t>
            </w:r>
          </w:p>
        </w:tc>
        <w:tc>
          <w:tcPr>
            <w:tcW w:w="850" w:type="dxa"/>
            <w:tcBorders>
              <w:top w:val="nil"/>
              <w:left w:val="nil"/>
              <w:bottom w:val="single" w:sz="4" w:space="0" w:color="auto"/>
              <w:right w:val="single" w:sz="4" w:space="0" w:color="auto"/>
            </w:tcBorders>
            <w:shd w:val="clear" w:color="auto" w:fill="auto"/>
            <w:noWrap/>
            <w:vAlign w:val="bottom"/>
            <w:hideMark/>
          </w:tcPr>
          <w:p w:rsidR="00465B8D" w:rsidRPr="00835230" w:rsidRDefault="00465B8D" w:rsidP="00124FD7">
            <w:pPr>
              <w:spacing w:after="0" w:line="240" w:lineRule="auto"/>
              <w:jc w:val="right"/>
              <w:rPr>
                <w:rFonts w:ascii="Arial" w:eastAsia="Times New Roman" w:hAnsi="Arial" w:cs="Arial"/>
                <w:b/>
                <w:color w:val="000000"/>
                <w:sz w:val="20"/>
                <w:szCs w:val="20"/>
                <w:lang w:eastAsia="en-GB"/>
              </w:rPr>
            </w:pPr>
            <w:r w:rsidRPr="00835230">
              <w:rPr>
                <w:rFonts w:ascii="Arial" w:eastAsia="Times New Roman" w:hAnsi="Arial" w:cs="Arial"/>
                <w:b/>
                <w:color w:val="000000"/>
                <w:sz w:val="20"/>
                <w:szCs w:val="20"/>
                <w:lang w:eastAsia="en-GB"/>
              </w:rPr>
              <w:t>18</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1.46%</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Pr="00835230" w:rsidRDefault="00465B8D" w:rsidP="00124FD7">
            <w:pPr>
              <w:spacing w:after="0" w:line="240" w:lineRule="auto"/>
              <w:jc w:val="right"/>
              <w:rPr>
                <w:rFonts w:ascii="Arial" w:eastAsia="Times New Roman" w:hAnsi="Arial" w:cs="Arial"/>
                <w:b/>
                <w:color w:val="000000"/>
                <w:sz w:val="20"/>
                <w:szCs w:val="20"/>
                <w:lang w:eastAsia="en-GB"/>
              </w:rPr>
            </w:pPr>
            <w:r w:rsidRPr="00835230">
              <w:rPr>
                <w:rFonts w:ascii="Arial" w:eastAsia="Times New Roman" w:hAnsi="Arial" w:cs="Arial"/>
                <w:b/>
                <w:color w:val="000000"/>
                <w:sz w:val="20"/>
                <w:szCs w:val="20"/>
                <w:lang w:eastAsia="en-GB"/>
              </w:rPr>
              <w:t>19</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1.54%</w:t>
            </w:r>
          </w:p>
        </w:tc>
        <w:tc>
          <w:tcPr>
            <w:tcW w:w="850" w:type="dxa"/>
            <w:tcBorders>
              <w:top w:val="nil"/>
              <w:left w:val="nil"/>
              <w:bottom w:val="single" w:sz="4" w:space="0" w:color="auto"/>
              <w:right w:val="single" w:sz="4" w:space="0" w:color="auto"/>
            </w:tcBorders>
            <w:shd w:val="clear" w:color="auto" w:fill="auto"/>
            <w:noWrap/>
            <w:vAlign w:val="bottom"/>
            <w:hideMark/>
          </w:tcPr>
          <w:p w:rsidR="00465B8D" w:rsidRPr="00835230" w:rsidRDefault="00465B8D" w:rsidP="00124FD7">
            <w:pPr>
              <w:spacing w:after="0" w:line="240" w:lineRule="auto"/>
              <w:jc w:val="right"/>
              <w:rPr>
                <w:rFonts w:ascii="Arial" w:eastAsia="Times New Roman" w:hAnsi="Arial" w:cs="Arial"/>
                <w:b/>
                <w:color w:val="000000"/>
                <w:sz w:val="20"/>
                <w:szCs w:val="20"/>
                <w:lang w:eastAsia="en-GB"/>
              </w:rPr>
            </w:pPr>
            <w:r w:rsidRPr="00835230">
              <w:rPr>
                <w:rFonts w:ascii="Arial" w:eastAsia="Times New Roman" w:hAnsi="Arial" w:cs="Arial"/>
                <w:b/>
                <w:color w:val="000000"/>
                <w:sz w:val="20"/>
                <w:szCs w:val="20"/>
                <w:lang w:eastAsia="en-GB"/>
              </w:rPr>
              <w:t>20</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1.62%</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Pr="00835230" w:rsidRDefault="00465B8D" w:rsidP="00124FD7">
            <w:pPr>
              <w:spacing w:after="0" w:line="240" w:lineRule="auto"/>
              <w:jc w:val="right"/>
              <w:rPr>
                <w:rFonts w:ascii="Arial" w:eastAsia="Times New Roman" w:hAnsi="Arial" w:cs="Arial"/>
                <w:b/>
                <w:color w:val="000000"/>
                <w:sz w:val="20"/>
                <w:szCs w:val="20"/>
                <w:lang w:eastAsia="en-GB"/>
              </w:rPr>
            </w:pPr>
            <w:r w:rsidRPr="00835230">
              <w:rPr>
                <w:rFonts w:ascii="Arial" w:eastAsia="Times New Roman" w:hAnsi="Arial" w:cs="Arial"/>
                <w:b/>
                <w:color w:val="000000"/>
                <w:sz w:val="20"/>
                <w:szCs w:val="20"/>
                <w:lang w:eastAsia="en-GB"/>
              </w:rPr>
              <w:t>44</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3.56%</w:t>
            </w:r>
          </w:p>
        </w:tc>
        <w:tc>
          <w:tcPr>
            <w:tcW w:w="912" w:type="dxa"/>
            <w:tcBorders>
              <w:top w:val="nil"/>
              <w:left w:val="nil"/>
              <w:bottom w:val="single" w:sz="4" w:space="0" w:color="auto"/>
              <w:right w:val="single" w:sz="4" w:space="0" w:color="auto"/>
            </w:tcBorders>
            <w:shd w:val="clear" w:color="auto" w:fill="auto"/>
            <w:noWrap/>
            <w:vAlign w:val="bottom"/>
            <w:hideMark/>
          </w:tcPr>
          <w:p w:rsidR="00465B8D" w:rsidRPr="00835230" w:rsidRDefault="00465B8D" w:rsidP="00124FD7">
            <w:pPr>
              <w:spacing w:after="0" w:line="240" w:lineRule="auto"/>
              <w:jc w:val="right"/>
              <w:rPr>
                <w:rFonts w:ascii="Arial" w:eastAsia="Times New Roman" w:hAnsi="Arial" w:cs="Arial"/>
                <w:b/>
                <w:color w:val="000000"/>
                <w:sz w:val="20"/>
                <w:szCs w:val="20"/>
                <w:lang w:eastAsia="en-GB"/>
              </w:rPr>
            </w:pPr>
            <w:r w:rsidRPr="00835230">
              <w:rPr>
                <w:rFonts w:ascii="Arial" w:eastAsia="Times New Roman" w:hAnsi="Arial" w:cs="Arial"/>
                <w:b/>
                <w:color w:val="000000"/>
                <w:sz w:val="20"/>
                <w:szCs w:val="20"/>
                <w:lang w:eastAsia="en-GB"/>
              </w:rPr>
              <w:t>8</w:t>
            </w:r>
          </w:p>
          <w:p w:rsidR="00465B8D" w:rsidRPr="00F230CB"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0.65%</w:t>
            </w:r>
          </w:p>
        </w:tc>
      </w:tr>
    </w:tbl>
    <w:p w:rsidR="00465B8D" w:rsidRDefault="00465B8D" w:rsidP="00465B8D">
      <w:pPr>
        <w:autoSpaceDE w:val="0"/>
        <w:autoSpaceDN w:val="0"/>
        <w:adjustRightInd w:val="0"/>
        <w:spacing w:after="0"/>
        <w:jc w:val="both"/>
        <w:rPr>
          <w:rFonts w:ascii="Arial" w:hAnsi="Arial" w:cs="Arial"/>
          <w:szCs w:val="24"/>
        </w:rPr>
      </w:pPr>
    </w:p>
    <w:p w:rsidR="00465B8D" w:rsidRDefault="00465B8D" w:rsidP="00465B8D">
      <w:pPr>
        <w:autoSpaceDE w:val="0"/>
        <w:autoSpaceDN w:val="0"/>
        <w:adjustRightInd w:val="0"/>
        <w:spacing w:after="0"/>
        <w:jc w:val="both"/>
        <w:rPr>
          <w:rFonts w:ascii="Arial" w:hAnsi="Arial" w:cs="Arial"/>
          <w:szCs w:val="24"/>
        </w:rPr>
      </w:pPr>
      <w:r>
        <w:rPr>
          <w:rFonts w:ascii="Arial" w:hAnsi="Arial" w:cs="Arial"/>
          <w:szCs w:val="24"/>
        </w:rPr>
        <w:t xml:space="preserve">There are about twice </w:t>
      </w:r>
      <w:r w:rsidR="00F504B5">
        <w:rPr>
          <w:rFonts w:ascii="Arial" w:hAnsi="Arial" w:cs="Arial"/>
          <w:szCs w:val="24"/>
        </w:rPr>
        <w:t>as many</w:t>
      </w:r>
      <w:r>
        <w:rPr>
          <w:rFonts w:ascii="Arial" w:hAnsi="Arial" w:cs="Arial"/>
          <w:szCs w:val="24"/>
        </w:rPr>
        <w:t xml:space="preserve"> cost ratio outliers at Data Zones </w:t>
      </w:r>
      <w:r w:rsidR="00533E9E">
        <w:rPr>
          <w:rFonts w:ascii="Arial" w:hAnsi="Arial" w:cs="Arial"/>
          <w:szCs w:val="24"/>
        </w:rPr>
        <w:t>as</w:t>
      </w:r>
      <w:r>
        <w:rPr>
          <w:rFonts w:ascii="Arial" w:hAnsi="Arial" w:cs="Arial"/>
          <w:szCs w:val="24"/>
        </w:rPr>
        <w:t xml:space="preserve"> at Intermediate Zones in terms of percentages. Overall, there are not so many outliers at both geography levels but there is a slight improvement at Intermediate Zones.</w:t>
      </w:r>
    </w:p>
    <w:p w:rsidR="00465B8D" w:rsidRDefault="00465B8D" w:rsidP="00465B8D">
      <w:pPr>
        <w:autoSpaceDE w:val="0"/>
        <w:autoSpaceDN w:val="0"/>
        <w:adjustRightInd w:val="0"/>
        <w:spacing w:after="0" w:line="360" w:lineRule="auto"/>
        <w:jc w:val="both"/>
        <w:rPr>
          <w:rFonts w:ascii="Arial" w:hAnsi="Arial" w:cs="Arial"/>
          <w:szCs w:val="24"/>
        </w:rPr>
      </w:pPr>
    </w:p>
    <w:p w:rsidR="00465B8D" w:rsidRDefault="005F30B5" w:rsidP="00465B8D">
      <w:pPr>
        <w:autoSpaceDE w:val="0"/>
        <w:autoSpaceDN w:val="0"/>
        <w:adjustRightInd w:val="0"/>
        <w:spacing w:after="0" w:line="360" w:lineRule="auto"/>
        <w:jc w:val="both"/>
        <w:rPr>
          <w:rFonts w:ascii="Arial" w:hAnsi="Arial" w:cs="Arial"/>
          <w:b/>
          <w:szCs w:val="24"/>
        </w:rPr>
      </w:pPr>
      <w:r>
        <w:rPr>
          <w:rFonts w:ascii="Arial" w:hAnsi="Arial" w:cs="Arial"/>
          <w:b/>
          <w:szCs w:val="24"/>
        </w:rPr>
        <w:t>D.</w:t>
      </w:r>
      <w:r w:rsidR="00465B8D">
        <w:rPr>
          <w:rFonts w:ascii="Arial" w:hAnsi="Arial" w:cs="Arial"/>
          <w:b/>
          <w:szCs w:val="24"/>
        </w:rPr>
        <w:t xml:space="preserve">2 </w:t>
      </w:r>
      <w:r w:rsidR="00465B8D" w:rsidRPr="001C3814">
        <w:rPr>
          <w:rFonts w:ascii="Arial" w:hAnsi="Arial" w:cs="Arial"/>
          <w:b/>
          <w:szCs w:val="24"/>
        </w:rPr>
        <w:t>Residuals Outliers and Influential points</w:t>
      </w:r>
    </w:p>
    <w:p w:rsidR="00465B8D" w:rsidRPr="001C3814" w:rsidRDefault="00465B8D" w:rsidP="00465B8D">
      <w:pPr>
        <w:autoSpaceDE w:val="0"/>
        <w:autoSpaceDN w:val="0"/>
        <w:adjustRightInd w:val="0"/>
        <w:spacing w:after="0" w:line="360" w:lineRule="auto"/>
        <w:jc w:val="both"/>
        <w:rPr>
          <w:rFonts w:ascii="Arial" w:hAnsi="Arial" w:cs="Arial"/>
          <w:b/>
          <w:szCs w:val="24"/>
        </w:rPr>
      </w:pPr>
    </w:p>
    <w:p w:rsidR="00465B8D" w:rsidRPr="00327669" w:rsidRDefault="00465B8D" w:rsidP="00465B8D">
      <w:pPr>
        <w:autoSpaceDE w:val="0"/>
        <w:autoSpaceDN w:val="0"/>
        <w:adjustRightInd w:val="0"/>
        <w:spacing w:after="0"/>
        <w:jc w:val="both"/>
        <w:rPr>
          <w:rFonts w:ascii="Arial" w:hAnsi="Arial" w:cs="Arial"/>
          <w:szCs w:val="24"/>
        </w:rPr>
      </w:pPr>
      <w:r w:rsidRPr="00327669">
        <w:rPr>
          <w:rFonts w:ascii="Arial" w:hAnsi="Arial" w:cs="Arial"/>
          <w:szCs w:val="24"/>
        </w:rPr>
        <w:t xml:space="preserve">Outliers are observations which do not fit the model well. To formally identify outliers, the externally </w:t>
      </w:r>
      <w:proofErr w:type="spellStart"/>
      <w:r w:rsidRPr="00327669">
        <w:rPr>
          <w:rFonts w:ascii="Arial" w:hAnsi="Arial" w:cs="Arial"/>
          <w:szCs w:val="24"/>
        </w:rPr>
        <w:t>studentised</w:t>
      </w:r>
      <w:proofErr w:type="spellEnd"/>
      <w:r w:rsidRPr="00327669">
        <w:rPr>
          <w:rFonts w:ascii="Arial" w:hAnsi="Arial" w:cs="Arial"/>
          <w:szCs w:val="24"/>
        </w:rPr>
        <w:t xml:space="preserve"> residuals are used. All externally </w:t>
      </w:r>
      <w:proofErr w:type="spellStart"/>
      <w:r w:rsidRPr="00327669">
        <w:rPr>
          <w:rFonts w:ascii="Arial" w:hAnsi="Arial" w:cs="Arial"/>
          <w:szCs w:val="24"/>
        </w:rPr>
        <w:t>studentised</w:t>
      </w:r>
      <w:proofErr w:type="spellEnd"/>
      <w:r w:rsidRPr="00327669">
        <w:rPr>
          <w:rFonts w:ascii="Arial" w:hAnsi="Arial" w:cs="Arial"/>
          <w:szCs w:val="24"/>
        </w:rPr>
        <w:t xml:space="preserve"> residuals outside the confidence interval (- t</w:t>
      </w:r>
      <w:r w:rsidRPr="00327669">
        <w:rPr>
          <w:rFonts w:ascii="Arial" w:hAnsi="Arial" w:cs="Arial"/>
          <w:szCs w:val="24"/>
          <w:vertAlign w:val="subscript"/>
        </w:rPr>
        <w:t>n-p-1, 1-0.05</w:t>
      </w:r>
      <w:proofErr w:type="gramStart"/>
      <w:r w:rsidRPr="00327669">
        <w:rPr>
          <w:rFonts w:ascii="Arial" w:hAnsi="Arial" w:cs="Arial"/>
          <w:szCs w:val="24"/>
          <w:vertAlign w:val="subscript"/>
        </w:rPr>
        <w:t>/(</w:t>
      </w:r>
      <w:proofErr w:type="gramEnd"/>
      <w:r w:rsidRPr="00327669">
        <w:rPr>
          <w:rFonts w:ascii="Arial" w:hAnsi="Arial" w:cs="Arial"/>
          <w:szCs w:val="24"/>
          <w:vertAlign w:val="subscript"/>
        </w:rPr>
        <w:t>2*n)</w:t>
      </w:r>
      <w:r w:rsidRPr="00327669">
        <w:rPr>
          <w:rFonts w:ascii="Arial" w:hAnsi="Arial" w:cs="Arial"/>
          <w:szCs w:val="24"/>
        </w:rPr>
        <w:t>, + t</w:t>
      </w:r>
      <w:r w:rsidRPr="00327669">
        <w:rPr>
          <w:rFonts w:ascii="Arial" w:hAnsi="Arial" w:cs="Arial"/>
          <w:szCs w:val="24"/>
          <w:vertAlign w:val="subscript"/>
        </w:rPr>
        <w:t>n-p-1, 1-0.05/(2*n)</w:t>
      </w:r>
      <w:r w:rsidRPr="00327669">
        <w:rPr>
          <w:rFonts w:ascii="Arial" w:hAnsi="Arial" w:cs="Arial"/>
          <w:szCs w:val="24"/>
        </w:rPr>
        <w:t xml:space="preserve"> ) are classified as outliers, where p is the number of parameters, n is the number of observations. </w:t>
      </w:r>
    </w:p>
    <w:p w:rsidR="00465B8D" w:rsidRPr="00327669" w:rsidRDefault="00465B8D" w:rsidP="00465B8D">
      <w:pPr>
        <w:autoSpaceDE w:val="0"/>
        <w:autoSpaceDN w:val="0"/>
        <w:adjustRightInd w:val="0"/>
        <w:spacing w:after="0"/>
        <w:jc w:val="both"/>
        <w:rPr>
          <w:rFonts w:ascii="Arial" w:hAnsi="Arial" w:cs="Arial"/>
          <w:szCs w:val="24"/>
        </w:rPr>
      </w:pPr>
    </w:p>
    <w:p w:rsidR="00465B8D" w:rsidRDefault="00465B8D" w:rsidP="00465B8D">
      <w:pPr>
        <w:autoSpaceDE w:val="0"/>
        <w:autoSpaceDN w:val="0"/>
        <w:adjustRightInd w:val="0"/>
        <w:spacing w:after="0"/>
        <w:jc w:val="both"/>
        <w:rPr>
          <w:rFonts w:ascii="Arial" w:hAnsi="Arial" w:cs="Arial"/>
          <w:szCs w:val="24"/>
        </w:rPr>
      </w:pPr>
      <w:r w:rsidRPr="00327669">
        <w:rPr>
          <w:rFonts w:ascii="Arial" w:hAnsi="Arial" w:cs="Arial"/>
          <w:szCs w:val="24"/>
        </w:rPr>
        <w:t xml:space="preserve">Influential points are observations which change the fit of the model in a substantive way. To formally identify </w:t>
      </w:r>
      <w:r w:rsidR="00F504B5">
        <w:rPr>
          <w:rFonts w:ascii="Arial" w:hAnsi="Arial" w:cs="Arial"/>
          <w:szCs w:val="24"/>
        </w:rPr>
        <w:t>influential points</w:t>
      </w:r>
      <w:r w:rsidRPr="00327669">
        <w:rPr>
          <w:rFonts w:ascii="Arial" w:hAnsi="Arial" w:cs="Arial"/>
          <w:szCs w:val="24"/>
        </w:rPr>
        <w:t xml:space="preserve">, Cook’s distance and DFFITS are used. Cook’s distance demonstrates the influence of case </w:t>
      </w:r>
      <w:proofErr w:type="spellStart"/>
      <w:r w:rsidRPr="00327669">
        <w:rPr>
          <w:rFonts w:ascii="Arial" w:hAnsi="Arial" w:cs="Arial"/>
          <w:szCs w:val="24"/>
        </w:rPr>
        <w:t>i</w:t>
      </w:r>
      <w:proofErr w:type="spellEnd"/>
      <w:r w:rsidRPr="00327669">
        <w:rPr>
          <w:rFonts w:ascii="Arial" w:hAnsi="Arial" w:cs="Arial"/>
          <w:szCs w:val="24"/>
        </w:rPr>
        <w:t xml:space="preserve"> on all the fitted values. Observations with Cook’s distance greater than F</w:t>
      </w:r>
      <w:r w:rsidRPr="00327669">
        <w:rPr>
          <w:rFonts w:ascii="Arial" w:hAnsi="Arial" w:cs="Arial"/>
          <w:szCs w:val="24"/>
          <w:vertAlign w:val="subscript"/>
        </w:rPr>
        <w:t xml:space="preserve">0.5, p. n-p </w:t>
      </w:r>
      <w:r w:rsidRPr="00327669">
        <w:rPr>
          <w:rFonts w:ascii="Arial" w:hAnsi="Arial" w:cs="Arial"/>
          <w:szCs w:val="24"/>
        </w:rPr>
        <w:t xml:space="preserve">are classified as influential points. DFFITS demonstrates the influence that case </w:t>
      </w:r>
      <w:proofErr w:type="spellStart"/>
      <w:r w:rsidRPr="00327669">
        <w:rPr>
          <w:rFonts w:ascii="Arial" w:hAnsi="Arial" w:cs="Arial"/>
          <w:szCs w:val="24"/>
        </w:rPr>
        <w:t>i</w:t>
      </w:r>
      <w:proofErr w:type="spellEnd"/>
      <w:r w:rsidRPr="00327669">
        <w:rPr>
          <w:rFonts w:ascii="Arial" w:hAnsi="Arial" w:cs="Arial"/>
          <w:szCs w:val="24"/>
        </w:rPr>
        <w:t xml:space="preserve"> has on the fitted value </w:t>
      </w:r>
      <w:proofErr w:type="spellStart"/>
      <w:r w:rsidRPr="00327669">
        <w:rPr>
          <w:rFonts w:ascii="Arial" w:hAnsi="Arial" w:cs="Arial"/>
          <w:szCs w:val="24"/>
        </w:rPr>
        <w:t>i</w:t>
      </w:r>
      <w:proofErr w:type="spellEnd"/>
      <w:r w:rsidRPr="00327669">
        <w:rPr>
          <w:rFonts w:ascii="Arial" w:hAnsi="Arial" w:cs="Arial"/>
          <w:szCs w:val="24"/>
        </w:rPr>
        <w:t>. Observations with DFFITS less than -</w:t>
      </w:r>
      <w:r w:rsidR="00F504B5">
        <w:rPr>
          <w:rFonts w:ascii="Arial" w:hAnsi="Arial" w:cs="Arial"/>
          <w:szCs w:val="24"/>
        </w:rPr>
        <w:t>2</w:t>
      </w:r>
      <w:r w:rsidRPr="00327669">
        <w:rPr>
          <w:rFonts w:ascii="Arial" w:hAnsi="Arial" w:cs="Arial"/>
          <w:szCs w:val="24"/>
        </w:rPr>
        <w:t>*</w:t>
      </w:r>
      <w:proofErr w:type="spellStart"/>
      <w:proofErr w:type="gramStart"/>
      <w:r w:rsidRPr="00327669">
        <w:rPr>
          <w:rFonts w:ascii="Arial" w:hAnsi="Arial" w:cs="Arial"/>
          <w:szCs w:val="24"/>
        </w:rPr>
        <w:t>sqrt</w:t>
      </w:r>
      <w:proofErr w:type="spellEnd"/>
      <w:r w:rsidRPr="00327669">
        <w:rPr>
          <w:rFonts w:ascii="Arial" w:hAnsi="Arial" w:cs="Arial"/>
          <w:szCs w:val="24"/>
        </w:rPr>
        <w:t>(</w:t>
      </w:r>
      <w:proofErr w:type="spellStart"/>
      <w:proofErr w:type="gramEnd"/>
      <w:r w:rsidRPr="00327669">
        <w:rPr>
          <w:rFonts w:ascii="Arial" w:hAnsi="Arial" w:cs="Arial"/>
          <w:szCs w:val="24"/>
        </w:rPr>
        <w:t>p/n</w:t>
      </w:r>
      <w:proofErr w:type="spellEnd"/>
      <w:r w:rsidRPr="00327669">
        <w:rPr>
          <w:rFonts w:ascii="Arial" w:hAnsi="Arial" w:cs="Arial"/>
          <w:szCs w:val="24"/>
        </w:rPr>
        <w:t>) or gr</w:t>
      </w:r>
      <w:r w:rsidR="00F504B5">
        <w:rPr>
          <w:rFonts w:ascii="Arial" w:hAnsi="Arial" w:cs="Arial"/>
          <w:szCs w:val="24"/>
        </w:rPr>
        <w:t>eater than 2*</w:t>
      </w:r>
      <w:proofErr w:type="spellStart"/>
      <w:r w:rsidRPr="00327669">
        <w:rPr>
          <w:rFonts w:ascii="Arial" w:hAnsi="Arial" w:cs="Arial"/>
          <w:szCs w:val="24"/>
        </w:rPr>
        <w:t>sqrt</w:t>
      </w:r>
      <w:proofErr w:type="spellEnd"/>
      <w:r w:rsidRPr="00327669">
        <w:rPr>
          <w:rFonts w:ascii="Arial" w:hAnsi="Arial" w:cs="Arial"/>
          <w:szCs w:val="24"/>
        </w:rPr>
        <w:t>(</w:t>
      </w:r>
      <w:proofErr w:type="spellStart"/>
      <w:r w:rsidRPr="00327669">
        <w:rPr>
          <w:rFonts w:ascii="Arial" w:hAnsi="Arial" w:cs="Arial"/>
          <w:szCs w:val="24"/>
        </w:rPr>
        <w:t>p/n</w:t>
      </w:r>
      <w:proofErr w:type="spellEnd"/>
      <w:r w:rsidRPr="00327669">
        <w:rPr>
          <w:rFonts w:ascii="Arial" w:hAnsi="Arial" w:cs="Arial"/>
          <w:szCs w:val="24"/>
        </w:rPr>
        <w:t>) are classified as influential points.</w:t>
      </w:r>
    </w:p>
    <w:p w:rsidR="00465B8D" w:rsidRPr="00327669" w:rsidRDefault="00465B8D" w:rsidP="00465B8D">
      <w:pPr>
        <w:autoSpaceDE w:val="0"/>
        <w:autoSpaceDN w:val="0"/>
        <w:adjustRightInd w:val="0"/>
        <w:spacing w:after="0"/>
        <w:jc w:val="both"/>
        <w:rPr>
          <w:rFonts w:ascii="Arial" w:hAnsi="Arial" w:cs="Arial"/>
          <w:szCs w:val="24"/>
        </w:rPr>
      </w:pPr>
      <w:r w:rsidRPr="00327669">
        <w:rPr>
          <w:rFonts w:ascii="Arial" w:hAnsi="Arial" w:cs="Arial"/>
          <w:szCs w:val="24"/>
        </w:rPr>
        <w:t xml:space="preserve"> </w:t>
      </w:r>
    </w:p>
    <w:p w:rsidR="00465B8D" w:rsidRDefault="00465B8D" w:rsidP="00465B8D">
      <w:pPr>
        <w:autoSpaceDE w:val="0"/>
        <w:autoSpaceDN w:val="0"/>
        <w:adjustRightInd w:val="0"/>
        <w:spacing w:after="0"/>
        <w:jc w:val="both"/>
        <w:rPr>
          <w:rFonts w:ascii="Arial" w:hAnsi="Arial" w:cs="Arial"/>
          <w:szCs w:val="24"/>
        </w:rPr>
      </w:pPr>
      <w:r>
        <w:rPr>
          <w:rFonts w:ascii="Arial" w:hAnsi="Arial" w:cs="Arial"/>
          <w:szCs w:val="24"/>
        </w:rPr>
        <w:t>Regression</w:t>
      </w:r>
      <w:r w:rsidRPr="00234895">
        <w:rPr>
          <w:rFonts w:ascii="Arial" w:hAnsi="Arial" w:cs="Arial"/>
          <w:szCs w:val="24"/>
        </w:rPr>
        <w:t xml:space="preserve"> on </w:t>
      </w:r>
      <w:r>
        <w:rPr>
          <w:rFonts w:ascii="Arial" w:hAnsi="Arial" w:cs="Arial"/>
          <w:szCs w:val="24"/>
        </w:rPr>
        <w:t>health board dummy variables, s</w:t>
      </w:r>
      <w:r w:rsidRPr="00234895">
        <w:rPr>
          <w:rFonts w:ascii="Arial" w:hAnsi="Arial" w:cs="Arial"/>
          <w:szCs w:val="24"/>
        </w:rPr>
        <w:t xml:space="preserve">upply variables and </w:t>
      </w:r>
      <w:r>
        <w:rPr>
          <w:rFonts w:ascii="Arial" w:hAnsi="Arial" w:cs="Arial"/>
          <w:szCs w:val="24"/>
        </w:rPr>
        <w:t>acute needs index (reference model)</w:t>
      </w:r>
      <w:r w:rsidRPr="00234895">
        <w:rPr>
          <w:rFonts w:ascii="Arial" w:hAnsi="Arial" w:cs="Arial"/>
          <w:szCs w:val="24"/>
        </w:rPr>
        <w:t xml:space="preserve"> is performed for each diagnostic group separately </w:t>
      </w:r>
      <w:r>
        <w:rPr>
          <w:rFonts w:ascii="Arial" w:hAnsi="Arial" w:cs="Arial"/>
          <w:szCs w:val="24"/>
        </w:rPr>
        <w:t xml:space="preserve">at 1 year Data Zones, 3 years Data Zones and 1 year Intermediate Zones. </w:t>
      </w:r>
      <w:r>
        <w:rPr>
          <w:rFonts w:ascii="Arial" w:hAnsi="Arial" w:cs="Arial"/>
        </w:rPr>
        <w:t xml:space="preserve">There is one influential point for </w:t>
      </w:r>
      <w:r>
        <w:rPr>
          <w:rFonts w:ascii="Arial" w:hAnsi="Arial" w:cs="Arial"/>
        </w:rPr>
        <w:lastRenderedPageBreak/>
        <w:t xml:space="preserve">Respiratory at 1 year Data Zones. However, this particular Data Zone cost ratio is not influencing all the fitted values but just its own fitted value. There are no influential points at 3 years Data Zones and 1 year Intermediate Zones. </w:t>
      </w:r>
      <w:r>
        <w:rPr>
          <w:rFonts w:ascii="Arial" w:hAnsi="Arial" w:cs="Arial"/>
          <w:szCs w:val="24"/>
        </w:rPr>
        <w:t xml:space="preserve">The numbers of residuals outliers are included in table </w:t>
      </w:r>
      <w:r w:rsidR="005F30B5">
        <w:rPr>
          <w:rFonts w:ascii="Arial" w:hAnsi="Arial" w:cs="Arial"/>
          <w:szCs w:val="24"/>
        </w:rPr>
        <w:t>D.</w:t>
      </w:r>
      <w:r>
        <w:rPr>
          <w:rFonts w:ascii="Arial" w:hAnsi="Arial" w:cs="Arial"/>
          <w:szCs w:val="24"/>
        </w:rPr>
        <w:t>2 below.</w:t>
      </w:r>
    </w:p>
    <w:p w:rsidR="00465B8D" w:rsidRDefault="00465B8D" w:rsidP="00465B8D">
      <w:pPr>
        <w:autoSpaceDE w:val="0"/>
        <w:autoSpaceDN w:val="0"/>
        <w:adjustRightInd w:val="0"/>
        <w:spacing w:after="0"/>
        <w:jc w:val="both"/>
        <w:rPr>
          <w:rFonts w:ascii="Arial" w:hAnsi="Arial" w:cs="Arial"/>
          <w:szCs w:val="24"/>
        </w:rPr>
      </w:pPr>
    </w:p>
    <w:p w:rsidR="00465B8D" w:rsidRPr="005F0D2F" w:rsidRDefault="00465B8D" w:rsidP="00465B8D">
      <w:pPr>
        <w:autoSpaceDE w:val="0"/>
        <w:autoSpaceDN w:val="0"/>
        <w:adjustRightInd w:val="0"/>
        <w:spacing w:after="0"/>
        <w:jc w:val="both"/>
        <w:rPr>
          <w:rFonts w:ascii="Arial" w:hAnsi="Arial" w:cs="Arial"/>
          <w:szCs w:val="24"/>
        </w:rPr>
      </w:pPr>
      <w:r>
        <w:rPr>
          <w:rFonts w:ascii="Arial" w:hAnsi="Arial" w:cs="Arial"/>
          <w:i/>
          <w:szCs w:val="24"/>
        </w:rPr>
        <w:t xml:space="preserve">Table </w:t>
      </w:r>
      <w:r w:rsidR="005F30B5">
        <w:rPr>
          <w:rFonts w:ascii="Arial" w:hAnsi="Arial" w:cs="Arial"/>
          <w:i/>
          <w:szCs w:val="24"/>
        </w:rPr>
        <w:t>D.</w:t>
      </w:r>
      <w:r>
        <w:rPr>
          <w:rFonts w:ascii="Arial" w:hAnsi="Arial" w:cs="Arial"/>
          <w:i/>
          <w:szCs w:val="24"/>
        </w:rPr>
        <w:t>2</w:t>
      </w:r>
      <w:r w:rsidRPr="00327669">
        <w:rPr>
          <w:rFonts w:ascii="Arial" w:hAnsi="Arial" w:cs="Arial"/>
          <w:i/>
          <w:szCs w:val="24"/>
        </w:rPr>
        <w:t xml:space="preserve">. </w:t>
      </w:r>
      <w:proofErr w:type="gramStart"/>
      <w:r w:rsidRPr="00327669">
        <w:rPr>
          <w:rFonts w:ascii="Arial" w:hAnsi="Arial" w:cs="Arial"/>
          <w:i/>
          <w:szCs w:val="24"/>
        </w:rPr>
        <w:t xml:space="preserve">Number </w:t>
      </w:r>
      <w:r w:rsidR="00C14DDE">
        <w:rPr>
          <w:rFonts w:ascii="Arial" w:hAnsi="Arial" w:cs="Arial"/>
          <w:i/>
          <w:szCs w:val="24"/>
        </w:rPr>
        <w:t xml:space="preserve">and Percentage </w:t>
      </w:r>
      <w:r w:rsidRPr="00327669">
        <w:rPr>
          <w:rFonts w:ascii="Arial" w:hAnsi="Arial" w:cs="Arial"/>
          <w:i/>
          <w:szCs w:val="24"/>
        </w:rPr>
        <w:t xml:space="preserve">of </w:t>
      </w:r>
      <w:r w:rsidR="00C14DDE">
        <w:rPr>
          <w:rFonts w:ascii="Arial" w:hAnsi="Arial" w:cs="Arial"/>
          <w:i/>
          <w:szCs w:val="24"/>
        </w:rPr>
        <w:t>r</w:t>
      </w:r>
      <w:r w:rsidRPr="00327669">
        <w:rPr>
          <w:rFonts w:ascii="Arial" w:hAnsi="Arial" w:cs="Arial"/>
          <w:i/>
          <w:szCs w:val="24"/>
        </w:rPr>
        <w:t xml:space="preserve">esiduals </w:t>
      </w:r>
      <w:r w:rsidR="00C14DDE">
        <w:rPr>
          <w:rFonts w:ascii="Arial" w:hAnsi="Arial" w:cs="Arial"/>
          <w:i/>
          <w:szCs w:val="24"/>
        </w:rPr>
        <w:t>o</w:t>
      </w:r>
      <w:r w:rsidRPr="00327669">
        <w:rPr>
          <w:rFonts w:ascii="Arial" w:hAnsi="Arial" w:cs="Arial"/>
          <w:i/>
          <w:szCs w:val="24"/>
        </w:rPr>
        <w:t>utliers.</w:t>
      </w:r>
      <w:proofErr w:type="gramEnd"/>
    </w:p>
    <w:tbl>
      <w:tblPr>
        <w:tblW w:w="0" w:type="auto"/>
        <w:tblLayout w:type="fixed"/>
        <w:tblLook w:val="04A0"/>
      </w:tblPr>
      <w:tblGrid>
        <w:gridCol w:w="3227"/>
        <w:gridCol w:w="850"/>
        <w:gridCol w:w="851"/>
        <w:gridCol w:w="850"/>
        <w:gridCol w:w="851"/>
        <w:gridCol w:w="850"/>
        <w:gridCol w:w="851"/>
        <w:gridCol w:w="912"/>
      </w:tblGrid>
      <w:tr w:rsidR="00465B8D" w:rsidRPr="00F230CB" w:rsidTr="00124FD7">
        <w:trPr>
          <w:cantSplit/>
          <w:trHeight w:val="1408"/>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DDE" w:rsidRDefault="00465B8D" w:rsidP="00C14DDE">
            <w:pPr>
              <w:spacing w:after="0" w:line="240" w:lineRule="auto"/>
              <w:rPr>
                <w:rFonts w:ascii="Arial" w:eastAsia="Times New Roman" w:hAnsi="Arial" w:cs="Arial"/>
                <w:b/>
                <w:bCs/>
                <w:color w:val="000000"/>
                <w:szCs w:val="20"/>
                <w:lang w:eastAsia="en-GB"/>
              </w:rPr>
            </w:pPr>
            <w:r>
              <w:rPr>
                <w:rFonts w:ascii="Arial" w:eastAsia="Times New Roman" w:hAnsi="Arial" w:cs="Arial"/>
                <w:b/>
                <w:bCs/>
                <w:color w:val="000000"/>
                <w:szCs w:val="20"/>
                <w:lang w:eastAsia="en-GB"/>
              </w:rPr>
              <w:t>Number</w:t>
            </w:r>
            <w:r w:rsidR="00C14DDE">
              <w:rPr>
                <w:rFonts w:ascii="Arial" w:eastAsia="Times New Roman" w:hAnsi="Arial" w:cs="Arial"/>
                <w:b/>
                <w:bCs/>
                <w:color w:val="000000"/>
                <w:szCs w:val="20"/>
                <w:lang w:eastAsia="en-GB"/>
              </w:rPr>
              <w:t xml:space="preserve"> and Percentage</w:t>
            </w:r>
          </w:p>
          <w:p w:rsidR="00465B8D" w:rsidRPr="00F230CB" w:rsidRDefault="00465B8D" w:rsidP="00C14DDE">
            <w:pPr>
              <w:spacing w:after="0" w:line="240" w:lineRule="auto"/>
              <w:rPr>
                <w:rFonts w:ascii="Arial" w:eastAsia="Times New Roman" w:hAnsi="Arial" w:cs="Arial"/>
                <w:b/>
                <w:bCs/>
                <w:color w:val="000000"/>
                <w:szCs w:val="20"/>
                <w:lang w:eastAsia="en-GB"/>
              </w:rPr>
            </w:pPr>
            <w:r>
              <w:rPr>
                <w:rFonts w:ascii="Arial" w:eastAsia="Times New Roman" w:hAnsi="Arial" w:cs="Arial"/>
                <w:b/>
                <w:bCs/>
                <w:color w:val="000000"/>
                <w:szCs w:val="20"/>
                <w:lang w:eastAsia="en-GB"/>
              </w:rPr>
              <w:t>of</w:t>
            </w:r>
            <w:r w:rsidRPr="00F230CB">
              <w:rPr>
                <w:rFonts w:ascii="Arial" w:eastAsia="Times New Roman" w:hAnsi="Arial" w:cs="Arial"/>
                <w:b/>
                <w:bCs/>
                <w:color w:val="000000"/>
                <w:szCs w:val="20"/>
                <w:lang w:eastAsia="en-GB"/>
              </w:rPr>
              <w:t xml:space="preserve"> </w:t>
            </w:r>
            <w:r>
              <w:rPr>
                <w:rFonts w:ascii="Arial" w:eastAsia="Times New Roman" w:hAnsi="Arial" w:cs="Arial"/>
                <w:b/>
                <w:bCs/>
                <w:color w:val="000000"/>
                <w:szCs w:val="20"/>
                <w:lang w:eastAsia="en-GB"/>
              </w:rPr>
              <w:t>residuals</w:t>
            </w:r>
            <w:r w:rsidRPr="00F230CB">
              <w:rPr>
                <w:rFonts w:ascii="Arial" w:eastAsia="Times New Roman" w:hAnsi="Arial" w:cs="Arial"/>
                <w:b/>
                <w:bCs/>
                <w:color w:val="000000"/>
                <w:szCs w:val="20"/>
                <w:lang w:eastAsia="en-GB"/>
              </w:rPr>
              <w:t xml:space="preserve"> outliers</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65B8D" w:rsidRPr="00F230CB" w:rsidRDefault="00465B8D"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Cancer</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65B8D" w:rsidRPr="00F230CB" w:rsidRDefault="00465B8D"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Heart</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65B8D" w:rsidRPr="00F230CB" w:rsidRDefault="00465B8D"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Digestive</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65B8D" w:rsidRPr="00F230CB" w:rsidRDefault="00465B8D"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Injury</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65B8D" w:rsidRPr="00F230CB" w:rsidRDefault="00465B8D"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Other</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65B8D" w:rsidRPr="00F230CB" w:rsidRDefault="00465B8D"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Respiratory</w:t>
            </w:r>
          </w:p>
        </w:tc>
        <w:tc>
          <w:tcPr>
            <w:tcW w:w="91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65B8D" w:rsidRPr="00F230CB" w:rsidRDefault="00465B8D" w:rsidP="00124FD7">
            <w:pPr>
              <w:spacing w:after="0" w:line="240" w:lineRule="auto"/>
              <w:ind w:left="113" w:right="113"/>
              <w:rPr>
                <w:rFonts w:ascii="Arial" w:eastAsia="Times New Roman" w:hAnsi="Arial" w:cs="Arial"/>
                <w:color w:val="000000"/>
                <w:szCs w:val="20"/>
                <w:lang w:eastAsia="en-GB"/>
              </w:rPr>
            </w:pPr>
            <w:r w:rsidRPr="00F230CB">
              <w:rPr>
                <w:rFonts w:ascii="Arial" w:eastAsia="Times New Roman" w:hAnsi="Arial" w:cs="Arial"/>
                <w:color w:val="000000"/>
                <w:szCs w:val="20"/>
                <w:lang w:eastAsia="en-GB"/>
              </w:rPr>
              <w:t>Outpatients</w:t>
            </w:r>
          </w:p>
        </w:tc>
      </w:tr>
      <w:tr w:rsidR="00465B8D" w:rsidRPr="00F230CB" w:rsidTr="00124FD7">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8D" w:rsidRPr="00F230CB" w:rsidRDefault="00465B8D" w:rsidP="00124FD7">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1 year Data Z</w:t>
            </w:r>
            <w:r w:rsidRPr="00F230CB">
              <w:rPr>
                <w:rFonts w:ascii="Arial" w:eastAsia="Times New Roman" w:hAnsi="Arial" w:cs="Arial"/>
                <w:color w:val="000000"/>
                <w:szCs w:val="20"/>
                <w:lang w:eastAsia="en-GB"/>
              </w:rPr>
              <w:t>ones</w:t>
            </w:r>
          </w:p>
        </w:tc>
        <w:tc>
          <w:tcPr>
            <w:tcW w:w="850" w:type="dxa"/>
            <w:tcBorders>
              <w:top w:val="nil"/>
              <w:left w:val="nil"/>
              <w:bottom w:val="single" w:sz="4" w:space="0" w:color="auto"/>
              <w:right w:val="single" w:sz="4" w:space="0" w:color="auto"/>
            </w:tcBorders>
            <w:shd w:val="clear" w:color="auto" w:fill="auto"/>
            <w:noWrap/>
            <w:vAlign w:val="bottom"/>
            <w:hideMark/>
          </w:tcPr>
          <w:p w:rsidR="00465B8D" w:rsidRPr="00AA66A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20</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0.31%</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26</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0.40%</w:t>
            </w:r>
          </w:p>
        </w:tc>
        <w:tc>
          <w:tcPr>
            <w:tcW w:w="850" w:type="dxa"/>
            <w:tcBorders>
              <w:top w:val="nil"/>
              <w:left w:val="nil"/>
              <w:bottom w:val="single" w:sz="4" w:space="0" w:color="auto"/>
              <w:right w:val="single" w:sz="4" w:space="0" w:color="auto"/>
            </w:tcBorders>
            <w:shd w:val="clear" w:color="auto" w:fill="auto"/>
            <w:noWrap/>
            <w:vAlign w:val="center"/>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30</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0.46%</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27</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0.42%</w:t>
            </w:r>
          </w:p>
        </w:tc>
        <w:tc>
          <w:tcPr>
            <w:tcW w:w="850"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21</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0.32%</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26</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0.40%</w:t>
            </w:r>
          </w:p>
        </w:tc>
        <w:tc>
          <w:tcPr>
            <w:tcW w:w="912"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8</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0.12%</w:t>
            </w:r>
          </w:p>
        </w:tc>
      </w:tr>
      <w:tr w:rsidR="00465B8D" w:rsidRPr="00F230CB" w:rsidTr="00124FD7">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8D" w:rsidRPr="00F230CB" w:rsidRDefault="00465B8D" w:rsidP="00124FD7">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3 years Data Z</w:t>
            </w:r>
            <w:r w:rsidRPr="00F230CB">
              <w:rPr>
                <w:rFonts w:ascii="Arial" w:eastAsia="Times New Roman" w:hAnsi="Arial" w:cs="Arial"/>
                <w:color w:val="000000"/>
                <w:szCs w:val="20"/>
                <w:lang w:eastAsia="en-GB"/>
              </w:rPr>
              <w:t>ones</w:t>
            </w:r>
          </w:p>
        </w:tc>
        <w:tc>
          <w:tcPr>
            <w:tcW w:w="850"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14</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0.22%</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18</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0.28%</w:t>
            </w:r>
          </w:p>
        </w:tc>
        <w:tc>
          <w:tcPr>
            <w:tcW w:w="850"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17</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0.26%</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17</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0.26%</w:t>
            </w:r>
          </w:p>
        </w:tc>
        <w:tc>
          <w:tcPr>
            <w:tcW w:w="850"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12</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0.18%</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28</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0.43%</w:t>
            </w:r>
          </w:p>
        </w:tc>
        <w:tc>
          <w:tcPr>
            <w:tcW w:w="912"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8</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0.12%</w:t>
            </w:r>
          </w:p>
        </w:tc>
      </w:tr>
      <w:tr w:rsidR="00465B8D" w:rsidRPr="00F230CB" w:rsidTr="00124FD7">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8D" w:rsidRPr="00F230CB" w:rsidRDefault="00465B8D" w:rsidP="00124FD7">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1 year Intermediate Z</w:t>
            </w:r>
            <w:r w:rsidRPr="00F230CB">
              <w:rPr>
                <w:rFonts w:ascii="Arial" w:eastAsia="Times New Roman" w:hAnsi="Arial" w:cs="Arial"/>
                <w:color w:val="000000"/>
                <w:szCs w:val="20"/>
                <w:lang w:eastAsia="en-GB"/>
              </w:rPr>
              <w:t>ones</w:t>
            </w:r>
          </w:p>
        </w:tc>
        <w:tc>
          <w:tcPr>
            <w:tcW w:w="850"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0.16%</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0.16%</w:t>
            </w:r>
          </w:p>
        </w:tc>
        <w:tc>
          <w:tcPr>
            <w:tcW w:w="850"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5</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0.40%</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3</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0.24%</w:t>
            </w:r>
          </w:p>
        </w:tc>
        <w:tc>
          <w:tcPr>
            <w:tcW w:w="850"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1</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0.08%</w:t>
            </w:r>
          </w:p>
        </w:tc>
        <w:tc>
          <w:tcPr>
            <w:tcW w:w="851"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4</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sidRPr="00AA66AD">
              <w:rPr>
                <w:rFonts w:ascii="Arial" w:eastAsia="Times New Roman" w:hAnsi="Arial" w:cs="Arial"/>
                <w:color w:val="000000"/>
                <w:sz w:val="20"/>
                <w:szCs w:val="20"/>
                <w:lang w:eastAsia="en-GB"/>
              </w:rPr>
              <w:t>0.32%</w:t>
            </w:r>
          </w:p>
        </w:tc>
        <w:tc>
          <w:tcPr>
            <w:tcW w:w="912" w:type="dxa"/>
            <w:tcBorders>
              <w:top w:val="nil"/>
              <w:left w:val="nil"/>
              <w:bottom w:val="single" w:sz="4" w:space="0" w:color="auto"/>
              <w:right w:val="single" w:sz="4" w:space="0" w:color="auto"/>
            </w:tcBorders>
            <w:shd w:val="clear" w:color="auto" w:fill="auto"/>
            <w:noWrap/>
            <w:vAlign w:val="bottom"/>
            <w:hideMark/>
          </w:tcPr>
          <w:p w:rsidR="00465B8D" w:rsidRDefault="00465B8D" w:rsidP="00124FD7">
            <w:pPr>
              <w:spacing w:after="0" w:line="240" w:lineRule="auto"/>
              <w:jc w:val="right"/>
              <w:rPr>
                <w:rFonts w:ascii="Arial" w:eastAsia="Times New Roman" w:hAnsi="Arial" w:cs="Arial"/>
                <w:b/>
                <w:color w:val="000000"/>
                <w:sz w:val="20"/>
                <w:szCs w:val="20"/>
                <w:lang w:eastAsia="en-GB"/>
              </w:rPr>
            </w:pPr>
            <w:r w:rsidRPr="00AA66AD">
              <w:rPr>
                <w:rFonts w:ascii="Arial" w:eastAsia="Times New Roman" w:hAnsi="Arial" w:cs="Arial"/>
                <w:b/>
                <w:color w:val="000000"/>
                <w:sz w:val="20"/>
                <w:szCs w:val="20"/>
                <w:lang w:eastAsia="en-GB"/>
              </w:rPr>
              <w:t>2</w:t>
            </w:r>
          </w:p>
          <w:p w:rsidR="00465B8D" w:rsidRPr="00AA66AD" w:rsidRDefault="00465B8D" w:rsidP="00124FD7">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0.16%</w:t>
            </w:r>
          </w:p>
        </w:tc>
      </w:tr>
    </w:tbl>
    <w:p w:rsidR="00465B8D" w:rsidRDefault="00465B8D" w:rsidP="00465B8D">
      <w:pPr>
        <w:autoSpaceDE w:val="0"/>
        <w:autoSpaceDN w:val="0"/>
        <w:adjustRightInd w:val="0"/>
        <w:spacing w:after="0" w:line="240" w:lineRule="auto"/>
        <w:jc w:val="both"/>
        <w:rPr>
          <w:rFonts w:ascii="Arial" w:hAnsi="Arial" w:cs="Arial"/>
          <w:b/>
          <w:szCs w:val="24"/>
        </w:rPr>
      </w:pPr>
    </w:p>
    <w:p w:rsidR="00465B8D" w:rsidRDefault="00465B8D" w:rsidP="00465B8D">
      <w:pPr>
        <w:autoSpaceDE w:val="0"/>
        <w:autoSpaceDN w:val="0"/>
        <w:adjustRightInd w:val="0"/>
        <w:spacing w:after="0" w:line="240" w:lineRule="auto"/>
        <w:jc w:val="both"/>
        <w:rPr>
          <w:rFonts w:ascii="Arial" w:hAnsi="Arial" w:cs="Arial"/>
          <w:b/>
          <w:szCs w:val="24"/>
        </w:rPr>
      </w:pPr>
    </w:p>
    <w:p w:rsidR="00465B8D" w:rsidRDefault="005F30B5" w:rsidP="00465B8D">
      <w:pPr>
        <w:autoSpaceDE w:val="0"/>
        <w:autoSpaceDN w:val="0"/>
        <w:adjustRightInd w:val="0"/>
        <w:spacing w:after="0" w:line="240" w:lineRule="auto"/>
        <w:jc w:val="both"/>
        <w:rPr>
          <w:rFonts w:ascii="Arial" w:hAnsi="Arial" w:cs="Arial"/>
          <w:b/>
          <w:szCs w:val="24"/>
        </w:rPr>
      </w:pPr>
      <w:r>
        <w:rPr>
          <w:rFonts w:ascii="Arial" w:hAnsi="Arial" w:cs="Arial"/>
          <w:b/>
          <w:szCs w:val="24"/>
        </w:rPr>
        <w:t>D.</w:t>
      </w:r>
      <w:r w:rsidR="00465B8D">
        <w:rPr>
          <w:rFonts w:ascii="Arial" w:hAnsi="Arial" w:cs="Arial"/>
          <w:b/>
          <w:szCs w:val="24"/>
        </w:rPr>
        <w:t>3 Summary</w:t>
      </w:r>
    </w:p>
    <w:p w:rsidR="00465B8D" w:rsidRDefault="00465B8D" w:rsidP="00465B8D">
      <w:pPr>
        <w:autoSpaceDE w:val="0"/>
        <w:autoSpaceDN w:val="0"/>
        <w:adjustRightInd w:val="0"/>
        <w:spacing w:after="0" w:line="240" w:lineRule="auto"/>
        <w:jc w:val="both"/>
        <w:rPr>
          <w:rFonts w:ascii="Arial" w:hAnsi="Arial" w:cs="Arial"/>
          <w:b/>
          <w:szCs w:val="24"/>
        </w:rPr>
      </w:pPr>
    </w:p>
    <w:p w:rsidR="00465B8D" w:rsidRDefault="00465B8D" w:rsidP="00533E9E">
      <w:pPr>
        <w:autoSpaceDE w:val="0"/>
        <w:autoSpaceDN w:val="0"/>
        <w:adjustRightInd w:val="0"/>
        <w:spacing w:after="0"/>
        <w:jc w:val="both"/>
        <w:rPr>
          <w:rFonts w:ascii="Arial" w:hAnsi="Arial" w:cs="Arial"/>
          <w:szCs w:val="24"/>
        </w:rPr>
      </w:pPr>
      <w:r>
        <w:rPr>
          <w:rFonts w:ascii="Arial" w:hAnsi="Arial" w:cs="Arial"/>
          <w:szCs w:val="24"/>
        </w:rPr>
        <w:t xml:space="preserve">The cost ratios, the dependent variable in the regression analysis, are not normally distributed and their distribution is close to normal just at Intermediate Zones. There are twice </w:t>
      </w:r>
      <w:r w:rsidR="00F504B5">
        <w:rPr>
          <w:rFonts w:ascii="Arial" w:hAnsi="Arial" w:cs="Arial"/>
          <w:szCs w:val="24"/>
        </w:rPr>
        <w:t>as many</w:t>
      </w:r>
      <w:r>
        <w:rPr>
          <w:rFonts w:ascii="Arial" w:hAnsi="Arial" w:cs="Arial"/>
          <w:szCs w:val="24"/>
        </w:rPr>
        <w:t xml:space="preserve"> cost ratio outliers at 1 year Data Zones </w:t>
      </w:r>
      <w:r w:rsidR="00533E9E">
        <w:rPr>
          <w:rFonts w:ascii="Arial" w:hAnsi="Arial" w:cs="Arial"/>
          <w:szCs w:val="24"/>
        </w:rPr>
        <w:t>as</w:t>
      </w:r>
      <w:r>
        <w:rPr>
          <w:rFonts w:ascii="Arial" w:hAnsi="Arial" w:cs="Arial"/>
          <w:szCs w:val="24"/>
        </w:rPr>
        <w:t xml:space="preserve"> at 1 year Intermediate Zones.</w:t>
      </w:r>
    </w:p>
    <w:p w:rsidR="00465B8D" w:rsidRDefault="00465B8D" w:rsidP="00465B8D">
      <w:pPr>
        <w:autoSpaceDE w:val="0"/>
        <w:autoSpaceDN w:val="0"/>
        <w:adjustRightInd w:val="0"/>
        <w:spacing w:after="0" w:line="240" w:lineRule="auto"/>
        <w:jc w:val="both"/>
        <w:rPr>
          <w:rFonts w:ascii="Arial" w:hAnsi="Arial" w:cs="Arial"/>
          <w:szCs w:val="24"/>
        </w:rPr>
      </w:pPr>
    </w:p>
    <w:p w:rsidR="00074EDC" w:rsidRDefault="00465B8D" w:rsidP="00465B8D">
      <w:pPr>
        <w:jc w:val="both"/>
        <w:rPr>
          <w:rFonts w:ascii="Arial" w:hAnsi="Arial" w:cs="Arial"/>
        </w:rPr>
      </w:pPr>
      <w:r>
        <w:rPr>
          <w:rFonts w:ascii="Arial" w:hAnsi="Arial" w:cs="Arial"/>
          <w:szCs w:val="24"/>
        </w:rPr>
        <w:t xml:space="preserve">The reference model residual outliers are </w:t>
      </w:r>
      <w:r w:rsidR="00533E9E">
        <w:rPr>
          <w:rFonts w:ascii="Arial" w:hAnsi="Arial" w:cs="Arial"/>
          <w:szCs w:val="24"/>
        </w:rPr>
        <w:t xml:space="preserve">also </w:t>
      </w:r>
      <w:r>
        <w:rPr>
          <w:rFonts w:ascii="Arial" w:hAnsi="Arial" w:cs="Arial"/>
          <w:szCs w:val="24"/>
        </w:rPr>
        <w:t xml:space="preserve">not normally distributed and their distribution is close to normal just at Intermediate Zones. There is 1 influential point at 1 year Data Zones (influencing its own fitted value). There are twice </w:t>
      </w:r>
      <w:r w:rsidR="00533E9E">
        <w:rPr>
          <w:rFonts w:ascii="Arial" w:hAnsi="Arial" w:cs="Arial"/>
          <w:szCs w:val="24"/>
        </w:rPr>
        <w:t>as many</w:t>
      </w:r>
      <w:r>
        <w:rPr>
          <w:rFonts w:ascii="Arial" w:hAnsi="Arial" w:cs="Arial"/>
          <w:szCs w:val="24"/>
        </w:rPr>
        <w:t xml:space="preserve"> reference model residual outliers at 1 year Data Zones </w:t>
      </w:r>
      <w:r w:rsidR="00533E9E">
        <w:rPr>
          <w:rFonts w:ascii="Arial" w:hAnsi="Arial" w:cs="Arial"/>
          <w:szCs w:val="24"/>
        </w:rPr>
        <w:t>as</w:t>
      </w:r>
      <w:r>
        <w:rPr>
          <w:rFonts w:ascii="Arial" w:hAnsi="Arial" w:cs="Arial"/>
          <w:szCs w:val="24"/>
        </w:rPr>
        <w:t xml:space="preserve"> at 1 year Intermediate Zones.</w:t>
      </w:r>
    </w:p>
    <w:p w:rsidR="004A018D" w:rsidRDefault="004A018D" w:rsidP="000C2A96">
      <w:pPr>
        <w:jc w:val="both"/>
        <w:rPr>
          <w:rFonts w:ascii="Arial" w:hAnsi="Arial" w:cs="Arial"/>
        </w:rPr>
      </w:pPr>
    </w:p>
    <w:p w:rsidR="00074EDC" w:rsidRDefault="00074EDC">
      <w:pPr>
        <w:rPr>
          <w:rFonts w:ascii="Arial" w:hAnsi="Arial" w:cs="Arial"/>
          <w:b/>
        </w:rPr>
      </w:pPr>
      <w:r>
        <w:rPr>
          <w:rFonts w:ascii="Arial" w:hAnsi="Arial" w:cs="Arial"/>
          <w:b/>
        </w:rPr>
        <w:br w:type="page"/>
      </w:r>
    </w:p>
    <w:p w:rsidR="004A018D" w:rsidRPr="00180CFC" w:rsidRDefault="007D4337" w:rsidP="004A018D">
      <w:pPr>
        <w:rPr>
          <w:rFonts w:ascii="Arial" w:hAnsi="Arial" w:cs="Arial"/>
          <w:b/>
        </w:rPr>
      </w:pPr>
      <w:r>
        <w:rPr>
          <w:rFonts w:ascii="Arial" w:hAnsi="Arial" w:cs="Arial"/>
          <w:b/>
        </w:rPr>
        <w:lastRenderedPageBreak/>
        <w:t xml:space="preserve">Annex </w:t>
      </w:r>
      <w:r w:rsidR="009B3E03">
        <w:rPr>
          <w:rFonts w:ascii="Arial" w:hAnsi="Arial" w:cs="Arial"/>
          <w:b/>
        </w:rPr>
        <w:t>E</w:t>
      </w:r>
      <w:r w:rsidR="004A018D" w:rsidRPr="00180CFC">
        <w:rPr>
          <w:rFonts w:ascii="Arial" w:hAnsi="Arial" w:cs="Arial"/>
          <w:b/>
        </w:rPr>
        <w:t xml:space="preserve">: SIMD minus Health </w:t>
      </w:r>
    </w:p>
    <w:p w:rsidR="0072509A" w:rsidRDefault="0072509A" w:rsidP="00872FF7">
      <w:pPr>
        <w:jc w:val="both"/>
        <w:rPr>
          <w:rFonts w:ascii="Arial" w:hAnsi="Arial" w:cs="Arial"/>
        </w:rPr>
      </w:pPr>
      <w:r>
        <w:rPr>
          <w:rFonts w:ascii="Arial" w:hAnsi="Arial" w:cs="Arial"/>
        </w:rPr>
        <w:t xml:space="preserve">The Scottish Government SIMD team provided the analytical team with “SIMD minus Health” scores. The newly calculated scores include Income, Employment, Education, Access, Crime and Housing domains. Two different calculation methods were used and the “SIMD minus Health” scores are referred to as Scenario 1 and Scenario 2.  </w:t>
      </w:r>
    </w:p>
    <w:p w:rsidR="00160CC1" w:rsidRDefault="0072509A" w:rsidP="00160CC1">
      <w:pPr>
        <w:jc w:val="both"/>
        <w:rPr>
          <w:rFonts w:ascii="Arial" w:hAnsi="Arial" w:cs="Arial"/>
        </w:rPr>
      </w:pPr>
      <w:r w:rsidRPr="00180CFC">
        <w:rPr>
          <w:rFonts w:ascii="Arial" w:hAnsi="Arial" w:cs="Arial"/>
        </w:rPr>
        <w:t xml:space="preserve">Scenario 1 uses proportionally increased weights for the other </w:t>
      </w:r>
      <w:r>
        <w:rPr>
          <w:rFonts w:ascii="Arial" w:hAnsi="Arial" w:cs="Arial"/>
        </w:rPr>
        <w:t>six</w:t>
      </w:r>
      <w:r w:rsidRPr="00180CFC">
        <w:rPr>
          <w:rFonts w:ascii="Arial" w:hAnsi="Arial" w:cs="Arial"/>
        </w:rPr>
        <w:t xml:space="preserve"> domains (when excluding the Health domain which accounts for 14% of the overall SIMD score). Scenario 2 fixes the weights of </w:t>
      </w:r>
      <w:r>
        <w:rPr>
          <w:rFonts w:ascii="Arial" w:hAnsi="Arial" w:cs="Arial"/>
        </w:rPr>
        <w:t xml:space="preserve">the largest domains, </w:t>
      </w:r>
      <w:r w:rsidRPr="00180CFC">
        <w:rPr>
          <w:rFonts w:ascii="Arial" w:hAnsi="Arial" w:cs="Arial"/>
        </w:rPr>
        <w:t>Employment and Income</w:t>
      </w:r>
      <w:r>
        <w:rPr>
          <w:rFonts w:ascii="Arial" w:hAnsi="Arial" w:cs="Arial"/>
        </w:rPr>
        <w:t>,</w:t>
      </w:r>
      <w:r w:rsidRPr="00180CFC">
        <w:rPr>
          <w:rFonts w:ascii="Arial" w:hAnsi="Arial" w:cs="Arial"/>
        </w:rPr>
        <w:t xml:space="preserve"> to their usual value (28% each) and then increases proportionally the weights of the other </w:t>
      </w:r>
      <w:r>
        <w:rPr>
          <w:rFonts w:ascii="Arial" w:hAnsi="Arial" w:cs="Arial"/>
        </w:rPr>
        <w:t>four</w:t>
      </w:r>
      <w:r w:rsidRPr="00180CFC">
        <w:rPr>
          <w:rFonts w:ascii="Arial" w:hAnsi="Arial" w:cs="Arial"/>
        </w:rPr>
        <w:t xml:space="preserve"> domains. Employment and Income </w:t>
      </w:r>
      <w:r>
        <w:rPr>
          <w:rFonts w:ascii="Arial" w:hAnsi="Arial" w:cs="Arial"/>
        </w:rPr>
        <w:t xml:space="preserve">make up 65% of the overall index in Scenario 1 and 56% in </w:t>
      </w:r>
      <w:r w:rsidRPr="00180CFC">
        <w:rPr>
          <w:rFonts w:ascii="Arial" w:hAnsi="Arial" w:cs="Arial"/>
        </w:rPr>
        <w:t>Scenario 2.</w:t>
      </w:r>
      <w:r>
        <w:rPr>
          <w:rFonts w:ascii="Arial" w:hAnsi="Arial" w:cs="Arial"/>
        </w:rPr>
        <w:t xml:space="preserve"> All </w:t>
      </w:r>
      <w:r w:rsidRPr="00180CFC">
        <w:rPr>
          <w:rFonts w:ascii="Arial" w:hAnsi="Arial" w:cs="Arial"/>
        </w:rPr>
        <w:t xml:space="preserve">domain weights </w:t>
      </w:r>
      <w:r>
        <w:rPr>
          <w:rFonts w:ascii="Arial" w:hAnsi="Arial" w:cs="Arial"/>
        </w:rPr>
        <w:t xml:space="preserve">for each scenario are given in Table </w:t>
      </w:r>
      <w:r w:rsidR="00502EC1">
        <w:rPr>
          <w:rFonts w:ascii="Arial" w:hAnsi="Arial" w:cs="Arial"/>
        </w:rPr>
        <w:t>E</w:t>
      </w:r>
      <w:r>
        <w:rPr>
          <w:rFonts w:ascii="Arial" w:hAnsi="Arial" w:cs="Arial"/>
        </w:rPr>
        <w:t>.1.</w:t>
      </w:r>
    </w:p>
    <w:p w:rsidR="003F469D" w:rsidRPr="00160CC1" w:rsidRDefault="003F469D" w:rsidP="00160CC1">
      <w:pPr>
        <w:spacing w:after="0"/>
        <w:jc w:val="both"/>
        <w:rPr>
          <w:rFonts w:ascii="Arial" w:hAnsi="Arial" w:cs="Arial"/>
        </w:rPr>
      </w:pPr>
      <w:r w:rsidRPr="00180CFC">
        <w:rPr>
          <w:rFonts w:ascii="Arial" w:hAnsi="Arial" w:cs="Arial"/>
          <w:i/>
        </w:rPr>
        <w:t xml:space="preserve">Table </w:t>
      </w:r>
      <w:r w:rsidR="00502EC1">
        <w:rPr>
          <w:rFonts w:ascii="Arial" w:hAnsi="Arial" w:cs="Arial"/>
          <w:i/>
        </w:rPr>
        <w:t>E</w:t>
      </w:r>
      <w:r>
        <w:rPr>
          <w:rFonts w:ascii="Arial" w:hAnsi="Arial" w:cs="Arial"/>
          <w:i/>
        </w:rPr>
        <w:t>.</w:t>
      </w:r>
      <w:r w:rsidRPr="00180CFC">
        <w:rPr>
          <w:rFonts w:ascii="Arial" w:hAnsi="Arial" w:cs="Arial"/>
          <w:i/>
        </w:rPr>
        <w:t xml:space="preserve">1. </w:t>
      </w:r>
      <w:r>
        <w:rPr>
          <w:rFonts w:ascii="Arial" w:hAnsi="Arial" w:cs="Arial"/>
          <w:i/>
        </w:rPr>
        <w:t>SIMD domain weightings</w:t>
      </w:r>
      <w:r w:rsidRPr="00180CFC">
        <w:rPr>
          <w:rFonts w:ascii="Arial" w:hAnsi="Arial" w:cs="Arial"/>
          <w:i/>
        </w:rPr>
        <w:t>.</w:t>
      </w:r>
    </w:p>
    <w:tbl>
      <w:tblPr>
        <w:tblW w:w="0" w:type="auto"/>
        <w:tblLook w:val="04A0"/>
      </w:tblPr>
      <w:tblGrid>
        <w:gridCol w:w="1973"/>
        <w:gridCol w:w="1228"/>
        <w:gridCol w:w="1228"/>
        <w:gridCol w:w="111"/>
        <w:gridCol w:w="111"/>
        <w:gridCol w:w="1873"/>
        <w:gridCol w:w="222"/>
        <w:gridCol w:w="222"/>
      </w:tblGrid>
      <w:tr w:rsidR="004A018D" w:rsidRPr="007807C9" w:rsidTr="00896A91">
        <w:trPr>
          <w:gridAfter w:val="2"/>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18D" w:rsidRPr="007807C9" w:rsidRDefault="004A018D" w:rsidP="007A0D18">
            <w:pPr>
              <w:spacing w:after="0" w:line="240" w:lineRule="auto"/>
              <w:jc w:val="center"/>
              <w:rPr>
                <w:rFonts w:ascii="Arial" w:eastAsia="Times New Roman" w:hAnsi="Arial" w:cs="Arial"/>
                <w:b/>
                <w:bCs/>
                <w:sz w:val="20"/>
                <w:szCs w:val="20"/>
                <w:lang w:eastAsia="en-GB"/>
              </w:rPr>
            </w:pPr>
            <w:r w:rsidRPr="007807C9">
              <w:rPr>
                <w:rFonts w:ascii="Arial" w:eastAsia="Times New Roman" w:hAnsi="Arial" w:cs="Arial"/>
                <w:b/>
                <w:bCs/>
                <w:sz w:val="20"/>
                <w:szCs w:val="20"/>
                <w:lang w:eastAsia="en-GB"/>
              </w:rPr>
              <w:t>SIMD minus Health Weightings</w:t>
            </w:r>
          </w:p>
        </w:tc>
      </w:tr>
      <w:tr w:rsidR="00896A91" w:rsidRPr="007807C9" w:rsidTr="00896A91">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6A91" w:rsidRPr="007807C9" w:rsidRDefault="00896A91" w:rsidP="00896A91">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Domain</w:t>
            </w:r>
            <w:r w:rsidRPr="007807C9">
              <w:rPr>
                <w:rFonts w:ascii="Arial" w:eastAsia="Times New Roman" w:hAnsi="Arial" w:cs="Arial"/>
                <w:b/>
                <w:bCs/>
                <w:sz w:val="20"/>
                <w:szCs w:val="20"/>
                <w:lang w:eastAsia="en-GB"/>
              </w:rPr>
              <w:t> </w:t>
            </w:r>
          </w:p>
        </w:tc>
        <w:tc>
          <w:tcPr>
            <w:tcW w:w="0" w:type="auto"/>
            <w:tcBorders>
              <w:top w:val="nil"/>
              <w:left w:val="single" w:sz="4" w:space="0" w:color="auto"/>
              <w:bottom w:val="single" w:sz="4" w:space="0" w:color="auto"/>
              <w:right w:val="single" w:sz="4" w:space="0" w:color="auto"/>
            </w:tcBorders>
            <w:shd w:val="clear" w:color="auto" w:fill="auto"/>
            <w:vAlign w:val="bottom"/>
          </w:tcPr>
          <w:p w:rsidR="00896A91" w:rsidRPr="007807C9" w:rsidRDefault="00896A91" w:rsidP="007A0D18">
            <w:pPr>
              <w:spacing w:after="0" w:line="240" w:lineRule="auto"/>
              <w:jc w:val="center"/>
              <w:rPr>
                <w:rFonts w:ascii="Arial" w:eastAsia="Times New Roman" w:hAnsi="Arial" w:cs="Arial"/>
                <w:b/>
                <w:bCs/>
                <w:sz w:val="20"/>
                <w:szCs w:val="20"/>
                <w:lang w:eastAsia="en-GB"/>
              </w:rPr>
            </w:pPr>
            <w:r w:rsidRPr="007807C9">
              <w:rPr>
                <w:rFonts w:ascii="Arial" w:eastAsia="Times New Roman" w:hAnsi="Arial" w:cs="Arial"/>
                <w:b/>
                <w:bCs/>
                <w:sz w:val="20"/>
                <w:szCs w:val="20"/>
                <w:lang w:eastAsia="en-GB"/>
              </w:rPr>
              <w:t>Scenario 1</w:t>
            </w:r>
          </w:p>
        </w:tc>
        <w:tc>
          <w:tcPr>
            <w:tcW w:w="0" w:type="auto"/>
            <w:gridSpan w:val="2"/>
            <w:tcBorders>
              <w:top w:val="nil"/>
              <w:left w:val="single" w:sz="4" w:space="0" w:color="auto"/>
              <w:bottom w:val="single" w:sz="4" w:space="0" w:color="auto"/>
              <w:right w:val="single" w:sz="4" w:space="0" w:color="auto"/>
            </w:tcBorders>
            <w:shd w:val="clear" w:color="auto" w:fill="auto"/>
            <w:vAlign w:val="bottom"/>
          </w:tcPr>
          <w:p w:rsidR="00896A91" w:rsidRPr="007807C9" w:rsidRDefault="00896A91" w:rsidP="007A0D18">
            <w:pPr>
              <w:spacing w:after="0" w:line="240" w:lineRule="auto"/>
              <w:jc w:val="center"/>
              <w:rPr>
                <w:rFonts w:ascii="Arial" w:eastAsia="Times New Roman" w:hAnsi="Arial" w:cs="Arial"/>
                <w:b/>
                <w:bCs/>
                <w:sz w:val="20"/>
                <w:szCs w:val="20"/>
                <w:lang w:eastAsia="en-GB"/>
              </w:rPr>
            </w:pPr>
            <w:r w:rsidRPr="007807C9">
              <w:rPr>
                <w:rFonts w:ascii="Arial" w:eastAsia="Times New Roman" w:hAnsi="Arial" w:cs="Arial"/>
                <w:b/>
                <w:bCs/>
                <w:sz w:val="20"/>
                <w:szCs w:val="20"/>
                <w:lang w:eastAsia="en-GB"/>
              </w:rPr>
              <w:t>Scenario 2</w:t>
            </w:r>
          </w:p>
        </w:tc>
        <w:tc>
          <w:tcPr>
            <w:tcW w:w="0" w:type="auto"/>
            <w:gridSpan w:val="2"/>
            <w:tcBorders>
              <w:top w:val="nil"/>
              <w:left w:val="single" w:sz="4" w:space="0" w:color="auto"/>
              <w:bottom w:val="single" w:sz="4" w:space="0" w:color="auto"/>
              <w:right w:val="single" w:sz="4" w:space="0" w:color="auto"/>
            </w:tcBorders>
            <w:shd w:val="clear" w:color="auto" w:fill="auto"/>
            <w:vAlign w:val="bottom"/>
          </w:tcPr>
          <w:p w:rsidR="00896A91" w:rsidRPr="007807C9" w:rsidRDefault="00896A91" w:rsidP="007A0D18">
            <w:pPr>
              <w:spacing w:after="0" w:line="240" w:lineRule="auto"/>
              <w:jc w:val="center"/>
              <w:rPr>
                <w:rFonts w:ascii="Arial" w:eastAsia="Times New Roman" w:hAnsi="Arial" w:cs="Arial"/>
                <w:b/>
                <w:bCs/>
                <w:sz w:val="20"/>
                <w:szCs w:val="20"/>
                <w:lang w:eastAsia="en-GB"/>
              </w:rPr>
            </w:pPr>
            <w:r w:rsidRPr="007807C9">
              <w:rPr>
                <w:rFonts w:ascii="Arial" w:eastAsia="Times New Roman" w:hAnsi="Arial" w:cs="Arial"/>
                <w:b/>
                <w:bCs/>
                <w:sz w:val="20"/>
                <w:szCs w:val="20"/>
                <w:lang w:eastAsia="en-GB"/>
              </w:rPr>
              <w:t>2012 SIMD Ranks</w:t>
            </w:r>
          </w:p>
        </w:tc>
      </w:tr>
      <w:tr w:rsidR="00896A91" w:rsidRPr="007807C9" w:rsidTr="00896A91">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center"/>
              <w:rPr>
                <w:rFonts w:ascii="Arial" w:eastAsia="Times New Roman" w:hAnsi="Arial" w:cs="Arial"/>
                <w:b/>
                <w:bCs/>
                <w:sz w:val="20"/>
                <w:szCs w:val="20"/>
                <w:lang w:eastAsia="en-GB"/>
              </w:rPr>
            </w:pPr>
            <w:r w:rsidRPr="007807C9">
              <w:rPr>
                <w:rFonts w:ascii="Arial" w:eastAsia="Times New Roman" w:hAnsi="Arial" w:cs="Arial"/>
                <w:b/>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center"/>
              <w:rPr>
                <w:rFonts w:ascii="Arial" w:eastAsia="Times New Roman" w:hAnsi="Arial" w:cs="Arial"/>
                <w:b/>
                <w:bCs/>
                <w:sz w:val="20"/>
                <w:szCs w:val="20"/>
                <w:lang w:eastAsia="en-GB"/>
              </w:rPr>
            </w:pPr>
            <w:r w:rsidRPr="007807C9">
              <w:rPr>
                <w:rFonts w:ascii="Arial" w:eastAsia="Times New Roman" w:hAnsi="Arial" w:cs="Arial"/>
                <w:b/>
                <w:bCs/>
                <w:sz w:val="20"/>
                <w:szCs w:val="20"/>
                <w:lang w:eastAsia="en-GB"/>
              </w:rPr>
              <w:t>Weighting</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center"/>
              <w:rPr>
                <w:rFonts w:ascii="Arial" w:eastAsia="Times New Roman" w:hAnsi="Arial" w:cs="Arial"/>
                <w:b/>
                <w:bCs/>
                <w:sz w:val="20"/>
                <w:szCs w:val="20"/>
                <w:lang w:eastAsia="en-GB"/>
              </w:rPr>
            </w:pPr>
            <w:r w:rsidRPr="007807C9">
              <w:rPr>
                <w:rFonts w:ascii="Arial" w:eastAsia="Times New Roman" w:hAnsi="Arial" w:cs="Arial"/>
                <w:b/>
                <w:bCs/>
                <w:sz w:val="20"/>
                <w:szCs w:val="20"/>
                <w:lang w:eastAsia="en-GB"/>
              </w:rPr>
              <w:t>Weighting</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center"/>
              <w:rPr>
                <w:rFonts w:ascii="Arial" w:eastAsia="Times New Roman" w:hAnsi="Arial" w:cs="Arial"/>
                <w:b/>
                <w:bCs/>
                <w:sz w:val="20"/>
                <w:szCs w:val="20"/>
                <w:lang w:eastAsia="en-GB"/>
              </w:rPr>
            </w:pPr>
            <w:r w:rsidRPr="007807C9">
              <w:rPr>
                <w:rFonts w:ascii="Arial" w:eastAsia="Times New Roman" w:hAnsi="Arial" w:cs="Arial"/>
                <w:b/>
                <w:bCs/>
                <w:sz w:val="20"/>
                <w:szCs w:val="20"/>
                <w:lang w:eastAsia="en-GB"/>
              </w:rPr>
              <w:t>Weighting</w:t>
            </w:r>
          </w:p>
        </w:tc>
      </w:tr>
      <w:tr w:rsidR="00896A91" w:rsidRPr="007807C9" w:rsidTr="00896A91">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Income</w:t>
            </w:r>
          </w:p>
        </w:tc>
        <w:tc>
          <w:tcPr>
            <w:tcW w:w="0" w:type="auto"/>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0.325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0.28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0.28</w:t>
            </w:r>
          </w:p>
        </w:tc>
      </w:tr>
      <w:tr w:rsidR="00896A91" w:rsidRPr="007807C9" w:rsidTr="00896A91">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Employment</w:t>
            </w:r>
          </w:p>
        </w:tc>
        <w:tc>
          <w:tcPr>
            <w:tcW w:w="0" w:type="auto"/>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0.325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0.28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0.28</w:t>
            </w:r>
          </w:p>
        </w:tc>
      </w:tr>
      <w:tr w:rsidR="00896A91" w:rsidRPr="007807C9" w:rsidTr="00896A91">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Health</w:t>
            </w:r>
          </w:p>
        </w:tc>
        <w:tc>
          <w:tcPr>
            <w:tcW w:w="0" w:type="auto"/>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0.14</w:t>
            </w:r>
          </w:p>
        </w:tc>
      </w:tr>
      <w:tr w:rsidR="00896A91" w:rsidRPr="007807C9" w:rsidTr="00896A91">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Education</w:t>
            </w:r>
          </w:p>
        </w:tc>
        <w:tc>
          <w:tcPr>
            <w:tcW w:w="0" w:type="auto"/>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0.16</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0.19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0.14</w:t>
            </w:r>
          </w:p>
        </w:tc>
      </w:tr>
      <w:tr w:rsidR="00896A91" w:rsidRPr="007807C9" w:rsidTr="00896A91">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Access To Services</w:t>
            </w:r>
          </w:p>
        </w:tc>
        <w:tc>
          <w:tcPr>
            <w:tcW w:w="0" w:type="auto"/>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0.14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0.09</w:t>
            </w:r>
          </w:p>
        </w:tc>
      </w:tr>
      <w:tr w:rsidR="00896A91" w:rsidRPr="007807C9" w:rsidTr="00896A91">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Crime</w:t>
            </w:r>
          </w:p>
        </w:tc>
        <w:tc>
          <w:tcPr>
            <w:tcW w:w="0" w:type="auto"/>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0.05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0.05</w:t>
            </w:r>
          </w:p>
        </w:tc>
      </w:tr>
      <w:tr w:rsidR="00896A91" w:rsidRPr="007807C9" w:rsidTr="00896A91">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Housing</w:t>
            </w:r>
          </w:p>
        </w:tc>
        <w:tc>
          <w:tcPr>
            <w:tcW w:w="0" w:type="auto"/>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0.02</w:t>
            </w:r>
          </w:p>
        </w:tc>
      </w:tr>
      <w:tr w:rsidR="00896A91" w:rsidRPr="007807C9" w:rsidTr="00896A91">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Total</w:t>
            </w:r>
          </w:p>
        </w:tc>
        <w:tc>
          <w:tcPr>
            <w:tcW w:w="0" w:type="auto"/>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96A91" w:rsidRPr="007807C9" w:rsidRDefault="00896A91" w:rsidP="007A0D18">
            <w:pPr>
              <w:spacing w:after="0" w:line="240" w:lineRule="auto"/>
              <w:jc w:val="right"/>
              <w:rPr>
                <w:rFonts w:ascii="Arial" w:eastAsia="Times New Roman" w:hAnsi="Arial" w:cs="Arial"/>
                <w:color w:val="000000"/>
                <w:sz w:val="20"/>
                <w:szCs w:val="20"/>
                <w:lang w:eastAsia="en-GB"/>
              </w:rPr>
            </w:pPr>
            <w:r w:rsidRPr="007807C9">
              <w:rPr>
                <w:rFonts w:ascii="Arial" w:eastAsia="Times New Roman" w:hAnsi="Arial" w:cs="Arial"/>
                <w:color w:val="000000"/>
                <w:sz w:val="20"/>
                <w:szCs w:val="20"/>
                <w:lang w:eastAsia="en-GB"/>
              </w:rPr>
              <w:t>1</w:t>
            </w:r>
          </w:p>
        </w:tc>
      </w:tr>
      <w:tr w:rsidR="004A018D" w:rsidRPr="00180CFC" w:rsidTr="00896A91">
        <w:trPr>
          <w:trHeight w:val="300"/>
        </w:trPr>
        <w:tc>
          <w:tcPr>
            <w:tcW w:w="0" w:type="auto"/>
            <w:tcBorders>
              <w:top w:val="nil"/>
              <w:left w:val="nil"/>
              <w:bottom w:val="nil"/>
              <w:right w:val="nil"/>
            </w:tcBorders>
            <w:shd w:val="clear" w:color="auto" w:fill="auto"/>
            <w:noWrap/>
            <w:vAlign w:val="bottom"/>
            <w:hideMark/>
          </w:tcPr>
          <w:p w:rsidR="004A018D" w:rsidRPr="00180CFC" w:rsidRDefault="004A018D" w:rsidP="007A0D18">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bottom"/>
            <w:hideMark/>
          </w:tcPr>
          <w:p w:rsidR="004A018D" w:rsidRPr="00180CFC" w:rsidRDefault="004A018D" w:rsidP="007A0D18">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bottom"/>
            <w:hideMark/>
          </w:tcPr>
          <w:p w:rsidR="004A018D" w:rsidRPr="00180CFC" w:rsidRDefault="004A018D" w:rsidP="007A0D18">
            <w:pPr>
              <w:rPr>
                <w:rFonts w:ascii="Arial" w:eastAsia="Times New Roman" w:hAnsi="Arial" w:cs="Arial"/>
                <w:color w:val="000000"/>
                <w:lang w:eastAsia="en-GB"/>
              </w:rPr>
            </w:pPr>
          </w:p>
        </w:tc>
        <w:tc>
          <w:tcPr>
            <w:tcW w:w="0" w:type="auto"/>
            <w:gridSpan w:val="2"/>
            <w:tcBorders>
              <w:top w:val="nil"/>
              <w:left w:val="nil"/>
              <w:bottom w:val="nil"/>
              <w:right w:val="nil"/>
            </w:tcBorders>
            <w:shd w:val="clear" w:color="auto" w:fill="auto"/>
            <w:noWrap/>
            <w:vAlign w:val="bottom"/>
            <w:hideMark/>
          </w:tcPr>
          <w:p w:rsidR="004A018D" w:rsidRPr="00180CFC" w:rsidRDefault="004A018D" w:rsidP="007A0D18">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bottom"/>
            <w:hideMark/>
          </w:tcPr>
          <w:p w:rsidR="004A018D" w:rsidRPr="00180CFC" w:rsidRDefault="004A018D" w:rsidP="007A0D18">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bottom"/>
            <w:hideMark/>
          </w:tcPr>
          <w:p w:rsidR="004A018D" w:rsidRPr="00180CFC" w:rsidRDefault="004A018D" w:rsidP="007A0D18">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bottom"/>
            <w:hideMark/>
          </w:tcPr>
          <w:p w:rsidR="004A018D" w:rsidRPr="00180CFC" w:rsidRDefault="004A018D" w:rsidP="007A0D18">
            <w:pPr>
              <w:rPr>
                <w:rFonts w:ascii="Arial" w:eastAsia="Times New Roman" w:hAnsi="Arial" w:cs="Arial"/>
                <w:color w:val="000000"/>
                <w:lang w:eastAsia="en-GB"/>
              </w:rPr>
            </w:pPr>
          </w:p>
        </w:tc>
      </w:tr>
    </w:tbl>
    <w:p w:rsidR="004A018D" w:rsidRPr="000C2A96" w:rsidRDefault="004A018D" w:rsidP="004A018D">
      <w:pPr>
        <w:rPr>
          <w:rFonts w:ascii="Arial" w:hAnsi="Arial" w:cs="Arial"/>
        </w:rPr>
      </w:pPr>
    </w:p>
    <w:p w:rsidR="00B073C8" w:rsidRDefault="00B073C8">
      <w:pPr>
        <w:rPr>
          <w:rFonts w:ascii="Arial" w:hAnsi="Arial" w:cs="Arial"/>
          <w:b/>
        </w:rPr>
      </w:pPr>
      <w:r>
        <w:rPr>
          <w:rFonts w:ascii="Arial" w:hAnsi="Arial" w:cs="Arial"/>
          <w:b/>
        </w:rPr>
        <w:br w:type="page"/>
      </w:r>
    </w:p>
    <w:p w:rsidR="00B073C8" w:rsidRDefault="00B073C8" w:rsidP="00B073C8">
      <w:pPr>
        <w:rPr>
          <w:rFonts w:ascii="Arial" w:hAnsi="Arial" w:cs="Arial"/>
          <w:b/>
        </w:rPr>
      </w:pPr>
      <w:r>
        <w:rPr>
          <w:rFonts w:ascii="Arial" w:hAnsi="Arial" w:cs="Arial"/>
          <w:b/>
        </w:rPr>
        <w:lastRenderedPageBreak/>
        <w:t>Annex F</w:t>
      </w:r>
      <w:r w:rsidRPr="00180CFC">
        <w:rPr>
          <w:rFonts w:ascii="Arial" w:hAnsi="Arial" w:cs="Arial"/>
          <w:b/>
        </w:rPr>
        <w:t xml:space="preserve">: </w:t>
      </w:r>
      <w:r>
        <w:rPr>
          <w:rFonts w:ascii="Arial" w:hAnsi="Arial" w:cs="Arial"/>
          <w:b/>
        </w:rPr>
        <w:t xml:space="preserve">Correlations between </w:t>
      </w:r>
      <w:r w:rsidRPr="00180CFC">
        <w:rPr>
          <w:rFonts w:ascii="Arial" w:hAnsi="Arial" w:cs="Arial"/>
          <w:b/>
        </w:rPr>
        <w:t xml:space="preserve">SIMD </w:t>
      </w:r>
      <w:r>
        <w:rPr>
          <w:rFonts w:ascii="Arial" w:hAnsi="Arial" w:cs="Arial"/>
          <w:b/>
        </w:rPr>
        <w:t>variables and Acute MLC cost ratios</w:t>
      </w:r>
    </w:p>
    <w:p w:rsidR="000D372C" w:rsidRPr="000D372C" w:rsidRDefault="000D372C" w:rsidP="000D372C">
      <w:pPr>
        <w:spacing w:after="0"/>
        <w:rPr>
          <w:rFonts w:ascii="Arial" w:hAnsi="Arial" w:cs="Arial"/>
        </w:rPr>
      </w:pPr>
      <w:proofErr w:type="gramStart"/>
      <w:r>
        <w:rPr>
          <w:rFonts w:ascii="Arial" w:hAnsi="Arial" w:cs="Arial"/>
        </w:rPr>
        <w:t xml:space="preserve">Tables F.1 and F.2 show the correlations between SIMD variables and Data Zone cost ratios, at 1 year and </w:t>
      </w:r>
      <w:r w:rsidR="00410C88">
        <w:rPr>
          <w:rFonts w:ascii="Arial" w:hAnsi="Arial" w:cs="Arial"/>
        </w:rPr>
        <w:t>at 3 years</w:t>
      </w:r>
      <w:r>
        <w:rPr>
          <w:rFonts w:ascii="Arial" w:hAnsi="Arial" w:cs="Arial"/>
        </w:rPr>
        <w:t>, respectively.</w:t>
      </w:r>
      <w:proofErr w:type="gramEnd"/>
      <w:r>
        <w:rPr>
          <w:rFonts w:ascii="Arial" w:hAnsi="Arial" w:cs="Arial"/>
        </w:rPr>
        <w:t xml:space="preserve"> Table F.3 shows the correlations between the newly created</w:t>
      </w:r>
      <w:r w:rsidRPr="00180CFC">
        <w:rPr>
          <w:rFonts w:ascii="Arial" w:hAnsi="Arial" w:cs="Arial"/>
        </w:rPr>
        <w:t xml:space="preserve"> </w:t>
      </w:r>
      <w:r>
        <w:rPr>
          <w:rFonts w:ascii="Arial" w:hAnsi="Arial" w:cs="Arial"/>
        </w:rPr>
        <w:t xml:space="preserve">Intermediate Zone </w:t>
      </w:r>
      <w:r w:rsidRPr="00180CFC">
        <w:rPr>
          <w:rFonts w:ascii="Arial" w:hAnsi="Arial" w:cs="Arial"/>
        </w:rPr>
        <w:t>explanatory variables</w:t>
      </w:r>
      <w:r>
        <w:rPr>
          <w:rFonts w:ascii="Arial" w:hAnsi="Arial" w:cs="Arial"/>
        </w:rPr>
        <w:t xml:space="preserve"> from the Income domain score and the cost ratios.</w:t>
      </w:r>
    </w:p>
    <w:p w:rsidR="000D372C" w:rsidRPr="000D372C" w:rsidRDefault="000D372C" w:rsidP="000D372C">
      <w:pPr>
        <w:spacing w:after="0"/>
        <w:rPr>
          <w:rFonts w:ascii="Arial" w:hAnsi="Arial" w:cs="Arial"/>
        </w:rPr>
      </w:pPr>
    </w:p>
    <w:p w:rsidR="000D372C" w:rsidRPr="00180CFC" w:rsidRDefault="000D372C" w:rsidP="000D372C">
      <w:pPr>
        <w:spacing w:after="0"/>
        <w:rPr>
          <w:rFonts w:ascii="Arial" w:hAnsi="Arial" w:cs="Arial"/>
          <w:i/>
        </w:rPr>
      </w:pPr>
      <w:r w:rsidRPr="00180CFC">
        <w:rPr>
          <w:rFonts w:ascii="Arial" w:hAnsi="Arial" w:cs="Arial"/>
          <w:i/>
        </w:rPr>
        <w:t xml:space="preserve">Table </w:t>
      </w:r>
      <w:r>
        <w:rPr>
          <w:rFonts w:ascii="Arial" w:hAnsi="Arial" w:cs="Arial"/>
          <w:i/>
        </w:rPr>
        <w:t>F.1. SIMD scores</w:t>
      </w:r>
      <w:r w:rsidRPr="00180CFC">
        <w:rPr>
          <w:rFonts w:ascii="Arial" w:hAnsi="Arial" w:cs="Arial"/>
          <w:i/>
        </w:rPr>
        <w:t xml:space="preserve"> correlations </w:t>
      </w:r>
      <w:r>
        <w:rPr>
          <w:rFonts w:ascii="Arial" w:hAnsi="Arial" w:cs="Arial"/>
          <w:i/>
        </w:rPr>
        <w:t xml:space="preserve">to the cost ratios </w:t>
      </w:r>
      <w:r w:rsidRPr="00180CFC">
        <w:rPr>
          <w:rFonts w:ascii="Arial" w:hAnsi="Arial" w:cs="Arial"/>
          <w:i/>
        </w:rPr>
        <w:t xml:space="preserve">at </w:t>
      </w:r>
      <w:r>
        <w:rPr>
          <w:rFonts w:ascii="Arial" w:hAnsi="Arial" w:cs="Arial"/>
          <w:i/>
        </w:rPr>
        <w:t>1 year Data Zones.</w:t>
      </w:r>
    </w:p>
    <w:tbl>
      <w:tblPr>
        <w:tblW w:w="5000" w:type="pct"/>
        <w:tblLook w:val="04A0"/>
      </w:tblPr>
      <w:tblGrid>
        <w:gridCol w:w="2940"/>
        <w:gridCol w:w="901"/>
        <w:gridCol w:w="901"/>
        <w:gridCol w:w="900"/>
        <w:gridCol w:w="900"/>
        <w:gridCol w:w="900"/>
        <w:gridCol w:w="900"/>
        <w:gridCol w:w="900"/>
      </w:tblGrid>
      <w:tr w:rsidR="000D372C" w:rsidRPr="003E01AD" w:rsidTr="000D372C">
        <w:trPr>
          <w:trHeight w:val="1425"/>
        </w:trPr>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72C" w:rsidRDefault="000D372C" w:rsidP="000D372C">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Correlations</w:t>
            </w:r>
          </w:p>
          <w:p w:rsidR="000D372C" w:rsidRPr="007F6D65" w:rsidRDefault="000D372C" w:rsidP="000D372C">
            <w:pPr>
              <w:spacing w:after="0" w:line="240" w:lineRule="auto"/>
              <w:rPr>
                <w:rFonts w:ascii="Arial" w:eastAsia="Times New Roman" w:hAnsi="Arial" w:cs="Arial"/>
                <w:b/>
                <w:bCs/>
                <w:color w:val="000000"/>
                <w:sz w:val="20"/>
                <w:szCs w:val="20"/>
                <w:lang w:eastAsia="en-GB"/>
              </w:rPr>
            </w:pPr>
            <w:r w:rsidRPr="007F6D65">
              <w:rPr>
                <w:rFonts w:ascii="Arial" w:eastAsia="Times New Roman" w:hAnsi="Arial" w:cs="Arial"/>
                <w:b/>
                <w:bCs/>
                <w:color w:val="000000"/>
                <w:sz w:val="20"/>
                <w:szCs w:val="20"/>
                <w:lang w:eastAsia="en-GB"/>
              </w:rPr>
              <w:t>1 year Data Zones</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0D372C" w:rsidRPr="007F6D65" w:rsidRDefault="000D372C" w:rsidP="000D372C">
            <w:pPr>
              <w:spacing w:after="0" w:line="240" w:lineRule="auto"/>
              <w:jc w:val="center"/>
              <w:rPr>
                <w:rFonts w:ascii="Arial" w:eastAsia="Times New Roman" w:hAnsi="Arial" w:cs="Arial"/>
                <w:b/>
                <w:bCs/>
                <w:color w:val="000000"/>
                <w:sz w:val="20"/>
                <w:szCs w:val="20"/>
                <w:lang w:eastAsia="en-GB"/>
              </w:rPr>
            </w:pPr>
            <w:r w:rsidRPr="007F6D65">
              <w:rPr>
                <w:rFonts w:ascii="Arial" w:eastAsia="Times New Roman" w:hAnsi="Arial" w:cs="Arial"/>
                <w:b/>
                <w:bCs/>
                <w:color w:val="000000"/>
                <w:sz w:val="20"/>
                <w:szCs w:val="20"/>
                <w:lang w:eastAsia="en-GB"/>
              </w:rPr>
              <w:t>Overall SIMD</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0D372C" w:rsidRPr="007F6D65" w:rsidRDefault="000D372C" w:rsidP="000D372C">
            <w:pPr>
              <w:spacing w:after="0" w:line="240" w:lineRule="auto"/>
              <w:jc w:val="center"/>
              <w:rPr>
                <w:rFonts w:ascii="Arial" w:eastAsia="Times New Roman" w:hAnsi="Arial" w:cs="Arial"/>
                <w:b/>
                <w:bCs/>
                <w:sz w:val="20"/>
                <w:szCs w:val="20"/>
                <w:lang w:eastAsia="en-GB"/>
              </w:rPr>
            </w:pPr>
            <w:r w:rsidRPr="007F6D65">
              <w:rPr>
                <w:rFonts w:ascii="Arial" w:eastAsia="Times New Roman" w:hAnsi="Arial" w:cs="Arial"/>
                <w:b/>
                <w:bCs/>
                <w:sz w:val="20"/>
                <w:szCs w:val="20"/>
                <w:lang w:eastAsia="en-GB"/>
              </w:rPr>
              <w:t>Income</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0D372C" w:rsidRPr="007F6D65" w:rsidRDefault="000D372C" w:rsidP="000D372C">
            <w:pPr>
              <w:spacing w:after="0" w:line="240" w:lineRule="auto"/>
              <w:jc w:val="center"/>
              <w:rPr>
                <w:rFonts w:ascii="Arial" w:eastAsia="Times New Roman" w:hAnsi="Arial" w:cs="Arial"/>
                <w:b/>
                <w:bCs/>
                <w:color w:val="000000"/>
                <w:sz w:val="20"/>
                <w:szCs w:val="20"/>
                <w:lang w:eastAsia="en-GB"/>
              </w:rPr>
            </w:pPr>
            <w:r w:rsidRPr="007F6D65">
              <w:rPr>
                <w:rFonts w:ascii="Arial" w:eastAsia="Times New Roman" w:hAnsi="Arial" w:cs="Arial"/>
                <w:b/>
                <w:bCs/>
                <w:color w:val="000000"/>
                <w:sz w:val="20"/>
                <w:szCs w:val="20"/>
                <w:lang w:eastAsia="en-GB"/>
              </w:rPr>
              <w:t>Employment</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0D372C" w:rsidRPr="007F6D65" w:rsidRDefault="000D372C" w:rsidP="000D372C">
            <w:pPr>
              <w:spacing w:after="0" w:line="240" w:lineRule="auto"/>
              <w:jc w:val="center"/>
              <w:rPr>
                <w:rFonts w:ascii="Arial" w:eastAsia="Times New Roman" w:hAnsi="Arial" w:cs="Arial"/>
                <w:b/>
                <w:bCs/>
                <w:color w:val="000000"/>
                <w:sz w:val="20"/>
                <w:szCs w:val="20"/>
                <w:lang w:eastAsia="en-GB"/>
              </w:rPr>
            </w:pPr>
            <w:r w:rsidRPr="007F6D65">
              <w:rPr>
                <w:rFonts w:ascii="Arial" w:eastAsia="Times New Roman" w:hAnsi="Arial" w:cs="Arial"/>
                <w:b/>
                <w:bCs/>
                <w:color w:val="000000"/>
                <w:sz w:val="20"/>
                <w:szCs w:val="20"/>
                <w:lang w:eastAsia="en-GB"/>
              </w:rPr>
              <w:t>Education</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0D372C" w:rsidRPr="007F6D65" w:rsidRDefault="000D372C" w:rsidP="000D372C">
            <w:pPr>
              <w:spacing w:after="0" w:line="240" w:lineRule="auto"/>
              <w:jc w:val="center"/>
              <w:rPr>
                <w:rFonts w:ascii="Arial" w:eastAsia="Times New Roman" w:hAnsi="Arial" w:cs="Arial"/>
                <w:b/>
                <w:bCs/>
                <w:color w:val="000000"/>
                <w:sz w:val="20"/>
                <w:szCs w:val="20"/>
                <w:lang w:eastAsia="en-GB"/>
              </w:rPr>
            </w:pPr>
            <w:r w:rsidRPr="007F6D65">
              <w:rPr>
                <w:rFonts w:ascii="Arial" w:eastAsia="Times New Roman" w:hAnsi="Arial" w:cs="Arial"/>
                <w:b/>
                <w:bCs/>
                <w:color w:val="000000"/>
                <w:sz w:val="20"/>
                <w:szCs w:val="20"/>
                <w:lang w:eastAsia="en-GB"/>
              </w:rPr>
              <w:t>Housing</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0D372C" w:rsidRPr="007F6D65" w:rsidRDefault="000D372C" w:rsidP="000D372C">
            <w:pPr>
              <w:spacing w:after="0" w:line="240" w:lineRule="auto"/>
              <w:jc w:val="center"/>
              <w:rPr>
                <w:rFonts w:ascii="Arial" w:eastAsia="Times New Roman" w:hAnsi="Arial" w:cs="Arial"/>
                <w:b/>
                <w:bCs/>
                <w:color w:val="000000"/>
                <w:sz w:val="20"/>
                <w:szCs w:val="20"/>
                <w:lang w:eastAsia="en-GB"/>
              </w:rPr>
            </w:pPr>
            <w:r w:rsidRPr="007F6D65">
              <w:rPr>
                <w:rFonts w:ascii="Arial" w:eastAsia="Times New Roman" w:hAnsi="Arial" w:cs="Arial"/>
                <w:b/>
                <w:bCs/>
                <w:color w:val="000000"/>
                <w:sz w:val="20"/>
                <w:szCs w:val="20"/>
                <w:lang w:eastAsia="en-GB"/>
              </w:rPr>
              <w:t>Crime</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0D372C" w:rsidRPr="007F6D65" w:rsidRDefault="000D372C" w:rsidP="000D372C">
            <w:pPr>
              <w:spacing w:after="0" w:line="240" w:lineRule="auto"/>
              <w:jc w:val="center"/>
              <w:rPr>
                <w:rFonts w:ascii="Arial" w:eastAsia="Times New Roman" w:hAnsi="Arial" w:cs="Arial"/>
                <w:b/>
                <w:bCs/>
                <w:color w:val="000000"/>
                <w:sz w:val="20"/>
                <w:szCs w:val="20"/>
                <w:lang w:eastAsia="en-GB"/>
              </w:rPr>
            </w:pPr>
            <w:r w:rsidRPr="007F6D65">
              <w:rPr>
                <w:rFonts w:ascii="Arial" w:eastAsia="Times New Roman" w:hAnsi="Arial" w:cs="Arial"/>
                <w:b/>
                <w:bCs/>
                <w:color w:val="000000"/>
                <w:sz w:val="20"/>
                <w:szCs w:val="20"/>
                <w:lang w:eastAsia="en-GB"/>
              </w:rPr>
              <w:t>Scenario1</w:t>
            </w:r>
          </w:p>
        </w:tc>
      </w:tr>
      <w:tr w:rsidR="000D372C" w:rsidRPr="003E01AD" w:rsidTr="000D372C">
        <w:trPr>
          <w:trHeight w:hRule="exact" w:val="284"/>
        </w:trPr>
        <w:tc>
          <w:tcPr>
            <w:tcW w:w="1590" w:type="pct"/>
            <w:tcBorders>
              <w:top w:val="nil"/>
              <w:left w:val="single" w:sz="4" w:space="0" w:color="auto"/>
              <w:bottom w:val="single" w:sz="4" w:space="0" w:color="auto"/>
              <w:right w:val="single" w:sz="4" w:space="0" w:color="auto"/>
            </w:tcBorders>
            <w:shd w:val="clear" w:color="auto" w:fill="auto"/>
            <w:vAlign w:val="center"/>
            <w:hideMark/>
          </w:tcPr>
          <w:p w:rsidR="000D372C" w:rsidRPr="004E7D74" w:rsidRDefault="000D372C" w:rsidP="000D372C">
            <w:pPr>
              <w:spacing w:after="0" w:line="240" w:lineRule="auto"/>
              <w:rPr>
                <w:rFonts w:ascii="Arial" w:eastAsia="Times New Roman" w:hAnsi="Arial" w:cs="Arial"/>
                <w:bCs/>
                <w:color w:val="000000"/>
                <w:sz w:val="20"/>
                <w:szCs w:val="20"/>
                <w:lang w:eastAsia="en-GB"/>
              </w:rPr>
            </w:pPr>
            <w:r w:rsidRPr="004E7D74">
              <w:rPr>
                <w:rFonts w:ascii="Arial" w:eastAsia="Times New Roman" w:hAnsi="Arial" w:cs="Arial"/>
                <w:bCs/>
                <w:color w:val="000000"/>
                <w:sz w:val="20"/>
                <w:szCs w:val="20"/>
                <w:lang w:eastAsia="en-GB"/>
              </w:rPr>
              <w:t>Cancer cost ratios</w:t>
            </w:r>
          </w:p>
        </w:tc>
        <w:tc>
          <w:tcPr>
            <w:tcW w:w="0" w:type="auto"/>
            <w:tcBorders>
              <w:top w:val="nil"/>
              <w:left w:val="nil"/>
              <w:bottom w:val="nil"/>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0.144</w:t>
            </w:r>
          </w:p>
        </w:tc>
        <w:tc>
          <w:tcPr>
            <w:tcW w:w="0" w:type="auto"/>
            <w:tcBorders>
              <w:top w:val="nil"/>
              <w:left w:val="nil"/>
              <w:bottom w:val="nil"/>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sz w:val="20"/>
                <w:szCs w:val="20"/>
                <w:lang w:eastAsia="en-GB"/>
              </w:rPr>
            </w:pPr>
            <w:r w:rsidRPr="007F6D65">
              <w:rPr>
                <w:rFonts w:ascii="Arial" w:eastAsia="Times New Roman" w:hAnsi="Arial" w:cs="Arial"/>
                <w:sz w:val="20"/>
                <w:szCs w:val="20"/>
                <w:lang w:eastAsia="en-GB"/>
              </w:rPr>
              <w:t>0.147</w:t>
            </w:r>
          </w:p>
        </w:tc>
        <w:tc>
          <w:tcPr>
            <w:tcW w:w="0" w:type="auto"/>
            <w:tcBorders>
              <w:top w:val="nil"/>
              <w:left w:val="nil"/>
              <w:bottom w:val="nil"/>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0.146</w:t>
            </w:r>
          </w:p>
        </w:tc>
        <w:tc>
          <w:tcPr>
            <w:tcW w:w="0" w:type="auto"/>
            <w:tcBorders>
              <w:top w:val="nil"/>
              <w:left w:val="nil"/>
              <w:bottom w:val="nil"/>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0.129</w:t>
            </w:r>
          </w:p>
        </w:tc>
        <w:tc>
          <w:tcPr>
            <w:tcW w:w="0" w:type="auto"/>
            <w:tcBorders>
              <w:top w:val="nil"/>
              <w:left w:val="nil"/>
              <w:bottom w:val="nil"/>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0.142</w:t>
            </w:r>
          </w:p>
        </w:tc>
        <w:tc>
          <w:tcPr>
            <w:tcW w:w="0" w:type="auto"/>
            <w:tcBorders>
              <w:top w:val="nil"/>
              <w:left w:val="nil"/>
              <w:bottom w:val="nil"/>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0.059</w:t>
            </w:r>
          </w:p>
        </w:tc>
        <w:tc>
          <w:tcPr>
            <w:tcW w:w="0" w:type="auto"/>
            <w:tcBorders>
              <w:top w:val="nil"/>
              <w:left w:val="nil"/>
              <w:bottom w:val="nil"/>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0.141</w:t>
            </w:r>
          </w:p>
        </w:tc>
      </w:tr>
      <w:tr w:rsidR="000D372C" w:rsidRPr="003E01AD" w:rsidTr="000D372C">
        <w:trPr>
          <w:trHeight w:hRule="exact" w:val="284"/>
        </w:trPr>
        <w:tc>
          <w:tcPr>
            <w:tcW w:w="1590" w:type="pct"/>
            <w:tcBorders>
              <w:top w:val="nil"/>
              <w:left w:val="single" w:sz="4" w:space="0" w:color="auto"/>
              <w:bottom w:val="single" w:sz="4" w:space="0" w:color="auto"/>
              <w:right w:val="single" w:sz="4" w:space="0" w:color="auto"/>
            </w:tcBorders>
            <w:shd w:val="clear" w:color="auto" w:fill="auto"/>
            <w:vAlign w:val="center"/>
            <w:hideMark/>
          </w:tcPr>
          <w:p w:rsidR="000D372C" w:rsidRPr="004E7D74" w:rsidRDefault="000D372C" w:rsidP="000D372C">
            <w:pPr>
              <w:spacing w:after="0" w:line="240" w:lineRule="auto"/>
              <w:rPr>
                <w:rFonts w:ascii="Arial" w:eastAsia="Times New Roman" w:hAnsi="Arial" w:cs="Arial"/>
                <w:bCs/>
                <w:color w:val="000000"/>
                <w:sz w:val="20"/>
                <w:szCs w:val="20"/>
                <w:lang w:eastAsia="en-GB"/>
              </w:rPr>
            </w:pPr>
            <w:r w:rsidRPr="004E7D74">
              <w:rPr>
                <w:rFonts w:ascii="Arial" w:eastAsia="Times New Roman" w:hAnsi="Arial" w:cs="Arial"/>
                <w:bCs/>
                <w:color w:val="000000"/>
                <w:sz w:val="20"/>
                <w:szCs w:val="20"/>
                <w:lang w:eastAsia="en-GB"/>
              </w:rPr>
              <w:t>Heart cost ratios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0.288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sz w:val="20"/>
                <w:szCs w:val="20"/>
                <w:lang w:eastAsia="en-GB"/>
              </w:rPr>
            </w:pPr>
            <w:r w:rsidRPr="007F6D65">
              <w:rPr>
                <w:rFonts w:ascii="Arial" w:eastAsia="Times New Roman" w:hAnsi="Arial" w:cs="Arial"/>
                <w:sz w:val="20"/>
                <w:szCs w:val="20"/>
                <w:lang w:eastAsia="en-GB"/>
              </w:rPr>
              <w:t>0.292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0.279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0.274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0.207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0.156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0.286</w:t>
            </w:r>
          </w:p>
        </w:tc>
      </w:tr>
      <w:tr w:rsidR="000D372C" w:rsidRPr="003E01AD" w:rsidTr="000D372C">
        <w:trPr>
          <w:trHeight w:hRule="exact" w:val="284"/>
        </w:trPr>
        <w:tc>
          <w:tcPr>
            <w:tcW w:w="1590" w:type="pct"/>
            <w:tcBorders>
              <w:top w:val="nil"/>
              <w:left w:val="single" w:sz="4" w:space="0" w:color="auto"/>
              <w:bottom w:val="single" w:sz="4" w:space="0" w:color="auto"/>
              <w:right w:val="single" w:sz="4" w:space="0" w:color="auto"/>
            </w:tcBorders>
            <w:shd w:val="clear" w:color="auto" w:fill="auto"/>
            <w:vAlign w:val="center"/>
            <w:hideMark/>
          </w:tcPr>
          <w:p w:rsidR="000D372C" w:rsidRPr="004E7D74" w:rsidRDefault="000D372C" w:rsidP="000D372C">
            <w:pPr>
              <w:spacing w:after="0" w:line="240" w:lineRule="auto"/>
              <w:rPr>
                <w:rFonts w:ascii="Arial" w:eastAsia="Times New Roman" w:hAnsi="Arial" w:cs="Arial"/>
                <w:bCs/>
                <w:color w:val="000000"/>
                <w:sz w:val="20"/>
                <w:szCs w:val="20"/>
                <w:lang w:eastAsia="en-GB"/>
              </w:rPr>
            </w:pPr>
            <w:r w:rsidRPr="004E7D74">
              <w:rPr>
                <w:rFonts w:ascii="Arial" w:eastAsia="Times New Roman" w:hAnsi="Arial" w:cs="Arial"/>
                <w:bCs/>
                <w:color w:val="000000"/>
                <w:sz w:val="20"/>
                <w:szCs w:val="20"/>
                <w:lang w:eastAsia="en-GB"/>
              </w:rPr>
              <w:t>Digestive cost ratios</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0.413</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sz w:val="20"/>
                <w:szCs w:val="20"/>
                <w:lang w:eastAsia="en-GB"/>
              </w:rPr>
            </w:pPr>
            <w:r w:rsidRPr="007F6D65">
              <w:rPr>
                <w:rFonts w:ascii="Arial" w:eastAsia="Times New Roman" w:hAnsi="Arial" w:cs="Arial"/>
                <w:sz w:val="20"/>
                <w:szCs w:val="20"/>
                <w:lang w:eastAsia="en-GB"/>
              </w:rPr>
              <w:t>0.409</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0.401</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0.363</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0.266</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0.170</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0.402</w:t>
            </w:r>
          </w:p>
        </w:tc>
      </w:tr>
      <w:tr w:rsidR="000D372C" w:rsidRPr="003E01AD" w:rsidTr="000D372C">
        <w:trPr>
          <w:trHeight w:hRule="exact" w:val="284"/>
        </w:trPr>
        <w:tc>
          <w:tcPr>
            <w:tcW w:w="1590" w:type="pct"/>
            <w:tcBorders>
              <w:top w:val="nil"/>
              <w:left w:val="single" w:sz="4" w:space="0" w:color="auto"/>
              <w:bottom w:val="single" w:sz="4" w:space="0" w:color="auto"/>
              <w:right w:val="single" w:sz="4" w:space="0" w:color="auto"/>
            </w:tcBorders>
            <w:shd w:val="clear" w:color="auto" w:fill="auto"/>
            <w:vAlign w:val="center"/>
            <w:hideMark/>
          </w:tcPr>
          <w:p w:rsidR="000D372C" w:rsidRPr="004E7D74" w:rsidRDefault="000D372C" w:rsidP="000D372C">
            <w:pPr>
              <w:spacing w:after="0" w:line="240" w:lineRule="auto"/>
              <w:rPr>
                <w:rFonts w:ascii="Arial" w:eastAsia="Times New Roman" w:hAnsi="Arial" w:cs="Arial"/>
                <w:bCs/>
                <w:color w:val="000000"/>
                <w:sz w:val="20"/>
                <w:szCs w:val="20"/>
                <w:lang w:eastAsia="en-GB"/>
              </w:rPr>
            </w:pPr>
            <w:r w:rsidRPr="004E7D74">
              <w:rPr>
                <w:rFonts w:ascii="Arial" w:eastAsia="Times New Roman" w:hAnsi="Arial" w:cs="Arial"/>
                <w:bCs/>
                <w:color w:val="000000"/>
                <w:sz w:val="20"/>
                <w:szCs w:val="20"/>
                <w:lang w:eastAsia="en-GB"/>
              </w:rPr>
              <w:t>Injury cost ratios</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0.310</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sz w:val="20"/>
                <w:szCs w:val="20"/>
                <w:lang w:eastAsia="en-GB"/>
              </w:rPr>
            </w:pPr>
            <w:r w:rsidRPr="007F6D65">
              <w:rPr>
                <w:rFonts w:ascii="Arial" w:eastAsia="Times New Roman" w:hAnsi="Arial" w:cs="Arial"/>
                <w:sz w:val="20"/>
                <w:szCs w:val="20"/>
                <w:lang w:eastAsia="en-GB"/>
              </w:rPr>
              <w:t>0.308</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0.301</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0.276</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0.204</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0.181</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0.302</w:t>
            </w:r>
          </w:p>
        </w:tc>
      </w:tr>
      <w:tr w:rsidR="000D372C" w:rsidRPr="003E01AD" w:rsidTr="000D372C">
        <w:trPr>
          <w:trHeight w:hRule="exact" w:val="284"/>
        </w:trPr>
        <w:tc>
          <w:tcPr>
            <w:tcW w:w="1590" w:type="pct"/>
            <w:tcBorders>
              <w:top w:val="nil"/>
              <w:left w:val="single" w:sz="4" w:space="0" w:color="auto"/>
              <w:bottom w:val="single" w:sz="4" w:space="0" w:color="auto"/>
              <w:right w:val="single" w:sz="4" w:space="0" w:color="auto"/>
            </w:tcBorders>
            <w:shd w:val="clear" w:color="auto" w:fill="auto"/>
            <w:vAlign w:val="center"/>
            <w:hideMark/>
          </w:tcPr>
          <w:p w:rsidR="000D372C" w:rsidRPr="004E7D74" w:rsidRDefault="000D372C" w:rsidP="000D372C">
            <w:pPr>
              <w:spacing w:after="0" w:line="240" w:lineRule="auto"/>
              <w:rPr>
                <w:rFonts w:ascii="Arial" w:eastAsia="Times New Roman" w:hAnsi="Arial" w:cs="Arial"/>
                <w:bCs/>
                <w:color w:val="000000"/>
                <w:sz w:val="20"/>
                <w:szCs w:val="20"/>
                <w:lang w:eastAsia="en-GB"/>
              </w:rPr>
            </w:pPr>
            <w:r w:rsidRPr="004E7D74">
              <w:rPr>
                <w:rFonts w:ascii="Arial" w:eastAsia="Times New Roman" w:hAnsi="Arial" w:cs="Arial"/>
                <w:bCs/>
                <w:color w:val="000000"/>
                <w:sz w:val="20"/>
                <w:szCs w:val="20"/>
                <w:lang w:eastAsia="en-GB"/>
              </w:rPr>
              <w:t>Other cost ratios</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0.475</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sz w:val="20"/>
                <w:szCs w:val="20"/>
                <w:lang w:eastAsia="en-GB"/>
              </w:rPr>
            </w:pPr>
            <w:r w:rsidRPr="007F6D65">
              <w:rPr>
                <w:rFonts w:ascii="Arial" w:eastAsia="Times New Roman" w:hAnsi="Arial" w:cs="Arial"/>
                <w:sz w:val="20"/>
                <w:szCs w:val="20"/>
                <w:lang w:eastAsia="en-GB"/>
              </w:rPr>
              <w:t>0.480</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0.469</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0.444</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0.292</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0.212</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0.464</w:t>
            </w:r>
          </w:p>
        </w:tc>
      </w:tr>
      <w:tr w:rsidR="000D372C" w:rsidRPr="003E01AD" w:rsidTr="000D372C">
        <w:trPr>
          <w:trHeight w:hRule="exact" w:val="284"/>
        </w:trPr>
        <w:tc>
          <w:tcPr>
            <w:tcW w:w="1590" w:type="pct"/>
            <w:tcBorders>
              <w:top w:val="nil"/>
              <w:left w:val="single" w:sz="4" w:space="0" w:color="auto"/>
              <w:bottom w:val="single" w:sz="4" w:space="0" w:color="auto"/>
              <w:right w:val="single" w:sz="4" w:space="0" w:color="auto"/>
            </w:tcBorders>
            <w:shd w:val="clear" w:color="auto" w:fill="auto"/>
            <w:vAlign w:val="center"/>
            <w:hideMark/>
          </w:tcPr>
          <w:p w:rsidR="000D372C" w:rsidRPr="004E7D74" w:rsidRDefault="000D372C" w:rsidP="000D372C">
            <w:pPr>
              <w:spacing w:after="0" w:line="240" w:lineRule="auto"/>
              <w:rPr>
                <w:rFonts w:ascii="Arial" w:eastAsia="Times New Roman" w:hAnsi="Arial" w:cs="Arial"/>
                <w:bCs/>
                <w:color w:val="000000"/>
                <w:sz w:val="20"/>
                <w:szCs w:val="20"/>
                <w:lang w:eastAsia="en-GB"/>
              </w:rPr>
            </w:pPr>
            <w:r w:rsidRPr="004E7D74">
              <w:rPr>
                <w:rFonts w:ascii="Arial" w:eastAsia="Times New Roman" w:hAnsi="Arial" w:cs="Arial"/>
                <w:bCs/>
                <w:color w:val="000000"/>
                <w:sz w:val="20"/>
                <w:szCs w:val="20"/>
                <w:lang w:eastAsia="en-GB"/>
              </w:rPr>
              <w:t>Respiratory cost ratios</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0.458</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sz w:val="20"/>
                <w:szCs w:val="20"/>
                <w:lang w:eastAsia="en-GB"/>
              </w:rPr>
            </w:pPr>
            <w:r w:rsidRPr="007F6D65">
              <w:rPr>
                <w:rFonts w:ascii="Arial" w:eastAsia="Times New Roman" w:hAnsi="Arial" w:cs="Arial"/>
                <w:sz w:val="20"/>
                <w:szCs w:val="20"/>
                <w:lang w:eastAsia="en-GB"/>
              </w:rPr>
              <w:t>0.460</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0.442</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0.415</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0.321</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0.202</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0.450</w:t>
            </w:r>
          </w:p>
        </w:tc>
      </w:tr>
      <w:tr w:rsidR="000D372C" w:rsidRPr="003E01AD" w:rsidTr="000D372C">
        <w:trPr>
          <w:trHeight w:hRule="exact" w:val="284"/>
        </w:trPr>
        <w:tc>
          <w:tcPr>
            <w:tcW w:w="1590" w:type="pct"/>
            <w:tcBorders>
              <w:top w:val="nil"/>
              <w:left w:val="single" w:sz="4" w:space="0" w:color="auto"/>
              <w:bottom w:val="single" w:sz="4" w:space="0" w:color="auto"/>
              <w:right w:val="single" w:sz="4" w:space="0" w:color="auto"/>
            </w:tcBorders>
            <w:shd w:val="clear" w:color="auto" w:fill="auto"/>
            <w:vAlign w:val="center"/>
            <w:hideMark/>
          </w:tcPr>
          <w:p w:rsidR="000D372C" w:rsidRPr="004E7D74" w:rsidRDefault="000D372C" w:rsidP="000D372C">
            <w:pPr>
              <w:spacing w:after="0" w:line="240" w:lineRule="auto"/>
              <w:rPr>
                <w:rFonts w:ascii="Arial" w:eastAsia="Times New Roman" w:hAnsi="Arial" w:cs="Arial"/>
                <w:bCs/>
                <w:color w:val="000000"/>
                <w:sz w:val="20"/>
                <w:szCs w:val="20"/>
                <w:lang w:eastAsia="en-GB"/>
              </w:rPr>
            </w:pPr>
            <w:r w:rsidRPr="004E7D74">
              <w:rPr>
                <w:rFonts w:ascii="Arial" w:eastAsia="Times New Roman" w:hAnsi="Arial" w:cs="Arial"/>
                <w:bCs/>
                <w:color w:val="000000"/>
                <w:sz w:val="20"/>
                <w:szCs w:val="20"/>
                <w:lang w:eastAsia="en-GB"/>
              </w:rPr>
              <w:t>Outpatients cost ratios</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0.332</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sz w:val="20"/>
                <w:szCs w:val="20"/>
                <w:lang w:eastAsia="en-GB"/>
              </w:rPr>
            </w:pPr>
            <w:r w:rsidRPr="007F6D65">
              <w:rPr>
                <w:rFonts w:ascii="Arial" w:eastAsia="Times New Roman" w:hAnsi="Arial" w:cs="Arial"/>
                <w:sz w:val="20"/>
                <w:szCs w:val="20"/>
                <w:lang w:eastAsia="en-GB"/>
              </w:rPr>
              <w:t>0.340</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0.337</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0.270</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0.364</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0.106</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0.324</w:t>
            </w:r>
          </w:p>
        </w:tc>
      </w:tr>
    </w:tbl>
    <w:p w:rsidR="000D372C" w:rsidRDefault="000D372C" w:rsidP="000D372C">
      <w:pPr>
        <w:spacing w:after="0"/>
        <w:rPr>
          <w:rFonts w:ascii="Arial" w:hAnsi="Arial" w:cs="Arial"/>
          <w:b/>
        </w:rPr>
      </w:pPr>
    </w:p>
    <w:p w:rsidR="000D372C" w:rsidRDefault="000D372C" w:rsidP="000D372C">
      <w:pPr>
        <w:spacing w:after="0"/>
        <w:rPr>
          <w:rFonts w:ascii="Arial" w:hAnsi="Arial" w:cs="Arial"/>
          <w:i/>
        </w:rPr>
      </w:pPr>
      <w:r>
        <w:rPr>
          <w:rFonts w:ascii="Arial" w:hAnsi="Arial" w:cs="Arial"/>
          <w:i/>
        </w:rPr>
        <w:t>Table F.2</w:t>
      </w:r>
      <w:r w:rsidRPr="003E01AD">
        <w:rPr>
          <w:rFonts w:ascii="Arial" w:hAnsi="Arial" w:cs="Arial"/>
          <w:i/>
        </w:rPr>
        <w:t xml:space="preserve">. </w:t>
      </w:r>
      <w:r>
        <w:rPr>
          <w:rFonts w:ascii="Arial" w:hAnsi="Arial" w:cs="Arial"/>
          <w:i/>
        </w:rPr>
        <w:t>SIMD scores</w:t>
      </w:r>
      <w:r w:rsidRPr="00180CFC">
        <w:rPr>
          <w:rFonts w:ascii="Arial" w:hAnsi="Arial" w:cs="Arial"/>
          <w:i/>
        </w:rPr>
        <w:t xml:space="preserve"> correlations </w:t>
      </w:r>
      <w:r>
        <w:rPr>
          <w:rFonts w:ascii="Arial" w:hAnsi="Arial" w:cs="Arial"/>
          <w:i/>
        </w:rPr>
        <w:t xml:space="preserve">to the cost ratios </w:t>
      </w:r>
      <w:r w:rsidRPr="00180CFC">
        <w:rPr>
          <w:rFonts w:ascii="Arial" w:hAnsi="Arial" w:cs="Arial"/>
          <w:i/>
        </w:rPr>
        <w:t xml:space="preserve">at </w:t>
      </w:r>
      <w:r>
        <w:rPr>
          <w:rFonts w:ascii="Arial" w:hAnsi="Arial" w:cs="Arial"/>
          <w:i/>
        </w:rPr>
        <w:t>3 years Data Zones.</w:t>
      </w:r>
    </w:p>
    <w:tbl>
      <w:tblPr>
        <w:tblW w:w="5000" w:type="pct"/>
        <w:tblLook w:val="04A0"/>
      </w:tblPr>
      <w:tblGrid>
        <w:gridCol w:w="2942"/>
        <w:gridCol w:w="900"/>
        <w:gridCol w:w="900"/>
        <w:gridCol w:w="900"/>
        <w:gridCol w:w="900"/>
        <w:gridCol w:w="900"/>
        <w:gridCol w:w="900"/>
        <w:gridCol w:w="900"/>
      </w:tblGrid>
      <w:tr w:rsidR="000D372C" w:rsidRPr="003E01AD" w:rsidTr="000D372C">
        <w:trPr>
          <w:trHeight w:val="1425"/>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72C" w:rsidRDefault="000D372C" w:rsidP="000D372C">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Correlations</w:t>
            </w:r>
          </w:p>
          <w:p w:rsidR="000D372C" w:rsidRPr="007F6D65" w:rsidRDefault="000D372C" w:rsidP="000D372C">
            <w:pPr>
              <w:spacing w:after="0" w:line="240" w:lineRule="auto"/>
              <w:rPr>
                <w:rFonts w:ascii="Arial" w:eastAsia="Times New Roman" w:hAnsi="Arial" w:cs="Arial"/>
                <w:b/>
                <w:bCs/>
                <w:color w:val="000000"/>
                <w:sz w:val="20"/>
                <w:szCs w:val="20"/>
                <w:lang w:eastAsia="en-GB"/>
              </w:rPr>
            </w:pPr>
            <w:r w:rsidRPr="007F6D65">
              <w:rPr>
                <w:rFonts w:ascii="Arial" w:eastAsia="Times New Roman" w:hAnsi="Arial" w:cs="Arial"/>
                <w:b/>
                <w:bCs/>
                <w:color w:val="000000"/>
                <w:sz w:val="20"/>
                <w:szCs w:val="20"/>
                <w:lang w:eastAsia="en-GB"/>
              </w:rPr>
              <w:t>3 years Data Zones</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0D372C" w:rsidRPr="007F6D65" w:rsidRDefault="000D372C" w:rsidP="000D372C">
            <w:pPr>
              <w:spacing w:after="0" w:line="240" w:lineRule="auto"/>
              <w:jc w:val="center"/>
              <w:rPr>
                <w:rFonts w:ascii="Arial" w:eastAsia="Times New Roman" w:hAnsi="Arial" w:cs="Arial"/>
                <w:b/>
                <w:bCs/>
                <w:color w:val="000000"/>
                <w:sz w:val="20"/>
                <w:szCs w:val="20"/>
                <w:lang w:eastAsia="en-GB"/>
              </w:rPr>
            </w:pPr>
            <w:r w:rsidRPr="007F6D65">
              <w:rPr>
                <w:rFonts w:ascii="Arial" w:eastAsia="Times New Roman" w:hAnsi="Arial" w:cs="Arial"/>
                <w:b/>
                <w:bCs/>
                <w:color w:val="000000"/>
                <w:sz w:val="20"/>
                <w:szCs w:val="20"/>
                <w:lang w:eastAsia="en-GB"/>
              </w:rPr>
              <w:t>Overall SIMD</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0D372C" w:rsidRPr="007F6D65" w:rsidRDefault="000D372C" w:rsidP="000D372C">
            <w:pPr>
              <w:spacing w:after="0" w:line="240" w:lineRule="auto"/>
              <w:jc w:val="center"/>
              <w:rPr>
                <w:rFonts w:ascii="Arial" w:eastAsia="Times New Roman" w:hAnsi="Arial" w:cs="Arial"/>
                <w:b/>
                <w:bCs/>
                <w:sz w:val="20"/>
                <w:szCs w:val="20"/>
                <w:lang w:eastAsia="en-GB"/>
              </w:rPr>
            </w:pPr>
            <w:r w:rsidRPr="007F6D65">
              <w:rPr>
                <w:rFonts w:ascii="Arial" w:eastAsia="Times New Roman" w:hAnsi="Arial" w:cs="Arial"/>
                <w:b/>
                <w:bCs/>
                <w:sz w:val="20"/>
                <w:szCs w:val="20"/>
                <w:lang w:eastAsia="en-GB"/>
              </w:rPr>
              <w:t>Income</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0D372C" w:rsidRPr="007F6D65" w:rsidRDefault="000D372C" w:rsidP="000D372C">
            <w:pPr>
              <w:spacing w:after="0" w:line="240" w:lineRule="auto"/>
              <w:jc w:val="center"/>
              <w:rPr>
                <w:rFonts w:ascii="Arial" w:eastAsia="Times New Roman" w:hAnsi="Arial" w:cs="Arial"/>
                <w:b/>
                <w:bCs/>
                <w:color w:val="000000"/>
                <w:sz w:val="20"/>
                <w:szCs w:val="20"/>
                <w:lang w:eastAsia="en-GB"/>
              </w:rPr>
            </w:pPr>
            <w:r w:rsidRPr="007F6D65">
              <w:rPr>
                <w:rFonts w:ascii="Arial" w:eastAsia="Times New Roman" w:hAnsi="Arial" w:cs="Arial"/>
                <w:b/>
                <w:bCs/>
                <w:color w:val="000000"/>
                <w:sz w:val="20"/>
                <w:szCs w:val="20"/>
                <w:lang w:eastAsia="en-GB"/>
              </w:rPr>
              <w:t>Employment</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0D372C" w:rsidRPr="007F6D65" w:rsidRDefault="000D372C" w:rsidP="000D372C">
            <w:pPr>
              <w:spacing w:after="0" w:line="240" w:lineRule="auto"/>
              <w:jc w:val="center"/>
              <w:rPr>
                <w:rFonts w:ascii="Arial" w:eastAsia="Times New Roman" w:hAnsi="Arial" w:cs="Arial"/>
                <w:b/>
                <w:bCs/>
                <w:color w:val="000000"/>
                <w:sz w:val="20"/>
                <w:szCs w:val="20"/>
                <w:lang w:eastAsia="en-GB"/>
              </w:rPr>
            </w:pPr>
            <w:r w:rsidRPr="007F6D65">
              <w:rPr>
                <w:rFonts w:ascii="Arial" w:eastAsia="Times New Roman" w:hAnsi="Arial" w:cs="Arial"/>
                <w:b/>
                <w:bCs/>
                <w:color w:val="000000"/>
                <w:sz w:val="20"/>
                <w:szCs w:val="20"/>
                <w:lang w:eastAsia="en-GB"/>
              </w:rPr>
              <w:t>Education</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0D372C" w:rsidRPr="007F6D65" w:rsidRDefault="000D372C" w:rsidP="000D372C">
            <w:pPr>
              <w:spacing w:after="0" w:line="240" w:lineRule="auto"/>
              <w:jc w:val="center"/>
              <w:rPr>
                <w:rFonts w:ascii="Arial" w:eastAsia="Times New Roman" w:hAnsi="Arial" w:cs="Arial"/>
                <w:b/>
                <w:bCs/>
                <w:color w:val="000000"/>
                <w:sz w:val="20"/>
                <w:szCs w:val="20"/>
                <w:lang w:eastAsia="en-GB"/>
              </w:rPr>
            </w:pPr>
            <w:r w:rsidRPr="007F6D65">
              <w:rPr>
                <w:rFonts w:ascii="Arial" w:eastAsia="Times New Roman" w:hAnsi="Arial" w:cs="Arial"/>
                <w:b/>
                <w:bCs/>
                <w:color w:val="000000"/>
                <w:sz w:val="20"/>
                <w:szCs w:val="20"/>
                <w:lang w:eastAsia="en-GB"/>
              </w:rPr>
              <w:t>Housing</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0D372C" w:rsidRPr="007F6D65" w:rsidRDefault="000D372C" w:rsidP="000D372C">
            <w:pPr>
              <w:spacing w:after="0" w:line="240" w:lineRule="auto"/>
              <w:jc w:val="center"/>
              <w:rPr>
                <w:rFonts w:ascii="Arial" w:eastAsia="Times New Roman" w:hAnsi="Arial" w:cs="Arial"/>
                <w:b/>
                <w:bCs/>
                <w:color w:val="000000"/>
                <w:sz w:val="20"/>
                <w:szCs w:val="20"/>
                <w:lang w:eastAsia="en-GB"/>
              </w:rPr>
            </w:pPr>
            <w:r w:rsidRPr="007F6D65">
              <w:rPr>
                <w:rFonts w:ascii="Arial" w:eastAsia="Times New Roman" w:hAnsi="Arial" w:cs="Arial"/>
                <w:b/>
                <w:bCs/>
                <w:color w:val="000000"/>
                <w:sz w:val="20"/>
                <w:szCs w:val="20"/>
                <w:lang w:eastAsia="en-GB"/>
              </w:rPr>
              <w:t>Crime</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0D372C" w:rsidRPr="007F6D65" w:rsidRDefault="000D372C" w:rsidP="000D372C">
            <w:pPr>
              <w:spacing w:after="0" w:line="240" w:lineRule="auto"/>
              <w:jc w:val="center"/>
              <w:rPr>
                <w:rFonts w:ascii="Arial" w:eastAsia="Times New Roman" w:hAnsi="Arial" w:cs="Arial"/>
                <w:b/>
                <w:bCs/>
                <w:color w:val="000000"/>
                <w:sz w:val="20"/>
                <w:szCs w:val="20"/>
                <w:lang w:eastAsia="en-GB"/>
              </w:rPr>
            </w:pPr>
            <w:r w:rsidRPr="007F6D65">
              <w:rPr>
                <w:rFonts w:ascii="Arial" w:eastAsia="Times New Roman" w:hAnsi="Arial" w:cs="Arial"/>
                <w:b/>
                <w:bCs/>
                <w:color w:val="000000"/>
                <w:sz w:val="20"/>
                <w:szCs w:val="20"/>
                <w:lang w:eastAsia="en-GB"/>
              </w:rPr>
              <w:t>Scenario1</w:t>
            </w:r>
          </w:p>
        </w:tc>
      </w:tr>
      <w:tr w:rsidR="000D372C" w:rsidRPr="003E01AD" w:rsidTr="000D372C">
        <w:trPr>
          <w:trHeight w:hRule="exact" w:val="284"/>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0D372C" w:rsidRPr="004E7D74" w:rsidRDefault="000D372C" w:rsidP="000D372C">
            <w:pPr>
              <w:spacing w:after="0" w:line="240" w:lineRule="auto"/>
              <w:rPr>
                <w:rFonts w:ascii="Arial" w:eastAsia="Times New Roman" w:hAnsi="Arial" w:cs="Arial"/>
                <w:bCs/>
                <w:color w:val="000000"/>
                <w:sz w:val="20"/>
                <w:szCs w:val="20"/>
                <w:lang w:eastAsia="en-GB"/>
              </w:rPr>
            </w:pPr>
            <w:r w:rsidRPr="004E7D74">
              <w:rPr>
                <w:rFonts w:ascii="Arial" w:eastAsia="Times New Roman" w:hAnsi="Arial" w:cs="Arial"/>
                <w:bCs/>
                <w:color w:val="000000"/>
                <w:sz w:val="20"/>
                <w:szCs w:val="20"/>
                <w:lang w:eastAsia="en-GB"/>
              </w:rPr>
              <w:t>Cancer cost ratios</w:t>
            </w:r>
          </w:p>
        </w:tc>
        <w:tc>
          <w:tcPr>
            <w:tcW w:w="0" w:type="auto"/>
            <w:tcBorders>
              <w:top w:val="nil"/>
              <w:left w:val="nil"/>
              <w:bottom w:val="nil"/>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0.220</w:t>
            </w:r>
          </w:p>
        </w:tc>
        <w:tc>
          <w:tcPr>
            <w:tcW w:w="0" w:type="auto"/>
            <w:tcBorders>
              <w:top w:val="nil"/>
              <w:left w:val="nil"/>
              <w:bottom w:val="nil"/>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0.221</w:t>
            </w:r>
          </w:p>
        </w:tc>
        <w:tc>
          <w:tcPr>
            <w:tcW w:w="0" w:type="auto"/>
            <w:tcBorders>
              <w:top w:val="nil"/>
              <w:left w:val="nil"/>
              <w:bottom w:val="nil"/>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0.222</w:t>
            </w:r>
          </w:p>
        </w:tc>
        <w:tc>
          <w:tcPr>
            <w:tcW w:w="0" w:type="auto"/>
            <w:tcBorders>
              <w:top w:val="nil"/>
              <w:left w:val="nil"/>
              <w:bottom w:val="nil"/>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0.193</w:t>
            </w:r>
          </w:p>
        </w:tc>
        <w:tc>
          <w:tcPr>
            <w:tcW w:w="0" w:type="auto"/>
            <w:tcBorders>
              <w:top w:val="nil"/>
              <w:left w:val="nil"/>
              <w:bottom w:val="nil"/>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0.203</w:t>
            </w:r>
          </w:p>
        </w:tc>
        <w:tc>
          <w:tcPr>
            <w:tcW w:w="0" w:type="auto"/>
            <w:tcBorders>
              <w:top w:val="nil"/>
              <w:left w:val="nil"/>
              <w:bottom w:val="nil"/>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0.094</w:t>
            </w:r>
          </w:p>
        </w:tc>
        <w:tc>
          <w:tcPr>
            <w:tcW w:w="0" w:type="auto"/>
            <w:tcBorders>
              <w:top w:val="nil"/>
              <w:left w:val="nil"/>
              <w:bottom w:val="nil"/>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0.213</w:t>
            </w:r>
          </w:p>
        </w:tc>
      </w:tr>
      <w:tr w:rsidR="000D372C" w:rsidRPr="003E01AD" w:rsidTr="000D372C">
        <w:trPr>
          <w:trHeight w:hRule="exact" w:val="284"/>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0D372C" w:rsidRPr="004E7D74" w:rsidRDefault="000D372C" w:rsidP="000D372C">
            <w:pPr>
              <w:spacing w:after="0" w:line="240" w:lineRule="auto"/>
              <w:rPr>
                <w:rFonts w:ascii="Arial" w:eastAsia="Times New Roman" w:hAnsi="Arial" w:cs="Arial"/>
                <w:bCs/>
                <w:color w:val="000000"/>
                <w:sz w:val="20"/>
                <w:szCs w:val="20"/>
                <w:lang w:eastAsia="en-GB"/>
              </w:rPr>
            </w:pPr>
            <w:r w:rsidRPr="004E7D74">
              <w:rPr>
                <w:rFonts w:ascii="Arial" w:eastAsia="Times New Roman" w:hAnsi="Arial" w:cs="Arial"/>
                <w:bCs/>
                <w:color w:val="000000"/>
                <w:sz w:val="20"/>
                <w:szCs w:val="20"/>
                <w:lang w:eastAsia="en-GB"/>
              </w:rPr>
              <w:t>Heart cost ratios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0.422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0.428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0.408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0.409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0.304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0.227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0.416</w:t>
            </w:r>
          </w:p>
        </w:tc>
      </w:tr>
      <w:tr w:rsidR="000D372C" w:rsidRPr="003E01AD" w:rsidTr="000D372C">
        <w:trPr>
          <w:trHeight w:hRule="exact" w:val="284"/>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0D372C" w:rsidRPr="004E7D74" w:rsidRDefault="000D372C" w:rsidP="000D372C">
            <w:pPr>
              <w:spacing w:after="0" w:line="240" w:lineRule="auto"/>
              <w:rPr>
                <w:rFonts w:ascii="Arial" w:eastAsia="Times New Roman" w:hAnsi="Arial" w:cs="Arial"/>
                <w:bCs/>
                <w:color w:val="000000"/>
                <w:sz w:val="20"/>
                <w:szCs w:val="20"/>
                <w:lang w:eastAsia="en-GB"/>
              </w:rPr>
            </w:pPr>
            <w:r w:rsidRPr="004E7D74">
              <w:rPr>
                <w:rFonts w:ascii="Arial" w:eastAsia="Times New Roman" w:hAnsi="Arial" w:cs="Arial"/>
                <w:bCs/>
                <w:color w:val="000000"/>
                <w:sz w:val="20"/>
                <w:szCs w:val="20"/>
                <w:lang w:eastAsia="en-GB"/>
              </w:rPr>
              <w:t>Digestive cost ratios</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0.548</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0.541</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0.537</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0.493</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0.348</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0.231</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0.535</w:t>
            </w:r>
          </w:p>
        </w:tc>
      </w:tr>
      <w:tr w:rsidR="000D372C" w:rsidRPr="003E01AD" w:rsidTr="000D372C">
        <w:trPr>
          <w:trHeight w:hRule="exact" w:val="284"/>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0D372C" w:rsidRPr="004E7D74" w:rsidRDefault="000D372C" w:rsidP="000D372C">
            <w:pPr>
              <w:spacing w:after="0" w:line="240" w:lineRule="auto"/>
              <w:rPr>
                <w:rFonts w:ascii="Arial" w:eastAsia="Times New Roman" w:hAnsi="Arial" w:cs="Arial"/>
                <w:bCs/>
                <w:color w:val="000000"/>
                <w:sz w:val="20"/>
                <w:szCs w:val="20"/>
                <w:lang w:eastAsia="en-GB"/>
              </w:rPr>
            </w:pPr>
            <w:r w:rsidRPr="004E7D74">
              <w:rPr>
                <w:rFonts w:ascii="Arial" w:eastAsia="Times New Roman" w:hAnsi="Arial" w:cs="Arial"/>
                <w:bCs/>
                <w:color w:val="000000"/>
                <w:sz w:val="20"/>
                <w:szCs w:val="20"/>
                <w:lang w:eastAsia="en-GB"/>
              </w:rPr>
              <w:t>Injury cost ratios</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0.480</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0.473</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0.467</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0.428</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0.313</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0.267</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0.469</w:t>
            </w:r>
          </w:p>
        </w:tc>
      </w:tr>
      <w:tr w:rsidR="000D372C" w:rsidRPr="003E01AD" w:rsidTr="000D372C">
        <w:trPr>
          <w:trHeight w:hRule="exact" w:val="284"/>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0D372C" w:rsidRPr="004E7D74" w:rsidRDefault="000D372C" w:rsidP="000D372C">
            <w:pPr>
              <w:spacing w:after="0" w:line="240" w:lineRule="auto"/>
              <w:rPr>
                <w:rFonts w:ascii="Arial" w:eastAsia="Times New Roman" w:hAnsi="Arial" w:cs="Arial"/>
                <w:bCs/>
                <w:color w:val="000000"/>
                <w:sz w:val="20"/>
                <w:szCs w:val="20"/>
                <w:lang w:eastAsia="en-GB"/>
              </w:rPr>
            </w:pPr>
            <w:r w:rsidRPr="004E7D74">
              <w:rPr>
                <w:rFonts w:ascii="Arial" w:eastAsia="Times New Roman" w:hAnsi="Arial" w:cs="Arial"/>
                <w:bCs/>
                <w:color w:val="000000"/>
                <w:sz w:val="20"/>
                <w:szCs w:val="20"/>
                <w:lang w:eastAsia="en-GB"/>
              </w:rPr>
              <w:t>Other cost ratios</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0.615</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0.621</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0.606</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0.567</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0.385</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0.269</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0.599</w:t>
            </w:r>
          </w:p>
        </w:tc>
      </w:tr>
      <w:tr w:rsidR="000D372C" w:rsidRPr="003E01AD" w:rsidTr="000D372C">
        <w:trPr>
          <w:trHeight w:hRule="exact" w:val="284"/>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0D372C" w:rsidRPr="004E7D74" w:rsidRDefault="000D372C" w:rsidP="000D372C">
            <w:pPr>
              <w:spacing w:after="0" w:line="240" w:lineRule="auto"/>
              <w:rPr>
                <w:rFonts w:ascii="Arial" w:eastAsia="Times New Roman" w:hAnsi="Arial" w:cs="Arial"/>
                <w:bCs/>
                <w:color w:val="000000"/>
                <w:sz w:val="20"/>
                <w:szCs w:val="20"/>
                <w:lang w:eastAsia="en-GB"/>
              </w:rPr>
            </w:pPr>
            <w:r w:rsidRPr="004E7D74">
              <w:rPr>
                <w:rFonts w:ascii="Arial" w:eastAsia="Times New Roman" w:hAnsi="Arial" w:cs="Arial"/>
                <w:bCs/>
                <w:color w:val="000000"/>
                <w:sz w:val="20"/>
                <w:szCs w:val="20"/>
                <w:lang w:eastAsia="en-GB"/>
              </w:rPr>
              <w:t>Respiratory cost ratios</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0.593</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0.595</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0.574</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0.539</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0.434</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0.272</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0.582</w:t>
            </w:r>
          </w:p>
        </w:tc>
      </w:tr>
      <w:tr w:rsidR="000D372C" w:rsidRPr="003E01AD" w:rsidTr="000D372C">
        <w:trPr>
          <w:trHeight w:hRule="exact" w:val="284"/>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0D372C" w:rsidRPr="004E7D74" w:rsidRDefault="000D372C" w:rsidP="000D372C">
            <w:pPr>
              <w:spacing w:after="0" w:line="240" w:lineRule="auto"/>
              <w:rPr>
                <w:rFonts w:ascii="Arial" w:eastAsia="Times New Roman" w:hAnsi="Arial" w:cs="Arial"/>
                <w:bCs/>
                <w:color w:val="000000"/>
                <w:sz w:val="20"/>
                <w:szCs w:val="20"/>
                <w:lang w:eastAsia="en-GB"/>
              </w:rPr>
            </w:pPr>
            <w:r w:rsidRPr="004E7D74">
              <w:rPr>
                <w:rFonts w:ascii="Arial" w:eastAsia="Times New Roman" w:hAnsi="Arial" w:cs="Arial"/>
                <w:bCs/>
                <w:color w:val="000000"/>
                <w:sz w:val="20"/>
                <w:szCs w:val="20"/>
                <w:lang w:eastAsia="en-GB"/>
              </w:rPr>
              <w:t>Outpatients cost ratios</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0.375</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0.387</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0.382</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0.312</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0.396</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0.122</w:t>
            </w:r>
          </w:p>
        </w:tc>
        <w:tc>
          <w:tcPr>
            <w:tcW w:w="0" w:type="auto"/>
            <w:tcBorders>
              <w:top w:val="nil"/>
              <w:left w:val="nil"/>
              <w:bottom w:val="single" w:sz="4" w:space="0" w:color="auto"/>
              <w:right w:val="single" w:sz="4" w:space="0" w:color="auto"/>
            </w:tcBorders>
            <w:shd w:val="clear" w:color="auto" w:fill="auto"/>
            <w:noWrap/>
            <w:vAlign w:val="center"/>
            <w:hideMark/>
          </w:tcPr>
          <w:p w:rsidR="000D372C" w:rsidRPr="007F6D65" w:rsidRDefault="000D372C" w:rsidP="000D372C">
            <w:pPr>
              <w:jc w:val="right"/>
              <w:rPr>
                <w:rFonts w:ascii="Arial" w:hAnsi="Arial" w:cs="Arial"/>
                <w:color w:val="000000"/>
                <w:sz w:val="20"/>
                <w:szCs w:val="20"/>
              </w:rPr>
            </w:pPr>
            <w:r w:rsidRPr="007F6D65">
              <w:rPr>
                <w:rFonts w:ascii="Arial" w:hAnsi="Arial" w:cs="Arial"/>
                <w:color w:val="000000"/>
                <w:sz w:val="20"/>
                <w:szCs w:val="20"/>
              </w:rPr>
              <w:t>0.366</w:t>
            </w:r>
          </w:p>
        </w:tc>
      </w:tr>
    </w:tbl>
    <w:p w:rsidR="000D372C" w:rsidRDefault="000D372C" w:rsidP="000D372C">
      <w:pPr>
        <w:spacing w:after="0"/>
        <w:rPr>
          <w:rFonts w:ascii="Arial" w:hAnsi="Arial" w:cs="Arial"/>
          <w:i/>
        </w:rPr>
      </w:pPr>
    </w:p>
    <w:p w:rsidR="000D372C" w:rsidRPr="00180CFC" w:rsidRDefault="000D372C" w:rsidP="000D372C">
      <w:pPr>
        <w:spacing w:after="0"/>
        <w:rPr>
          <w:rFonts w:ascii="Arial" w:hAnsi="Arial" w:cs="Arial"/>
          <w:i/>
        </w:rPr>
      </w:pPr>
      <w:r w:rsidRPr="00180CFC">
        <w:rPr>
          <w:rFonts w:ascii="Arial" w:hAnsi="Arial" w:cs="Arial"/>
          <w:i/>
        </w:rPr>
        <w:t xml:space="preserve">Table </w:t>
      </w:r>
      <w:r>
        <w:rPr>
          <w:rFonts w:ascii="Arial" w:hAnsi="Arial" w:cs="Arial"/>
          <w:i/>
        </w:rPr>
        <w:t xml:space="preserve">F.3. </w:t>
      </w:r>
      <w:proofErr w:type="gramStart"/>
      <w:r>
        <w:rPr>
          <w:rFonts w:ascii="Arial" w:hAnsi="Arial" w:cs="Arial"/>
          <w:i/>
        </w:rPr>
        <w:t>SIMD Income domain local and national shares</w:t>
      </w:r>
      <w:r w:rsidR="00410C88">
        <w:rPr>
          <w:rFonts w:ascii="Arial" w:hAnsi="Arial" w:cs="Arial"/>
          <w:i/>
        </w:rPr>
        <w:t>’</w:t>
      </w:r>
      <w:r w:rsidRPr="00180CFC">
        <w:rPr>
          <w:rFonts w:ascii="Arial" w:hAnsi="Arial" w:cs="Arial"/>
          <w:i/>
        </w:rPr>
        <w:t xml:space="preserve"> </w:t>
      </w:r>
      <w:r w:rsidR="00410C88" w:rsidRPr="00180CFC">
        <w:rPr>
          <w:rFonts w:ascii="Arial" w:hAnsi="Arial" w:cs="Arial"/>
          <w:i/>
        </w:rPr>
        <w:t xml:space="preserve">correlations </w:t>
      </w:r>
      <w:r w:rsidR="00410C88">
        <w:rPr>
          <w:rFonts w:ascii="Arial" w:hAnsi="Arial" w:cs="Arial"/>
          <w:i/>
        </w:rPr>
        <w:t xml:space="preserve">to the cost ratios </w:t>
      </w:r>
      <w:r w:rsidRPr="00180CFC">
        <w:rPr>
          <w:rFonts w:ascii="Arial" w:hAnsi="Arial" w:cs="Arial"/>
          <w:i/>
        </w:rPr>
        <w:t xml:space="preserve">at </w:t>
      </w:r>
      <w:r w:rsidR="00410C88">
        <w:rPr>
          <w:rFonts w:ascii="Arial" w:hAnsi="Arial" w:cs="Arial"/>
          <w:i/>
        </w:rPr>
        <w:t xml:space="preserve">1 year </w:t>
      </w:r>
      <w:r w:rsidRPr="00180CFC">
        <w:rPr>
          <w:rFonts w:ascii="Arial" w:hAnsi="Arial" w:cs="Arial"/>
          <w:i/>
        </w:rPr>
        <w:t>Intermediate Zone</w:t>
      </w:r>
      <w:r w:rsidR="00410C88">
        <w:rPr>
          <w:rFonts w:ascii="Arial" w:hAnsi="Arial" w:cs="Arial"/>
          <w:i/>
        </w:rPr>
        <w:t>s</w:t>
      </w:r>
      <w:r w:rsidRPr="00180CFC">
        <w:rPr>
          <w:rFonts w:ascii="Arial" w:hAnsi="Arial" w:cs="Arial"/>
          <w:i/>
        </w:rPr>
        <w:t>.</w:t>
      </w:r>
      <w:proofErr w:type="gramEnd"/>
    </w:p>
    <w:tbl>
      <w:tblPr>
        <w:tblW w:w="0" w:type="auto"/>
        <w:tblLook w:val="04A0"/>
      </w:tblPr>
      <w:tblGrid>
        <w:gridCol w:w="2802"/>
        <w:gridCol w:w="1417"/>
        <w:gridCol w:w="1701"/>
        <w:gridCol w:w="1559"/>
        <w:gridCol w:w="1763"/>
      </w:tblGrid>
      <w:tr w:rsidR="000D372C" w:rsidRPr="007807C9" w:rsidTr="00410C88">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C88" w:rsidRDefault="000D372C" w:rsidP="00410C88">
            <w:pPr>
              <w:spacing w:before="40" w:after="4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Correlations </w:t>
            </w:r>
          </w:p>
          <w:p w:rsidR="000D372C" w:rsidRPr="007807C9" w:rsidRDefault="00410C88" w:rsidP="00410C88">
            <w:pPr>
              <w:spacing w:before="40" w:after="4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 year Intermediate Zones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D372C" w:rsidRPr="007807C9" w:rsidRDefault="000D372C" w:rsidP="00D66C09">
            <w:pPr>
              <w:spacing w:before="40" w:after="40" w:line="240" w:lineRule="auto"/>
              <w:jc w:val="center"/>
              <w:rPr>
                <w:rFonts w:ascii="Arial" w:eastAsia="Times New Roman" w:hAnsi="Arial" w:cs="Arial"/>
                <w:b/>
                <w:bCs/>
                <w:color w:val="000000"/>
                <w:sz w:val="20"/>
                <w:szCs w:val="20"/>
                <w:lang w:eastAsia="en-GB"/>
              </w:rPr>
            </w:pPr>
            <w:r w:rsidRPr="007807C9">
              <w:rPr>
                <w:rFonts w:ascii="Arial" w:eastAsia="Times New Roman" w:hAnsi="Arial" w:cs="Arial"/>
                <w:b/>
                <w:bCs/>
                <w:color w:val="000000"/>
                <w:sz w:val="20"/>
                <w:szCs w:val="20"/>
                <w:lang w:eastAsia="en-GB"/>
              </w:rPr>
              <w:t>5% LOCAL SHARE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D372C" w:rsidRPr="007807C9" w:rsidRDefault="000D372C" w:rsidP="00D66C09">
            <w:pPr>
              <w:spacing w:before="40" w:after="40" w:line="240" w:lineRule="auto"/>
              <w:jc w:val="center"/>
              <w:rPr>
                <w:rFonts w:ascii="Arial" w:eastAsia="Times New Roman" w:hAnsi="Arial" w:cs="Arial"/>
                <w:b/>
                <w:bCs/>
                <w:color w:val="000000"/>
                <w:sz w:val="20"/>
                <w:szCs w:val="20"/>
                <w:lang w:eastAsia="en-GB"/>
              </w:rPr>
            </w:pPr>
            <w:r w:rsidRPr="007807C9">
              <w:rPr>
                <w:rFonts w:ascii="Arial" w:eastAsia="Times New Roman" w:hAnsi="Arial" w:cs="Arial"/>
                <w:b/>
                <w:bCs/>
                <w:color w:val="000000"/>
                <w:sz w:val="20"/>
                <w:szCs w:val="20"/>
                <w:lang w:eastAsia="en-GB"/>
              </w:rPr>
              <w:t>5% NATIONAL SHARE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D372C" w:rsidRPr="007807C9" w:rsidRDefault="000D372C" w:rsidP="00D66C09">
            <w:pPr>
              <w:spacing w:before="40" w:after="40" w:line="240" w:lineRule="auto"/>
              <w:jc w:val="center"/>
              <w:rPr>
                <w:rFonts w:ascii="Arial" w:eastAsia="Times New Roman" w:hAnsi="Arial" w:cs="Arial"/>
                <w:b/>
                <w:bCs/>
                <w:color w:val="000000"/>
                <w:sz w:val="20"/>
                <w:szCs w:val="20"/>
                <w:lang w:eastAsia="en-GB"/>
              </w:rPr>
            </w:pPr>
            <w:r w:rsidRPr="007807C9">
              <w:rPr>
                <w:rFonts w:ascii="Arial" w:eastAsia="Times New Roman" w:hAnsi="Arial" w:cs="Arial"/>
                <w:b/>
                <w:bCs/>
                <w:color w:val="000000"/>
                <w:sz w:val="20"/>
                <w:szCs w:val="20"/>
                <w:lang w:eastAsia="en-GB"/>
              </w:rPr>
              <w:t>25% LOCAL SHARE</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0D372C" w:rsidRPr="007807C9" w:rsidRDefault="000D372C" w:rsidP="00D66C09">
            <w:pPr>
              <w:spacing w:before="40" w:after="40" w:line="240" w:lineRule="auto"/>
              <w:jc w:val="center"/>
              <w:rPr>
                <w:rFonts w:ascii="Arial" w:eastAsia="Times New Roman" w:hAnsi="Arial" w:cs="Arial"/>
                <w:b/>
                <w:bCs/>
                <w:color w:val="000000"/>
                <w:sz w:val="20"/>
                <w:szCs w:val="20"/>
                <w:lang w:eastAsia="en-GB"/>
              </w:rPr>
            </w:pPr>
            <w:r w:rsidRPr="007807C9">
              <w:rPr>
                <w:rFonts w:ascii="Arial" w:eastAsia="Times New Roman" w:hAnsi="Arial" w:cs="Arial"/>
                <w:b/>
                <w:bCs/>
                <w:color w:val="000000"/>
                <w:sz w:val="20"/>
                <w:szCs w:val="20"/>
                <w:lang w:eastAsia="en-GB"/>
              </w:rPr>
              <w:t>25% NATIONAL SHARE</w:t>
            </w:r>
          </w:p>
        </w:tc>
      </w:tr>
      <w:tr w:rsidR="000D372C" w:rsidRPr="007807C9" w:rsidTr="00410C88">
        <w:trPr>
          <w:trHeight w:val="30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0D372C" w:rsidRPr="007E3BF5" w:rsidRDefault="000D372C" w:rsidP="00410C88">
            <w:pPr>
              <w:spacing w:after="0" w:line="240" w:lineRule="auto"/>
              <w:rPr>
                <w:rFonts w:ascii="Arial" w:eastAsia="Times New Roman" w:hAnsi="Arial" w:cs="Arial"/>
                <w:bCs/>
                <w:color w:val="000000"/>
                <w:sz w:val="20"/>
                <w:szCs w:val="20"/>
                <w:lang w:eastAsia="en-GB"/>
              </w:rPr>
            </w:pPr>
            <w:r w:rsidRPr="007E3BF5">
              <w:rPr>
                <w:rFonts w:ascii="Arial" w:eastAsia="Times New Roman" w:hAnsi="Arial" w:cs="Arial"/>
                <w:bCs/>
                <w:color w:val="000000"/>
                <w:sz w:val="20"/>
                <w:szCs w:val="20"/>
                <w:lang w:eastAsia="en-GB"/>
              </w:rPr>
              <w:t>Cancer</w:t>
            </w:r>
            <w:r>
              <w:rPr>
                <w:rFonts w:ascii="Arial" w:eastAsia="Times New Roman" w:hAnsi="Arial" w:cs="Arial"/>
                <w:bCs/>
                <w:color w:val="000000"/>
                <w:sz w:val="20"/>
                <w:szCs w:val="20"/>
                <w:lang w:eastAsia="en-GB"/>
              </w:rPr>
              <w:t xml:space="preserve"> </w:t>
            </w:r>
            <w:r w:rsidRPr="007E3BF5">
              <w:rPr>
                <w:rFonts w:ascii="Arial" w:eastAsia="Times New Roman" w:hAnsi="Arial" w:cs="Arial"/>
                <w:bCs/>
                <w:color w:val="000000"/>
                <w:sz w:val="20"/>
                <w:szCs w:val="20"/>
                <w:lang w:eastAsia="en-GB"/>
              </w:rPr>
              <w:t>cost ratios</w:t>
            </w:r>
          </w:p>
        </w:tc>
        <w:tc>
          <w:tcPr>
            <w:tcW w:w="1417"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0.166</w:t>
            </w:r>
          </w:p>
        </w:tc>
        <w:tc>
          <w:tcPr>
            <w:tcW w:w="1701"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0.165</w:t>
            </w:r>
          </w:p>
        </w:tc>
        <w:tc>
          <w:tcPr>
            <w:tcW w:w="1559"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0.260</w:t>
            </w:r>
          </w:p>
        </w:tc>
        <w:tc>
          <w:tcPr>
            <w:tcW w:w="1763"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0.256</w:t>
            </w:r>
          </w:p>
        </w:tc>
      </w:tr>
      <w:tr w:rsidR="000D372C" w:rsidRPr="007807C9" w:rsidTr="00410C88">
        <w:trPr>
          <w:trHeight w:val="30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0D372C" w:rsidRPr="007E3BF5" w:rsidRDefault="000D372C" w:rsidP="00410C88">
            <w:pPr>
              <w:spacing w:after="0" w:line="240" w:lineRule="auto"/>
              <w:rPr>
                <w:rFonts w:ascii="Arial" w:eastAsia="Times New Roman" w:hAnsi="Arial" w:cs="Arial"/>
                <w:bCs/>
                <w:color w:val="000000"/>
                <w:sz w:val="20"/>
                <w:szCs w:val="20"/>
                <w:lang w:eastAsia="en-GB"/>
              </w:rPr>
            </w:pPr>
            <w:r w:rsidRPr="007E3BF5">
              <w:rPr>
                <w:rFonts w:ascii="Arial" w:eastAsia="Times New Roman" w:hAnsi="Arial" w:cs="Arial"/>
                <w:bCs/>
                <w:color w:val="000000"/>
                <w:sz w:val="20"/>
                <w:szCs w:val="20"/>
                <w:lang w:eastAsia="en-GB"/>
              </w:rPr>
              <w:t>Heart</w:t>
            </w:r>
            <w:r>
              <w:rPr>
                <w:rFonts w:ascii="Arial" w:eastAsia="Times New Roman" w:hAnsi="Arial" w:cs="Arial"/>
                <w:bCs/>
                <w:color w:val="000000"/>
                <w:sz w:val="20"/>
                <w:szCs w:val="20"/>
                <w:lang w:eastAsia="en-GB"/>
              </w:rPr>
              <w:t xml:space="preserve"> </w:t>
            </w:r>
            <w:r w:rsidRPr="007E3BF5">
              <w:rPr>
                <w:rFonts w:ascii="Arial" w:eastAsia="Times New Roman" w:hAnsi="Arial" w:cs="Arial"/>
                <w:bCs/>
                <w:color w:val="000000"/>
                <w:sz w:val="20"/>
                <w:szCs w:val="20"/>
                <w:lang w:eastAsia="en-GB"/>
              </w:rPr>
              <w:t>cost ratios</w:t>
            </w:r>
          </w:p>
        </w:tc>
        <w:tc>
          <w:tcPr>
            <w:tcW w:w="1417"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0.379</w:t>
            </w:r>
          </w:p>
        </w:tc>
        <w:tc>
          <w:tcPr>
            <w:tcW w:w="1701"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0.368</w:t>
            </w:r>
          </w:p>
        </w:tc>
        <w:tc>
          <w:tcPr>
            <w:tcW w:w="1559"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0.450</w:t>
            </w:r>
          </w:p>
        </w:tc>
        <w:tc>
          <w:tcPr>
            <w:tcW w:w="1763"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0.427</w:t>
            </w:r>
          </w:p>
        </w:tc>
      </w:tr>
      <w:tr w:rsidR="000D372C" w:rsidRPr="007807C9" w:rsidTr="00410C88">
        <w:trPr>
          <w:trHeight w:val="30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0D372C" w:rsidRPr="007E3BF5" w:rsidRDefault="000D372C" w:rsidP="00410C88">
            <w:pPr>
              <w:spacing w:after="0" w:line="240" w:lineRule="auto"/>
              <w:rPr>
                <w:rFonts w:ascii="Arial" w:eastAsia="Times New Roman" w:hAnsi="Arial" w:cs="Arial"/>
                <w:bCs/>
                <w:color w:val="000000"/>
                <w:sz w:val="20"/>
                <w:szCs w:val="20"/>
                <w:lang w:eastAsia="en-GB"/>
              </w:rPr>
            </w:pPr>
            <w:r w:rsidRPr="007E3BF5">
              <w:rPr>
                <w:rFonts w:ascii="Arial" w:eastAsia="Times New Roman" w:hAnsi="Arial" w:cs="Arial"/>
                <w:bCs/>
                <w:color w:val="000000"/>
                <w:sz w:val="20"/>
                <w:szCs w:val="20"/>
                <w:lang w:eastAsia="en-GB"/>
              </w:rPr>
              <w:t>Digestive</w:t>
            </w:r>
            <w:r>
              <w:rPr>
                <w:rFonts w:ascii="Arial" w:eastAsia="Times New Roman" w:hAnsi="Arial" w:cs="Arial"/>
                <w:bCs/>
                <w:color w:val="000000"/>
                <w:sz w:val="20"/>
                <w:szCs w:val="20"/>
                <w:lang w:eastAsia="en-GB"/>
              </w:rPr>
              <w:t xml:space="preserve"> </w:t>
            </w:r>
            <w:r w:rsidRPr="007E3BF5">
              <w:rPr>
                <w:rFonts w:ascii="Arial" w:eastAsia="Times New Roman" w:hAnsi="Arial" w:cs="Arial"/>
                <w:bCs/>
                <w:color w:val="000000"/>
                <w:sz w:val="20"/>
                <w:szCs w:val="20"/>
                <w:lang w:eastAsia="en-GB"/>
              </w:rPr>
              <w:t>cost ratios</w:t>
            </w:r>
          </w:p>
        </w:tc>
        <w:tc>
          <w:tcPr>
            <w:tcW w:w="1417"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0.434</w:t>
            </w:r>
          </w:p>
        </w:tc>
        <w:tc>
          <w:tcPr>
            <w:tcW w:w="1701"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0.435</w:t>
            </w:r>
          </w:p>
        </w:tc>
        <w:tc>
          <w:tcPr>
            <w:tcW w:w="1559"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0.554</w:t>
            </w:r>
          </w:p>
        </w:tc>
        <w:tc>
          <w:tcPr>
            <w:tcW w:w="1763"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0.542</w:t>
            </w:r>
          </w:p>
        </w:tc>
      </w:tr>
      <w:tr w:rsidR="000D372C" w:rsidRPr="007807C9" w:rsidTr="00410C88">
        <w:trPr>
          <w:trHeight w:val="30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0D372C" w:rsidRPr="007E3BF5" w:rsidRDefault="000D372C" w:rsidP="00410C88">
            <w:pPr>
              <w:spacing w:after="0" w:line="240" w:lineRule="auto"/>
              <w:rPr>
                <w:rFonts w:ascii="Arial" w:eastAsia="Times New Roman" w:hAnsi="Arial" w:cs="Arial"/>
                <w:bCs/>
                <w:color w:val="000000"/>
                <w:sz w:val="20"/>
                <w:szCs w:val="20"/>
                <w:lang w:eastAsia="en-GB"/>
              </w:rPr>
            </w:pPr>
            <w:r w:rsidRPr="007E3BF5">
              <w:rPr>
                <w:rFonts w:ascii="Arial" w:eastAsia="Times New Roman" w:hAnsi="Arial" w:cs="Arial"/>
                <w:bCs/>
                <w:color w:val="000000"/>
                <w:sz w:val="20"/>
                <w:szCs w:val="20"/>
                <w:lang w:eastAsia="en-GB"/>
              </w:rPr>
              <w:t>Injury</w:t>
            </w:r>
            <w:r>
              <w:rPr>
                <w:rFonts w:ascii="Arial" w:eastAsia="Times New Roman" w:hAnsi="Arial" w:cs="Arial"/>
                <w:bCs/>
                <w:color w:val="000000"/>
                <w:sz w:val="20"/>
                <w:szCs w:val="20"/>
                <w:lang w:eastAsia="en-GB"/>
              </w:rPr>
              <w:t xml:space="preserve"> </w:t>
            </w:r>
            <w:r w:rsidRPr="007E3BF5">
              <w:rPr>
                <w:rFonts w:ascii="Arial" w:eastAsia="Times New Roman" w:hAnsi="Arial" w:cs="Arial"/>
                <w:bCs/>
                <w:color w:val="000000"/>
                <w:sz w:val="20"/>
                <w:szCs w:val="20"/>
                <w:lang w:eastAsia="en-GB"/>
              </w:rPr>
              <w:t>cost ratios</w:t>
            </w:r>
          </w:p>
        </w:tc>
        <w:tc>
          <w:tcPr>
            <w:tcW w:w="1417"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0.330</w:t>
            </w:r>
          </w:p>
        </w:tc>
        <w:tc>
          <w:tcPr>
            <w:tcW w:w="1701"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0.326</w:t>
            </w:r>
          </w:p>
        </w:tc>
        <w:tc>
          <w:tcPr>
            <w:tcW w:w="1559"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0.406</w:t>
            </w:r>
          </w:p>
        </w:tc>
        <w:tc>
          <w:tcPr>
            <w:tcW w:w="1763"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0.399</w:t>
            </w:r>
          </w:p>
        </w:tc>
      </w:tr>
      <w:tr w:rsidR="000D372C" w:rsidRPr="007807C9" w:rsidTr="00410C88">
        <w:trPr>
          <w:trHeight w:val="30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0D372C" w:rsidRPr="007E3BF5" w:rsidRDefault="000D372C" w:rsidP="00410C88">
            <w:pPr>
              <w:spacing w:after="0" w:line="240" w:lineRule="auto"/>
              <w:rPr>
                <w:rFonts w:ascii="Arial" w:eastAsia="Times New Roman" w:hAnsi="Arial" w:cs="Arial"/>
                <w:bCs/>
                <w:sz w:val="20"/>
                <w:szCs w:val="20"/>
                <w:lang w:eastAsia="en-GB"/>
              </w:rPr>
            </w:pPr>
            <w:r w:rsidRPr="007E3BF5">
              <w:rPr>
                <w:rFonts w:ascii="Arial" w:eastAsia="Times New Roman" w:hAnsi="Arial" w:cs="Arial"/>
                <w:bCs/>
                <w:sz w:val="20"/>
                <w:szCs w:val="20"/>
                <w:lang w:eastAsia="en-GB"/>
              </w:rPr>
              <w:t>Other</w:t>
            </w:r>
            <w:r>
              <w:rPr>
                <w:rFonts w:ascii="Arial" w:eastAsia="Times New Roman" w:hAnsi="Arial" w:cs="Arial"/>
                <w:bCs/>
                <w:sz w:val="20"/>
                <w:szCs w:val="20"/>
                <w:lang w:eastAsia="en-GB"/>
              </w:rPr>
              <w:t xml:space="preserve"> </w:t>
            </w:r>
            <w:r w:rsidRPr="007E3BF5">
              <w:rPr>
                <w:rFonts w:ascii="Arial" w:eastAsia="Times New Roman" w:hAnsi="Arial" w:cs="Arial"/>
                <w:bCs/>
                <w:color w:val="000000"/>
                <w:sz w:val="20"/>
                <w:szCs w:val="20"/>
                <w:lang w:eastAsia="en-GB"/>
              </w:rPr>
              <w:t>cost ratios</w:t>
            </w:r>
          </w:p>
        </w:tc>
        <w:tc>
          <w:tcPr>
            <w:tcW w:w="1417"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sz w:val="20"/>
                <w:szCs w:val="20"/>
                <w:lang w:eastAsia="en-GB"/>
              </w:rPr>
            </w:pPr>
            <w:r w:rsidRPr="007F6D65">
              <w:rPr>
                <w:rFonts w:ascii="Arial" w:eastAsia="Times New Roman" w:hAnsi="Arial" w:cs="Arial"/>
                <w:sz w:val="20"/>
                <w:szCs w:val="20"/>
                <w:lang w:eastAsia="en-GB"/>
              </w:rPr>
              <w:t>0.417</w:t>
            </w:r>
          </w:p>
        </w:tc>
        <w:tc>
          <w:tcPr>
            <w:tcW w:w="1701"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sz w:val="20"/>
                <w:szCs w:val="20"/>
                <w:lang w:eastAsia="en-GB"/>
              </w:rPr>
            </w:pPr>
            <w:r w:rsidRPr="007F6D65">
              <w:rPr>
                <w:rFonts w:ascii="Arial" w:eastAsia="Times New Roman" w:hAnsi="Arial" w:cs="Arial"/>
                <w:sz w:val="20"/>
                <w:szCs w:val="20"/>
                <w:lang w:eastAsia="en-GB"/>
              </w:rPr>
              <w:t>0.415</w:t>
            </w:r>
          </w:p>
        </w:tc>
        <w:tc>
          <w:tcPr>
            <w:tcW w:w="1559"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sz w:val="20"/>
                <w:szCs w:val="20"/>
                <w:lang w:eastAsia="en-GB"/>
              </w:rPr>
            </w:pPr>
            <w:r w:rsidRPr="007F6D65">
              <w:rPr>
                <w:rFonts w:ascii="Arial" w:eastAsia="Times New Roman" w:hAnsi="Arial" w:cs="Arial"/>
                <w:sz w:val="20"/>
                <w:szCs w:val="20"/>
                <w:lang w:eastAsia="en-GB"/>
              </w:rPr>
              <w:t>0.580</w:t>
            </w:r>
          </w:p>
        </w:tc>
        <w:tc>
          <w:tcPr>
            <w:tcW w:w="1763"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sz w:val="20"/>
                <w:szCs w:val="20"/>
                <w:lang w:eastAsia="en-GB"/>
              </w:rPr>
            </w:pPr>
            <w:r w:rsidRPr="007F6D65">
              <w:rPr>
                <w:rFonts w:ascii="Arial" w:eastAsia="Times New Roman" w:hAnsi="Arial" w:cs="Arial"/>
                <w:sz w:val="20"/>
                <w:szCs w:val="20"/>
                <w:lang w:eastAsia="en-GB"/>
              </w:rPr>
              <w:t>0.563</w:t>
            </w:r>
          </w:p>
        </w:tc>
      </w:tr>
      <w:tr w:rsidR="000D372C" w:rsidRPr="007807C9" w:rsidTr="00410C88">
        <w:trPr>
          <w:trHeight w:val="30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0D372C" w:rsidRPr="007E3BF5" w:rsidRDefault="000D372C" w:rsidP="00410C88">
            <w:pPr>
              <w:spacing w:after="0" w:line="240" w:lineRule="auto"/>
              <w:rPr>
                <w:rFonts w:ascii="Arial" w:eastAsia="Times New Roman" w:hAnsi="Arial" w:cs="Arial"/>
                <w:bCs/>
                <w:color w:val="000000"/>
                <w:sz w:val="20"/>
                <w:szCs w:val="20"/>
                <w:lang w:eastAsia="en-GB"/>
              </w:rPr>
            </w:pPr>
            <w:r w:rsidRPr="007E3BF5">
              <w:rPr>
                <w:rFonts w:ascii="Arial" w:eastAsia="Times New Roman" w:hAnsi="Arial" w:cs="Arial"/>
                <w:bCs/>
                <w:color w:val="000000"/>
                <w:sz w:val="20"/>
                <w:szCs w:val="20"/>
                <w:lang w:eastAsia="en-GB"/>
              </w:rPr>
              <w:t>Respiratory</w:t>
            </w:r>
            <w:r>
              <w:rPr>
                <w:rFonts w:ascii="Arial" w:eastAsia="Times New Roman" w:hAnsi="Arial" w:cs="Arial"/>
                <w:bCs/>
                <w:color w:val="000000"/>
                <w:sz w:val="20"/>
                <w:szCs w:val="20"/>
                <w:lang w:eastAsia="en-GB"/>
              </w:rPr>
              <w:t xml:space="preserve"> </w:t>
            </w:r>
            <w:r w:rsidRPr="007E3BF5">
              <w:rPr>
                <w:rFonts w:ascii="Arial" w:eastAsia="Times New Roman" w:hAnsi="Arial" w:cs="Arial"/>
                <w:bCs/>
                <w:color w:val="000000"/>
                <w:sz w:val="20"/>
                <w:szCs w:val="20"/>
                <w:lang w:eastAsia="en-GB"/>
              </w:rPr>
              <w:t>cost ratios</w:t>
            </w:r>
          </w:p>
        </w:tc>
        <w:tc>
          <w:tcPr>
            <w:tcW w:w="1417"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0.505</w:t>
            </w:r>
          </w:p>
        </w:tc>
        <w:tc>
          <w:tcPr>
            <w:tcW w:w="1701"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0.499</w:t>
            </w:r>
          </w:p>
        </w:tc>
        <w:tc>
          <w:tcPr>
            <w:tcW w:w="1559"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0.620</w:t>
            </w:r>
          </w:p>
        </w:tc>
        <w:tc>
          <w:tcPr>
            <w:tcW w:w="1763"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0.599</w:t>
            </w:r>
          </w:p>
        </w:tc>
      </w:tr>
      <w:tr w:rsidR="000D372C" w:rsidRPr="007807C9" w:rsidTr="00410C88">
        <w:trPr>
          <w:trHeight w:val="30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0D372C" w:rsidRPr="007E3BF5" w:rsidRDefault="000D372C" w:rsidP="00410C88">
            <w:pPr>
              <w:spacing w:after="0" w:line="240" w:lineRule="auto"/>
              <w:rPr>
                <w:rFonts w:ascii="Arial" w:eastAsia="Times New Roman" w:hAnsi="Arial" w:cs="Arial"/>
                <w:bCs/>
                <w:color w:val="000000"/>
                <w:sz w:val="20"/>
                <w:szCs w:val="20"/>
                <w:lang w:eastAsia="en-GB"/>
              </w:rPr>
            </w:pPr>
            <w:r w:rsidRPr="007E3BF5">
              <w:rPr>
                <w:rFonts w:ascii="Arial" w:eastAsia="Times New Roman" w:hAnsi="Arial" w:cs="Arial"/>
                <w:bCs/>
                <w:color w:val="000000"/>
                <w:sz w:val="20"/>
                <w:szCs w:val="20"/>
                <w:lang w:eastAsia="en-GB"/>
              </w:rPr>
              <w:t>Outpatients</w:t>
            </w:r>
            <w:r>
              <w:rPr>
                <w:rFonts w:ascii="Arial" w:eastAsia="Times New Roman" w:hAnsi="Arial" w:cs="Arial"/>
                <w:bCs/>
                <w:color w:val="000000"/>
                <w:sz w:val="20"/>
                <w:szCs w:val="20"/>
                <w:lang w:eastAsia="en-GB"/>
              </w:rPr>
              <w:t xml:space="preserve"> </w:t>
            </w:r>
            <w:r w:rsidRPr="007E3BF5">
              <w:rPr>
                <w:rFonts w:ascii="Arial" w:eastAsia="Times New Roman" w:hAnsi="Arial" w:cs="Arial"/>
                <w:bCs/>
                <w:color w:val="000000"/>
                <w:sz w:val="20"/>
                <w:szCs w:val="20"/>
                <w:lang w:eastAsia="en-GB"/>
              </w:rPr>
              <w:t>cost ratios</w:t>
            </w:r>
          </w:p>
        </w:tc>
        <w:tc>
          <w:tcPr>
            <w:tcW w:w="1417"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0.347</w:t>
            </w:r>
          </w:p>
        </w:tc>
        <w:tc>
          <w:tcPr>
            <w:tcW w:w="1701"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0.347</w:t>
            </w:r>
          </w:p>
        </w:tc>
        <w:tc>
          <w:tcPr>
            <w:tcW w:w="1559"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0.424</w:t>
            </w:r>
          </w:p>
        </w:tc>
        <w:tc>
          <w:tcPr>
            <w:tcW w:w="1763" w:type="dxa"/>
            <w:tcBorders>
              <w:top w:val="nil"/>
              <w:left w:val="nil"/>
              <w:bottom w:val="single" w:sz="4" w:space="0" w:color="auto"/>
              <w:right w:val="single" w:sz="4" w:space="0" w:color="auto"/>
            </w:tcBorders>
            <w:shd w:val="clear" w:color="auto" w:fill="auto"/>
            <w:noWrap/>
            <w:vAlign w:val="center"/>
            <w:hideMark/>
          </w:tcPr>
          <w:p w:rsidR="000D372C" w:rsidRPr="007F6D65" w:rsidRDefault="000D372C" w:rsidP="00410C88">
            <w:pPr>
              <w:spacing w:after="0" w:line="240" w:lineRule="auto"/>
              <w:jc w:val="right"/>
              <w:rPr>
                <w:rFonts w:ascii="Arial" w:eastAsia="Times New Roman" w:hAnsi="Arial" w:cs="Arial"/>
                <w:color w:val="000000"/>
                <w:sz w:val="20"/>
                <w:szCs w:val="20"/>
                <w:lang w:eastAsia="en-GB"/>
              </w:rPr>
            </w:pPr>
            <w:r w:rsidRPr="007F6D65">
              <w:rPr>
                <w:rFonts w:ascii="Arial" w:eastAsia="Times New Roman" w:hAnsi="Arial" w:cs="Arial"/>
                <w:color w:val="000000"/>
                <w:sz w:val="20"/>
                <w:szCs w:val="20"/>
                <w:lang w:eastAsia="en-GB"/>
              </w:rPr>
              <w:t>0.411</w:t>
            </w:r>
          </w:p>
        </w:tc>
      </w:tr>
    </w:tbl>
    <w:p w:rsidR="007D4337" w:rsidRDefault="007D4337" w:rsidP="00D66C09">
      <w:pPr>
        <w:rPr>
          <w:rFonts w:ascii="Arial" w:hAnsi="Arial" w:cs="Arial"/>
          <w:b/>
        </w:rPr>
      </w:pPr>
    </w:p>
    <w:sectPr w:rsidR="007D4337" w:rsidSect="004D1B4F">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E20" w:rsidRDefault="00E04E20" w:rsidP="00180CFC">
      <w:pPr>
        <w:spacing w:after="0" w:line="240" w:lineRule="auto"/>
      </w:pPr>
      <w:r>
        <w:separator/>
      </w:r>
    </w:p>
  </w:endnote>
  <w:endnote w:type="continuationSeparator" w:id="0">
    <w:p w:rsidR="00E04E20" w:rsidRDefault="00E04E20" w:rsidP="00180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28672"/>
      <w:docPartObj>
        <w:docPartGallery w:val="Page Numbers (Bottom of Page)"/>
        <w:docPartUnique/>
      </w:docPartObj>
    </w:sdtPr>
    <w:sdtContent>
      <w:sdt>
        <w:sdtPr>
          <w:id w:val="26228673"/>
          <w:docPartObj>
            <w:docPartGallery w:val="Page Numbers (Bottom of Page)"/>
            <w:docPartUnique/>
          </w:docPartObj>
        </w:sdtPr>
        <w:sdtContent>
          <w:p w:rsidR="00E04E20" w:rsidRDefault="00E04E20" w:rsidP="00180CFC">
            <w:pPr>
              <w:pStyle w:val="Footer"/>
              <w:jc w:val="center"/>
            </w:pPr>
            <w:fldSimple w:instr=" PAGE   \* MERGEFORMAT ">
              <w:r w:rsidR="0065699F">
                <w:rPr>
                  <w:noProof/>
                </w:rPr>
                <w:t>20</w:t>
              </w:r>
            </w:fldSimple>
          </w:p>
        </w:sdtContent>
      </w:sdt>
      <w:p w:rsidR="00E04E20" w:rsidRDefault="00E04E20" w:rsidP="00180CFC">
        <w:pPr>
          <w:pStyle w:val="Footer"/>
          <w:jc w:val="right"/>
        </w:pPr>
      </w:p>
    </w:sdtContent>
  </w:sdt>
  <w:p w:rsidR="00E04E20" w:rsidRDefault="00E04E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E20" w:rsidRDefault="00E04E20" w:rsidP="00180CFC">
      <w:pPr>
        <w:spacing w:after="0" w:line="240" w:lineRule="auto"/>
      </w:pPr>
      <w:r>
        <w:separator/>
      </w:r>
    </w:p>
  </w:footnote>
  <w:footnote w:type="continuationSeparator" w:id="0">
    <w:p w:rsidR="00E04E20" w:rsidRDefault="00E04E20" w:rsidP="00180CFC">
      <w:pPr>
        <w:spacing w:after="0" w:line="240" w:lineRule="auto"/>
      </w:pPr>
      <w:r>
        <w:continuationSeparator/>
      </w:r>
    </w:p>
  </w:footnote>
  <w:footnote w:id="1">
    <w:p w:rsidR="00E04E20" w:rsidRDefault="00E04E20" w:rsidP="00A7168C">
      <w:pPr>
        <w:pStyle w:val="FootnoteText"/>
      </w:pPr>
      <w:r>
        <w:rPr>
          <w:rStyle w:val="FootnoteReference"/>
        </w:rPr>
        <w:footnoteRef/>
      </w:r>
      <w:r>
        <w:t xml:space="preserve"> Delivering Fair Shares for Health in Scotland: The report of the </w:t>
      </w:r>
      <w:proofErr w:type="spellStart"/>
      <w:r>
        <w:t>NHSScotland</w:t>
      </w:r>
      <w:proofErr w:type="spellEnd"/>
      <w:r>
        <w:t xml:space="preserve"> Resource Allocation Committee, September 2007</w:t>
      </w:r>
    </w:p>
  </w:footnote>
  <w:footnote w:id="2">
    <w:p w:rsidR="00E04E20" w:rsidRDefault="00E04E20">
      <w:pPr>
        <w:pStyle w:val="FootnoteText"/>
      </w:pPr>
      <w:r>
        <w:rPr>
          <w:rStyle w:val="FootnoteReference"/>
        </w:rPr>
        <w:footnoteRef/>
      </w:r>
      <w:r>
        <w:t xml:space="preserve"> </w:t>
      </w:r>
      <w:r w:rsidRPr="008E1A8C">
        <w:t>NRAC formula - MLC adjustment: Mental Health and Learning Difficulties Care Programme - Final Report, TAGRA MLC (Morbidity &amp; Life Circumstances) Sub-Group, December 2012</w:t>
      </w:r>
    </w:p>
  </w:footnote>
  <w:footnote w:id="3">
    <w:p w:rsidR="00E04E20" w:rsidRDefault="00E04E20">
      <w:pPr>
        <w:pStyle w:val="FootnoteText"/>
      </w:pPr>
      <w:r>
        <w:rPr>
          <w:rStyle w:val="FootnoteReference"/>
        </w:rPr>
        <w:footnoteRef/>
      </w:r>
      <w:r>
        <w:t xml:space="preserve"> </w:t>
      </w:r>
      <w:r w:rsidRPr="00AD7D3A">
        <w:t>There are also two approaches to calculating a share: one is to use the percentage of data zones, i.e. 5% of the most 'deprived' Data Zones; the other is to use the percentage of population. The shares calculated using these two approaches are extremely similar (correlations close to 1), and the results in the analysis were very similar. Therefore, only the results for the Data Zone-based local and natio</w:t>
      </w:r>
      <w:r>
        <w:t>nal share variables are shown.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E20" w:rsidRPr="00684248" w:rsidRDefault="00E04E20" w:rsidP="00180CFC">
    <w:pPr>
      <w:pStyle w:val="Header"/>
      <w:jc w:val="right"/>
      <w:rPr>
        <w:rFonts w:ascii="Arial" w:hAnsi="Arial" w:cs="Arial"/>
        <w:i/>
      </w:rPr>
    </w:pPr>
    <w:r w:rsidRPr="00684248">
      <w:rPr>
        <w:rFonts w:ascii="Arial" w:hAnsi="Arial" w:cs="Arial"/>
        <w:i/>
      </w:rPr>
      <w:t>TAMLC</w:t>
    </w:r>
    <w:r>
      <w:rPr>
        <w:rFonts w:ascii="Arial" w:hAnsi="Arial" w:cs="Arial"/>
        <w:i/>
      </w:rPr>
      <w:t>22</w:t>
    </w:r>
  </w:p>
  <w:p w:rsidR="00E04E20" w:rsidRDefault="00E0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B06A3"/>
    <w:multiLevelType w:val="hybridMultilevel"/>
    <w:tmpl w:val="9F1E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BE11A9"/>
    <w:multiLevelType w:val="hybridMultilevel"/>
    <w:tmpl w:val="8D06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DD03DC"/>
    <w:multiLevelType w:val="hybridMultilevel"/>
    <w:tmpl w:val="699CD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CE410F"/>
    <w:multiLevelType w:val="hybridMultilevel"/>
    <w:tmpl w:val="91642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EE50C7"/>
    <w:multiLevelType w:val="hybridMultilevel"/>
    <w:tmpl w:val="3D10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80CFC"/>
    <w:rsid w:val="00017991"/>
    <w:rsid w:val="000261AA"/>
    <w:rsid w:val="000279C1"/>
    <w:rsid w:val="00053A1A"/>
    <w:rsid w:val="00066930"/>
    <w:rsid w:val="00072C62"/>
    <w:rsid w:val="000742E6"/>
    <w:rsid w:val="00074EDC"/>
    <w:rsid w:val="00083599"/>
    <w:rsid w:val="00085390"/>
    <w:rsid w:val="000A150E"/>
    <w:rsid w:val="000A20EF"/>
    <w:rsid w:val="000B14DF"/>
    <w:rsid w:val="000B4E7E"/>
    <w:rsid w:val="000C0999"/>
    <w:rsid w:val="000C2A96"/>
    <w:rsid w:val="000D2443"/>
    <w:rsid w:val="000D2618"/>
    <w:rsid w:val="000D372C"/>
    <w:rsid w:val="000D479F"/>
    <w:rsid w:val="000E0F3D"/>
    <w:rsid w:val="0010160D"/>
    <w:rsid w:val="001042B6"/>
    <w:rsid w:val="00110376"/>
    <w:rsid w:val="0011254F"/>
    <w:rsid w:val="001225DE"/>
    <w:rsid w:val="00124FD7"/>
    <w:rsid w:val="00125587"/>
    <w:rsid w:val="001302F2"/>
    <w:rsid w:val="00133961"/>
    <w:rsid w:val="00141372"/>
    <w:rsid w:val="00152DBC"/>
    <w:rsid w:val="00155D9B"/>
    <w:rsid w:val="001567FC"/>
    <w:rsid w:val="00160CC1"/>
    <w:rsid w:val="00163458"/>
    <w:rsid w:val="001738E4"/>
    <w:rsid w:val="001762CA"/>
    <w:rsid w:val="00180CFC"/>
    <w:rsid w:val="00186763"/>
    <w:rsid w:val="0019306A"/>
    <w:rsid w:val="001A6414"/>
    <w:rsid w:val="001B1298"/>
    <w:rsid w:val="001C16EF"/>
    <w:rsid w:val="001C2713"/>
    <w:rsid w:val="001C3814"/>
    <w:rsid w:val="001E0BD6"/>
    <w:rsid w:val="001E4A9F"/>
    <w:rsid w:val="001F335E"/>
    <w:rsid w:val="002135F0"/>
    <w:rsid w:val="00215618"/>
    <w:rsid w:val="00216FF3"/>
    <w:rsid w:val="00227F19"/>
    <w:rsid w:val="00230081"/>
    <w:rsid w:val="00234626"/>
    <w:rsid w:val="00234895"/>
    <w:rsid w:val="00236F15"/>
    <w:rsid w:val="00260089"/>
    <w:rsid w:val="0028079B"/>
    <w:rsid w:val="0028494C"/>
    <w:rsid w:val="002854CB"/>
    <w:rsid w:val="002A05E7"/>
    <w:rsid w:val="002C7DCD"/>
    <w:rsid w:val="002D189E"/>
    <w:rsid w:val="002D4C64"/>
    <w:rsid w:val="002D6A08"/>
    <w:rsid w:val="002E1E41"/>
    <w:rsid w:val="002F4D82"/>
    <w:rsid w:val="00314597"/>
    <w:rsid w:val="0031489E"/>
    <w:rsid w:val="00316041"/>
    <w:rsid w:val="003163E4"/>
    <w:rsid w:val="00317C31"/>
    <w:rsid w:val="00325EEC"/>
    <w:rsid w:val="00326210"/>
    <w:rsid w:val="00327669"/>
    <w:rsid w:val="00343E26"/>
    <w:rsid w:val="00351777"/>
    <w:rsid w:val="00351E43"/>
    <w:rsid w:val="00357CC7"/>
    <w:rsid w:val="00363C2B"/>
    <w:rsid w:val="00363D1C"/>
    <w:rsid w:val="00365BAB"/>
    <w:rsid w:val="0037566B"/>
    <w:rsid w:val="0038418C"/>
    <w:rsid w:val="003B1E72"/>
    <w:rsid w:val="003B796F"/>
    <w:rsid w:val="003C6BC2"/>
    <w:rsid w:val="003E01AD"/>
    <w:rsid w:val="003F23A9"/>
    <w:rsid w:val="003F469D"/>
    <w:rsid w:val="00407C9D"/>
    <w:rsid w:val="00410C88"/>
    <w:rsid w:val="004238CD"/>
    <w:rsid w:val="004271FC"/>
    <w:rsid w:val="004402EF"/>
    <w:rsid w:val="004470A8"/>
    <w:rsid w:val="004616C8"/>
    <w:rsid w:val="00465B8D"/>
    <w:rsid w:val="004748F8"/>
    <w:rsid w:val="004759DB"/>
    <w:rsid w:val="004915F9"/>
    <w:rsid w:val="0049766B"/>
    <w:rsid w:val="004A018D"/>
    <w:rsid w:val="004A326A"/>
    <w:rsid w:val="004A763B"/>
    <w:rsid w:val="004B184B"/>
    <w:rsid w:val="004B73E1"/>
    <w:rsid w:val="004B7E3B"/>
    <w:rsid w:val="004D0F74"/>
    <w:rsid w:val="004D1B4F"/>
    <w:rsid w:val="004D37F7"/>
    <w:rsid w:val="004E2DAB"/>
    <w:rsid w:val="004E7D74"/>
    <w:rsid w:val="00502EC1"/>
    <w:rsid w:val="005171ED"/>
    <w:rsid w:val="0051735D"/>
    <w:rsid w:val="00533E9E"/>
    <w:rsid w:val="0053488A"/>
    <w:rsid w:val="00552601"/>
    <w:rsid w:val="00556D7B"/>
    <w:rsid w:val="00564ED9"/>
    <w:rsid w:val="00570293"/>
    <w:rsid w:val="005824FF"/>
    <w:rsid w:val="00587203"/>
    <w:rsid w:val="005921FC"/>
    <w:rsid w:val="005962B1"/>
    <w:rsid w:val="005A52A7"/>
    <w:rsid w:val="005A782A"/>
    <w:rsid w:val="005B07D1"/>
    <w:rsid w:val="005B0848"/>
    <w:rsid w:val="005B14F2"/>
    <w:rsid w:val="005C1566"/>
    <w:rsid w:val="005C218B"/>
    <w:rsid w:val="005C72AD"/>
    <w:rsid w:val="005C7630"/>
    <w:rsid w:val="005D6294"/>
    <w:rsid w:val="005E3764"/>
    <w:rsid w:val="005F30B5"/>
    <w:rsid w:val="006000AA"/>
    <w:rsid w:val="00602370"/>
    <w:rsid w:val="00635FC6"/>
    <w:rsid w:val="00642A12"/>
    <w:rsid w:val="0064634F"/>
    <w:rsid w:val="00652435"/>
    <w:rsid w:val="00653507"/>
    <w:rsid w:val="0065699F"/>
    <w:rsid w:val="00662FC1"/>
    <w:rsid w:val="0066482C"/>
    <w:rsid w:val="00667BA9"/>
    <w:rsid w:val="00681CFE"/>
    <w:rsid w:val="0068764E"/>
    <w:rsid w:val="00692E05"/>
    <w:rsid w:val="0069551E"/>
    <w:rsid w:val="006978A1"/>
    <w:rsid w:val="006A0F93"/>
    <w:rsid w:val="006A1059"/>
    <w:rsid w:val="006A10E5"/>
    <w:rsid w:val="006A1FC1"/>
    <w:rsid w:val="006A447C"/>
    <w:rsid w:val="006A7BB6"/>
    <w:rsid w:val="006B2A6B"/>
    <w:rsid w:val="006C1CC0"/>
    <w:rsid w:val="006C44B6"/>
    <w:rsid w:val="006E184B"/>
    <w:rsid w:val="006E538E"/>
    <w:rsid w:val="007203E8"/>
    <w:rsid w:val="00724F75"/>
    <w:rsid w:val="0072509A"/>
    <w:rsid w:val="007347F0"/>
    <w:rsid w:val="00750FC5"/>
    <w:rsid w:val="0075135D"/>
    <w:rsid w:val="0075177D"/>
    <w:rsid w:val="00757C38"/>
    <w:rsid w:val="007602DB"/>
    <w:rsid w:val="00775A76"/>
    <w:rsid w:val="007807C9"/>
    <w:rsid w:val="00782FB4"/>
    <w:rsid w:val="00784D92"/>
    <w:rsid w:val="00796D1F"/>
    <w:rsid w:val="007A0D18"/>
    <w:rsid w:val="007A426A"/>
    <w:rsid w:val="007B5968"/>
    <w:rsid w:val="007B6B9F"/>
    <w:rsid w:val="007D4337"/>
    <w:rsid w:val="007E0A26"/>
    <w:rsid w:val="007E1134"/>
    <w:rsid w:val="007E3BF5"/>
    <w:rsid w:val="007E4F9D"/>
    <w:rsid w:val="007E7D50"/>
    <w:rsid w:val="007F14F9"/>
    <w:rsid w:val="007F6D65"/>
    <w:rsid w:val="008105CA"/>
    <w:rsid w:val="00812F38"/>
    <w:rsid w:val="00813BD1"/>
    <w:rsid w:val="00820525"/>
    <w:rsid w:val="00821736"/>
    <w:rsid w:val="00822B06"/>
    <w:rsid w:val="00823995"/>
    <w:rsid w:val="0082656C"/>
    <w:rsid w:val="008328F9"/>
    <w:rsid w:val="00843F2C"/>
    <w:rsid w:val="008468D9"/>
    <w:rsid w:val="008707AD"/>
    <w:rsid w:val="00872FF7"/>
    <w:rsid w:val="00873E36"/>
    <w:rsid w:val="0087747D"/>
    <w:rsid w:val="008923F5"/>
    <w:rsid w:val="0089479C"/>
    <w:rsid w:val="0089514E"/>
    <w:rsid w:val="008952DD"/>
    <w:rsid w:val="00896A91"/>
    <w:rsid w:val="008A1EF9"/>
    <w:rsid w:val="008A51C6"/>
    <w:rsid w:val="008A62B8"/>
    <w:rsid w:val="008B33F4"/>
    <w:rsid w:val="008B76A9"/>
    <w:rsid w:val="008D4E86"/>
    <w:rsid w:val="008D5A78"/>
    <w:rsid w:val="008D7E66"/>
    <w:rsid w:val="008E6C9D"/>
    <w:rsid w:val="008F6335"/>
    <w:rsid w:val="00903FCA"/>
    <w:rsid w:val="00912696"/>
    <w:rsid w:val="009134B1"/>
    <w:rsid w:val="00914F74"/>
    <w:rsid w:val="009258D4"/>
    <w:rsid w:val="00934AA5"/>
    <w:rsid w:val="009377F4"/>
    <w:rsid w:val="00937C27"/>
    <w:rsid w:val="009615FA"/>
    <w:rsid w:val="00961FF7"/>
    <w:rsid w:val="0096240C"/>
    <w:rsid w:val="009B3E03"/>
    <w:rsid w:val="009B44BD"/>
    <w:rsid w:val="009B69BD"/>
    <w:rsid w:val="009C65CF"/>
    <w:rsid w:val="009D0E5A"/>
    <w:rsid w:val="009D785C"/>
    <w:rsid w:val="009E1E5E"/>
    <w:rsid w:val="009E46C0"/>
    <w:rsid w:val="009E6236"/>
    <w:rsid w:val="009F638C"/>
    <w:rsid w:val="00A071A4"/>
    <w:rsid w:val="00A15B3A"/>
    <w:rsid w:val="00A17F8A"/>
    <w:rsid w:val="00A2158D"/>
    <w:rsid w:val="00A2394B"/>
    <w:rsid w:val="00A31CD5"/>
    <w:rsid w:val="00A348C2"/>
    <w:rsid w:val="00A4411F"/>
    <w:rsid w:val="00A45F1F"/>
    <w:rsid w:val="00A61FCD"/>
    <w:rsid w:val="00A712C5"/>
    <w:rsid w:val="00A7168C"/>
    <w:rsid w:val="00A71FD5"/>
    <w:rsid w:val="00A76EFA"/>
    <w:rsid w:val="00A77119"/>
    <w:rsid w:val="00A87F75"/>
    <w:rsid w:val="00A9207C"/>
    <w:rsid w:val="00AA379B"/>
    <w:rsid w:val="00AA3A54"/>
    <w:rsid w:val="00AB0EBA"/>
    <w:rsid w:val="00AB4FA1"/>
    <w:rsid w:val="00AC20DC"/>
    <w:rsid w:val="00AC4BCF"/>
    <w:rsid w:val="00AC62E3"/>
    <w:rsid w:val="00AD7D3A"/>
    <w:rsid w:val="00AE5C34"/>
    <w:rsid w:val="00B015B3"/>
    <w:rsid w:val="00B067E5"/>
    <w:rsid w:val="00B073C8"/>
    <w:rsid w:val="00B117C8"/>
    <w:rsid w:val="00B15584"/>
    <w:rsid w:val="00B34EDA"/>
    <w:rsid w:val="00B4173D"/>
    <w:rsid w:val="00B531BA"/>
    <w:rsid w:val="00B57E4A"/>
    <w:rsid w:val="00B672B9"/>
    <w:rsid w:val="00B77A14"/>
    <w:rsid w:val="00B923B7"/>
    <w:rsid w:val="00BB00FA"/>
    <w:rsid w:val="00BB4548"/>
    <w:rsid w:val="00BC7830"/>
    <w:rsid w:val="00BD54B7"/>
    <w:rsid w:val="00BD56AA"/>
    <w:rsid w:val="00BE222A"/>
    <w:rsid w:val="00BF2280"/>
    <w:rsid w:val="00C011C2"/>
    <w:rsid w:val="00C14DDE"/>
    <w:rsid w:val="00C20083"/>
    <w:rsid w:val="00C22C6C"/>
    <w:rsid w:val="00C26D18"/>
    <w:rsid w:val="00C31236"/>
    <w:rsid w:val="00C32D3D"/>
    <w:rsid w:val="00C351EE"/>
    <w:rsid w:val="00C35CCC"/>
    <w:rsid w:val="00C41018"/>
    <w:rsid w:val="00C45E21"/>
    <w:rsid w:val="00C500A6"/>
    <w:rsid w:val="00C53301"/>
    <w:rsid w:val="00C549DD"/>
    <w:rsid w:val="00C54AAE"/>
    <w:rsid w:val="00C55668"/>
    <w:rsid w:val="00C571E2"/>
    <w:rsid w:val="00C654BA"/>
    <w:rsid w:val="00C8000C"/>
    <w:rsid w:val="00C91C88"/>
    <w:rsid w:val="00C92807"/>
    <w:rsid w:val="00CA29F5"/>
    <w:rsid w:val="00CB4BD6"/>
    <w:rsid w:val="00CB55B0"/>
    <w:rsid w:val="00CC2879"/>
    <w:rsid w:val="00CC33CE"/>
    <w:rsid w:val="00CC4AF0"/>
    <w:rsid w:val="00CD286E"/>
    <w:rsid w:val="00CE2CD9"/>
    <w:rsid w:val="00CE4D7B"/>
    <w:rsid w:val="00CE5DFA"/>
    <w:rsid w:val="00D1603B"/>
    <w:rsid w:val="00D17A53"/>
    <w:rsid w:val="00D26970"/>
    <w:rsid w:val="00D27BEC"/>
    <w:rsid w:val="00D3425D"/>
    <w:rsid w:val="00D41CE9"/>
    <w:rsid w:val="00D45B2C"/>
    <w:rsid w:val="00D46BFD"/>
    <w:rsid w:val="00D520F4"/>
    <w:rsid w:val="00D66C09"/>
    <w:rsid w:val="00D70F6D"/>
    <w:rsid w:val="00D71669"/>
    <w:rsid w:val="00D725A9"/>
    <w:rsid w:val="00D734F8"/>
    <w:rsid w:val="00D852D7"/>
    <w:rsid w:val="00D86637"/>
    <w:rsid w:val="00D915FA"/>
    <w:rsid w:val="00D922C7"/>
    <w:rsid w:val="00D936EB"/>
    <w:rsid w:val="00D9649A"/>
    <w:rsid w:val="00DA015E"/>
    <w:rsid w:val="00DA28E9"/>
    <w:rsid w:val="00DB4529"/>
    <w:rsid w:val="00DB5B84"/>
    <w:rsid w:val="00DB7928"/>
    <w:rsid w:val="00DE158F"/>
    <w:rsid w:val="00DE2507"/>
    <w:rsid w:val="00E00E24"/>
    <w:rsid w:val="00E0233C"/>
    <w:rsid w:val="00E04E20"/>
    <w:rsid w:val="00E15B75"/>
    <w:rsid w:val="00E21DEF"/>
    <w:rsid w:val="00E32416"/>
    <w:rsid w:val="00E3380B"/>
    <w:rsid w:val="00E33A7C"/>
    <w:rsid w:val="00E36FF6"/>
    <w:rsid w:val="00E4117B"/>
    <w:rsid w:val="00E43ABA"/>
    <w:rsid w:val="00E457E6"/>
    <w:rsid w:val="00E47041"/>
    <w:rsid w:val="00E55014"/>
    <w:rsid w:val="00E56001"/>
    <w:rsid w:val="00E703F7"/>
    <w:rsid w:val="00E82F70"/>
    <w:rsid w:val="00EB34EE"/>
    <w:rsid w:val="00EB3D4A"/>
    <w:rsid w:val="00EB4EB7"/>
    <w:rsid w:val="00EC3E1F"/>
    <w:rsid w:val="00EC6DD3"/>
    <w:rsid w:val="00EC7A13"/>
    <w:rsid w:val="00ED0842"/>
    <w:rsid w:val="00ED3992"/>
    <w:rsid w:val="00EF17EA"/>
    <w:rsid w:val="00F122D0"/>
    <w:rsid w:val="00F14C1D"/>
    <w:rsid w:val="00F20CB9"/>
    <w:rsid w:val="00F230CB"/>
    <w:rsid w:val="00F233EC"/>
    <w:rsid w:val="00F3402B"/>
    <w:rsid w:val="00F421A6"/>
    <w:rsid w:val="00F44623"/>
    <w:rsid w:val="00F45667"/>
    <w:rsid w:val="00F504B5"/>
    <w:rsid w:val="00F60A5C"/>
    <w:rsid w:val="00F60B75"/>
    <w:rsid w:val="00F653A8"/>
    <w:rsid w:val="00F67AF5"/>
    <w:rsid w:val="00F83159"/>
    <w:rsid w:val="00F86941"/>
    <w:rsid w:val="00F86BCA"/>
    <w:rsid w:val="00F9335F"/>
    <w:rsid w:val="00FA3257"/>
    <w:rsid w:val="00FC75AD"/>
    <w:rsid w:val="00FE1095"/>
    <w:rsid w:val="00FE3F25"/>
    <w:rsid w:val="00FE3FB1"/>
    <w:rsid w:val="00FF1E8F"/>
    <w:rsid w:val="00FF30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80CFC"/>
    <w:rPr>
      <w:sz w:val="16"/>
      <w:szCs w:val="16"/>
    </w:rPr>
  </w:style>
  <w:style w:type="paragraph" w:styleId="CommentText">
    <w:name w:val="annotation text"/>
    <w:basedOn w:val="Normal"/>
    <w:link w:val="CommentTextChar"/>
    <w:uiPriority w:val="99"/>
    <w:unhideWhenUsed/>
    <w:rsid w:val="00180CFC"/>
    <w:pPr>
      <w:spacing w:line="240" w:lineRule="auto"/>
    </w:pPr>
    <w:rPr>
      <w:sz w:val="20"/>
      <w:szCs w:val="20"/>
    </w:rPr>
  </w:style>
  <w:style w:type="character" w:customStyle="1" w:styleId="CommentTextChar">
    <w:name w:val="Comment Text Char"/>
    <w:basedOn w:val="DefaultParagraphFont"/>
    <w:link w:val="CommentText"/>
    <w:uiPriority w:val="99"/>
    <w:rsid w:val="00180CFC"/>
    <w:rPr>
      <w:sz w:val="20"/>
      <w:szCs w:val="20"/>
    </w:rPr>
  </w:style>
  <w:style w:type="paragraph" w:styleId="ListParagraph">
    <w:name w:val="List Paragraph"/>
    <w:basedOn w:val="Normal"/>
    <w:uiPriority w:val="34"/>
    <w:qFormat/>
    <w:rsid w:val="00180CFC"/>
    <w:pPr>
      <w:ind w:left="720"/>
      <w:contextualSpacing/>
    </w:pPr>
  </w:style>
  <w:style w:type="paragraph" w:styleId="Footer">
    <w:name w:val="footer"/>
    <w:basedOn w:val="Normal"/>
    <w:link w:val="FooterChar"/>
    <w:uiPriority w:val="99"/>
    <w:unhideWhenUsed/>
    <w:rsid w:val="00180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CFC"/>
  </w:style>
  <w:style w:type="paragraph" w:styleId="BalloonText">
    <w:name w:val="Balloon Text"/>
    <w:basedOn w:val="Normal"/>
    <w:link w:val="BalloonTextChar"/>
    <w:uiPriority w:val="99"/>
    <w:semiHidden/>
    <w:unhideWhenUsed/>
    <w:rsid w:val="00180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CFC"/>
    <w:rPr>
      <w:rFonts w:ascii="Tahoma" w:hAnsi="Tahoma" w:cs="Tahoma"/>
      <w:sz w:val="16"/>
      <w:szCs w:val="16"/>
    </w:rPr>
  </w:style>
  <w:style w:type="paragraph" w:styleId="Header">
    <w:name w:val="header"/>
    <w:basedOn w:val="Normal"/>
    <w:link w:val="HeaderChar"/>
    <w:uiPriority w:val="99"/>
    <w:semiHidden/>
    <w:unhideWhenUsed/>
    <w:rsid w:val="00180C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80CFC"/>
  </w:style>
  <w:style w:type="paragraph" w:styleId="CommentSubject">
    <w:name w:val="annotation subject"/>
    <w:basedOn w:val="CommentText"/>
    <w:next w:val="CommentText"/>
    <w:link w:val="CommentSubjectChar"/>
    <w:uiPriority w:val="99"/>
    <w:semiHidden/>
    <w:unhideWhenUsed/>
    <w:rsid w:val="007A0D18"/>
    <w:rPr>
      <w:b/>
      <w:bCs/>
    </w:rPr>
  </w:style>
  <w:style w:type="character" w:customStyle="1" w:styleId="CommentSubjectChar">
    <w:name w:val="Comment Subject Char"/>
    <w:basedOn w:val="CommentTextChar"/>
    <w:link w:val="CommentSubject"/>
    <w:uiPriority w:val="99"/>
    <w:semiHidden/>
    <w:rsid w:val="007A0D18"/>
    <w:rPr>
      <w:b/>
      <w:bCs/>
    </w:rPr>
  </w:style>
  <w:style w:type="paragraph" w:styleId="FootnoteText">
    <w:name w:val="footnote text"/>
    <w:basedOn w:val="Normal"/>
    <w:link w:val="FootnoteTextChar"/>
    <w:uiPriority w:val="99"/>
    <w:semiHidden/>
    <w:unhideWhenUsed/>
    <w:rsid w:val="002156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618"/>
    <w:rPr>
      <w:sz w:val="20"/>
      <w:szCs w:val="20"/>
    </w:rPr>
  </w:style>
  <w:style w:type="character" w:styleId="FootnoteReference">
    <w:name w:val="footnote reference"/>
    <w:basedOn w:val="DefaultParagraphFont"/>
    <w:uiPriority w:val="99"/>
    <w:semiHidden/>
    <w:unhideWhenUsed/>
    <w:rsid w:val="00215618"/>
    <w:rPr>
      <w:vertAlign w:val="superscript"/>
    </w:rPr>
  </w:style>
</w:styles>
</file>

<file path=word/webSettings.xml><?xml version="1.0" encoding="utf-8"?>
<w:webSettings xmlns:r="http://schemas.openxmlformats.org/officeDocument/2006/relationships" xmlns:w="http://schemas.openxmlformats.org/wordprocessingml/2006/main">
  <w:divs>
    <w:div w:id="8919458">
      <w:bodyDiv w:val="1"/>
      <w:marLeft w:val="0"/>
      <w:marRight w:val="0"/>
      <w:marTop w:val="0"/>
      <w:marBottom w:val="0"/>
      <w:divBdr>
        <w:top w:val="none" w:sz="0" w:space="0" w:color="auto"/>
        <w:left w:val="none" w:sz="0" w:space="0" w:color="auto"/>
        <w:bottom w:val="none" w:sz="0" w:space="0" w:color="auto"/>
        <w:right w:val="none" w:sz="0" w:space="0" w:color="auto"/>
      </w:divBdr>
    </w:div>
    <w:div w:id="120802584">
      <w:bodyDiv w:val="1"/>
      <w:marLeft w:val="0"/>
      <w:marRight w:val="0"/>
      <w:marTop w:val="0"/>
      <w:marBottom w:val="0"/>
      <w:divBdr>
        <w:top w:val="none" w:sz="0" w:space="0" w:color="auto"/>
        <w:left w:val="none" w:sz="0" w:space="0" w:color="auto"/>
        <w:bottom w:val="none" w:sz="0" w:space="0" w:color="auto"/>
        <w:right w:val="none" w:sz="0" w:space="0" w:color="auto"/>
      </w:divBdr>
    </w:div>
    <w:div w:id="231938132">
      <w:bodyDiv w:val="1"/>
      <w:marLeft w:val="0"/>
      <w:marRight w:val="0"/>
      <w:marTop w:val="0"/>
      <w:marBottom w:val="0"/>
      <w:divBdr>
        <w:top w:val="none" w:sz="0" w:space="0" w:color="auto"/>
        <w:left w:val="none" w:sz="0" w:space="0" w:color="auto"/>
        <w:bottom w:val="none" w:sz="0" w:space="0" w:color="auto"/>
        <w:right w:val="none" w:sz="0" w:space="0" w:color="auto"/>
      </w:divBdr>
    </w:div>
    <w:div w:id="233009168">
      <w:bodyDiv w:val="1"/>
      <w:marLeft w:val="0"/>
      <w:marRight w:val="0"/>
      <w:marTop w:val="0"/>
      <w:marBottom w:val="0"/>
      <w:divBdr>
        <w:top w:val="none" w:sz="0" w:space="0" w:color="auto"/>
        <w:left w:val="none" w:sz="0" w:space="0" w:color="auto"/>
        <w:bottom w:val="none" w:sz="0" w:space="0" w:color="auto"/>
        <w:right w:val="none" w:sz="0" w:space="0" w:color="auto"/>
      </w:divBdr>
    </w:div>
    <w:div w:id="304436608">
      <w:bodyDiv w:val="1"/>
      <w:marLeft w:val="0"/>
      <w:marRight w:val="0"/>
      <w:marTop w:val="0"/>
      <w:marBottom w:val="0"/>
      <w:divBdr>
        <w:top w:val="none" w:sz="0" w:space="0" w:color="auto"/>
        <w:left w:val="none" w:sz="0" w:space="0" w:color="auto"/>
        <w:bottom w:val="none" w:sz="0" w:space="0" w:color="auto"/>
        <w:right w:val="none" w:sz="0" w:space="0" w:color="auto"/>
      </w:divBdr>
    </w:div>
    <w:div w:id="334453234">
      <w:bodyDiv w:val="1"/>
      <w:marLeft w:val="0"/>
      <w:marRight w:val="0"/>
      <w:marTop w:val="0"/>
      <w:marBottom w:val="0"/>
      <w:divBdr>
        <w:top w:val="none" w:sz="0" w:space="0" w:color="auto"/>
        <w:left w:val="none" w:sz="0" w:space="0" w:color="auto"/>
        <w:bottom w:val="none" w:sz="0" w:space="0" w:color="auto"/>
        <w:right w:val="none" w:sz="0" w:space="0" w:color="auto"/>
      </w:divBdr>
    </w:div>
    <w:div w:id="425541645">
      <w:bodyDiv w:val="1"/>
      <w:marLeft w:val="0"/>
      <w:marRight w:val="0"/>
      <w:marTop w:val="0"/>
      <w:marBottom w:val="0"/>
      <w:divBdr>
        <w:top w:val="none" w:sz="0" w:space="0" w:color="auto"/>
        <w:left w:val="none" w:sz="0" w:space="0" w:color="auto"/>
        <w:bottom w:val="none" w:sz="0" w:space="0" w:color="auto"/>
        <w:right w:val="none" w:sz="0" w:space="0" w:color="auto"/>
      </w:divBdr>
    </w:div>
    <w:div w:id="793839002">
      <w:bodyDiv w:val="1"/>
      <w:marLeft w:val="0"/>
      <w:marRight w:val="0"/>
      <w:marTop w:val="0"/>
      <w:marBottom w:val="0"/>
      <w:divBdr>
        <w:top w:val="none" w:sz="0" w:space="0" w:color="auto"/>
        <w:left w:val="none" w:sz="0" w:space="0" w:color="auto"/>
        <w:bottom w:val="none" w:sz="0" w:space="0" w:color="auto"/>
        <w:right w:val="none" w:sz="0" w:space="0" w:color="auto"/>
      </w:divBdr>
    </w:div>
    <w:div w:id="825517987">
      <w:bodyDiv w:val="1"/>
      <w:marLeft w:val="0"/>
      <w:marRight w:val="0"/>
      <w:marTop w:val="0"/>
      <w:marBottom w:val="0"/>
      <w:divBdr>
        <w:top w:val="none" w:sz="0" w:space="0" w:color="auto"/>
        <w:left w:val="none" w:sz="0" w:space="0" w:color="auto"/>
        <w:bottom w:val="none" w:sz="0" w:space="0" w:color="auto"/>
        <w:right w:val="none" w:sz="0" w:space="0" w:color="auto"/>
      </w:divBdr>
    </w:div>
    <w:div w:id="896932661">
      <w:bodyDiv w:val="1"/>
      <w:marLeft w:val="0"/>
      <w:marRight w:val="0"/>
      <w:marTop w:val="0"/>
      <w:marBottom w:val="0"/>
      <w:divBdr>
        <w:top w:val="none" w:sz="0" w:space="0" w:color="auto"/>
        <w:left w:val="none" w:sz="0" w:space="0" w:color="auto"/>
        <w:bottom w:val="none" w:sz="0" w:space="0" w:color="auto"/>
        <w:right w:val="none" w:sz="0" w:space="0" w:color="auto"/>
      </w:divBdr>
    </w:div>
    <w:div w:id="1237932700">
      <w:bodyDiv w:val="1"/>
      <w:marLeft w:val="0"/>
      <w:marRight w:val="0"/>
      <w:marTop w:val="0"/>
      <w:marBottom w:val="0"/>
      <w:divBdr>
        <w:top w:val="none" w:sz="0" w:space="0" w:color="auto"/>
        <w:left w:val="none" w:sz="0" w:space="0" w:color="auto"/>
        <w:bottom w:val="none" w:sz="0" w:space="0" w:color="auto"/>
        <w:right w:val="none" w:sz="0" w:space="0" w:color="auto"/>
      </w:divBdr>
    </w:div>
    <w:div w:id="1353651321">
      <w:bodyDiv w:val="1"/>
      <w:marLeft w:val="0"/>
      <w:marRight w:val="0"/>
      <w:marTop w:val="0"/>
      <w:marBottom w:val="0"/>
      <w:divBdr>
        <w:top w:val="none" w:sz="0" w:space="0" w:color="auto"/>
        <w:left w:val="none" w:sz="0" w:space="0" w:color="auto"/>
        <w:bottom w:val="none" w:sz="0" w:space="0" w:color="auto"/>
        <w:right w:val="none" w:sz="0" w:space="0" w:color="auto"/>
      </w:divBdr>
    </w:div>
    <w:div w:id="1454009630">
      <w:bodyDiv w:val="1"/>
      <w:marLeft w:val="0"/>
      <w:marRight w:val="0"/>
      <w:marTop w:val="0"/>
      <w:marBottom w:val="0"/>
      <w:divBdr>
        <w:top w:val="none" w:sz="0" w:space="0" w:color="auto"/>
        <w:left w:val="none" w:sz="0" w:space="0" w:color="auto"/>
        <w:bottom w:val="none" w:sz="0" w:space="0" w:color="auto"/>
        <w:right w:val="none" w:sz="0" w:space="0" w:color="auto"/>
      </w:divBdr>
    </w:div>
    <w:div w:id="1523859580">
      <w:bodyDiv w:val="1"/>
      <w:marLeft w:val="0"/>
      <w:marRight w:val="0"/>
      <w:marTop w:val="0"/>
      <w:marBottom w:val="0"/>
      <w:divBdr>
        <w:top w:val="none" w:sz="0" w:space="0" w:color="auto"/>
        <w:left w:val="none" w:sz="0" w:space="0" w:color="auto"/>
        <w:bottom w:val="none" w:sz="0" w:space="0" w:color="auto"/>
        <w:right w:val="none" w:sz="0" w:space="0" w:color="auto"/>
      </w:divBdr>
    </w:div>
    <w:div w:id="1647465480">
      <w:bodyDiv w:val="1"/>
      <w:marLeft w:val="0"/>
      <w:marRight w:val="0"/>
      <w:marTop w:val="0"/>
      <w:marBottom w:val="0"/>
      <w:divBdr>
        <w:top w:val="none" w:sz="0" w:space="0" w:color="auto"/>
        <w:left w:val="none" w:sz="0" w:space="0" w:color="auto"/>
        <w:bottom w:val="none" w:sz="0" w:space="0" w:color="auto"/>
        <w:right w:val="none" w:sz="0" w:space="0" w:color="auto"/>
      </w:divBdr>
    </w:div>
    <w:div w:id="1664578076">
      <w:bodyDiv w:val="1"/>
      <w:marLeft w:val="0"/>
      <w:marRight w:val="0"/>
      <w:marTop w:val="0"/>
      <w:marBottom w:val="0"/>
      <w:divBdr>
        <w:top w:val="none" w:sz="0" w:space="0" w:color="auto"/>
        <w:left w:val="none" w:sz="0" w:space="0" w:color="auto"/>
        <w:bottom w:val="none" w:sz="0" w:space="0" w:color="auto"/>
        <w:right w:val="none" w:sz="0" w:space="0" w:color="auto"/>
      </w:divBdr>
    </w:div>
    <w:div w:id="1753698887">
      <w:bodyDiv w:val="1"/>
      <w:marLeft w:val="0"/>
      <w:marRight w:val="0"/>
      <w:marTop w:val="0"/>
      <w:marBottom w:val="0"/>
      <w:divBdr>
        <w:top w:val="none" w:sz="0" w:space="0" w:color="auto"/>
        <w:left w:val="none" w:sz="0" w:space="0" w:color="auto"/>
        <w:bottom w:val="none" w:sz="0" w:space="0" w:color="auto"/>
        <w:right w:val="none" w:sz="0" w:space="0" w:color="auto"/>
      </w:divBdr>
    </w:div>
    <w:div w:id="1999766501">
      <w:bodyDiv w:val="1"/>
      <w:marLeft w:val="0"/>
      <w:marRight w:val="0"/>
      <w:marTop w:val="0"/>
      <w:marBottom w:val="0"/>
      <w:divBdr>
        <w:top w:val="none" w:sz="0" w:space="0" w:color="auto"/>
        <w:left w:val="none" w:sz="0" w:space="0" w:color="auto"/>
        <w:bottom w:val="none" w:sz="0" w:space="0" w:color="auto"/>
        <w:right w:val="none" w:sz="0" w:space="0" w:color="auto"/>
      </w:divBdr>
    </w:div>
    <w:div w:id="204597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3E4F1-85CE-4B23-9AB5-B00ABCF8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26</Pages>
  <Words>8195</Words>
  <Characters>46717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54803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Touati</dc:creator>
  <cp:lastModifiedBy>Sarah Touati</cp:lastModifiedBy>
  <cp:revision>55</cp:revision>
  <cp:lastPrinted>2015-03-13T10:55:00Z</cp:lastPrinted>
  <dcterms:created xsi:type="dcterms:W3CDTF">2015-03-12T09:44:00Z</dcterms:created>
  <dcterms:modified xsi:type="dcterms:W3CDTF">2015-03-13T14:33:00Z</dcterms:modified>
</cp:coreProperties>
</file>