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EE2" w:rsidRDefault="00925EE2" w:rsidP="00B038B8">
      <w:pPr>
        <w:rPr>
          <w:rFonts w:ascii="Arial" w:hAnsi="Arial" w:cs="Arial"/>
          <w:b/>
        </w:rPr>
      </w:pPr>
      <w:r w:rsidRPr="008B1DC0">
        <w:rPr>
          <w:rFonts w:ascii="Arial" w:hAnsi="Arial" w:cs="Arial"/>
          <w:b/>
        </w:rPr>
        <w:t>TAGRA ACUTE MLC SUBGROUP</w:t>
      </w:r>
      <w:r w:rsidRPr="008B1DC0">
        <w:rPr>
          <w:rFonts w:ascii="Arial" w:hAnsi="Arial" w:cs="Arial"/>
          <w:b/>
        </w:rPr>
        <w:tab/>
      </w:r>
      <w:r w:rsidRPr="008B1DC0">
        <w:rPr>
          <w:rFonts w:ascii="Arial" w:hAnsi="Arial" w:cs="Arial"/>
          <w:b/>
        </w:rPr>
        <w:tab/>
      </w:r>
      <w:r w:rsidRPr="008B1DC0">
        <w:rPr>
          <w:rFonts w:ascii="Arial" w:hAnsi="Arial" w:cs="Arial"/>
          <w:b/>
        </w:rPr>
        <w:tab/>
      </w:r>
      <w:r w:rsidRPr="008B1DC0">
        <w:rPr>
          <w:rFonts w:ascii="Arial" w:hAnsi="Arial" w:cs="Arial"/>
          <w:b/>
        </w:rPr>
        <w:tab/>
      </w:r>
      <w:r w:rsidRPr="008B1DC0">
        <w:rPr>
          <w:rFonts w:ascii="Arial" w:hAnsi="Arial" w:cs="Arial"/>
          <w:b/>
        </w:rPr>
        <w:tab/>
        <w:t>Tuesday 9</w:t>
      </w:r>
      <w:r w:rsidRPr="008B1DC0">
        <w:rPr>
          <w:rFonts w:ascii="Arial" w:hAnsi="Arial" w:cs="Arial"/>
          <w:b/>
          <w:vertAlign w:val="superscript"/>
        </w:rPr>
        <w:t>th</w:t>
      </w:r>
      <w:r w:rsidRPr="008B1DC0">
        <w:rPr>
          <w:rFonts w:ascii="Arial" w:hAnsi="Arial" w:cs="Arial"/>
          <w:b/>
        </w:rPr>
        <w:t xml:space="preserve"> June 2015</w:t>
      </w:r>
    </w:p>
    <w:p w:rsidR="00925EE2" w:rsidRDefault="00925EE2" w:rsidP="00B038B8">
      <w:pPr>
        <w:rPr>
          <w:rFonts w:ascii="Arial" w:hAnsi="Arial" w:cs="Arial"/>
          <w:b/>
        </w:rPr>
      </w:pPr>
      <w:r>
        <w:rPr>
          <w:rFonts w:ascii="Arial" w:hAnsi="Arial" w:cs="Arial"/>
          <w:b/>
        </w:rPr>
        <w:t>UNMET NEED ANALYSIS</w:t>
      </w:r>
      <w:r w:rsidR="00765928">
        <w:rPr>
          <w:rFonts w:ascii="Arial" w:hAnsi="Arial" w:cs="Arial"/>
          <w:b/>
        </w:rPr>
        <w:t xml:space="preserve"> </w:t>
      </w:r>
    </w:p>
    <w:p w:rsidR="00D35011" w:rsidRDefault="00D35011" w:rsidP="00B038B8">
      <w:pPr>
        <w:rPr>
          <w:rFonts w:ascii="Arial" w:hAnsi="Arial" w:cs="Arial"/>
          <w:b/>
        </w:rPr>
      </w:pPr>
    </w:p>
    <w:p w:rsidR="00925EE2" w:rsidRDefault="00925EE2" w:rsidP="00B038B8">
      <w:pPr>
        <w:rPr>
          <w:rFonts w:ascii="Arial" w:hAnsi="Arial" w:cs="Arial"/>
          <w:b/>
        </w:rPr>
      </w:pPr>
      <w:r>
        <w:rPr>
          <w:rFonts w:ascii="Arial" w:hAnsi="Arial" w:cs="Arial"/>
          <w:b/>
        </w:rPr>
        <w:t>Background</w:t>
      </w:r>
    </w:p>
    <w:p w:rsidR="00E5688E" w:rsidRDefault="00663EF9" w:rsidP="00E5688E">
      <w:pPr>
        <w:pStyle w:val="ListParagraph"/>
        <w:spacing w:after="100" w:afterAutospacing="1" w:line="276" w:lineRule="auto"/>
        <w:ind w:left="0"/>
        <w:contextualSpacing w:val="0"/>
        <w:rPr>
          <w:sz w:val="22"/>
          <w:szCs w:val="22"/>
        </w:rPr>
      </w:pPr>
      <w:r w:rsidRPr="00663EF9">
        <w:rPr>
          <w:sz w:val="22"/>
        </w:rPr>
        <w:t>The N</w:t>
      </w:r>
      <w:r>
        <w:rPr>
          <w:sz w:val="22"/>
        </w:rPr>
        <w:t xml:space="preserve">HSScotland </w:t>
      </w:r>
      <w:r w:rsidRPr="00663EF9">
        <w:rPr>
          <w:sz w:val="22"/>
        </w:rPr>
        <w:t>R</w:t>
      </w:r>
      <w:r>
        <w:rPr>
          <w:sz w:val="22"/>
        </w:rPr>
        <w:t xml:space="preserve">esource </w:t>
      </w:r>
      <w:r w:rsidRPr="00663EF9">
        <w:rPr>
          <w:sz w:val="22"/>
        </w:rPr>
        <w:t>A</w:t>
      </w:r>
      <w:r>
        <w:rPr>
          <w:sz w:val="22"/>
        </w:rPr>
        <w:t xml:space="preserve">llocation </w:t>
      </w:r>
      <w:r w:rsidRPr="00663EF9">
        <w:rPr>
          <w:sz w:val="22"/>
        </w:rPr>
        <w:t>C</w:t>
      </w:r>
      <w:r>
        <w:rPr>
          <w:sz w:val="22"/>
        </w:rPr>
        <w:t>ommittee (NRAC) Formula reli</w:t>
      </w:r>
      <w:r w:rsidRPr="00663EF9">
        <w:rPr>
          <w:sz w:val="22"/>
        </w:rPr>
        <w:t xml:space="preserve">es on health service activity data </w:t>
      </w:r>
      <w:r w:rsidR="00A648F7">
        <w:rPr>
          <w:sz w:val="22"/>
        </w:rPr>
        <w:t>as a</w:t>
      </w:r>
      <w:r w:rsidRPr="00663EF9">
        <w:rPr>
          <w:sz w:val="22"/>
        </w:rPr>
        <w:t xml:space="preserve"> basic proxy for the need for health</w:t>
      </w:r>
      <w:r>
        <w:rPr>
          <w:sz w:val="22"/>
        </w:rPr>
        <w:t>care</w:t>
      </w:r>
      <w:r w:rsidRPr="00663EF9">
        <w:rPr>
          <w:sz w:val="22"/>
        </w:rPr>
        <w:t xml:space="preserve"> services.  It is therefore important to check for the existence and extent of any </w:t>
      </w:r>
      <w:r>
        <w:rPr>
          <w:sz w:val="22"/>
        </w:rPr>
        <w:t>socio-economic inequities in healthcare utilisation</w:t>
      </w:r>
      <w:r w:rsidRPr="00663EF9">
        <w:rPr>
          <w:sz w:val="22"/>
        </w:rPr>
        <w:t xml:space="preserve"> </w:t>
      </w:r>
      <w:r w:rsidRPr="0020427F">
        <w:rPr>
          <w:sz w:val="22"/>
          <w:szCs w:val="22"/>
        </w:rPr>
        <w:t>and, where appropriate, to adjust the Formula to reflect such unmet need.</w:t>
      </w:r>
    </w:p>
    <w:p w:rsidR="00A63F3D" w:rsidRDefault="00D35011" w:rsidP="00B038B8">
      <w:pPr>
        <w:pStyle w:val="ListParagraph"/>
        <w:spacing w:after="120" w:line="276" w:lineRule="auto"/>
        <w:ind w:left="0"/>
        <w:contextualSpacing w:val="0"/>
        <w:rPr>
          <w:sz w:val="22"/>
          <w:szCs w:val="22"/>
        </w:rPr>
      </w:pPr>
      <w:r>
        <w:rPr>
          <w:sz w:val="22"/>
          <w:szCs w:val="22"/>
        </w:rPr>
        <w:t xml:space="preserve">There is an unmet need adjustment incorporated in the NRAC Formula </w:t>
      </w:r>
      <w:r w:rsidR="00413E8E">
        <w:rPr>
          <w:sz w:val="22"/>
          <w:szCs w:val="22"/>
        </w:rPr>
        <w:t>only</w:t>
      </w:r>
      <w:r>
        <w:rPr>
          <w:sz w:val="22"/>
          <w:szCs w:val="22"/>
        </w:rPr>
        <w:t xml:space="preserve"> for the </w:t>
      </w:r>
      <w:r w:rsidR="00A70D30">
        <w:rPr>
          <w:sz w:val="22"/>
          <w:szCs w:val="22"/>
        </w:rPr>
        <w:t xml:space="preserve">Heart </w:t>
      </w:r>
      <w:r>
        <w:rPr>
          <w:sz w:val="22"/>
          <w:szCs w:val="22"/>
        </w:rPr>
        <w:t>acute diagnostic</w:t>
      </w:r>
      <w:r w:rsidR="00E40AB9">
        <w:rPr>
          <w:sz w:val="22"/>
          <w:szCs w:val="22"/>
        </w:rPr>
        <w:t xml:space="preserve"> group. To introduce the correction, t</w:t>
      </w:r>
      <w:r>
        <w:rPr>
          <w:sz w:val="22"/>
          <w:szCs w:val="22"/>
        </w:rPr>
        <w:t>he 25% most deprived Intermediate Zones are excluded when fitting the reference model</w:t>
      </w:r>
      <w:r w:rsidR="00A70D30">
        <w:rPr>
          <w:sz w:val="22"/>
          <w:szCs w:val="22"/>
        </w:rPr>
        <w:t xml:space="preserve">. </w:t>
      </w:r>
    </w:p>
    <w:p w:rsidR="007427B8" w:rsidRDefault="00663EF9" w:rsidP="00B038B8">
      <w:pPr>
        <w:pStyle w:val="ListParagraph"/>
        <w:spacing w:after="120" w:line="276" w:lineRule="auto"/>
        <w:ind w:left="0"/>
        <w:contextualSpacing w:val="0"/>
        <w:rPr>
          <w:rFonts w:cs="Arial"/>
          <w:sz w:val="22"/>
          <w:szCs w:val="22"/>
        </w:rPr>
      </w:pPr>
      <w:r w:rsidRPr="0020427F">
        <w:rPr>
          <w:sz w:val="22"/>
          <w:szCs w:val="22"/>
        </w:rPr>
        <w:t>Unmet need was discussed most recently at the March Acute MLC subgroup meet</w:t>
      </w:r>
      <w:r w:rsidR="00E020E3">
        <w:rPr>
          <w:sz w:val="22"/>
          <w:szCs w:val="22"/>
        </w:rPr>
        <w:t xml:space="preserve">ing </w:t>
      </w:r>
      <w:r w:rsidR="00CE75C0" w:rsidRPr="0020427F">
        <w:rPr>
          <w:sz w:val="22"/>
          <w:szCs w:val="22"/>
        </w:rPr>
        <w:t xml:space="preserve">(TAMLC 24). </w:t>
      </w:r>
      <w:r w:rsidRPr="0020427F">
        <w:rPr>
          <w:sz w:val="22"/>
          <w:szCs w:val="22"/>
        </w:rPr>
        <w:t xml:space="preserve">The </w:t>
      </w:r>
      <w:r w:rsidR="004E28C8">
        <w:rPr>
          <w:sz w:val="22"/>
          <w:szCs w:val="22"/>
        </w:rPr>
        <w:t>group agreed that AST should</w:t>
      </w:r>
      <w:r w:rsidR="00A648F7" w:rsidRPr="0020427F">
        <w:rPr>
          <w:sz w:val="22"/>
          <w:szCs w:val="22"/>
        </w:rPr>
        <w:t xml:space="preserve"> replicate the </w:t>
      </w:r>
      <w:r w:rsidR="00E97C5E">
        <w:rPr>
          <w:sz w:val="22"/>
          <w:szCs w:val="22"/>
        </w:rPr>
        <w:t xml:space="preserve">two-stage shortfall method </w:t>
      </w:r>
      <w:r w:rsidR="00A648F7" w:rsidRPr="0020427F">
        <w:rPr>
          <w:sz w:val="22"/>
          <w:szCs w:val="22"/>
        </w:rPr>
        <w:t xml:space="preserve">analysis </w:t>
      </w:r>
      <w:r w:rsidRPr="0020427F">
        <w:rPr>
          <w:sz w:val="22"/>
          <w:szCs w:val="22"/>
        </w:rPr>
        <w:t>reported in McConnachie and Sutton (2004)</w:t>
      </w:r>
      <w:r w:rsidRPr="0020427F">
        <w:rPr>
          <w:rStyle w:val="FootnoteReference"/>
          <w:sz w:val="22"/>
          <w:szCs w:val="22"/>
        </w:rPr>
        <w:footnoteReference w:id="1"/>
      </w:r>
      <w:r w:rsidR="00A648F7" w:rsidRPr="0020427F">
        <w:rPr>
          <w:sz w:val="22"/>
          <w:szCs w:val="22"/>
        </w:rPr>
        <w:t xml:space="preserve"> </w:t>
      </w:r>
      <w:r w:rsidRPr="0020427F">
        <w:rPr>
          <w:sz w:val="22"/>
          <w:szCs w:val="22"/>
        </w:rPr>
        <w:t>with up-to-date Scottish Health Survey (SHeS)</w:t>
      </w:r>
      <w:r w:rsidR="00E020E3">
        <w:rPr>
          <w:sz w:val="22"/>
          <w:szCs w:val="22"/>
        </w:rPr>
        <w:t xml:space="preserve"> data</w:t>
      </w:r>
      <w:r w:rsidRPr="0020427F">
        <w:rPr>
          <w:sz w:val="22"/>
          <w:szCs w:val="22"/>
        </w:rPr>
        <w:t>.</w:t>
      </w:r>
      <w:r w:rsidR="0020427F" w:rsidRPr="0020427F">
        <w:rPr>
          <w:sz w:val="22"/>
          <w:szCs w:val="22"/>
        </w:rPr>
        <w:t xml:space="preserve"> The SHeS </w:t>
      </w:r>
      <w:r w:rsidR="004E28C8">
        <w:rPr>
          <w:sz w:val="22"/>
          <w:szCs w:val="22"/>
        </w:rPr>
        <w:t xml:space="preserve">diagnoses </w:t>
      </w:r>
      <w:r w:rsidR="0020427F" w:rsidRPr="0020427F">
        <w:rPr>
          <w:sz w:val="22"/>
          <w:szCs w:val="22"/>
        </w:rPr>
        <w:t xml:space="preserve">data allows </w:t>
      </w:r>
      <w:r w:rsidR="004E28C8">
        <w:rPr>
          <w:sz w:val="22"/>
          <w:szCs w:val="22"/>
        </w:rPr>
        <w:t xml:space="preserve">for </w:t>
      </w:r>
      <w:r w:rsidR="0020427F" w:rsidRPr="0020427F">
        <w:rPr>
          <w:sz w:val="22"/>
          <w:szCs w:val="22"/>
        </w:rPr>
        <w:t xml:space="preserve">a </w:t>
      </w:r>
      <w:r w:rsidR="009A66B7">
        <w:rPr>
          <w:sz w:val="22"/>
          <w:szCs w:val="22"/>
        </w:rPr>
        <w:t>match to</w:t>
      </w:r>
      <w:r w:rsidR="0020427F" w:rsidRPr="0020427F">
        <w:rPr>
          <w:sz w:val="22"/>
          <w:szCs w:val="22"/>
        </w:rPr>
        <w:t xml:space="preserve"> four out of the seven acute diagnostic groups</w:t>
      </w:r>
      <w:r w:rsidR="0020427F" w:rsidRPr="0020427F">
        <w:rPr>
          <w:rFonts w:cs="Arial"/>
          <w:sz w:val="22"/>
          <w:szCs w:val="22"/>
        </w:rPr>
        <w:t xml:space="preserve">; therefore the unmet need analysis </w:t>
      </w:r>
      <w:r w:rsidR="004E28C8">
        <w:rPr>
          <w:rFonts w:cs="Arial"/>
          <w:sz w:val="22"/>
          <w:szCs w:val="22"/>
        </w:rPr>
        <w:t xml:space="preserve">has been </w:t>
      </w:r>
      <w:r w:rsidR="0020427F" w:rsidRPr="0020427F">
        <w:rPr>
          <w:rFonts w:cs="Arial"/>
          <w:sz w:val="22"/>
          <w:szCs w:val="22"/>
        </w:rPr>
        <w:t>performed for Cancer, Digestive, Heart and Respiratory.</w:t>
      </w:r>
      <w:r w:rsidR="0020427F" w:rsidRPr="0020427F">
        <w:rPr>
          <w:sz w:val="22"/>
          <w:szCs w:val="22"/>
        </w:rPr>
        <w:t xml:space="preserve"> </w:t>
      </w:r>
      <w:r w:rsidR="004E28C8">
        <w:rPr>
          <w:sz w:val="22"/>
          <w:szCs w:val="22"/>
        </w:rPr>
        <w:t>T</w:t>
      </w:r>
      <w:r w:rsidR="00CE75C0" w:rsidRPr="0020427F">
        <w:rPr>
          <w:sz w:val="22"/>
          <w:szCs w:val="22"/>
        </w:rPr>
        <w:t xml:space="preserve">he analysis </w:t>
      </w:r>
      <w:r w:rsidR="004E28C8">
        <w:rPr>
          <w:sz w:val="22"/>
          <w:szCs w:val="22"/>
        </w:rPr>
        <w:t>has</w:t>
      </w:r>
      <w:r w:rsidR="004E28C8" w:rsidRPr="0020427F">
        <w:rPr>
          <w:sz w:val="22"/>
          <w:szCs w:val="22"/>
        </w:rPr>
        <w:t xml:space="preserve"> </w:t>
      </w:r>
      <w:r w:rsidR="00CE75C0" w:rsidRPr="0020427F">
        <w:rPr>
          <w:sz w:val="22"/>
          <w:szCs w:val="22"/>
        </w:rPr>
        <w:t>be</w:t>
      </w:r>
      <w:r w:rsidR="004E28C8">
        <w:rPr>
          <w:sz w:val="22"/>
          <w:szCs w:val="22"/>
        </w:rPr>
        <w:t>en</w:t>
      </w:r>
      <w:r w:rsidR="00CE75C0" w:rsidRPr="0020427F">
        <w:rPr>
          <w:sz w:val="22"/>
          <w:szCs w:val="22"/>
        </w:rPr>
        <w:t xml:space="preserve"> carried out at Intermediate Zone level </w:t>
      </w:r>
      <w:r w:rsidR="00E020E3">
        <w:rPr>
          <w:sz w:val="22"/>
          <w:szCs w:val="22"/>
        </w:rPr>
        <w:t>because the SHeS data contains</w:t>
      </w:r>
      <w:r w:rsidR="00CE75C0" w:rsidRPr="0020427F">
        <w:rPr>
          <w:sz w:val="22"/>
          <w:szCs w:val="22"/>
        </w:rPr>
        <w:t xml:space="preserve"> </w:t>
      </w:r>
      <w:r w:rsidR="00CE75C0" w:rsidRPr="0020427F">
        <w:rPr>
          <w:rFonts w:cs="Arial"/>
          <w:sz w:val="22"/>
          <w:szCs w:val="22"/>
        </w:rPr>
        <w:t xml:space="preserve">many Data Zones </w:t>
      </w:r>
      <w:r w:rsidR="004E28C8">
        <w:rPr>
          <w:rFonts w:cs="Arial"/>
          <w:sz w:val="22"/>
          <w:szCs w:val="22"/>
        </w:rPr>
        <w:t xml:space="preserve">without a </w:t>
      </w:r>
      <w:r w:rsidR="00CE75C0" w:rsidRPr="0020427F">
        <w:rPr>
          <w:rFonts w:cs="Arial"/>
          <w:sz w:val="22"/>
          <w:szCs w:val="22"/>
        </w:rPr>
        <w:t>positive</w:t>
      </w:r>
      <w:r w:rsidR="004E28C8">
        <w:rPr>
          <w:rFonts w:cs="Arial"/>
          <w:sz w:val="22"/>
          <w:szCs w:val="22"/>
        </w:rPr>
        <w:t xml:space="preserve"> </w:t>
      </w:r>
      <w:r w:rsidR="00CE75C0" w:rsidRPr="0020427F">
        <w:rPr>
          <w:rFonts w:cs="Arial"/>
          <w:sz w:val="22"/>
          <w:szCs w:val="22"/>
        </w:rPr>
        <w:t xml:space="preserve">response </w:t>
      </w:r>
      <w:r w:rsidR="004E28C8">
        <w:rPr>
          <w:rFonts w:cs="Arial"/>
          <w:sz w:val="22"/>
          <w:szCs w:val="22"/>
        </w:rPr>
        <w:t>to the question of a long-term condition</w:t>
      </w:r>
      <w:r w:rsidR="00CE75C0" w:rsidRPr="0020427F">
        <w:rPr>
          <w:rFonts w:cs="Arial"/>
          <w:sz w:val="22"/>
          <w:szCs w:val="22"/>
        </w:rPr>
        <w:t xml:space="preserve">, which poses a problem for modelling. </w:t>
      </w:r>
    </w:p>
    <w:p w:rsidR="00A63F3D" w:rsidRPr="00493CC1" w:rsidRDefault="00A63F3D" w:rsidP="00B038B8">
      <w:pPr>
        <w:pStyle w:val="ListParagraph"/>
        <w:spacing w:after="120" w:line="276" w:lineRule="auto"/>
        <w:ind w:left="0"/>
        <w:contextualSpacing w:val="0"/>
        <w:rPr>
          <w:rFonts w:cs="Arial"/>
          <w:sz w:val="22"/>
          <w:szCs w:val="22"/>
        </w:rPr>
      </w:pPr>
    </w:p>
    <w:p w:rsidR="00925EE2" w:rsidRDefault="00925EE2" w:rsidP="00B038B8">
      <w:pPr>
        <w:rPr>
          <w:rFonts w:ascii="Arial" w:hAnsi="Arial" w:cs="Arial"/>
          <w:b/>
        </w:rPr>
      </w:pPr>
      <w:r>
        <w:rPr>
          <w:rFonts w:ascii="Arial" w:hAnsi="Arial" w:cs="Arial"/>
          <w:b/>
        </w:rPr>
        <w:t>1. Summary</w:t>
      </w:r>
    </w:p>
    <w:p w:rsidR="007427B8" w:rsidRPr="007427B8" w:rsidRDefault="007427B8" w:rsidP="00B038B8">
      <w:pPr>
        <w:jc w:val="both"/>
        <w:rPr>
          <w:rFonts w:ascii="Arial" w:hAnsi="Arial" w:cs="Arial"/>
        </w:rPr>
      </w:pPr>
      <w:r>
        <w:rPr>
          <w:rFonts w:ascii="Arial" w:hAnsi="Arial" w:cs="Arial"/>
        </w:rPr>
        <w:t xml:space="preserve">This paper presents the results of testing for unmet need four acute diagnostic groups – </w:t>
      </w:r>
      <w:r w:rsidR="00AF1D8F">
        <w:rPr>
          <w:rFonts w:ascii="Arial" w:hAnsi="Arial" w:cs="Arial"/>
        </w:rPr>
        <w:t>Cancer, Digestive, Heart and Respiratory</w:t>
      </w:r>
      <w:r>
        <w:rPr>
          <w:rFonts w:ascii="Arial" w:hAnsi="Arial" w:cs="Arial"/>
        </w:rPr>
        <w:t xml:space="preserve">. </w:t>
      </w:r>
      <w:r w:rsidR="00AF1D8F">
        <w:rPr>
          <w:rFonts w:ascii="Arial" w:hAnsi="Arial" w:cs="Arial"/>
        </w:rPr>
        <w:t xml:space="preserve">Section 2, </w:t>
      </w:r>
      <w:r w:rsidR="00177A4B">
        <w:rPr>
          <w:rFonts w:ascii="Arial" w:hAnsi="Arial" w:cs="Arial"/>
        </w:rPr>
        <w:t>presents information on</w:t>
      </w:r>
      <w:r w:rsidR="00A65598">
        <w:rPr>
          <w:rFonts w:ascii="Arial" w:hAnsi="Arial" w:cs="Arial"/>
        </w:rPr>
        <w:t xml:space="preserve"> </w:t>
      </w:r>
      <w:r w:rsidR="00AF1D8F">
        <w:rPr>
          <w:rFonts w:ascii="Arial" w:hAnsi="Arial" w:cs="Arial"/>
        </w:rPr>
        <w:t xml:space="preserve">the relationship between healthcare utilisation (cost ratios) and </w:t>
      </w:r>
      <w:r w:rsidR="000D1722">
        <w:rPr>
          <w:rFonts w:ascii="Arial" w:hAnsi="Arial" w:cs="Arial"/>
        </w:rPr>
        <w:t xml:space="preserve">the current acute index of need (a combination of SMR in ages 0-74 and LLTI) and </w:t>
      </w:r>
      <w:r w:rsidR="00177A4B">
        <w:rPr>
          <w:rFonts w:ascii="Arial" w:hAnsi="Arial" w:cs="Arial"/>
        </w:rPr>
        <w:t>sets out the</w:t>
      </w:r>
      <w:r w:rsidR="00D52BCB">
        <w:rPr>
          <w:rFonts w:ascii="Arial" w:hAnsi="Arial" w:cs="Arial"/>
        </w:rPr>
        <w:t xml:space="preserve"> NRAC reference model results</w:t>
      </w:r>
      <w:r w:rsidR="00AF1D8F">
        <w:rPr>
          <w:rFonts w:ascii="Arial" w:hAnsi="Arial" w:cs="Arial"/>
        </w:rPr>
        <w:t xml:space="preserve">. Section 3 describes the results of linear regressions of cost ratios upon the acute index along with upper and lower splines for </w:t>
      </w:r>
      <w:r w:rsidR="000D1722">
        <w:rPr>
          <w:rFonts w:ascii="Arial" w:hAnsi="Arial" w:cs="Arial"/>
        </w:rPr>
        <w:t>the acute index (</w:t>
      </w:r>
      <w:r w:rsidR="00D52BCB">
        <w:rPr>
          <w:rFonts w:ascii="Arial" w:hAnsi="Arial" w:cs="Arial"/>
        </w:rPr>
        <w:t>known as</w:t>
      </w:r>
      <w:r w:rsidR="00FA0D6F">
        <w:rPr>
          <w:rFonts w:ascii="Arial" w:hAnsi="Arial" w:cs="Arial"/>
        </w:rPr>
        <w:t xml:space="preserve"> </w:t>
      </w:r>
      <w:r w:rsidR="00177A4B">
        <w:rPr>
          <w:rFonts w:ascii="Arial" w:hAnsi="Arial" w:cs="Arial"/>
        </w:rPr>
        <w:t xml:space="preserve">simple </w:t>
      </w:r>
      <w:r w:rsidR="00AF1D8F">
        <w:rPr>
          <w:rFonts w:ascii="Arial" w:hAnsi="Arial" w:cs="Arial"/>
        </w:rPr>
        <w:t>shortfall method</w:t>
      </w:r>
      <w:r w:rsidR="00E97C5E">
        <w:rPr>
          <w:rFonts w:ascii="Arial" w:hAnsi="Arial" w:cs="Arial"/>
        </w:rPr>
        <w:t xml:space="preserve"> which was proposed in the first Arbuthnott Report in 1999</w:t>
      </w:r>
      <w:r w:rsidR="00AF1D8F">
        <w:rPr>
          <w:rFonts w:ascii="Arial" w:hAnsi="Arial" w:cs="Arial"/>
        </w:rPr>
        <w:t xml:space="preserve">). Section 4 presents the result of the </w:t>
      </w:r>
      <w:r w:rsidR="00177A4B">
        <w:rPr>
          <w:rFonts w:ascii="Arial" w:hAnsi="Arial" w:cs="Arial"/>
        </w:rPr>
        <w:t>two-stage</w:t>
      </w:r>
      <w:r w:rsidR="00AF1D8F">
        <w:rPr>
          <w:rFonts w:ascii="Arial" w:hAnsi="Arial" w:cs="Arial"/>
        </w:rPr>
        <w:t xml:space="preserve"> shortfall method, i.e. the SHeS data is used to calculate predicted prevalence and then the cost ratios are regressed on the predicted prevalence along with </w:t>
      </w:r>
      <w:r w:rsidR="00FA0D6F">
        <w:rPr>
          <w:rFonts w:ascii="Arial" w:hAnsi="Arial" w:cs="Arial"/>
        </w:rPr>
        <w:t>upper and lower splines for</w:t>
      </w:r>
      <w:r w:rsidR="000D1722">
        <w:rPr>
          <w:rFonts w:ascii="Arial" w:hAnsi="Arial" w:cs="Arial"/>
        </w:rPr>
        <w:t xml:space="preserve"> the acute index</w:t>
      </w:r>
      <w:r w:rsidR="00FA0D6F">
        <w:rPr>
          <w:rFonts w:ascii="Arial" w:hAnsi="Arial" w:cs="Arial"/>
        </w:rPr>
        <w:t xml:space="preserve">. Section 5 discusses the possible next steps for the unmet need analysis and provides some questions for the Subgroup to consider. </w:t>
      </w:r>
    </w:p>
    <w:p w:rsidR="00925EE2" w:rsidRDefault="00925EE2" w:rsidP="00B038B8">
      <w:pPr>
        <w:rPr>
          <w:rFonts w:ascii="Arial" w:hAnsi="Arial" w:cs="Arial"/>
          <w:b/>
        </w:rPr>
      </w:pPr>
      <w:r>
        <w:rPr>
          <w:rFonts w:ascii="Arial" w:hAnsi="Arial" w:cs="Arial"/>
          <w:b/>
        </w:rPr>
        <w:t xml:space="preserve">2. </w:t>
      </w:r>
      <w:r w:rsidR="005F6712">
        <w:rPr>
          <w:rFonts w:ascii="Arial" w:hAnsi="Arial" w:cs="Arial"/>
          <w:b/>
        </w:rPr>
        <w:t>NRAC Reference model</w:t>
      </w:r>
    </w:p>
    <w:p w:rsidR="005F6712" w:rsidRDefault="005F6712" w:rsidP="00B038B8">
      <w:pPr>
        <w:jc w:val="both"/>
        <w:rPr>
          <w:rFonts w:ascii="Arial" w:hAnsi="Arial" w:cs="Arial"/>
        </w:rPr>
      </w:pPr>
      <w:r>
        <w:rPr>
          <w:rFonts w:ascii="Arial" w:hAnsi="Arial" w:cs="Arial"/>
        </w:rPr>
        <w:t xml:space="preserve">The adjustments for Morbidity and Life Circumstances in the </w:t>
      </w:r>
      <w:r w:rsidR="00177A4B">
        <w:rPr>
          <w:rFonts w:ascii="Arial" w:hAnsi="Arial" w:cs="Arial"/>
        </w:rPr>
        <w:t xml:space="preserve">formula </w:t>
      </w:r>
      <w:r>
        <w:rPr>
          <w:rFonts w:ascii="Arial" w:hAnsi="Arial" w:cs="Arial"/>
        </w:rPr>
        <w:t xml:space="preserve">are </w:t>
      </w:r>
      <w:r w:rsidR="00177A4B">
        <w:rPr>
          <w:rFonts w:ascii="Arial" w:hAnsi="Arial" w:cs="Arial"/>
        </w:rPr>
        <w:t>derived using</w:t>
      </w:r>
      <w:r>
        <w:rPr>
          <w:rFonts w:ascii="Arial" w:hAnsi="Arial" w:cs="Arial"/>
        </w:rPr>
        <w:t xml:space="preserve"> regression models that include Health Board dummy variables, supply variables and the acute index (the sum of the z-scores of the all cause Standardised Mortality Ratio (SMR) in ages 0-74 and the Limiting Long-Term Illness (LLTI) ratio).</w:t>
      </w:r>
      <w:r w:rsidR="001705E4">
        <w:rPr>
          <w:rFonts w:ascii="Arial" w:hAnsi="Arial" w:cs="Arial"/>
        </w:rPr>
        <w:t xml:space="preserve"> Th</w:t>
      </w:r>
      <w:r w:rsidR="00177A4B">
        <w:rPr>
          <w:rFonts w:ascii="Arial" w:hAnsi="Arial" w:cs="Arial"/>
        </w:rPr>
        <w:t>is set of variables is</w:t>
      </w:r>
      <w:r w:rsidR="001705E4">
        <w:rPr>
          <w:rFonts w:ascii="Arial" w:hAnsi="Arial" w:cs="Arial"/>
        </w:rPr>
        <w:t xml:space="preserve"> </w:t>
      </w:r>
      <w:r w:rsidR="00177A4B">
        <w:rPr>
          <w:rFonts w:ascii="Arial" w:hAnsi="Arial" w:cs="Arial"/>
        </w:rPr>
        <w:t xml:space="preserve">referred to </w:t>
      </w:r>
      <w:r w:rsidR="001705E4">
        <w:rPr>
          <w:rFonts w:ascii="Arial" w:hAnsi="Arial" w:cs="Arial"/>
        </w:rPr>
        <w:t>as the reference model</w:t>
      </w:r>
      <w:r w:rsidR="009D688E">
        <w:rPr>
          <w:rFonts w:ascii="Arial" w:hAnsi="Arial" w:cs="Arial"/>
        </w:rPr>
        <w:t xml:space="preserve"> </w:t>
      </w:r>
      <w:r w:rsidR="00177A4B">
        <w:rPr>
          <w:rFonts w:ascii="Arial" w:hAnsi="Arial" w:cs="Arial"/>
        </w:rPr>
        <w:t xml:space="preserve">in this work. </w:t>
      </w:r>
    </w:p>
    <w:p w:rsidR="005F6712" w:rsidRDefault="005F6712" w:rsidP="00B038B8">
      <w:pPr>
        <w:jc w:val="both"/>
        <w:rPr>
          <w:rFonts w:ascii="Arial" w:hAnsi="Arial" w:cs="Arial"/>
        </w:rPr>
      </w:pPr>
      <w:r>
        <w:rPr>
          <w:rFonts w:ascii="Arial" w:hAnsi="Arial" w:cs="Arial"/>
        </w:rPr>
        <w:lastRenderedPageBreak/>
        <w:t xml:space="preserve">The </w:t>
      </w:r>
      <w:r w:rsidR="00177A4B">
        <w:rPr>
          <w:rFonts w:ascii="Arial" w:hAnsi="Arial" w:cs="Arial"/>
        </w:rPr>
        <w:t>relationship between</w:t>
      </w:r>
      <w:r w:rsidR="009D688E">
        <w:rPr>
          <w:rFonts w:ascii="Arial" w:hAnsi="Arial" w:cs="Arial"/>
        </w:rPr>
        <w:t xml:space="preserve"> </w:t>
      </w:r>
      <w:r>
        <w:rPr>
          <w:rFonts w:ascii="Arial" w:hAnsi="Arial" w:cs="Arial"/>
        </w:rPr>
        <w:t xml:space="preserve">healthcare utilisation (cost ratios) </w:t>
      </w:r>
      <w:r w:rsidR="00177A4B">
        <w:rPr>
          <w:rFonts w:ascii="Arial" w:hAnsi="Arial" w:cs="Arial"/>
        </w:rPr>
        <w:t xml:space="preserve">and the reference variables </w:t>
      </w:r>
      <w:r>
        <w:rPr>
          <w:rFonts w:ascii="Arial" w:hAnsi="Arial" w:cs="Arial"/>
        </w:rPr>
        <w:t>is assumed to be linear and the model is expressed algebraically as</w:t>
      </w:r>
    </w:p>
    <w:p w:rsidR="005F6712" w:rsidRPr="007F2E29" w:rsidRDefault="005F6712" w:rsidP="00B038B8">
      <w:pPr>
        <w:jc w:val="both"/>
        <w:rPr>
          <w:rFonts w:ascii="Arial" w:hAnsi="Arial" w:cs="Arial"/>
          <w:b/>
          <w:i/>
        </w:rPr>
      </w:pPr>
      <w:r w:rsidRPr="007F2E29">
        <w:rPr>
          <w:rFonts w:ascii="Arial" w:hAnsi="Arial" w:cs="Arial"/>
          <w:b/>
          <w:i/>
        </w:rPr>
        <w:t>Cost Ratios = Health Board dummies + Supply + Acute Index + errors</w:t>
      </w:r>
      <w:r w:rsidR="00D30B7A">
        <w:rPr>
          <w:rFonts w:ascii="Arial" w:hAnsi="Arial" w:cs="Arial"/>
          <w:b/>
          <w:i/>
        </w:rPr>
        <w:t xml:space="preserve"> </w:t>
      </w:r>
    </w:p>
    <w:p w:rsidR="00685ED2" w:rsidRDefault="007F2E29" w:rsidP="00B038B8">
      <w:pPr>
        <w:jc w:val="both"/>
        <w:rPr>
          <w:rFonts w:ascii="Arial" w:hAnsi="Arial" w:cs="Arial"/>
        </w:rPr>
      </w:pPr>
      <w:proofErr w:type="gramStart"/>
      <w:r>
        <w:rPr>
          <w:rFonts w:ascii="Arial" w:hAnsi="Arial" w:cs="Arial"/>
        </w:rPr>
        <w:t>i</w:t>
      </w:r>
      <w:r w:rsidR="005F6712">
        <w:rPr>
          <w:rFonts w:ascii="Arial" w:hAnsi="Arial" w:cs="Arial"/>
        </w:rPr>
        <w:t>n</w:t>
      </w:r>
      <w:proofErr w:type="gramEnd"/>
      <w:r w:rsidR="005F6712">
        <w:rPr>
          <w:rFonts w:ascii="Arial" w:hAnsi="Arial" w:cs="Arial"/>
        </w:rPr>
        <w:t xml:space="preserve"> which the healthcare utilisation is represented by the ratio of the actual costs of healthcare (taking into account activity type and the length of stay in that specific neighbourhood) to the expected costs (based on the neighbourhood’s population and the national average costs per head). </w:t>
      </w:r>
    </w:p>
    <w:p w:rsidR="007F2E29" w:rsidRDefault="005F6712" w:rsidP="00B038B8">
      <w:pPr>
        <w:jc w:val="both"/>
        <w:rPr>
          <w:rFonts w:ascii="Arial" w:hAnsi="Arial" w:cs="Arial"/>
        </w:rPr>
      </w:pPr>
      <w:r>
        <w:rPr>
          <w:rFonts w:ascii="Arial" w:hAnsi="Arial" w:cs="Arial"/>
        </w:rPr>
        <w:t>The cost ratios are calculated at Intermediate Zones for 2011/12 financial year.</w:t>
      </w:r>
      <w:r w:rsidR="00AD580E">
        <w:rPr>
          <w:rFonts w:ascii="Arial" w:hAnsi="Arial" w:cs="Arial"/>
        </w:rPr>
        <w:t xml:space="preserve"> The supply variables are calculated</w:t>
      </w:r>
      <w:r w:rsidR="00190A76">
        <w:rPr>
          <w:rFonts w:ascii="Arial" w:hAnsi="Arial" w:cs="Arial"/>
        </w:rPr>
        <w:t xml:space="preserve"> in 2009 using 2001 Census data. The needs indicators included in the acute index are both age-sex adjusted ratios;</w:t>
      </w:r>
      <w:r w:rsidR="00AD580E">
        <w:rPr>
          <w:rFonts w:ascii="Arial" w:hAnsi="Arial" w:cs="Arial"/>
        </w:rPr>
        <w:t xml:space="preserve"> the SMR is calculated using death records from 2008 to 2012 calendar years, and the LLTI ratio is calculated using 2011 Census data.  </w:t>
      </w:r>
    </w:p>
    <w:p w:rsidR="007F2E29" w:rsidRDefault="00D65372" w:rsidP="00B038B8">
      <w:pPr>
        <w:jc w:val="both"/>
        <w:rPr>
          <w:rFonts w:ascii="Arial" w:hAnsi="Arial" w:cs="Arial"/>
        </w:rPr>
      </w:pPr>
      <w:r>
        <w:rPr>
          <w:rFonts w:ascii="Arial" w:hAnsi="Arial" w:cs="Arial"/>
          <w:noProof/>
        </w:rPr>
        <w:drawing>
          <wp:anchor distT="0" distB="0" distL="114300" distR="114300" simplePos="0" relativeHeight="251661312" behindDoc="1" locked="0" layoutInCell="1" allowOverlap="1">
            <wp:simplePos x="0" y="0"/>
            <wp:positionH relativeFrom="column">
              <wp:posOffset>-597535</wp:posOffset>
            </wp:positionH>
            <wp:positionV relativeFrom="paragraph">
              <wp:posOffset>513080</wp:posOffset>
            </wp:positionV>
            <wp:extent cx="3498850" cy="2695575"/>
            <wp:effectExtent l="1905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498850" cy="2695575"/>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63360" behindDoc="1" locked="0" layoutInCell="1" allowOverlap="1">
            <wp:simplePos x="0" y="0"/>
            <wp:positionH relativeFrom="column">
              <wp:posOffset>2895600</wp:posOffset>
            </wp:positionH>
            <wp:positionV relativeFrom="paragraph">
              <wp:posOffset>513080</wp:posOffset>
            </wp:positionV>
            <wp:extent cx="3498850" cy="2699385"/>
            <wp:effectExtent l="1905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498850" cy="2699385"/>
                    </a:xfrm>
                    <a:prstGeom prst="rect">
                      <a:avLst/>
                    </a:prstGeom>
                    <a:noFill/>
                    <a:ln w="9525">
                      <a:noFill/>
                      <a:miter lim="800000"/>
                      <a:headEnd/>
                      <a:tailEnd/>
                    </a:ln>
                  </pic:spPr>
                </pic:pic>
              </a:graphicData>
            </a:graphic>
          </wp:anchor>
        </w:drawing>
      </w:r>
      <w:r w:rsidR="007F2E29">
        <w:rPr>
          <w:rFonts w:ascii="Arial" w:hAnsi="Arial" w:cs="Arial"/>
        </w:rPr>
        <w:t xml:space="preserve">The relationship between the cost ratios and the acute index </w:t>
      </w:r>
      <w:r w:rsidR="007F24C5">
        <w:rPr>
          <w:rFonts w:ascii="Arial" w:hAnsi="Arial" w:cs="Arial"/>
        </w:rPr>
        <w:t xml:space="preserve">at Intermediate Zone level </w:t>
      </w:r>
      <w:r w:rsidR="007F2E29">
        <w:rPr>
          <w:rFonts w:ascii="Arial" w:hAnsi="Arial" w:cs="Arial"/>
        </w:rPr>
        <w:t>for the four diagnostic groups of interest (Cancer, Digestive, Heart and Respiratory) are plo</w:t>
      </w:r>
      <w:r w:rsidR="00B46C9C">
        <w:rPr>
          <w:rFonts w:ascii="Arial" w:hAnsi="Arial" w:cs="Arial"/>
        </w:rPr>
        <w:t>tted and applied below (Figure 2.1</w:t>
      </w:r>
      <w:r w:rsidR="007F2E29">
        <w:rPr>
          <w:rFonts w:ascii="Arial" w:hAnsi="Arial" w:cs="Arial"/>
        </w:rPr>
        <w:t>).</w:t>
      </w:r>
    </w:p>
    <w:p w:rsidR="007F24C5" w:rsidRDefault="007F24C5" w:rsidP="00B038B8">
      <w:pPr>
        <w:jc w:val="both"/>
        <w:rPr>
          <w:rFonts w:ascii="Arial" w:hAnsi="Arial" w:cs="Arial"/>
        </w:rPr>
      </w:pPr>
    </w:p>
    <w:p w:rsidR="005F6712" w:rsidRPr="005F6712" w:rsidRDefault="007F2E29" w:rsidP="00B038B8">
      <w:pPr>
        <w:tabs>
          <w:tab w:val="center" w:pos="4513"/>
        </w:tabs>
        <w:jc w:val="both"/>
        <w:rPr>
          <w:rFonts w:ascii="Arial" w:hAnsi="Arial" w:cs="Arial"/>
        </w:rPr>
      </w:pPr>
      <w:r>
        <w:rPr>
          <w:rFonts w:ascii="Arial" w:hAnsi="Arial" w:cs="Arial"/>
        </w:rPr>
        <w:t xml:space="preserve"> </w:t>
      </w:r>
      <w:r w:rsidR="00AD580E">
        <w:rPr>
          <w:rFonts w:ascii="Arial" w:hAnsi="Arial" w:cs="Arial"/>
        </w:rPr>
        <w:t xml:space="preserve">  </w:t>
      </w:r>
      <w:r w:rsidR="007F24C5">
        <w:rPr>
          <w:rFonts w:ascii="Arial" w:hAnsi="Arial" w:cs="Arial"/>
        </w:rPr>
        <w:tab/>
      </w:r>
    </w:p>
    <w:p w:rsidR="005F6712" w:rsidRDefault="005F6712" w:rsidP="00B038B8">
      <w:pPr>
        <w:rPr>
          <w:rFonts w:ascii="Arial" w:hAnsi="Arial" w:cs="Arial"/>
        </w:rPr>
      </w:pPr>
    </w:p>
    <w:p w:rsidR="007F24C5" w:rsidRDefault="007F24C5" w:rsidP="00B038B8">
      <w:pPr>
        <w:rPr>
          <w:rFonts w:ascii="Arial" w:hAnsi="Arial" w:cs="Arial"/>
        </w:rPr>
      </w:pPr>
    </w:p>
    <w:p w:rsidR="007F24C5" w:rsidRDefault="007F24C5" w:rsidP="00B038B8">
      <w:pPr>
        <w:rPr>
          <w:rFonts w:ascii="Arial" w:hAnsi="Arial" w:cs="Arial"/>
        </w:rPr>
      </w:pPr>
    </w:p>
    <w:p w:rsidR="007F24C5" w:rsidRDefault="007F24C5" w:rsidP="00B038B8">
      <w:pPr>
        <w:rPr>
          <w:rFonts w:ascii="Arial" w:hAnsi="Arial" w:cs="Arial"/>
        </w:rPr>
      </w:pPr>
    </w:p>
    <w:p w:rsidR="007F24C5" w:rsidRDefault="007F24C5" w:rsidP="00B038B8">
      <w:pPr>
        <w:rPr>
          <w:rFonts w:ascii="Arial" w:hAnsi="Arial" w:cs="Arial"/>
        </w:rPr>
      </w:pPr>
    </w:p>
    <w:p w:rsidR="007F24C5" w:rsidRDefault="008A415F" w:rsidP="00B038B8">
      <w:pPr>
        <w:rPr>
          <w:rFonts w:ascii="Arial" w:hAnsi="Arial" w:cs="Arial"/>
        </w:rPr>
      </w:pPr>
      <w:r>
        <w:rPr>
          <w:rFonts w:ascii="Arial" w:hAnsi="Arial" w:cs="Arial"/>
          <w:noProof/>
        </w:rPr>
        <w:drawing>
          <wp:anchor distT="0" distB="0" distL="114300" distR="114300" simplePos="0" relativeHeight="251665408" behindDoc="1" locked="0" layoutInCell="1" allowOverlap="1">
            <wp:simplePos x="0" y="0"/>
            <wp:positionH relativeFrom="column">
              <wp:posOffset>2894330</wp:posOffset>
            </wp:positionH>
            <wp:positionV relativeFrom="paragraph">
              <wp:posOffset>250190</wp:posOffset>
            </wp:positionV>
            <wp:extent cx="3504565" cy="2695575"/>
            <wp:effectExtent l="1905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504565" cy="2695575"/>
                    </a:xfrm>
                    <a:prstGeom prst="rect">
                      <a:avLst/>
                    </a:prstGeom>
                    <a:noFill/>
                    <a:ln w="9525">
                      <a:noFill/>
                      <a:miter lim="800000"/>
                      <a:headEnd/>
                      <a:tailEnd/>
                    </a:ln>
                  </pic:spPr>
                </pic:pic>
              </a:graphicData>
            </a:graphic>
          </wp:anchor>
        </w:drawing>
      </w:r>
      <w:r w:rsidR="00D65372">
        <w:rPr>
          <w:rFonts w:ascii="Arial" w:hAnsi="Arial" w:cs="Arial"/>
          <w:noProof/>
        </w:rPr>
        <w:drawing>
          <wp:anchor distT="0" distB="0" distL="114300" distR="114300" simplePos="0" relativeHeight="251659264" behindDoc="1" locked="0" layoutInCell="1" allowOverlap="1">
            <wp:simplePos x="0" y="0"/>
            <wp:positionH relativeFrom="column">
              <wp:posOffset>-603250</wp:posOffset>
            </wp:positionH>
            <wp:positionV relativeFrom="paragraph">
              <wp:posOffset>250190</wp:posOffset>
            </wp:positionV>
            <wp:extent cx="3498850" cy="2695575"/>
            <wp:effectExtent l="1905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498850" cy="2695575"/>
                    </a:xfrm>
                    <a:prstGeom prst="rect">
                      <a:avLst/>
                    </a:prstGeom>
                    <a:noFill/>
                    <a:ln w="9525">
                      <a:noFill/>
                      <a:miter lim="800000"/>
                      <a:headEnd/>
                      <a:tailEnd/>
                    </a:ln>
                  </pic:spPr>
                </pic:pic>
              </a:graphicData>
            </a:graphic>
          </wp:anchor>
        </w:drawing>
      </w:r>
    </w:p>
    <w:p w:rsidR="007F24C5" w:rsidRDefault="007F24C5" w:rsidP="00B038B8">
      <w:pPr>
        <w:tabs>
          <w:tab w:val="left" w:pos="5475"/>
        </w:tabs>
        <w:rPr>
          <w:rFonts w:ascii="Arial" w:hAnsi="Arial" w:cs="Arial"/>
        </w:rPr>
      </w:pPr>
      <w:r>
        <w:rPr>
          <w:rFonts w:ascii="Arial" w:hAnsi="Arial" w:cs="Arial"/>
        </w:rPr>
        <w:tab/>
      </w:r>
    </w:p>
    <w:p w:rsidR="007F24C5" w:rsidRPr="005F6712" w:rsidRDefault="008A415F" w:rsidP="00B038B8">
      <w:pPr>
        <w:tabs>
          <w:tab w:val="left" w:pos="5475"/>
        </w:tabs>
        <w:rPr>
          <w:rFonts w:ascii="Arial" w:hAnsi="Arial" w:cs="Arial"/>
        </w:rPr>
      </w:pPr>
      <w:r>
        <w:rPr>
          <w:rFonts w:ascii="Arial" w:hAnsi="Arial" w:cs="Arial"/>
        </w:rPr>
        <w:tab/>
      </w:r>
    </w:p>
    <w:p w:rsidR="007F24C5" w:rsidRDefault="007F24C5" w:rsidP="00B038B8">
      <w:pPr>
        <w:rPr>
          <w:rFonts w:ascii="Arial" w:hAnsi="Arial" w:cs="Arial"/>
          <w:b/>
        </w:rPr>
      </w:pPr>
    </w:p>
    <w:p w:rsidR="007F24C5" w:rsidRDefault="007F24C5" w:rsidP="00B038B8">
      <w:pPr>
        <w:rPr>
          <w:rFonts w:ascii="Arial" w:hAnsi="Arial" w:cs="Arial"/>
          <w:b/>
        </w:rPr>
      </w:pPr>
    </w:p>
    <w:p w:rsidR="007F24C5" w:rsidRDefault="007F24C5" w:rsidP="00B038B8">
      <w:pPr>
        <w:rPr>
          <w:rFonts w:ascii="Arial" w:hAnsi="Arial" w:cs="Arial"/>
          <w:b/>
        </w:rPr>
      </w:pPr>
    </w:p>
    <w:p w:rsidR="007F24C5" w:rsidRDefault="007F24C5" w:rsidP="00B038B8">
      <w:pPr>
        <w:rPr>
          <w:rFonts w:ascii="Arial" w:hAnsi="Arial" w:cs="Arial"/>
          <w:b/>
        </w:rPr>
      </w:pPr>
    </w:p>
    <w:p w:rsidR="007F24C5" w:rsidRDefault="007F24C5" w:rsidP="00B038B8">
      <w:pPr>
        <w:rPr>
          <w:rFonts w:ascii="Arial" w:hAnsi="Arial" w:cs="Arial"/>
          <w:b/>
        </w:rPr>
      </w:pPr>
    </w:p>
    <w:p w:rsidR="007F24C5" w:rsidRDefault="007F24C5" w:rsidP="00B038B8">
      <w:pPr>
        <w:rPr>
          <w:rFonts w:ascii="Arial" w:hAnsi="Arial" w:cs="Arial"/>
          <w:b/>
        </w:rPr>
      </w:pPr>
    </w:p>
    <w:p w:rsidR="007F24C5" w:rsidRDefault="007F24C5" w:rsidP="00B038B8">
      <w:pPr>
        <w:rPr>
          <w:rFonts w:ascii="Arial" w:hAnsi="Arial" w:cs="Arial"/>
          <w:b/>
        </w:rPr>
      </w:pPr>
    </w:p>
    <w:p w:rsidR="00B46C9C" w:rsidRPr="00B46C9C" w:rsidRDefault="00B46C9C" w:rsidP="00B038B8">
      <w:pPr>
        <w:rPr>
          <w:rFonts w:ascii="Arial" w:hAnsi="Arial" w:cs="Arial"/>
          <w:i/>
        </w:rPr>
      </w:pPr>
      <w:r w:rsidRPr="00B46C9C">
        <w:rPr>
          <w:rFonts w:ascii="Arial" w:hAnsi="Arial" w:cs="Arial"/>
          <w:i/>
        </w:rPr>
        <w:t xml:space="preserve">Figure 2.1 Scatter plots of cost ratios against the acute index by diagnostic group.  </w:t>
      </w:r>
    </w:p>
    <w:p w:rsidR="007F24C5" w:rsidRDefault="008A415F" w:rsidP="00B038B8">
      <w:pPr>
        <w:jc w:val="both"/>
        <w:rPr>
          <w:rFonts w:ascii="Arial" w:hAnsi="Arial" w:cs="Arial"/>
        </w:rPr>
      </w:pPr>
      <w:r>
        <w:rPr>
          <w:rFonts w:ascii="Arial" w:hAnsi="Arial" w:cs="Arial"/>
        </w:rPr>
        <w:lastRenderedPageBreak/>
        <w:t xml:space="preserve">The scatter plots do not imply any clear deviations from the linear relationship for Digestive and Heart. </w:t>
      </w:r>
      <w:r w:rsidR="00B46C9C">
        <w:rPr>
          <w:rFonts w:ascii="Arial" w:hAnsi="Arial" w:cs="Arial"/>
        </w:rPr>
        <w:t>The scatter plots suggest that ther</w:t>
      </w:r>
      <w:r>
        <w:rPr>
          <w:rFonts w:ascii="Arial" w:hAnsi="Arial" w:cs="Arial"/>
        </w:rPr>
        <w:t>e might be no further effect in the cost ratios fo</w:t>
      </w:r>
      <w:r w:rsidR="00B27963">
        <w:rPr>
          <w:rFonts w:ascii="Arial" w:hAnsi="Arial" w:cs="Arial"/>
        </w:rPr>
        <w:t xml:space="preserve">r </w:t>
      </w:r>
      <w:r w:rsidR="00FA5E56">
        <w:rPr>
          <w:rFonts w:ascii="Arial" w:hAnsi="Arial" w:cs="Arial"/>
        </w:rPr>
        <w:t>acute index values greater than</w:t>
      </w:r>
      <w:r w:rsidR="00177A4B">
        <w:rPr>
          <w:rFonts w:ascii="Arial" w:hAnsi="Arial" w:cs="Arial"/>
        </w:rPr>
        <w:t xml:space="preserve"> around </w:t>
      </w:r>
      <w:r>
        <w:rPr>
          <w:rFonts w:ascii="Arial" w:hAnsi="Arial" w:cs="Arial"/>
        </w:rPr>
        <w:t>3 for Cancer and a sharper increase in the cost ratios for acute index</w:t>
      </w:r>
      <w:r w:rsidR="00B27963">
        <w:rPr>
          <w:rFonts w:ascii="Arial" w:hAnsi="Arial" w:cs="Arial"/>
        </w:rPr>
        <w:t xml:space="preserve"> values</w:t>
      </w:r>
      <w:r>
        <w:rPr>
          <w:rFonts w:ascii="Arial" w:hAnsi="Arial" w:cs="Arial"/>
        </w:rPr>
        <w:t xml:space="preserve"> greater than </w:t>
      </w:r>
      <w:r w:rsidR="00177A4B">
        <w:rPr>
          <w:rFonts w:ascii="Arial" w:hAnsi="Arial" w:cs="Arial"/>
        </w:rPr>
        <w:t xml:space="preserve">around </w:t>
      </w:r>
      <w:r>
        <w:rPr>
          <w:rFonts w:ascii="Arial" w:hAnsi="Arial" w:cs="Arial"/>
        </w:rPr>
        <w:t>4 for Respiratory.</w:t>
      </w:r>
      <w:r w:rsidR="00B27963">
        <w:rPr>
          <w:rFonts w:ascii="Arial" w:hAnsi="Arial" w:cs="Arial"/>
        </w:rPr>
        <w:t xml:space="preserve"> However, for all four diagnostic groups the data points are very sparse at the extremes and the scatter plots do not clearly suggest any unmet/overmet need effects. </w:t>
      </w:r>
      <w:r w:rsidR="00FA5E56">
        <w:rPr>
          <w:rFonts w:ascii="Arial" w:hAnsi="Arial" w:cs="Arial"/>
        </w:rPr>
        <w:t xml:space="preserve">These have been </w:t>
      </w:r>
      <w:r w:rsidR="00644C1D">
        <w:rPr>
          <w:rFonts w:ascii="Arial" w:hAnsi="Arial" w:cs="Arial"/>
        </w:rPr>
        <w:t>tested formally and the results are included in Sections 3 and 4</w:t>
      </w:r>
      <w:r w:rsidR="00B27963">
        <w:rPr>
          <w:rFonts w:ascii="Arial" w:hAnsi="Arial" w:cs="Arial"/>
        </w:rPr>
        <w:t xml:space="preserve"> </w:t>
      </w:r>
      <w:r w:rsidR="00644C1D">
        <w:rPr>
          <w:rFonts w:ascii="Arial" w:hAnsi="Arial" w:cs="Arial"/>
        </w:rPr>
        <w:t>of the current paper.</w:t>
      </w:r>
      <w:r>
        <w:rPr>
          <w:rFonts w:ascii="Arial" w:hAnsi="Arial" w:cs="Arial"/>
        </w:rPr>
        <w:t xml:space="preserve"> </w:t>
      </w:r>
    </w:p>
    <w:p w:rsidR="00051405" w:rsidRPr="00051405" w:rsidRDefault="00051405" w:rsidP="00B038B8">
      <w:pPr>
        <w:jc w:val="both"/>
        <w:rPr>
          <w:rFonts w:ascii="Arial" w:hAnsi="Arial" w:cs="Arial"/>
        </w:rPr>
      </w:pPr>
      <w:r>
        <w:rPr>
          <w:rFonts w:ascii="Arial" w:hAnsi="Arial" w:cs="Arial"/>
        </w:rPr>
        <w:t>The reference model performs well for all four diagnostic groups and the acute index is significant in all cases (p-values less than 0.05). The adjusted R</w:t>
      </w:r>
      <w:r>
        <w:rPr>
          <w:rFonts w:ascii="Arial" w:hAnsi="Arial" w:cs="Arial"/>
          <w:vertAlign w:val="superscript"/>
        </w:rPr>
        <w:t>2</w:t>
      </w:r>
      <w:r>
        <w:rPr>
          <w:rFonts w:ascii="Arial" w:hAnsi="Arial" w:cs="Arial"/>
        </w:rPr>
        <w:t xml:space="preserve"> values – the percentage of variance in the cost ratios that is explained by the model – are 23.45%, 55.02%, 27.00% and 55.59% respectively for Cancer, Digestive, Heart and Respiratory. </w:t>
      </w:r>
      <w:r w:rsidR="004D5335" w:rsidDel="004D5335">
        <w:rPr>
          <w:rStyle w:val="CommentReference"/>
        </w:rPr>
        <w:t xml:space="preserve"> </w:t>
      </w:r>
    </w:p>
    <w:p w:rsidR="00925EE2" w:rsidRDefault="00925EE2" w:rsidP="00B038B8">
      <w:pPr>
        <w:rPr>
          <w:rFonts w:ascii="Arial" w:hAnsi="Arial" w:cs="Arial"/>
          <w:b/>
        </w:rPr>
      </w:pPr>
      <w:r>
        <w:rPr>
          <w:rFonts w:ascii="Arial" w:hAnsi="Arial" w:cs="Arial"/>
          <w:b/>
        </w:rPr>
        <w:t xml:space="preserve">3. </w:t>
      </w:r>
      <w:r w:rsidR="00177A4B">
        <w:rPr>
          <w:rFonts w:ascii="Arial" w:hAnsi="Arial" w:cs="Arial"/>
          <w:b/>
        </w:rPr>
        <w:t xml:space="preserve">Simple </w:t>
      </w:r>
      <w:r>
        <w:rPr>
          <w:rFonts w:ascii="Arial" w:hAnsi="Arial" w:cs="Arial"/>
          <w:b/>
        </w:rPr>
        <w:t>shortfall method</w:t>
      </w:r>
    </w:p>
    <w:p w:rsidR="00D30B7A" w:rsidRDefault="00633B05" w:rsidP="00B038B8">
      <w:pPr>
        <w:jc w:val="both"/>
        <w:rPr>
          <w:rFonts w:ascii="Arial" w:hAnsi="Arial" w:cs="Arial"/>
        </w:rPr>
      </w:pPr>
      <w:r>
        <w:rPr>
          <w:rFonts w:ascii="Arial" w:hAnsi="Arial" w:cs="Arial"/>
        </w:rPr>
        <w:t xml:space="preserve">The </w:t>
      </w:r>
      <w:r w:rsidR="005D76FF">
        <w:rPr>
          <w:rFonts w:ascii="Arial" w:hAnsi="Arial" w:cs="Arial"/>
        </w:rPr>
        <w:t xml:space="preserve">simple </w:t>
      </w:r>
      <w:r>
        <w:rPr>
          <w:rFonts w:ascii="Arial" w:hAnsi="Arial" w:cs="Arial"/>
        </w:rPr>
        <w:t xml:space="preserve">shortfall method – proposed in the </w:t>
      </w:r>
      <w:r w:rsidR="00461C5A">
        <w:rPr>
          <w:rFonts w:ascii="Arial" w:hAnsi="Arial" w:cs="Arial"/>
        </w:rPr>
        <w:t>first Arbuthnott Report in 1999 – is based on the linearity assumption.</w:t>
      </w:r>
      <w:r w:rsidR="002631DE">
        <w:rPr>
          <w:rFonts w:ascii="Arial" w:hAnsi="Arial" w:cs="Arial"/>
        </w:rPr>
        <w:t xml:space="preserve">  That is, it assumes that there should be a linear relationship between the cost ratio and the indicators of need.  It effectively tests whether that relationship is in fact constant, across the full range of need, in the data or whether </w:t>
      </w:r>
      <w:r w:rsidR="00461C5A">
        <w:rPr>
          <w:rFonts w:ascii="Arial" w:hAnsi="Arial" w:cs="Arial"/>
        </w:rPr>
        <w:t>there is a significant change in the slope of healthcare use (cost ratios) at high</w:t>
      </w:r>
      <w:r w:rsidR="002C792E">
        <w:rPr>
          <w:rFonts w:ascii="Arial" w:hAnsi="Arial" w:cs="Arial"/>
        </w:rPr>
        <w:t xml:space="preserve"> </w:t>
      </w:r>
      <w:r w:rsidR="000D1722">
        <w:rPr>
          <w:rFonts w:ascii="Arial" w:hAnsi="Arial" w:cs="Arial"/>
        </w:rPr>
        <w:t>values of the acute index</w:t>
      </w:r>
      <w:r w:rsidR="00461C5A">
        <w:rPr>
          <w:rFonts w:ascii="Arial" w:hAnsi="Arial" w:cs="Arial"/>
        </w:rPr>
        <w:t xml:space="preserve">.  </w:t>
      </w:r>
      <w:r w:rsidR="002631DE">
        <w:rPr>
          <w:rFonts w:ascii="Arial" w:hAnsi="Arial" w:cs="Arial"/>
        </w:rPr>
        <w:t>I</w:t>
      </w:r>
      <w:r w:rsidR="00461C5A">
        <w:rPr>
          <w:rFonts w:ascii="Arial" w:hAnsi="Arial" w:cs="Arial"/>
        </w:rPr>
        <w:t xml:space="preserve">n this paper, the </w:t>
      </w:r>
      <w:r w:rsidR="002631DE">
        <w:rPr>
          <w:rFonts w:ascii="Arial" w:hAnsi="Arial" w:cs="Arial"/>
        </w:rPr>
        <w:t xml:space="preserve">simple </w:t>
      </w:r>
      <w:r w:rsidR="00461C5A">
        <w:rPr>
          <w:rFonts w:ascii="Arial" w:hAnsi="Arial" w:cs="Arial"/>
        </w:rPr>
        <w:t>shortfall method is</w:t>
      </w:r>
      <w:r w:rsidR="002631DE">
        <w:rPr>
          <w:rFonts w:ascii="Arial" w:hAnsi="Arial" w:cs="Arial"/>
        </w:rPr>
        <w:t xml:space="preserve"> used to</w:t>
      </w:r>
      <w:r w:rsidR="00461C5A">
        <w:rPr>
          <w:rFonts w:ascii="Arial" w:hAnsi="Arial" w:cs="Arial"/>
        </w:rPr>
        <w:t xml:space="preserve"> test</w:t>
      </w:r>
      <w:r w:rsidR="00CB44D5">
        <w:rPr>
          <w:rFonts w:ascii="Arial" w:hAnsi="Arial" w:cs="Arial"/>
        </w:rPr>
        <w:t xml:space="preserve"> </w:t>
      </w:r>
      <w:r w:rsidR="00461C5A">
        <w:rPr>
          <w:rFonts w:ascii="Arial" w:hAnsi="Arial" w:cs="Arial"/>
        </w:rPr>
        <w:t xml:space="preserve">for significant change in the slope at both upper and lower </w:t>
      </w:r>
      <w:r w:rsidR="00D30B7A">
        <w:rPr>
          <w:rFonts w:ascii="Arial" w:hAnsi="Arial" w:cs="Arial"/>
        </w:rPr>
        <w:t xml:space="preserve">ends of the </w:t>
      </w:r>
      <w:r w:rsidR="002631DE">
        <w:rPr>
          <w:rFonts w:ascii="Arial" w:hAnsi="Arial" w:cs="Arial"/>
        </w:rPr>
        <w:t>range</w:t>
      </w:r>
      <w:r w:rsidR="00D30B7A">
        <w:rPr>
          <w:rFonts w:ascii="Arial" w:hAnsi="Arial" w:cs="Arial"/>
        </w:rPr>
        <w:t xml:space="preserve"> of the acute index (t</w:t>
      </w:r>
      <w:r w:rsidR="00D30B7A" w:rsidRPr="004E6601">
        <w:rPr>
          <w:rFonts w:ascii="Arial" w:hAnsi="Arial" w:cs="Arial"/>
        </w:rPr>
        <w:t xml:space="preserve">he cut-off points are restricted to </w:t>
      </w:r>
      <w:proofErr w:type="gramStart"/>
      <w:r w:rsidR="00D30B7A" w:rsidRPr="004E6601">
        <w:rPr>
          <w:rFonts w:ascii="Arial" w:hAnsi="Arial" w:cs="Arial"/>
        </w:rPr>
        <w:t>lie</w:t>
      </w:r>
      <w:proofErr w:type="gramEnd"/>
      <w:r w:rsidR="00D30B7A" w:rsidRPr="004E6601">
        <w:rPr>
          <w:rFonts w:ascii="Arial" w:hAnsi="Arial" w:cs="Arial"/>
        </w:rPr>
        <w:t xml:space="preserve"> between 5</w:t>
      </w:r>
      <w:r w:rsidR="00D30B7A">
        <w:rPr>
          <w:rFonts w:ascii="Arial" w:hAnsi="Arial" w:cs="Arial"/>
        </w:rPr>
        <w:t>%</w:t>
      </w:r>
      <w:r w:rsidR="00D30B7A" w:rsidRPr="004E6601">
        <w:rPr>
          <w:rFonts w:ascii="Arial" w:hAnsi="Arial" w:cs="Arial"/>
        </w:rPr>
        <w:t xml:space="preserve"> and 30% at either end</w:t>
      </w:r>
      <w:r w:rsidR="00D30B7A">
        <w:rPr>
          <w:rFonts w:ascii="Arial" w:hAnsi="Arial" w:cs="Arial"/>
        </w:rPr>
        <w:t>). So, the model fitted is a</w:t>
      </w:r>
      <w:r w:rsidR="00D30B7A" w:rsidRPr="004E6601">
        <w:rPr>
          <w:rFonts w:ascii="Arial" w:hAnsi="Arial" w:cs="Arial"/>
        </w:rPr>
        <w:t xml:space="preserve">n extension of </w:t>
      </w:r>
      <w:r w:rsidR="00D30B7A">
        <w:rPr>
          <w:rFonts w:ascii="Arial" w:hAnsi="Arial" w:cs="Arial"/>
        </w:rPr>
        <w:t>the reference model,</w:t>
      </w:r>
      <w:r w:rsidR="00D30B7A" w:rsidRPr="004E6601">
        <w:rPr>
          <w:rFonts w:ascii="Arial" w:hAnsi="Arial" w:cs="Arial"/>
        </w:rPr>
        <w:t xml:space="preserve"> allowing for shortfall through the inclusion of </w:t>
      </w:r>
      <w:r w:rsidR="00D30B7A">
        <w:rPr>
          <w:rFonts w:ascii="Arial" w:hAnsi="Arial" w:cs="Arial"/>
        </w:rPr>
        <w:t xml:space="preserve">additional </w:t>
      </w:r>
      <w:r w:rsidR="00D30B7A" w:rsidRPr="004E6601">
        <w:rPr>
          <w:rFonts w:ascii="Arial" w:hAnsi="Arial" w:cs="Arial"/>
        </w:rPr>
        <w:t xml:space="preserve">spline terms </w:t>
      </w:r>
      <w:r w:rsidR="002631DE">
        <w:rPr>
          <w:rFonts w:ascii="Arial" w:hAnsi="Arial" w:cs="Arial"/>
        </w:rPr>
        <w:t xml:space="preserve">(i.e. allowing for different slopes in the regression line) </w:t>
      </w:r>
      <w:r w:rsidR="00BC1D05" w:rsidRPr="004E6601">
        <w:rPr>
          <w:rFonts w:ascii="Arial" w:hAnsi="Arial" w:cs="Arial"/>
        </w:rPr>
        <w:t>for</w:t>
      </w:r>
      <w:r w:rsidR="00BC1D05">
        <w:rPr>
          <w:rFonts w:ascii="Arial" w:hAnsi="Arial" w:cs="Arial"/>
        </w:rPr>
        <w:t xml:space="preserve"> areas with the lowest and the highest </w:t>
      </w:r>
      <w:r w:rsidR="000D1722">
        <w:rPr>
          <w:rFonts w:ascii="Arial" w:hAnsi="Arial" w:cs="Arial"/>
        </w:rPr>
        <w:t>acute index values</w:t>
      </w:r>
      <w:r w:rsidR="00D30B7A">
        <w:rPr>
          <w:rFonts w:ascii="Arial" w:hAnsi="Arial" w:cs="Arial"/>
        </w:rPr>
        <w:t>:</w:t>
      </w:r>
    </w:p>
    <w:p w:rsidR="00D30B7A" w:rsidRPr="00D16EC9" w:rsidRDefault="00D30B7A" w:rsidP="00B038B8">
      <w:pPr>
        <w:jc w:val="both"/>
        <w:rPr>
          <w:rFonts w:ascii="Arial" w:hAnsi="Arial" w:cs="Arial"/>
          <w:b/>
          <w:i/>
        </w:rPr>
      </w:pPr>
      <w:r w:rsidRPr="00D30B7A">
        <w:rPr>
          <w:rFonts w:ascii="Arial" w:hAnsi="Arial" w:cs="Arial"/>
          <w:b/>
          <w:i/>
        </w:rPr>
        <w:t>Cost ratios = HB dummies + Supply + Acute Index + Acute Index splines + errors</w:t>
      </w:r>
      <w:r>
        <w:rPr>
          <w:rFonts w:ascii="Arial" w:hAnsi="Arial" w:cs="Arial"/>
          <w:b/>
          <w:i/>
        </w:rPr>
        <w:t>.</w:t>
      </w:r>
    </w:p>
    <w:p w:rsidR="00874DEF" w:rsidRDefault="00D30B7A" w:rsidP="00B038B8">
      <w:pPr>
        <w:jc w:val="both"/>
        <w:rPr>
          <w:rFonts w:ascii="Arial" w:hAnsi="Arial" w:cs="Arial"/>
        </w:rPr>
      </w:pPr>
      <w:r>
        <w:rPr>
          <w:rFonts w:ascii="Arial" w:hAnsi="Arial" w:cs="Arial"/>
        </w:rPr>
        <w:t xml:space="preserve">Additional details on the calculation of the spline terms are included in </w:t>
      </w:r>
      <w:r w:rsidRPr="00E22D6E">
        <w:rPr>
          <w:rFonts w:ascii="Arial" w:hAnsi="Arial" w:cs="Arial"/>
        </w:rPr>
        <w:t>Annex A.</w:t>
      </w:r>
      <w:r w:rsidR="00874DEF">
        <w:rPr>
          <w:rFonts w:ascii="Arial" w:hAnsi="Arial" w:cs="Arial"/>
        </w:rPr>
        <w:t xml:space="preserve"> </w:t>
      </w:r>
      <w:r w:rsidR="00C44637">
        <w:rPr>
          <w:rFonts w:ascii="Arial" w:hAnsi="Arial" w:cs="Arial"/>
        </w:rPr>
        <w:t>Regressions are fitted for all possible combinations of cu</w:t>
      </w:r>
      <w:r w:rsidR="00252629">
        <w:rPr>
          <w:rFonts w:ascii="Arial" w:hAnsi="Arial" w:cs="Arial"/>
        </w:rPr>
        <w:t>t</w:t>
      </w:r>
      <w:r w:rsidR="00C44637">
        <w:rPr>
          <w:rFonts w:ascii="Arial" w:hAnsi="Arial" w:cs="Arial"/>
        </w:rPr>
        <w:t>-off points and t</w:t>
      </w:r>
      <w:r w:rsidR="00E22D6E">
        <w:rPr>
          <w:rFonts w:ascii="Arial" w:hAnsi="Arial" w:cs="Arial"/>
        </w:rPr>
        <w:t xml:space="preserve">he </w:t>
      </w:r>
      <w:r w:rsidR="00C44637">
        <w:rPr>
          <w:rFonts w:ascii="Arial" w:hAnsi="Arial" w:cs="Arial"/>
        </w:rPr>
        <w:t xml:space="preserve">‘best’ </w:t>
      </w:r>
      <w:r w:rsidR="00E22D6E">
        <w:rPr>
          <w:rFonts w:ascii="Arial" w:hAnsi="Arial" w:cs="Arial"/>
        </w:rPr>
        <w:t>cut-off points are chosen so that the model has the highest explanatory power, i.e. the highest adjusted R</w:t>
      </w:r>
      <w:r w:rsidR="00E22D6E">
        <w:rPr>
          <w:rFonts w:ascii="Arial" w:hAnsi="Arial" w:cs="Arial"/>
          <w:vertAlign w:val="superscript"/>
        </w:rPr>
        <w:t>2</w:t>
      </w:r>
      <w:r w:rsidR="00E22D6E">
        <w:rPr>
          <w:rFonts w:ascii="Arial" w:hAnsi="Arial" w:cs="Arial"/>
        </w:rPr>
        <w:t xml:space="preserve"> value.</w:t>
      </w:r>
      <w:r w:rsidR="00874DEF">
        <w:rPr>
          <w:rFonts w:ascii="Arial" w:hAnsi="Arial" w:cs="Arial"/>
        </w:rPr>
        <w:t xml:space="preserve"> </w:t>
      </w:r>
      <w:r w:rsidR="00E22D6E">
        <w:rPr>
          <w:rFonts w:ascii="Arial" w:hAnsi="Arial" w:cs="Arial"/>
        </w:rPr>
        <w:t xml:space="preserve">The detailed results of fitting the </w:t>
      </w:r>
      <w:r w:rsidR="00362F52">
        <w:rPr>
          <w:rFonts w:ascii="Arial" w:hAnsi="Arial" w:cs="Arial"/>
        </w:rPr>
        <w:t>simple</w:t>
      </w:r>
      <w:r w:rsidR="00E22D6E">
        <w:rPr>
          <w:rFonts w:ascii="Arial" w:hAnsi="Arial" w:cs="Arial"/>
        </w:rPr>
        <w:t xml:space="preserve"> shortfall method are included in Annex B</w:t>
      </w:r>
      <w:r w:rsidR="00C44637">
        <w:rPr>
          <w:rFonts w:ascii="Arial" w:hAnsi="Arial" w:cs="Arial"/>
        </w:rPr>
        <w:t xml:space="preserve"> as well as a comparison with the reference model</w:t>
      </w:r>
      <w:r w:rsidR="00E22D6E">
        <w:rPr>
          <w:rFonts w:ascii="Arial" w:hAnsi="Arial" w:cs="Arial"/>
        </w:rPr>
        <w:t xml:space="preserve">. </w:t>
      </w:r>
    </w:p>
    <w:p w:rsidR="00E22D6E" w:rsidRDefault="00662F35" w:rsidP="00B038B8">
      <w:pPr>
        <w:jc w:val="both"/>
        <w:rPr>
          <w:rFonts w:ascii="Arial" w:hAnsi="Arial" w:cs="Arial"/>
        </w:rPr>
      </w:pPr>
      <w:r>
        <w:rPr>
          <w:rFonts w:ascii="Arial" w:hAnsi="Arial" w:cs="Arial"/>
        </w:rPr>
        <w:t xml:space="preserve">In summary, the </w:t>
      </w:r>
      <w:r w:rsidR="00252629">
        <w:rPr>
          <w:rFonts w:ascii="Arial" w:hAnsi="Arial" w:cs="Arial"/>
        </w:rPr>
        <w:t xml:space="preserve">simple </w:t>
      </w:r>
      <w:r>
        <w:rPr>
          <w:rFonts w:ascii="Arial" w:hAnsi="Arial" w:cs="Arial"/>
        </w:rPr>
        <w:t xml:space="preserve">shortfall method shows evidence for </w:t>
      </w:r>
      <w:r w:rsidRPr="00874DEF">
        <w:rPr>
          <w:rFonts w:ascii="Arial" w:hAnsi="Arial" w:cs="Arial"/>
          <w:b/>
        </w:rPr>
        <w:t>significant unmet need effects for Cancer</w:t>
      </w:r>
      <w:r>
        <w:rPr>
          <w:rFonts w:ascii="Arial" w:hAnsi="Arial" w:cs="Arial"/>
        </w:rPr>
        <w:t xml:space="preserve"> in the 15% </w:t>
      </w:r>
      <w:r w:rsidR="00F93194">
        <w:rPr>
          <w:rFonts w:ascii="Arial" w:hAnsi="Arial" w:cs="Arial"/>
        </w:rPr>
        <w:t>IZs with the highest acute index values</w:t>
      </w:r>
      <w:r>
        <w:rPr>
          <w:rFonts w:ascii="Arial" w:hAnsi="Arial" w:cs="Arial"/>
        </w:rPr>
        <w:t xml:space="preserve"> and </w:t>
      </w:r>
      <w:r w:rsidRPr="00874DEF">
        <w:rPr>
          <w:rFonts w:ascii="Arial" w:hAnsi="Arial" w:cs="Arial"/>
          <w:b/>
        </w:rPr>
        <w:t>significant overmet need effects for Respiratory</w:t>
      </w:r>
      <w:r>
        <w:rPr>
          <w:rFonts w:ascii="Arial" w:hAnsi="Arial" w:cs="Arial"/>
        </w:rPr>
        <w:t xml:space="preserve"> in the 5% </w:t>
      </w:r>
      <w:r w:rsidR="00F93194">
        <w:rPr>
          <w:rFonts w:ascii="Arial" w:hAnsi="Arial" w:cs="Arial"/>
        </w:rPr>
        <w:t>IZs with the highest acute index values</w:t>
      </w:r>
      <w:r>
        <w:rPr>
          <w:rFonts w:ascii="Arial" w:hAnsi="Arial" w:cs="Arial"/>
        </w:rPr>
        <w:t>. There is no evidence of unmet/overmet need in healthcare use for Digestive and Heart diagnostic groups.</w:t>
      </w:r>
    </w:p>
    <w:p w:rsidR="004177C5" w:rsidRDefault="00776B61" w:rsidP="004177C5">
      <w:pPr>
        <w:jc w:val="both"/>
        <w:rPr>
          <w:rFonts w:ascii="Arial" w:hAnsi="Arial" w:cs="Arial"/>
        </w:rPr>
      </w:pPr>
      <w:r>
        <w:rPr>
          <w:rFonts w:ascii="Arial" w:hAnsi="Arial" w:cs="Arial"/>
        </w:rPr>
        <w:t>A</w:t>
      </w:r>
      <w:r w:rsidR="0049120A">
        <w:rPr>
          <w:rFonts w:ascii="Arial" w:hAnsi="Arial" w:cs="Arial"/>
        </w:rPr>
        <w:t xml:space="preserve"> possible correction</w:t>
      </w:r>
      <w:r w:rsidR="00BF365E">
        <w:rPr>
          <w:rFonts w:ascii="Arial" w:hAnsi="Arial" w:cs="Arial"/>
        </w:rPr>
        <w:t xml:space="preserve"> </w:t>
      </w:r>
      <w:r w:rsidR="0049120A">
        <w:rPr>
          <w:rFonts w:ascii="Arial" w:hAnsi="Arial" w:cs="Arial"/>
        </w:rPr>
        <w:t xml:space="preserve">for unmet/overmet </w:t>
      </w:r>
      <w:r>
        <w:rPr>
          <w:rFonts w:ascii="Arial" w:hAnsi="Arial" w:cs="Arial"/>
        </w:rPr>
        <w:t>need –</w:t>
      </w:r>
      <w:r w:rsidR="00BF365E">
        <w:rPr>
          <w:rFonts w:ascii="Arial" w:hAnsi="Arial" w:cs="Arial"/>
        </w:rPr>
        <w:t xml:space="preserve"> discussed within AST – </w:t>
      </w:r>
      <w:r w:rsidR="0049120A">
        <w:rPr>
          <w:rFonts w:ascii="Arial" w:hAnsi="Arial" w:cs="Arial"/>
        </w:rPr>
        <w:t xml:space="preserve">is to extrapolate </w:t>
      </w:r>
      <w:r w:rsidR="00661BEC">
        <w:rPr>
          <w:rFonts w:ascii="Arial" w:hAnsi="Arial" w:cs="Arial"/>
        </w:rPr>
        <w:t>a regression line based on the area</w:t>
      </w:r>
      <w:r w:rsidR="00CF453E">
        <w:rPr>
          <w:rFonts w:ascii="Arial" w:hAnsi="Arial" w:cs="Arial"/>
        </w:rPr>
        <w:t>s</w:t>
      </w:r>
      <w:r w:rsidR="00661BEC">
        <w:rPr>
          <w:rFonts w:ascii="Arial" w:hAnsi="Arial" w:cs="Arial"/>
        </w:rPr>
        <w:t xml:space="preserve"> not thought to be affected to</w:t>
      </w:r>
      <w:r w:rsidR="00CF453E">
        <w:rPr>
          <w:rFonts w:ascii="Arial" w:hAnsi="Arial" w:cs="Arial"/>
        </w:rPr>
        <w:t xml:space="preserve"> all areas</w:t>
      </w:r>
      <w:r w:rsidR="0049120A">
        <w:rPr>
          <w:rFonts w:ascii="Arial" w:hAnsi="Arial" w:cs="Arial"/>
        </w:rPr>
        <w:t xml:space="preserve">. For Cancer, if the reference model is fitted - excluding the 15% </w:t>
      </w:r>
      <w:r w:rsidR="00F93194">
        <w:rPr>
          <w:rFonts w:ascii="Arial" w:hAnsi="Arial" w:cs="Arial"/>
        </w:rPr>
        <w:t>IZs with the highest acute index values</w:t>
      </w:r>
      <w:r w:rsidR="0049120A">
        <w:rPr>
          <w:rFonts w:ascii="Arial" w:hAnsi="Arial" w:cs="Arial"/>
        </w:rPr>
        <w:t xml:space="preserve"> – the regression coefficient for the acute index is increasing from 0.038 to 0.050</w:t>
      </w:r>
      <w:r w:rsidR="00661BEC">
        <w:rPr>
          <w:rFonts w:ascii="Arial" w:hAnsi="Arial" w:cs="Arial"/>
        </w:rPr>
        <w:t>, reflecting the adjustment for unmet need</w:t>
      </w:r>
      <w:r w:rsidR="003E3EB2">
        <w:rPr>
          <w:rFonts w:ascii="Arial" w:hAnsi="Arial" w:cs="Arial"/>
        </w:rPr>
        <w:t xml:space="preserve"> </w:t>
      </w:r>
      <w:r w:rsidR="00F93194">
        <w:rPr>
          <w:rFonts w:ascii="Arial" w:hAnsi="Arial" w:cs="Arial"/>
        </w:rPr>
        <w:t xml:space="preserve">in areas with the highest </w:t>
      </w:r>
      <w:r w:rsidR="000D1722">
        <w:rPr>
          <w:rFonts w:ascii="Arial" w:hAnsi="Arial" w:cs="Arial"/>
        </w:rPr>
        <w:t>acute index values</w:t>
      </w:r>
      <w:r w:rsidR="00661BEC">
        <w:rPr>
          <w:rFonts w:ascii="Arial" w:hAnsi="Arial" w:cs="Arial"/>
        </w:rPr>
        <w:t>.</w:t>
      </w:r>
      <w:r w:rsidR="0049120A">
        <w:rPr>
          <w:rFonts w:ascii="Arial" w:hAnsi="Arial" w:cs="Arial"/>
        </w:rPr>
        <w:t xml:space="preserve"> </w:t>
      </w:r>
      <w:r w:rsidR="00661BEC">
        <w:rPr>
          <w:rFonts w:ascii="Arial" w:hAnsi="Arial" w:cs="Arial"/>
        </w:rPr>
        <w:t>R</w:t>
      </w:r>
      <w:r w:rsidR="0049120A">
        <w:rPr>
          <w:rFonts w:ascii="Arial" w:hAnsi="Arial" w:cs="Arial"/>
        </w:rPr>
        <w:t xml:space="preserve">espectively for Respiratory – excluding the 5% </w:t>
      </w:r>
      <w:r w:rsidR="00F93194">
        <w:rPr>
          <w:rFonts w:ascii="Arial" w:hAnsi="Arial" w:cs="Arial"/>
        </w:rPr>
        <w:t>IZ with the highest acute index values</w:t>
      </w:r>
      <w:r w:rsidR="0049120A">
        <w:rPr>
          <w:rFonts w:ascii="Arial" w:hAnsi="Arial" w:cs="Arial"/>
        </w:rPr>
        <w:t xml:space="preserve"> – the regression coefficient for the acute index is decreasing from 0.163 to 0.157</w:t>
      </w:r>
      <w:r w:rsidR="00661BEC">
        <w:rPr>
          <w:rFonts w:ascii="Arial" w:hAnsi="Arial" w:cs="Arial"/>
        </w:rPr>
        <w:t>, reflecting the adjustment for overmet need</w:t>
      </w:r>
      <w:r w:rsidR="00CF453E">
        <w:rPr>
          <w:rFonts w:ascii="Arial" w:hAnsi="Arial" w:cs="Arial"/>
        </w:rPr>
        <w:t xml:space="preserve"> in </w:t>
      </w:r>
      <w:r w:rsidR="00F93194">
        <w:rPr>
          <w:rFonts w:ascii="Arial" w:hAnsi="Arial" w:cs="Arial"/>
        </w:rPr>
        <w:t>areas</w:t>
      </w:r>
      <w:r w:rsidR="004E1BB3">
        <w:rPr>
          <w:rFonts w:ascii="Arial" w:hAnsi="Arial" w:cs="Arial"/>
        </w:rPr>
        <w:t xml:space="preserve"> with the highest</w:t>
      </w:r>
      <w:r w:rsidR="00F93194">
        <w:rPr>
          <w:rFonts w:ascii="Arial" w:hAnsi="Arial" w:cs="Arial"/>
        </w:rPr>
        <w:t xml:space="preserve"> </w:t>
      </w:r>
      <w:r w:rsidR="000D1722">
        <w:rPr>
          <w:rFonts w:ascii="Arial" w:hAnsi="Arial" w:cs="Arial"/>
        </w:rPr>
        <w:t>acute index values</w:t>
      </w:r>
      <w:r w:rsidR="0049120A">
        <w:rPr>
          <w:rFonts w:ascii="Arial" w:hAnsi="Arial" w:cs="Arial"/>
        </w:rPr>
        <w:t xml:space="preserve">. </w:t>
      </w:r>
      <w:r w:rsidR="00661BEC">
        <w:rPr>
          <w:rFonts w:ascii="Arial" w:hAnsi="Arial" w:cs="Arial"/>
        </w:rPr>
        <w:t>T</w:t>
      </w:r>
      <w:r>
        <w:rPr>
          <w:rFonts w:ascii="Arial" w:hAnsi="Arial" w:cs="Arial"/>
        </w:rPr>
        <w:t xml:space="preserve">he extent of the adjustments to </w:t>
      </w:r>
      <w:r>
        <w:rPr>
          <w:rFonts w:ascii="Arial" w:hAnsi="Arial" w:cs="Arial"/>
        </w:rPr>
        <w:lastRenderedPageBreak/>
        <w:t>the overall slope is relatively modest, especially for Respiratory. However, the resource implications cannot be checked at this stage of the Review.</w:t>
      </w:r>
    </w:p>
    <w:p w:rsidR="00925EE2" w:rsidRPr="004177C5" w:rsidRDefault="00925EE2" w:rsidP="004177C5">
      <w:pPr>
        <w:jc w:val="both"/>
        <w:rPr>
          <w:rFonts w:ascii="Arial" w:hAnsi="Arial" w:cs="Arial"/>
        </w:rPr>
      </w:pPr>
      <w:r>
        <w:rPr>
          <w:rFonts w:ascii="Arial" w:hAnsi="Arial" w:cs="Arial"/>
          <w:b/>
        </w:rPr>
        <w:t xml:space="preserve">4. </w:t>
      </w:r>
      <w:r w:rsidR="00252629">
        <w:rPr>
          <w:rFonts w:ascii="Arial" w:hAnsi="Arial" w:cs="Arial"/>
          <w:b/>
        </w:rPr>
        <w:t xml:space="preserve">Two-step </w:t>
      </w:r>
      <w:r>
        <w:rPr>
          <w:rFonts w:ascii="Arial" w:hAnsi="Arial" w:cs="Arial"/>
          <w:b/>
        </w:rPr>
        <w:t>shortfall method</w:t>
      </w:r>
    </w:p>
    <w:p w:rsidR="00B96F13" w:rsidRDefault="00B96F13" w:rsidP="00B038B8">
      <w:pPr>
        <w:jc w:val="both"/>
        <w:rPr>
          <w:rFonts w:ascii="Arial" w:hAnsi="Arial" w:cs="Arial"/>
        </w:rPr>
      </w:pPr>
      <w:r w:rsidRPr="00B96F13">
        <w:rPr>
          <w:rFonts w:ascii="Arial" w:hAnsi="Arial" w:cs="Arial"/>
        </w:rPr>
        <w:t xml:space="preserve">The </w:t>
      </w:r>
      <w:r w:rsidR="00252629">
        <w:rPr>
          <w:rFonts w:ascii="Arial" w:hAnsi="Arial" w:cs="Arial"/>
        </w:rPr>
        <w:t>two-step</w:t>
      </w:r>
      <w:r w:rsidR="00252629" w:rsidRPr="00B96F13">
        <w:rPr>
          <w:rFonts w:ascii="Arial" w:hAnsi="Arial" w:cs="Arial"/>
        </w:rPr>
        <w:t xml:space="preserve"> </w:t>
      </w:r>
      <w:r w:rsidRPr="00B96F13">
        <w:rPr>
          <w:rFonts w:ascii="Arial" w:hAnsi="Arial" w:cs="Arial"/>
        </w:rPr>
        <w:t>shortfall method – proposed in the McConnachie and Sutton (2004) paper – involves a two</w:t>
      </w:r>
      <w:r w:rsidR="00252629">
        <w:rPr>
          <w:rFonts w:ascii="Arial" w:hAnsi="Arial" w:cs="Arial"/>
        </w:rPr>
        <w:t xml:space="preserve"> stage</w:t>
      </w:r>
      <w:r w:rsidRPr="00B96F13">
        <w:rPr>
          <w:rFonts w:ascii="Arial" w:hAnsi="Arial" w:cs="Arial"/>
        </w:rPr>
        <w:t xml:space="preserve"> process.  The first step is to regress the SHeS morbidity prevalence data (by diagnostic group) on indicators of need (</w:t>
      </w:r>
      <w:r>
        <w:rPr>
          <w:rFonts w:ascii="Arial" w:hAnsi="Arial" w:cs="Arial"/>
        </w:rPr>
        <w:t>i.e. the acute index)</w:t>
      </w:r>
      <w:r w:rsidRPr="00B96F13">
        <w:rPr>
          <w:rFonts w:ascii="Arial" w:hAnsi="Arial" w:cs="Arial"/>
        </w:rPr>
        <w:t xml:space="preserve"> and thereby calculate predicted</w:t>
      </w:r>
      <w:r w:rsidR="00252629">
        <w:rPr>
          <w:rFonts w:ascii="Arial" w:hAnsi="Arial" w:cs="Arial"/>
        </w:rPr>
        <w:t xml:space="preserve"> morbidity</w:t>
      </w:r>
      <w:r w:rsidRPr="00B96F13">
        <w:rPr>
          <w:rFonts w:ascii="Arial" w:hAnsi="Arial" w:cs="Arial"/>
        </w:rPr>
        <w:t xml:space="preserve"> prevalence for all </w:t>
      </w:r>
      <w:r>
        <w:rPr>
          <w:rFonts w:ascii="Arial" w:hAnsi="Arial" w:cs="Arial"/>
        </w:rPr>
        <w:t>Intermediate Zones</w:t>
      </w:r>
      <w:r w:rsidRPr="00B96F13">
        <w:rPr>
          <w:rFonts w:ascii="Arial" w:hAnsi="Arial" w:cs="Arial"/>
        </w:rPr>
        <w:t>.  In the second step the utilisation data</w:t>
      </w:r>
      <w:r>
        <w:rPr>
          <w:rFonts w:ascii="Arial" w:hAnsi="Arial" w:cs="Arial"/>
        </w:rPr>
        <w:t xml:space="preserve"> (cost ratios)</w:t>
      </w:r>
      <w:r w:rsidRPr="00B96F13">
        <w:rPr>
          <w:rFonts w:ascii="Arial" w:hAnsi="Arial" w:cs="Arial"/>
        </w:rPr>
        <w:t xml:space="preserve"> are regressed on the predicted prevalence along with upper and lower splines for</w:t>
      </w:r>
      <w:r w:rsidR="00B96FA2">
        <w:rPr>
          <w:rFonts w:ascii="Arial" w:hAnsi="Arial" w:cs="Arial"/>
        </w:rPr>
        <w:t xml:space="preserve"> </w:t>
      </w:r>
      <w:r w:rsidR="000D1722">
        <w:rPr>
          <w:rFonts w:ascii="Arial" w:hAnsi="Arial" w:cs="Arial"/>
        </w:rPr>
        <w:t>the acute index</w:t>
      </w:r>
      <w:r w:rsidRPr="00B96F13">
        <w:rPr>
          <w:rFonts w:ascii="Arial" w:hAnsi="Arial" w:cs="Arial"/>
        </w:rPr>
        <w:t xml:space="preserve">.  The spline parameters can then be used to test for under or over utilisation at both ends of the </w:t>
      </w:r>
      <w:r w:rsidR="00F221E0">
        <w:rPr>
          <w:rFonts w:ascii="Arial" w:hAnsi="Arial" w:cs="Arial"/>
        </w:rPr>
        <w:t>acute index</w:t>
      </w:r>
      <w:r w:rsidR="00F221E0" w:rsidRPr="00B96F13">
        <w:rPr>
          <w:rFonts w:ascii="Arial" w:hAnsi="Arial" w:cs="Arial"/>
        </w:rPr>
        <w:t xml:space="preserve"> </w:t>
      </w:r>
      <w:r w:rsidRPr="00B96F13">
        <w:rPr>
          <w:rFonts w:ascii="Arial" w:hAnsi="Arial" w:cs="Arial"/>
        </w:rPr>
        <w:t xml:space="preserve">spectrum.  </w:t>
      </w:r>
    </w:p>
    <w:p w:rsidR="00925EE2" w:rsidRDefault="00925EE2" w:rsidP="00B038B8">
      <w:pPr>
        <w:rPr>
          <w:rFonts w:ascii="Arial" w:hAnsi="Arial" w:cs="Arial"/>
          <w:b/>
        </w:rPr>
      </w:pPr>
      <w:r>
        <w:rPr>
          <w:rFonts w:ascii="Arial" w:hAnsi="Arial" w:cs="Arial"/>
          <w:b/>
        </w:rPr>
        <w:t>4.1. Scottish Health Survey data</w:t>
      </w:r>
    </w:p>
    <w:p w:rsidR="00AE2C1F" w:rsidRDefault="000E7F02" w:rsidP="00B038B8">
      <w:pPr>
        <w:pStyle w:val="ListParagraph"/>
        <w:spacing w:line="276" w:lineRule="auto"/>
        <w:ind w:left="0"/>
        <w:rPr>
          <w:sz w:val="22"/>
        </w:rPr>
      </w:pPr>
      <w:r>
        <w:rPr>
          <w:sz w:val="22"/>
        </w:rPr>
        <w:t xml:space="preserve">The Scottish Health Survey data was obtained, </w:t>
      </w:r>
      <w:r w:rsidR="00CB44D5">
        <w:rPr>
          <w:sz w:val="22"/>
        </w:rPr>
        <w:t xml:space="preserve">and </w:t>
      </w:r>
      <w:r>
        <w:rPr>
          <w:sz w:val="22"/>
        </w:rPr>
        <w:t xml:space="preserve">some preliminary analysis was undertaken and summarised in paper TAMLC 24. </w:t>
      </w:r>
      <w:r w:rsidRPr="000E7F02">
        <w:rPr>
          <w:sz w:val="22"/>
        </w:rPr>
        <w:t xml:space="preserve">The </w:t>
      </w:r>
      <w:r w:rsidR="0066073A">
        <w:rPr>
          <w:sz w:val="22"/>
        </w:rPr>
        <w:t xml:space="preserve">SHeS </w:t>
      </w:r>
      <w:r>
        <w:rPr>
          <w:sz w:val="22"/>
        </w:rPr>
        <w:t>dat</w:t>
      </w:r>
      <w:r w:rsidR="0066073A">
        <w:rPr>
          <w:sz w:val="22"/>
        </w:rPr>
        <w:t>a used in the analysis</w:t>
      </w:r>
      <w:r>
        <w:rPr>
          <w:sz w:val="22"/>
        </w:rPr>
        <w:t xml:space="preserve"> is from</w:t>
      </w:r>
      <w:r w:rsidRPr="000E7F02">
        <w:rPr>
          <w:sz w:val="22"/>
        </w:rPr>
        <w:t xml:space="preserve"> 2008 to 2011</w:t>
      </w:r>
      <w:r>
        <w:rPr>
          <w:sz w:val="22"/>
        </w:rPr>
        <w:t xml:space="preserve"> surveys</w:t>
      </w:r>
      <w:r w:rsidRPr="000E7F02">
        <w:rPr>
          <w:sz w:val="22"/>
        </w:rPr>
        <w:t xml:space="preserve"> and cont</w:t>
      </w:r>
      <w:r w:rsidR="00AE2C1F">
        <w:rPr>
          <w:sz w:val="22"/>
        </w:rPr>
        <w:t>ains around 37,000 respondents.</w:t>
      </w:r>
      <w:r w:rsidRPr="000E7F02">
        <w:rPr>
          <w:sz w:val="22"/>
        </w:rPr>
        <w:t xml:space="preserve"> The data are coded</w:t>
      </w:r>
      <w:r>
        <w:rPr>
          <w:sz w:val="22"/>
        </w:rPr>
        <w:t xml:space="preserve"> by ICD10</w:t>
      </w:r>
      <w:r w:rsidRPr="000E7F02">
        <w:rPr>
          <w:sz w:val="22"/>
        </w:rPr>
        <w:t xml:space="preserve"> </w:t>
      </w:r>
      <w:r w:rsidR="0066073A" w:rsidRPr="000E7F02">
        <w:rPr>
          <w:sz w:val="22"/>
        </w:rPr>
        <w:t>which allow</w:t>
      </w:r>
      <w:r w:rsidR="0066073A">
        <w:rPr>
          <w:sz w:val="22"/>
        </w:rPr>
        <w:t>s</w:t>
      </w:r>
      <w:r w:rsidRPr="000E7F02">
        <w:rPr>
          <w:sz w:val="22"/>
        </w:rPr>
        <w:t xml:space="preserve"> a </w:t>
      </w:r>
      <w:r w:rsidR="009A66B7">
        <w:rPr>
          <w:sz w:val="22"/>
        </w:rPr>
        <w:t>match to</w:t>
      </w:r>
      <w:r w:rsidR="009A66B7" w:rsidRPr="000E7F02">
        <w:rPr>
          <w:sz w:val="22"/>
        </w:rPr>
        <w:t xml:space="preserve"> </w:t>
      </w:r>
      <w:r w:rsidRPr="000E7F02">
        <w:rPr>
          <w:sz w:val="22"/>
        </w:rPr>
        <w:t>four acute diagnostic groups:</w:t>
      </w:r>
      <w:r>
        <w:rPr>
          <w:sz w:val="22"/>
        </w:rPr>
        <w:t xml:space="preserve"> Cancer, Digestive, Heart and Respiratory. </w:t>
      </w:r>
      <w:r w:rsidRPr="000E7F02">
        <w:rPr>
          <w:sz w:val="22"/>
        </w:rPr>
        <w:t>Positive responses to the s</w:t>
      </w:r>
      <w:r w:rsidR="00AE2C1F">
        <w:rPr>
          <w:sz w:val="22"/>
        </w:rPr>
        <w:t>urvey question are highest for H</w:t>
      </w:r>
      <w:r w:rsidRPr="000E7F02">
        <w:rPr>
          <w:sz w:val="22"/>
        </w:rPr>
        <w:t xml:space="preserve">eart, for which around 10% of responses are positive.  </w:t>
      </w:r>
      <w:r w:rsidR="001A733C">
        <w:rPr>
          <w:sz w:val="22"/>
        </w:rPr>
        <w:t>Only four</w:t>
      </w:r>
      <w:r w:rsidR="00AE2C1F">
        <w:rPr>
          <w:sz w:val="22"/>
        </w:rPr>
        <w:t xml:space="preserve"> Intermediate Zones have no respondents</w:t>
      </w:r>
      <w:r w:rsidR="00252629">
        <w:rPr>
          <w:sz w:val="22"/>
        </w:rPr>
        <w:t xml:space="preserve"> at all</w:t>
      </w:r>
      <w:r w:rsidR="00AE2C1F">
        <w:rPr>
          <w:sz w:val="22"/>
        </w:rPr>
        <w:t>.</w:t>
      </w:r>
    </w:p>
    <w:p w:rsidR="00313A32" w:rsidRDefault="00313A32" w:rsidP="00B038B8">
      <w:pPr>
        <w:pStyle w:val="ListParagraph"/>
        <w:spacing w:line="276" w:lineRule="auto"/>
        <w:ind w:left="0"/>
        <w:rPr>
          <w:sz w:val="22"/>
        </w:rPr>
      </w:pPr>
    </w:p>
    <w:p w:rsidR="007F1A47" w:rsidRPr="00B740DE" w:rsidRDefault="00313A32" w:rsidP="00B038B8">
      <w:pPr>
        <w:pStyle w:val="ListParagraph"/>
        <w:spacing w:line="276" w:lineRule="auto"/>
        <w:ind w:left="0"/>
        <w:rPr>
          <w:i/>
          <w:sz w:val="22"/>
        </w:rPr>
      </w:pPr>
      <w:r w:rsidRPr="00B740DE">
        <w:rPr>
          <w:i/>
          <w:sz w:val="22"/>
        </w:rPr>
        <w:t xml:space="preserve">Table 4.1 </w:t>
      </w:r>
      <w:r w:rsidR="00B740DE" w:rsidRPr="00B740DE">
        <w:rPr>
          <w:i/>
          <w:sz w:val="22"/>
        </w:rPr>
        <w:t>Summary of</w:t>
      </w:r>
      <w:r w:rsidRPr="00B740DE">
        <w:rPr>
          <w:i/>
          <w:sz w:val="22"/>
        </w:rPr>
        <w:t xml:space="preserve"> responses to SHeS 2008-2011 at Intermediate Zones by diagnostic group.</w:t>
      </w:r>
    </w:p>
    <w:tbl>
      <w:tblPr>
        <w:tblStyle w:val="TableGrid"/>
        <w:tblW w:w="9240" w:type="dxa"/>
        <w:tblLook w:val="04A0"/>
      </w:tblPr>
      <w:tblGrid>
        <w:gridCol w:w="1384"/>
        <w:gridCol w:w="1559"/>
        <w:gridCol w:w="1843"/>
        <w:gridCol w:w="2268"/>
        <w:gridCol w:w="2186"/>
      </w:tblGrid>
      <w:tr w:rsidR="00B740DE" w:rsidTr="00B740DE">
        <w:tc>
          <w:tcPr>
            <w:tcW w:w="1384" w:type="dxa"/>
          </w:tcPr>
          <w:p w:rsidR="00B740DE" w:rsidRDefault="00B740DE" w:rsidP="00B038B8">
            <w:pPr>
              <w:spacing w:line="276" w:lineRule="auto"/>
              <w:rPr>
                <w:rFonts w:ascii="Arial" w:hAnsi="Arial" w:cs="Arial"/>
                <w:sz w:val="20"/>
                <w:szCs w:val="20"/>
              </w:rPr>
            </w:pPr>
            <w:r w:rsidRPr="00B740DE">
              <w:rPr>
                <w:rFonts w:ascii="Arial" w:hAnsi="Arial" w:cs="Arial"/>
                <w:sz w:val="20"/>
                <w:szCs w:val="20"/>
              </w:rPr>
              <w:t xml:space="preserve">Diagnostic </w:t>
            </w:r>
          </w:p>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group</w:t>
            </w:r>
          </w:p>
        </w:tc>
        <w:tc>
          <w:tcPr>
            <w:tcW w:w="1559" w:type="dxa"/>
          </w:tcPr>
          <w:p w:rsidR="00B740DE" w:rsidRDefault="00B740DE" w:rsidP="00B038B8">
            <w:pPr>
              <w:spacing w:line="276" w:lineRule="auto"/>
              <w:rPr>
                <w:rFonts w:ascii="Arial" w:hAnsi="Arial" w:cs="Arial"/>
                <w:sz w:val="20"/>
                <w:szCs w:val="20"/>
              </w:rPr>
            </w:pPr>
            <w:r w:rsidRPr="00B740DE">
              <w:rPr>
                <w:rFonts w:ascii="Arial" w:hAnsi="Arial" w:cs="Arial"/>
                <w:sz w:val="20"/>
                <w:szCs w:val="20"/>
              </w:rPr>
              <w:t xml:space="preserve">Mean number </w:t>
            </w:r>
          </w:p>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of respondents</w:t>
            </w:r>
          </w:p>
        </w:tc>
        <w:tc>
          <w:tcPr>
            <w:tcW w:w="1843" w:type="dxa"/>
          </w:tcPr>
          <w:p w:rsidR="00B740DE" w:rsidRDefault="00B740DE" w:rsidP="00B038B8">
            <w:pPr>
              <w:spacing w:line="276" w:lineRule="auto"/>
              <w:rPr>
                <w:rFonts w:ascii="Arial" w:hAnsi="Arial" w:cs="Arial"/>
                <w:sz w:val="20"/>
                <w:szCs w:val="20"/>
              </w:rPr>
            </w:pPr>
            <w:r w:rsidRPr="00B740DE">
              <w:rPr>
                <w:rFonts w:ascii="Arial" w:hAnsi="Arial" w:cs="Arial"/>
                <w:sz w:val="20"/>
                <w:szCs w:val="20"/>
              </w:rPr>
              <w:t xml:space="preserve">Number of IZs </w:t>
            </w:r>
          </w:p>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 xml:space="preserve">with no positive responses </w:t>
            </w:r>
          </w:p>
        </w:tc>
        <w:tc>
          <w:tcPr>
            <w:tcW w:w="2268" w:type="dxa"/>
          </w:tcPr>
          <w:p w:rsidR="00B740DE" w:rsidRDefault="00B740DE" w:rsidP="00B038B8">
            <w:pPr>
              <w:spacing w:line="276" w:lineRule="auto"/>
              <w:rPr>
                <w:rFonts w:ascii="Arial" w:hAnsi="Arial" w:cs="Arial"/>
                <w:sz w:val="20"/>
                <w:szCs w:val="20"/>
              </w:rPr>
            </w:pPr>
            <w:r w:rsidRPr="00B740DE">
              <w:rPr>
                <w:rFonts w:ascii="Arial" w:hAnsi="Arial" w:cs="Arial"/>
                <w:sz w:val="20"/>
                <w:szCs w:val="20"/>
              </w:rPr>
              <w:t xml:space="preserve">Mean number of respondents for IZs </w:t>
            </w:r>
          </w:p>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 xml:space="preserve">with  no positive responses </w:t>
            </w:r>
          </w:p>
        </w:tc>
        <w:tc>
          <w:tcPr>
            <w:tcW w:w="2186"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Mean number of respondents for IZs with  positive responses</w:t>
            </w:r>
          </w:p>
        </w:tc>
      </w:tr>
      <w:tr w:rsidR="00B740DE" w:rsidTr="00B740DE">
        <w:tc>
          <w:tcPr>
            <w:tcW w:w="1384"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Respiratory</w:t>
            </w:r>
          </w:p>
        </w:tc>
        <w:tc>
          <w:tcPr>
            <w:tcW w:w="1559"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29.97</w:t>
            </w:r>
          </w:p>
        </w:tc>
        <w:tc>
          <w:tcPr>
            <w:tcW w:w="1843"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214 (17%)</w:t>
            </w:r>
          </w:p>
        </w:tc>
        <w:tc>
          <w:tcPr>
            <w:tcW w:w="2268"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23.13</w:t>
            </w:r>
          </w:p>
        </w:tc>
        <w:tc>
          <w:tcPr>
            <w:tcW w:w="2186" w:type="dxa"/>
            <w:vAlign w:val="center"/>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31.41</w:t>
            </w:r>
          </w:p>
        </w:tc>
      </w:tr>
      <w:tr w:rsidR="00B740DE" w:rsidTr="00B740DE">
        <w:tc>
          <w:tcPr>
            <w:tcW w:w="1384"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Heart</w:t>
            </w:r>
          </w:p>
        </w:tc>
        <w:tc>
          <w:tcPr>
            <w:tcW w:w="1559"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29.97</w:t>
            </w:r>
          </w:p>
        </w:tc>
        <w:tc>
          <w:tcPr>
            <w:tcW w:w="1843"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160 (13%)</w:t>
            </w:r>
          </w:p>
        </w:tc>
        <w:tc>
          <w:tcPr>
            <w:tcW w:w="2268"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21.56</w:t>
            </w:r>
          </w:p>
        </w:tc>
        <w:tc>
          <w:tcPr>
            <w:tcW w:w="2186" w:type="dxa"/>
            <w:vAlign w:val="center"/>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31.22</w:t>
            </w:r>
          </w:p>
        </w:tc>
      </w:tr>
      <w:tr w:rsidR="00B740DE" w:rsidTr="00B740DE">
        <w:tc>
          <w:tcPr>
            <w:tcW w:w="1384"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Cancer</w:t>
            </w:r>
          </w:p>
        </w:tc>
        <w:tc>
          <w:tcPr>
            <w:tcW w:w="1559"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29.97</w:t>
            </w:r>
          </w:p>
        </w:tc>
        <w:tc>
          <w:tcPr>
            <w:tcW w:w="1843"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774 (63%)</w:t>
            </w:r>
          </w:p>
        </w:tc>
        <w:tc>
          <w:tcPr>
            <w:tcW w:w="2268"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26.15</w:t>
            </w:r>
          </w:p>
        </w:tc>
        <w:tc>
          <w:tcPr>
            <w:tcW w:w="2186" w:type="dxa"/>
            <w:vAlign w:val="center"/>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36.45</w:t>
            </w:r>
          </w:p>
        </w:tc>
      </w:tr>
      <w:tr w:rsidR="00B740DE" w:rsidTr="00B740DE">
        <w:tc>
          <w:tcPr>
            <w:tcW w:w="1384"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Digestive</w:t>
            </w:r>
          </w:p>
        </w:tc>
        <w:tc>
          <w:tcPr>
            <w:tcW w:w="1559"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29.97</w:t>
            </w:r>
          </w:p>
        </w:tc>
        <w:tc>
          <w:tcPr>
            <w:tcW w:w="1843"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422 (34%)</w:t>
            </w:r>
          </w:p>
        </w:tc>
        <w:tc>
          <w:tcPr>
            <w:tcW w:w="2268" w:type="dxa"/>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24.48</w:t>
            </w:r>
          </w:p>
        </w:tc>
        <w:tc>
          <w:tcPr>
            <w:tcW w:w="2186" w:type="dxa"/>
            <w:vAlign w:val="center"/>
          </w:tcPr>
          <w:p w:rsidR="00B740DE" w:rsidRPr="00B740DE" w:rsidRDefault="00B740DE" w:rsidP="00B038B8">
            <w:pPr>
              <w:spacing w:line="276" w:lineRule="auto"/>
              <w:rPr>
                <w:rFonts w:ascii="Arial" w:hAnsi="Arial" w:cs="Arial"/>
                <w:sz w:val="20"/>
                <w:szCs w:val="20"/>
              </w:rPr>
            </w:pPr>
            <w:r w:rsidRPr="00B740DE">
              <w:rPr>
                <w:rFonts w:ascii="Arial" w:hAnsi="Arial" w:cs="Arial"/>
                <w:sz w:val="20"/>
                <w:szCs w:val="20"/>
              </w:rPr>
              <w:t>32.84</w:t>
            </w:r>
          </w:p>
        </w:tc>
      </w:tr>
    </w:tbl>
    <w:p w:rsidR="00493CC1" w:rsidRDefault="00493CC1" w:rsidP="00493CC1">
      <w:pPr>
        <w:pStyle w:val="ListParagraph"/>
        <w:spacing w:line="276" w:lineRule="auto"/>
        <w:ind w:left="0"/>
        <w:rPr>
          <w:sz w:val="22"/>
        </w:rPr>
      </w:pPr>
    </w:p>
    <w:p w:rsidR="00901C23" w:rsidRDefault="00B740DE" w:rsidP="00493CC1">
      <w:pPr>
        <w:pStyle w:val="ListParagraph"/>
        <w:spacing w:line="276" w:lineRule="auto"/>
        <w:ind w:left="0"/>
        <w:rPr>
          <w:sz w:val="22"/>
        </w:rPr>
      </w:pPr>
      <w:r>
        <w:rPr>
          <w:sz w:val="22"/>
        </w:rPr>
        <w:t xml:space="preserve">The mean number of respondents for Intermediate Zones with no positive responses (zero estimated prevalence) is lower than the overall number of respondents (29.97) for all diagnostic groups. </w:t>
      </w:r>
      <w:r w:rsidR="00D06402">
        <w:rPr>
          <w:sz w:val="22"/>
        </w:rPr>
        <w:t xml:space="preserve">This can be considered an issue of bias due to different numbers of respondents in different IZs. It could be accounted for by using a weighted regression, but this has not been explored because of the complexity of the modelling and </w:t>
      </w:r>
      <w:r w:rsidR="002C28C7">
        <w:rPr>
          <w:sz w:val="22"/>
        </w:rPr>
        <w:t xml:space="preserve">the </w:t>
      </w:r>
      <w:r w:rsidR="00D06402">
        <w:rPr>
          <w:sz w:val="22"/>
        </w:rPr>
        <w:t>time constraint.</w:t>
      </w:r>
    </w:p>
    <w:p w:rsidR="00493CC1" w:rsidRDefault="00493CC1" w:rsidP="00493CC1">
      <w:pPr>
        <w:pStyle w:val="ListParagraph"/>
        <w:spacing w:line="276" w:lineRule="auto"/>
        <w:ind w:left="0"/>
        <w:rPr>
          <w:sz w:val="22"/>
        </w:rPr>
      </w:pPr>
    </w:p>
    <w:p w:rsidR="00901C23" w:rsidRDefault="00901C23" w:rsidP="00493CC1">
      <w:pPr>
        <w:pStyle w:val="ListParagraph"/>
        <w:spacing w:line="276" w:lineRule="auto"/>
        <w:ind w:left="0"/>
        <w:rPr>
          <w:sz w:val="22"/>
        </w:rPr>
      </w:pPr>
      <w:r>
        <w:rPr>
          <w:sz w:val="22"/>
        </w:rPr>
        <w:t xml:space="preserve">The distribution of the number of respondents across </w:t>
      </w:r>
      <w:r w:rsidR="00715AA9">
        <w:rPr>
          <w:sz w:val="22"/>
        </w:rPr>
        <w:t xml:space="preserve">the acute index values </w:t>
      </w:r>
      <w:r>
        <w:rPr>
          <w:sz w:val="22"/>
        </w:rPr>
        <w:t>is compared to the population distribution and the results are summarised in Table 4.2. The total population used is the average of the 2008 to 2011 mid-year population estimates.</w:t>
      </w:r>
    </w:p>
    <w:p w:rsidR="00235FC7" w:rsidRDefault="00235FC7" w:rsidP="00493CC1">
      <w:pPr>
        <w:pStyle w:val="ListParagraph"/>
        <w:spacing w:line="276" w:lineRule="auto"/>
        <w:ind w:left="0"/>
        <w:rPr>
          <w:sz w:val="22"/>
        </w:rPr>
      </w:pPr>
    </w:p>
    <w:p w:rsidR="00235FC7" w:rsidRDefault="00235FC7" w:rsidP="00493CC1">
      <w:pPr>
        <w:pStyle w:val="ListParagraph"/>
        <w:spacing w:line="276" w:lineRule="auto"/>
        <w:ind w:left="0"/>
        <w:rPr>
          <w:sz w:val="22"/>
        </w:rPr>
      </w:pPr>
    </w:p>
    <w:p w:rsidR="00235FC7" w:rsidRDefault="00235FC7" w:rsidP="00493CC1">
      <w:pPr>
        <w:pStyle w:val="ListParagraph"/>
        <w:spacing w:line="276" w:lineRule="auto"/>
        <w:ind w:left="0"/>
        <w:rPr>
          <w:sz w:val="22"/>
        </w:rPr>
      </w:pPr>
    </w:p>
    <w:p w:rsidR="00235FC7" w:rsidRDefault="00235FC7" w:rsidP="00493CC1">
      <w:pPr>
        <w:pStyle w:val="ListParagraph"/>
        <w:spacing w:line="276" w:lineRule="auto"/>
        <w:ind w:left="0"/>
        <w:rPr>
          <w:sz w:val="22"/>
        </w:rPr>
      </w:pPr>
    </w:p>
    <w:p w:rsidR="00901C23" w:rsidRPr="00901C23" w:rsidRDefault="00C83E05" w:rsidP="00B038B8">
      <w:pPr>
        <w:pStyle w:val="ListParagraph"/>
        <w:spacing w:line="276" w:lineRule="auto"/>
        <w:ind w:left="0"/>
        <w:rPr>
          <w:i/>
          <w:sz w:val="22"/>
        </w:rPr>
      </w:pPr>
      <w:proofErr w:type="gramStart"/>
      <w:r>
        <w:rPr>
          <w:i/>
          <w:sz w:val="22"/>
        </w:rPr>
        <w:lastRenderedPageBreak/>
        <w:t xml:space="preserve">Table </w:t>
      </w:r>
      <w:r w:rsidR="00901C23" w:rsidRPr="00901C23">
        <w:rPr>
          <w:i/>
          <w:sz w:val="22"/>
        </w:rPr>
        <w:t>4.2.</w:t>
      </w:r>
      <w:proofErr w:type="gramEnd"/>
      <w:r w:rsidR="00901C23" w:rsidRPr="00901C23">
        <w:rPr>
          <w:i/>
          <w:sz w:val="22"/>
        </w:rPr>
        <w:t xml:space="preserve"> </w:t>
      </w:r>
      <w:proofErr w:type="gramStart"/>
      <w:r w:rsidR="00901C23" w:rsidRPr="00901C23">
        <w:rPr>
          <w:i/>
          <w:sz w:val="22"/>
        </w:rPr>
        <w:t xml:space="preserve">Comparison of percentage of </w:t>
      </w:r>
      <w:r w:rsidR="000528DE">
        <w:rPr>
          <w:i/>
          <w:sz w:val="22"/>
        </w:rPr>
        <w:t xml:space="preserve">Scottish </w:t>
      </w:r>
      <w:r w:rsidR="00901C23" w:rsidRPr="00901C23">
        <w:rPr>
          <w:i/>
          <w:sz w:val="22"/>
        </w:rPr>
        <w:t xml:space="preserve">population and percentage of </w:t>
      </w:r>
      <w:proofErr w:type="spellStart"/>
      <w:r w:rsidR="00901C23" w:rsidRPr="00901C23">
        <w:rPr>
          <w:i/>
          <w:sz w:val="22"/>
        </w:rPr>
        <w:t>SHeS</w:t>
      </w:r>
      <w:proofErr w:type="spellEnd"/>
      <w:r w:rsidR="00901C23" w:rsidRPr="00901C23">
        <w:rPr>
          <w:i/>
          <w:sz w:val="22"/>
        </w:rPr>
        <w:t xml:space="preserve"> respondents across </w:t>
      </w:r>
      <w:r w:rsidR="008719C7">
        <w:rPr>
          <w:i/>
          <w:sz w:val="22"/>
        </w:rPr>
        <w:t>acute index values</w:t>
      </w:r>
      <w:r w:rsidR="00901C23" w:rsidRPr="00901C23">
        <w:rPr>
          <w:i/>
          <w:sz w:val="22"/>
        </w:rPr>
        <w:t>.</w:t>
      </w:r>
      <w:proofErr w:type="gramEnd"/>
    </w:p>
    <w:tbl>
      <w:tblPr>
        <w:tblStyle w:val="TableGrid"/>
        <w:tblW w:w="9240" w:type="dxa"/>
        <w:tblLook w:val="04A0"/>
      </w:tblPr>
      <w:tblGrid>
        <w:gridCol w:w="2310"/>
        <w:gridCol w:w="2310"/>
        <w:gridCol w:w="2310"/>
        <w:gridCol w:w="2310"/>
      </w:tblGrid>
      <w:tr w:rsidR="00901C23" w:rsidRPr="00901C23" w:rsidTr="00901C23">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Acute Index</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Number of IZs</w:t>
            </w:r>
          </w:p>
        </w:tc>
        <w:tc>
          <w:tcPr>
            <w:tcW w:w="2310" w:type="dxa"/>
          </w:tcPr>
          <w:p w:rsidR="00901C23" w:rsidRDefault="00901C23" w:rsidP="00B038B8">
            <w:pPr>
              <w:spacing w:line="276" w:lineRule="auto"/>
              <w:rPr>
                <w:rFonts w:ascii="Arial" w:hAnsi="Arial" w:cs="Arial"/>
                <w:sz w:val="20"/>
              </w:rPr>
            </w:pPr>
            <w:r>
              <w:rPr>
                <w:rFonts w:ascii="Arial" w:hAnsi="Arial" w:cs="Arial"/>
                <w:sz w:val="20"/>
              </w:rPr>
              <w:t>Percentage</w:t>
            </w:r>
            <w:r w:rsidRPr="00901C23">
              <w:rPr>
                <w:rFonts w:ascii="Arial" w:hAnsi="Arial" w:cs="Arial"/>
                <w:sz w:val="20"/>
              </w:rPr>
              <w:t xml:space="preserve"> </w:t>
            </w:r>
          </w:p>
          <w:p w:rsidR="00901C23" w:rsidRPr="00901C23" w:rsidRDefault="00901C23" w:rsidP="00B038B8">
            <w:pPr>
              <w:spacing w:line="276" w:lineRule="auto"/>
              <w:rPr>
                <w:rFonts w:ascii="Arial" w:hAnsi="Arial" w:cs="Arial"/>
                <w:sz w:val="20"/>
              </w:rPr>
            </w:pPr>
            <w:r w:rsidRPr="00901C23">
              <w:rPr>
                <w:rFonts w:ascii="Arial" w:hAnsi="Arial" w:cs="Arial"/>
                <w:sz w:val="20"/>
              </w:rPr>
              <w:t xml:space="preserve">of total population </w:t>
            </w:r>
          </w:p>
        </w:tc>
        <w:tc>
          <w:tcPr>
            <w:tcW w:w="2310" w:type="dxa"/>
          </w:tcPr>
          <w:p w:rsidR="00901C23" w:rsidRDefault="00901C23" w:rsidP="00B038B8">
            <w:pPr>
              <w:spacing w:line="276" w:lineRule="auto"/>
              <w:rPr>
                <w:rFonts w:ascii="Arial" w:hAnsi="Arial" w:cs="Arial"/>
                <w:sz w:val="20"/>
              </w:rPr>
            </w:pPr>
            <w:r>
              <w:rPr>
                <w:rFonts w:ascii="Arial" w:hAnsi="Arial" w:cs="Arial"/>
                <w:sz w:val="20"/>
              </w:rPr>
              <w:t xml:space="preserve">Percentage </w:t>
            </w:r>
          </w:p>
          <w:p w:rsidR="00901C23" w:rsidRPr="00901C23" w:rsidRDefault="00901C23" w:rsidP="00B038B8">
            <w:pPr>
              <w:spacing w:line="276" w:lineRule="auto"/>
              <w:rPr>
                <w:rFonts w:ascii="Arial" w:hAnsi="Arial" w:cs="Arial"/>
                <w:sz w:val="20"/>
              </w:rPr>
            </w:pPr>
            <w:r w:rsidRPr="00901C23">
              <w:rPr>
                <w:rFonts w:ascii="Arial" w:hAnsi="Arial" w:cs="Arial"/>
                <w:sz w:val="20"/>
              </w:rPr>
              <w:t xml:space="preserve">of SHeS respondents </w:t>
            </w:r>
          </w:p>
        </w:tc>
      </w:tr>
      <w:tr w:rsidR="00901C23" w:rsidRPr="00901C23" w:rsidTr="00901C23">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(-4; -2]</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186</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15.37</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14.82</w:t>
            </w:r>
          </w:p>
        </w:tc>
      </w:tr>
      <w:tr w:rsidR="00901C23" w:rsidRPr="00901C23" w:rsidTr="00901C23">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(-2; 0]</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500</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40.22</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43.67</w:t>
            </w:r>
          </w:p>
        </w:tc>
      </w:tr>
      <w:tr w:rsidR="00901C23" w:rsidRPr="00901C23" w:rsidTr="00901C23">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(0; 2]</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351</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28.66</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26.48</w:t>
            </w:r>
          </w:p>
        </w:tc>
      </w:tr>
      <w:tr w:rsidR="00901C23" w:rsidRPr="00901C23" w:rsidTr="00901C23">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(2; 4]</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145</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11.98</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11.28</w:t>
            </w:r>
          </w:p>
        </w:tc>
      </w:tr>
      <w:tr w:rsidR="00901C23" w:rsidRPr="00901C23" w:rsidTr="00901C23">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(4; 6]</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42</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3.25</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3.27</w:t>
            </w:r>
          </w:p>
        </w:tc>
      </w:tr>
      <w:tr w:rsidR="00901C23" w:rsidRPr="00901C23" w:rsidTr="00901C23">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(6; 8]</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7</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0.52</w:t>
            </w:r>
          </w:p>
        </w:tc>
        <w:tc>
          <w:tcPr>
            <w:tcW w:w="2310" w:type="dxa"/>
          </w:tcPr>
          <w:p w:rsidR="00901C23" w:rsidRPr="00901C23" w:rsidRDefault="00901C23" w:rsidP="00B038B8">
            <w:pPr>
              <w:spacing w:line="276" w:lineRule="auto"/>
              <w:rPr>
                <w:rFonts w:ascii="Arial" w:hAnsi="Arial" w:cs="Arial"/>
                <w:sz w:val="20"/>
              </w:rPr>
            </w:pPr>
            <w:r w:rsidRPr="00901C23">
              <w:rPr>
                <w:rFonts w:ascii="Arial" w:hAnsi="Arial" w:cs="Arial"/>
                <w:sz w:val="20"/>
              </w:rPr>
              <w:t>0.47</w:t>
            </w:r>
          </w:p>
        </w:tc>
      </w:tr>
    </w:tbl>
    <w:p w:rsidR="00B740DE" w:rsidRDefault="00B740DE" w:rsidP="00B038B8">
      <w:pPr>
        <w:pStyle w:val="ListParagraph"/>
        <w:spacing w:line="276" w:lineRule="auto"/>
        <w:ind w:left="0"/>
        <w:rPr>
          <w:sz w:val="22"/>
        </w:rPr>
      </w:pPr>
    </w:p>
    <w:p w:rsidR="00901C23" w:rsidRDefault="00901C23" w:rsidP="00B038B8">
      <w:pPr>
        <w:pStyle w:val="ListParagraph"/>
        <w:spacing w:line="276" w:lineRule="auto"/>
        <w:ind w:left="0"/>
        <w:rPr>
          <w:sz w:val="22"/>
        </w:rPr>
      </w:pPr>
      <w:r>
        <w:rPr>
          <w:sz w:val="22"/>
        </w:rPr>
        <w:t xml:space="preserve">The distribution of the respondents across </w:t>
      </w:r>
      <w:r w:rsidR="00715AA9">
        <w:rPr>
          <w:sz w:val="22"/>
        </w:rPr>
        <w:t>acute index values</w:t>
      </w:r>
      <w:r>
        <w:rPr>
          <w:sz w:val="22"/>
        </w:rPr>
        <w:t xml:space="preserve"> is similar to the Scottish population distribution. This implies that there is no </w:t>
      </w:r>
      <w:r w:rsidR="009A66B7">
        <w:rPr>
          <w:sz w:val="22"/>
        </w:rPr>
        <w:t xml:space="preserve">strong </w:t>
      </w:r>
      <w:r w:rsidR="00FD0C98">
        <w:rPr>
          <w:sz w:val="22"/>
        </w:rPr>
        <w:t>bias in terms of the survey coverage. However, it is worth mentioning that there might be self-report</w:t>
      </w:r>
      <w:r w:rsidR="009A66B7">
        <w:rPr>
          <w:sz w:val="22"/>
        </w:rPr>
        <w:t>ing</w:t>
      </w:r>
      <w:r w:rsidR="00FD0C98">
        <w:rPr>
          <w:sz w:val="22"/>
        </w:rPr>
        <w:t xml:space="preserve"> bias</w:t>
      </w:r>
      <w:r w:rsidR="009A66B7">
        <w:rPr>
          <w:sz w:val="22"/>
        </w:rPr>
        <w:t xml:space="preserve"> which may vary as a function of </w:t>
      </w:r>
      <w:r w:rsidR="008719C7">
        <w:rPr>
          <w:sz w:val="22"/>
        </w:rPr>
        <w:t>the acute index.</w:t>
      </w:r>
    </w:p>
    <w:p w:rsidR="00B740DE" w:rsidRDefault="00B740DE" w:rsidP="00B038B8">
      <w:pPr>
        <w:pStyle w:val="ListParagraph"/>
        <w:spacing w:line="276" w:lineRule="auto"/>
        <w:ind w:left="0"/>
        <w:rPr>
          <w:sz w:val="22"/>
        </w:rPr>
      </w:pPr>
    </w:p>
    <w:p w:rsidR="006C5786" w:rsidRDefault="00FD0C98" w:rsidP="00B038B8">
      <w:pPr>
        <w:pStyle w:val="ListParagraph"/>
        <w:spacing w:line="276" w:lineRule="auto"/>
        <w:ind w:left="0"/>
        <w:rPr>
          <w:sz w:val="22"/>
        </w:rPr>
      </w:pPr>
      <w:r>
        <w:rPr>
          <w:sz w:val="22"/>
        </w:rPr>
        <w:t>The SHeS data is used to calculate age-sex adjusted rat</w:t>
      </w:r>
      <w:r w:rsidR="00514C9E">
        <w:rPr>
          <w:sz w:val="22"/>
        </w:rPr>
        <w:t>es</w:t>
      </w:r>
      <w:r w:rsidR="00252629">
        <w:rPr>
          <w:sz w:val="22"/>
        </w:rPr>
        <w:t xml:space="preserve"> of morbidity</w:t>
      </w:r>
      <w:r>
        <w:rPr>
          <w:sz w:val="22"/>
        </w:rPr>
        <w:t xml:space="preserve"> (same methodology used as for the calculation of the acute index constituent variables) and this is used as an estimate of prevalence</w:t>
      </w:r>
      <w:r w:rsidR="00D10FDE">
        <w:rPr>
          <w:sz w:val="22"/>
        </w:rPr>
        <w:t xml:space="preserve"> in the analysis</w:t>
      </w:r>
      <w:r>
        <w:rPr>
          <w:sz w:val="22"/>
        </w:rPr>
        <w:t xml:space="preserve">. </w:t>
      </w:r>
    </w:p>
    <w:p w:rsidR="007F1A47" w:rsidRPr="007F1A47" w:rsidRDefault="007F1A47" w:rsidP="00B038B8">
      <w:pPr>
        <w:pStyle w:val="ListParagraph"/>
        <w:spacing w:line="276" w:lineRule="auto"/>
        <w:ind w:left="0"/>
        <w:rPr>
          <w:sz w:val="22"/>
        </w:rPr>
      </w:pPr>
    </w:p>
    <w:p w:rsidR="00925EE2" w:rsidRDefault="00925EE2" w:rsidP="00B038B8">
      <w:pPr>
        <w:rPr>
          <w:rFonts w:ascii="Arial" w:hAnsi="Arial" w:cs="Arial"/>
          <w:b/>
        </w:rPr>
      </w:pPr>
      <w:r>
        <w:rPr>
          <w:rFonts w:ascii="Arial" w:hAnsi="Arial" w:cs="Arial"/>
          <w:b/>
        </w:rPr>
        <w:t>4.2. Predicted Prevalence</w:t>
      </w:r>
      <w:r w:rsidR="006119BC">
        <w:rPr>
          <w:rFonts w:ascii="Arial" w:hAnsi="Arial" w:cs="Arial"/>
          <w:b/>
        </w:rPr>
        <w:t xml:space="preserve"> and the </w:t>
      </w:r>
      <w:r w:rsidR="00252629">
        <w:rPr>
          <w:rFonts w:ascii="Arial" w:hAnsi="Arial" w:cs="Arial"/>
          <w:b/>
        </w:rPr>
        <w:t xml:space="preserve">two-step </w:t>
      </w:r>
      <w:r w:rsidR="006119BC">
        <w:rPr>
          <w:rFonts w:ascii="Arial" w:hAnsi="Arial" w:cs="Arial"/>
          <w:b/>
        </w:rPr>
        <w:t>shortfall method</w:t>
      </w:r>
    </w:p>
    <w:p w:rsidR="008F6E23" w:rsidRDefault="00514C9E" w:rsidP="00B038B8">
      <w:pPr>
        <w:jc w:val="both"/>
        <w:rPr>
          <w:rFonts w:ascii="Arial" w:hAnsi="Arial" w:cs="Arial"/>
        </w:rPr>
      </w:pPr>
      <w:r>
        <w:rPr>
          <w:rFonts w:ascii="Arial" w:hAnsi="Arial" w:cs="Arial"/>
        </w:rPr>
        <w:t xml:space="preserve">The </w:t>
      </w:r>
      <w:r w:rsidR="00161660">
        <w:rPr>
          <w:rFonts w:ascii="Arial" w:hAnsi="Arial" w:cs="Arial"/>
        </w:rPr>
        <w:t>first step</w:t>
      </w:r>
      <w:r w:rsidR="00252629">
        <w:rPr>
          <w:rFonts w:ascii="Arial" w:hAnsi="Arial" w:cs="Arial"/>
        </w:rPr>
        <w:t xml:space="preserve"> </w:t>
      </w:r>
      <w:r w:rsidR="00161660">
        <w:rPr>
          <w:rFonts w:ascii="Arial" w:hAnsi="Arial" w:cs="Arial"/>
        </w:rPr>
        <w:t>uses</w:t>
      </w:r>
      <w:r w:rsidR="00252629">
        <w:rPr>
          <w:rFonts w:ascii="Arial" w:hAnsi="Arial" w:cs="Arial"/>
        </w:rPr>
        <w:t xml:space="preserve"> the </w:t>
      </w:r>
      <w:r>
        <w:rPr>
          <w:rFonts w:ascii="Arial" w:hAnsi="Arial" w:cs="Arial"/>
        </w:rPr>
        <w:t xml:space="preserve">SHeS </w:t>
      </w:r>
      <w:r w:rsidR="00252629">
        <w:rPr>
          <w:rFonts w:ascii="Arial" w:hAnsi="Arial" w:cs="Arial"/>
        </w:rPr>
        <w:t xml:space="preserve">morbidity </w:t>
      </w:r>
      <w:r>
        <w:rPr>
          <w:rFonts w:ascii="Arial" w:hAnsi="Arial" w:cs="Arial"/>
        </w:rPr>
        <w:t xml:space="preserve">data as </w:t>
      </w:r>
      <w:r w:rsidR="00252629">
        <w:rPr>
          <w:rFonts w:ascii="Arial" w:hAnsi="Arial" w:cs="Arial"/>
        </w:rPr>
        <w:t xml:space="preserve">the </w:t>
      </w:r>
      <w:r>
        <w:rPr>
          <w:rFonts w:ascii="Arial" w:hAnsi="Arial" w:cs="Arial"/>
        </w:rPr>
        <w:t xml:space="preserve">dependent variable and the acute index as an independent variable </w:t>
      </w:r>
      <w:r w:rsidR="00252629">
        <w:rPr>
          <w:rFonts w:ascii="Arial" w:hAnsi="Arial" w:cs="Arial"/>
        </w:rPr>
        <w:t xml:space="preserve">and </w:t>
      </w:r>
      <w:r>
        <w:rPr>
          <w:rFonts w:ascii="Arial" w:hAnsi="Arial" w:cs="Arial"/>
        </w:rPr>
        <w:t>fit</w:t>
      </w:r>
      <w:r w:rsidR="009A66B7">
        <w:rPr>
          <w:rFonts w:ascii="Arial" w:hAnsi="Arial" w:cs="Arial"/>
        </w:rPr>
        <w:t>s</w:t>
      </w:r>
      <w:r>
        <w:rPr>
          <w:rFonts w:ascii="Arial" w:hAnsi="Arial" w:cs="Arial"/>
        </w:rPr>
        <w:t xml:space="preserve"> a non-linear model pr</w:t>
      </w:r>
      <w:r w:rsidR="00C22DA9">
        <w:rPr>
          <w:rFonts w:ascii="Arial" w:hAnsi="Arial" w:cs="Arial"/>
        </w:rPr>
        <w:t xml:space="preserve">edicting </w:t>
      </w:r>
      <w:r w:rsidR="00252629">
        <w:rPr>
          <w:rFonts w:ascii="Arial" w:hAnsi="Arial" w:cs="Arial"/>
        </w:rPr>
        <w:t xml:space="preserve">morbidity </w:t>
      </w:r>
      <w:r w:rsidR="00C22DA9">
        <w:rPr>
          <w:rFonts w:ascii="Arial" w:hAnsi="Arial" w:cs="Arial"/>
        </w:rPr>
        <w:t>prevalence rates.</w:t>
      </w:r>
    </w:p>
    <w:p w:rsidR="00514C9E" w:rsidRDefault="00161660" w:rsidP="00B038B8">
      <w:pPr>
        <w:jc w:val="both"/>
        <w:rPr>
          <w:rFonts w:ascii="Arial" w:hAnsi="Arial" w:cs="Arial"/>
        </w:rPr>
      </w:pPr>
      <w:r>
        <w:rPr>
          <w:rFonts w:ascii="Arial" w:hAnsi="Arial" w:cs="Arial"/>
        </w:rPr>
        <w:t>It was found that</w:t>
      </w:r>
      <w:r w:rsidR="00C22DA9">
        <w:rPr>
          <w:rFonts w:ascii="Arial" w:hAnsi="Arial" w:cs="Arial"/>
        </w:rPr>
        <w:t xml:space="preserve"> t</w:t>
      </w:r>
      <w:r w:rsidR="00514C9E">
        <w:rPr>
          <w:rFonts w:ascii="Arial" w:hAnsi="Arial" w:cs="Arial"/>
        </w:rPr>
        <w:t xml:space="preserve">he choice and the type of the non-linear model and its complexity strongly affect the best fitted values. Furthermore, the large number of zeros SHeS data points affects the fit as well, especially </w:t>
      </w:r>
      <w:r w:rsidR="00815E41">
        <w:rPr>
          <w:rFonts w:ascii="Arial" w:hAnsi="Arial" w:cs="Arial"/>
        </w:rPr>
        <w:t xml:space="preserve">at the </w:t>
      </w:r>
      <w:r w:rsidR="008719C7">
        <w:rPr>
          <w:rFonts w:ascii="Arial" w:hAnsi="Arial" w:cs="Arial"/>
        </w:rPr>
        <w:t>lowest and highest values of the acute index</w:t>
      </w:r>
      <w:r w:rsidR="00815E41">
        <w:rPr>
          <w:rFonts w:ascii="Arial" w:hAnsi="Arial" w:cs="Arial"/>
        </w:rPr>
        <w:t>.</w:t>
      </w:r>
      <w:r w:rsidR="00514C9E">
        <w:rPr>
          <w:rFonts w:ascii="Arial" w:hAnsi="Arial" w:cs="Arial"/>
        </w:rPr>
        <w:t xml:space="preserve"> </w:t>
      </w:r>
      <w:r w:rsidR="009A66B7">
        <w:rPr>
          <w:rFonts w:ascii="Arial" w:hAnsi="Arial" w:cs="Arial"/>
        </w:rPr>
        <w:t>As one example of a non-linear model, G</w:t>
      </w:r>
      <w:r w:rsidR="00514C9E">
        <w:rPr>
          <w:rFonts w:ascii="Arial" w:hAnsi="Arial" w:cs="Arial"/>
        </w:rPr>
        <w:t xml:space="preserve">eneralised </w:t>
      </w:r>
      <w:r w:rsidR="009A66B7">
        <w:rPr>
          <w:rFonts w:ascii="Arial" w:hAnsi="Arial" w:cs="Arial"/>
        </w:rPr>
        <w:t>A</w:t>
      </w:r>
      <w:r w:rsidR="00514C9E">
        <w:rPr>
          <w:rFonts w:ascii="Arial" w:hAnsi="Arial" w:cs="Arial"/>
        </w:rPr>
        <w:t xml:space="preserve">dditive </w:t>
      </w:r>
      <w:r w:rsidR="009A66B7">
        <w:rPr>
          <w:rFonts w:ascii="Arial" w:hAnsi="Arial" w:cs="Arial"/>
        </w:rPr>
        <w:t>M</w:t>
      </w:r>
      <w:r w:rsidR="00514C9E">
        <w:rPr>
          <w:rFonts w:ascii="Arial" w:hAnsi="Arial" w:cs="Arial"/>
        </w:rPr>
        <w:t xml:space="preserve">odels are fitted for all four diagnostic groups. </w:t>
      </w:r>
      <w:r w:rsidR="00815E41">
        <w:rPr>
          <w:rFonts w:ascii="Arial" w:hAnsi="Arial" w:cs="Arial"/>
        </w:rPr>
        <w:t>The acute diagnostic group Heart is chosen as an example and the scatter plot below summarises the results of the non-linear modelling (Figure 4.1).</w:t>
      </w:r>
      <w:r w:rsidR="00F05203">
        <w:rPr>
          <w:rFonts w:ascii="Arial" w:hAnsi="Arial" w:cs="Arial"/>
        </w:rPr>
        <w:t xml:space="preserve"> Scatter plots for Cancer, Digestive and Respiratory are included in Annex C.</w:t>
      </w:r>
    </w:p>
    <w:p w:rsidR="00235FC7" w:rsidRDefault="00235FC7" w:rsidP="00B038B8">
      <w:pPr>
        <w:jc w:val="both"/>
        <w:rPr>
          <w:rFonts w:ascii="Arial" w:hAnsi="Arial" w:cs="Arial"/>
        </w:rPr>
      </w:pPr>
    </w:p>
    <w:p w:rsidR="00235FC7" w:rsidRDefault="00235FC7" w:rsidP="00B038B8">
      <w:pPr>
        <w:jc w:val="both"/>
        <w:rPr>
          <w:rFonts w:ascii="Arial" w:hAnsi="Arial" w:cs="Arial"/>
        </w:rPr>
      </w:pPr>
    </w:p>
    <w:p w:rsidR="00235FC7" w:rsidRDefault="00235FC7" w:rsidP="00B038B8">
      <w:pPr>
        <w:jc w:val="both"/>
        <w:rPr>
          <w:rFonts w:ascii="Arial" w:hAnsi="Arial" w:cs="Arial"/>
        </w:rPr>
      </w:pPr>
    </w:p>
    <w:p w:rsidR="00235FC7" w:rsidRDefault="00235FC7" w:rsidP="00B038B8">
      <w:pPr>
        <w:jc w:val="both"/>
        <w:rPr>
          <w:rFonts w:ascii="Arial" w:hAnsi="Arial" w:cs="Arial"/>
        </w:rPr>
      </w:pPr>
    </w:p>
    <w:p w:rsidR="00235FC7" w:rsidRDefault="00235FC7" w:rsidP="00B038B8">
      <w:pPr>
        <w:jc w:val="both"/>
        <w:rPr>
          <w:rFonts w:ascii="Arial" w:hAnsi="Arial" w:cs="Arial"/>
        </w:rPr>
      </w:pPr>
    </w:p>
    <w:p w:rsidR="00815E41" w:rsidRPr="00514C9E" w:rsidRDefault="00815E41" w:rsidP="00B038B8">
      <w:pPr>
        <w:jc w:val="both"/>
        <w:rPr>
          <w:rFonts w:ascii="Arial" w:hAnsi="Arial" w:cs="Arial"/>
        </w:rPr>
      </w:pPr>
    </w:p>
    <w:p w:rsidR="00514C9E" w:rsidRDefault="00514C9E" w:rsidP="00B038B8">
      <w:pPr>
        <w:rPr>
          <w:rFonts w:ascii="Arial" w:hAnsi="Arial" w:cs="Arial"/>
          <w:b/>
        </w:rPr>
      </w:pPr>
    </w:p>
    <w:p w:rsidR="00815E41" w:rsidRDefault="00815E41" w:rsidP="00B038B8">
      <w:pPr>
        <w:rPr>
          <w:rFonts w:ascii="Arial" w:hAnsi="Arial" w:cs="Arial"/>
          <w:b/>
        </w:rPr>
      </w:pPr>
    </w:p>
    <w:p w:rsidR="00815E41" w:rsidRDefault="00815E41" w:rsidP="00B038B8">
      <w:pPr>
        <w:rPr>
          <w:rFonts w:ascii="Arial" w:hAnsi="Arial" w:cs="Arial"/>
          <w:b/>
        </w:rPr>
      </w:pPr>
    </w:p>
    <w:p w:rsidR="00815E41" w:rsidRDefault="00815E41" w:rsidP="00B038B8">
      <w:pPr>
        <w:rPr>
          <w:rFonts w:ascii="Arial" w:hAnsi="Arial" w:cs="Arial"/>
          <w:b/>
        </w:rPr>
      </w:pPr>
    </w:p>
    <w:p w:rsidR="00815E41" w:rsidRDefault="00012D6C" w:rsidP="00B038B8">
      <w:pPr>
        <w:rPr>
          <w:rFonts w:ascii="Arial" w:hAnsi="Arial" w:cs="Arial"/>
          <w:b/>
        </w:rPr>
      </w:pPr>
      <w:r>
        <w:rPr>
          <w:rFonts w:ascii="Arial" w:hAnsi="Arial" w:cs="Arial"/>
          <w:b/>
          <w:noProof/>
        </w:rPr>
        <w:lastRenderedPageBreak/>
        <w:drawing>
          <wp:anchor distT="0" distB="0" distL="114300" distR="114300" simplePos="0" relativeHeight="251667456" behindDoc="1" locked="0" layoutInCell="1" allowOverlap="1">
            <wp:simplePos x="0" y="0"/>
            <wp:positionH relativeFrom="column">
              <wp:posOffset>295275</wp:posOffset>
            </wp:positionH>
            <wp:positionV relativeFrom="paragraph">
              <wp:posOffset>-171450</wp:posOffset>
            </wp:positionV>
            <wp:extent cx="4676775" cy="3600450"/>
            <wp:effectExtent l="1905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676775" cy="3600450"/>
                    </a:xfrm>
                    <a:prstGeom prst="rect">
                      <a:avLst/>
                    </a:prstGeom>
                    <a:noFill/>
                    <a:ln w="9525">
                      <a:noFill/>
                      <a:miter lim="800000"/>
                      <a:headEnd/>
                      <a:tailEnd/>
                    </a:ln>
                  </pic:spPr>
                </pic:pic>
              </a:graphicData>
            </a:graphic>
          </wp:anchor>
        </w:drawing>
      </w:r>
    </w:p>
    <w:p w:rsidR="00815E41" w:rsidRDefault="00815E41" w:rsidP="00B038B8">
      <w:pPr>
        <w:rPr>
          <w:rFonts w:ascii="Arial" w:hAnsi="Arial" w:cs="Arial"/>
          <w:b/>
        </w:rPr>
      </w:pPr>
    </w:p>
    <w:p w:rsidR="00815E41" w:rsidRDefault="00815E41" w:rsidP="00B038B8">
      <w:pPr>
        <w:rPr>
          <w:rFonts w:ascii="Arial" w:hAnsi="Arial" w:cs="Arial"/>
          <w:b/>
        </w:rPr>
      </w:pPr>
    </w:p>
    <w:p w:rsidR="00815E41" w:rsidRDefault="00815E41" w:rsidP="00B038B8">
      <w:pPr>
        <w:rPr>
          <w:rFonts w:ascii="Arial" w:hAnsi="Arial" w:cs="Arial"/>
          <w:b/>
        </w:rPr>
      </w:pPr>
    </w:p>
    <w:p w:rsidR="0047497F" w:rsidRDefault="0047497F" w:rsidP="00B038B8">
      <w:pPr>
        <w:rPr>
          <w:rFonts w:ascii="Arial" w:hAnsi="Arial" w:cs="Arial"/>
          <w:b/>
        </w:rPr>
      </w:pPr>
    </w:p>
    <w:p w:rsidR="0047497F" w:rsidRDefault="0047497F" w:rsidP="00B038B8">
      <w:pPr>
        <w:rPr>
          <w:rFonts w:ascii="Arial" w:hAnsi="Arial" w:cs="Arial"/>
          <w:b/>
        </w:rPr>
      </w:pPr>
    </w:p>
    <w:p w:rsidR="00D45BD6" w:rsidRDefault="00D45BD6" w:rsidP="00B038B8">
      <w:pPr>
        <w:rPr>
          <w:rFonts w:ascii="Arial" w:hAnsi="Arial" w:cs="Arial"/>
          <w:i/>
        </w:rPr>
      </w:pPr>
    </w:p>
    <w:p w:rsidR="00D45BD6" w:rsidRDefault="00D45BD6" w:rsidP="00B038B8">
      <w:pPr>
        <w:rPr>
          <w:rFonts w:ascii="Arial" w:hAnsi="Arial" w:cs="Arial"/>
          <w:i/>
        </w:rPr>
      </w:pPr>
    </w:p>
    <w:p w:rsidR="00D45BD6" w:rsidRDefault="00D45BD6" w:rsidP="00B038B8">
      <w:pPr>
        <w:rPr>
          <w:rFonts w:ascii="Arial" w:hAnsi="Arial" w:cs="Arial"/>
          <w:i/>
        </w:rPr>
      </w:pPr>
    </w:p>
    <w:p w:rsidR="00012D6C" w:rsidRDefault="00012D6C" w:rsidP="00B038B8">
      <w:pPr>
        <w:rPr>
          <w:rFonts w:ascii="Arial" w:hAnsi="Arial" w:cs="Arial"/>
          <w:i/>
        </w:rPr>
      </w:pPr>
    </w:p>
    <w:p w:rsidR="00012D6C" w:rsidRDefault="00012D6C" w:rsidP="00B038B8">
      <w:pPr>
        <w:rPr>
          <w:rFonts w:ascii="Arial" w:hAnsi="Arial" w:cs="Arial"/>
          <w:i/>
        </w:rPr>
      </w:pPr>
    </w:p>
    <w:p w:rsidR="00815E41" w:rsidRPr="00815E41" w:rsidRDefault="00815E41" w:rsidP="00B038B8">
      <w:pPr>
        <w:rPr>
          <w:rFonts w:ascii="Arial" w:hAnsi="Arial" w:cs="Arial"/>
          <w:i/>
        </w:rPr>
      </w:pPr>
      <w:proofErr w:type="gramStart"/>
      <w:r w:rsidRPr="00815E41">
        <w:rPr>
          <w:rFonts w:ascii="Arial" w:hAnsi="Arial" w:cs="Arial"/>
          <w:i/>
        </w:rPr>
        <w:t>Figure 4.1.</w:t>
      </w:r>
      <w:proofErr w:type="gramEnd"/>
      <w:r w:rsidRPr="00815E41">
        <w:rPr>
          <w:rFonts w:ascii="Arial" w:hAnsi="Arial" w:cs="Arial"/>
          <w:i/>
        </w:rPr>
        <w:t xml:space="preserve"> Scatter plot of SHeS ratios against the acute index</w:t>
      </w:r>
      <w:r>
        <w:rPr>
          <w:rFonts w:ascii="Arial" w:hAnsi="Arial" w:cs="Arial"/>
          <w:i/>
        </w:rPr>
        <w:t xml:space="preserve"> for the acute diagnostic group Heart</w:t>
      </w:r>
      <w:r w:rsidRPr="00815E41">
        <w:rPr>
          <w:rFonts w:ascii="Arial" w:hAnsi="Arial" w:cs="Arial"/>
          <w:i/>
        </w:rPr>
        <w:t xml:space="preserve">. Predicted values </w:t>
      </w:r>
      <w:r w:rsidR="007E20DD" w:rsidRPr="00AB6046">
        <w:rPr>
          <w:rFonts w:ascii="Arial" w:hAnsi="Arial" w:cs="Arial"/>
          <w:i/>
        </w:rPr>
        <w:t>from fitting a Generalised Additive Model</w:t>
      </w:r>
      <w:r w:rsidR="007E20DD" w:rsidRPr="00815E41">
        <w:rPr>
          <w:rFonts w:ascii="Arial" w:hAnsi="Arial" w:cs="Arial"/>
          <w:i/>
        </w:rPr>
        <w:t xml:space="preserve"> </w:t>
      </w:r>
      <w:r w:rsidRPr="00815E41">
        <w:rPr>
          <w:rFonts w:ascii="Arial" w:hAnsi="Arial" w:cs="Arial"/>
          <w:i/>
        </w:rPr>
        <w:t xml:space="preserve">shown in red. Dashed lines represent 95%confidence intervals. </w:t>
      </w:r>
    </w:p>
    <w:p w:rsidR="003C13B2" w:rsidRPr="00B47550" w:rsidRDefault="003C13B2" w:rsidP="00B038B8">
      <w:pPr>
        <w:jc w:val="both"/>
        <w:rPr>
          <w:rFonts w:ascii="Arial" w:hAnsi="Arial" w:cs="Arial"/>
        </w:rPr>
      </w:pPr>
      <w:r>
        <w:rPr>
          <w:rFonts w:ascii="Arial" w:hAnsi="Arial" w:cs="Arial"/>
        </w:rPr>
        <w:t>The deviations from the line at</w:t>
      </w:r>
      <w:r w:rsidR="00B47550">
        <w:rPr>
          <w:rFonts w:ascii="Arial" w:hAnsi="Arial" w:cs="Arial"/>
        </w:rPr>
        <w:t xml:space="preserve"> both </w:t>
      </w:r>
      <w:r>
        <w:rPr>
          <w:rFonts w:ascii="Arial" w:hAnsi="Arial" w:cs="Arial"/>
        </w:rPr>
        <w:t>low and high values of the acute i</w:t>
      </w:r>
      <w:r w:rsidR="00B47550">
        <w:rPr>
          <w:rFonts w:ascii="Arial" w:hAnsi="Arial" w:cs="Arial"/>
        </w:rPr>
        <w:t xml:space="preserve">ndex are </w:t>
      </w:r>
      <w:r w:rsidR="00DC172B">
        <w:rPr>
          <w:rFonts w:ascii="Arial" w:hAnsi="Arial" w:cs="Arial"/>
        </w:rPr>
        <w:t>caused</w:t>
      </w:r>
      <w:r w:rsidR="00B47550">
        <w:rPr>
          <w:rFonts w:ascii="Arial" w:hAnsi="Arial" w:cs="Arial"/>
        </w:rPr>
        <w:t xml:space="preserve"> by </w:t>
      </w:r>
      <w:r w:rsidR="009A66B7">
        <w:rPr>
          <w:rFonts w:ascii="Arial" w:hAnsi="Arial" w:cs="Arial"/>
        </w:rPr>
        <w:t xml:space="preserve">only a few </w:t>
      </w:r>
      <w:r w:rsidR="00B47550">
        <w:rPr>
          <w:rFonts w:ascii="Arial" w:hAnsi="Arial" w:cs="Arial"/>
        </w:rPr>
        <w:t xml:space="preserve">data points. The data is very sparse at both ends of </w:t>
      </w:r>
      <w:r w:rsidR="00715AA9">
        <w:rPr>
          <w:rFonts w:ascii="Arial" w:hAnsi="Arial" w:cs="Arial"/>
        </w:rPr>
        <w:t xml:space="preserve">the acute index </w:t>
      </w:r>
      <w:r w:rsidR="00B47550">
        <w:rPr>
          <w:rFonts w:ascii="Arial" w:hAnsi="Arial" w:cs="Arial"/>
        </w:rPr>
        <w:t>and the best fitted line for different non-linear models (</w:t>
      </w:r>
      <w:r w:rsidR="009A66B7">
        <w:rPr>
          <w:rFonts w:ascii="Arial" w:hAnsi="Arial" w:cs="Arial"/>
        </w:rPr>
        <w:t xml:space="preserve">e.g. </w:t>
      </w:r>
      <w:r w:rsidR="00B47550">
        <w:rPr>
          <w:rFonts w:ascii="Arial" w:hAnsi="Arial" w:cs="Arial"/>
        </w:rPr>
        <w:t xml:space="preserve">cubic splines regression </w:t>
      </w:r>
      <w:r w:rsidR="009A66B7">
        <w:rPr>
          <w:rFonts w:ascii="Arial" w:hAnsi="Arial" w:cs="Arial"/>
        </w:rPr>
        <w:t>or</w:t>
      </w:r>
      <w:r w:rsidR="00B47550">
        <w:rPr>
          <w:rFonts w:ascii="Arial" w:hAnsi="Arial" w:cs="Arial"/>
        </w:rPr>
        <w:t xml:space="preserve"> generalised additive model</w:t>
      </w:r>
      <w:r w:rsidR="009A66B7">
        <w:rPr>
          <w:rFonts w:ascii="Arial" w:hAnsi="Arial" w:cs="Arial"/>
        </w:rPr>
        <w:t>s with different degrees of freedom</w:t>
      </w:r>
      <w:r w:rsidR="00B47550">
        <w:rPr>
          <w:rFonts w:ascii="Arial" w:hAnsi="Arial" w:cs="Arial"/>
        </w:rPr>
        <w:t>) give</w:t>
      </w:r>
      <w:r w:rsidR="009A66B7">
        <w:rPr>
          <w:rFonts w:ascii="Arial" w:hAnsi="Arial" w:cs="Arial"/>
        </w:rPr>
        <w:t xml:space="preserve"> substantially</w:t>
      </w:r>
      <w:r w:rsidR="00B47550">
        <w:rPr>
          <w:rFonts w:ascii="Arial" w:hAnsi="Arial" w:cs="Arial"/>
        </w:rPr>
        <w:t xml:space="preserve"> different results. This is the case for all diagnostic groups and the choice of the non-linear model </w:t>
      </w:r>
      <w:r w:rsidR="009A66B7">
        <w:rPr>
          <w:rFonts w:ascii="Arial" w:hAnsi="Arial" w:cs="Arial"/>
        </w:rPr>
        <w:t xml:space="preserve">is seen to </w:t>
      </w:r>
      <w:r w:rsidR="00B47550">
        <w:rPr>
          <w:rFonts w:ascii="Arial" w:hAnsi="Arial" w:cs="Arial"/>
        </w:rPr>
        <w:t>result in different cut-off points</w:t>
      </w:r>
      <w:r w:rsidR="009A66B7">
        <w:rPr>
          <w:rFonts w:ascii="Arial" w:hAnsi="Arial" w:cs="Arial"/>
        </w:rPr>
        <w:t xml:space="preserve"> for the spline variables in the second stage of the method.</w:t>
      </w:r>
      <w:r w:rsidR="006119BC">
        <w:rPr>
          <w:rFonts w:ascii="Arial" w:hAnsi="Arial" w:cs="Arial"/>
        </w:rPr>
        <w:t xml:space="preserve"> </w:t>
      </w:r>
    </w:p>
    <w:p w:rsidR="006119BC" w:rsidRDefault="006119BC" w:rsidP="00B038B8">
      <w:pPr>
        <w:jc w:val="both"/>
        <w:rPr>
          <w:rFonts w:ascii="Arial" w:hAnsi="Arial" w:cs="Arial"/>
        </w:rPr>
      </w:pPr>
      <w:r>
        <w:rPr>
          <w:rFonts w:ascii="Arial" w:hAnsi="Arial" w:cs="Arial"/>
        </w:rPr>
        <w:t xml:space="preserve">The </w:t>
      </w:r>
      <w:r w:rsidR="00161660">
        <w:rPr>
          <w:rFonts w:ascii="Arial" w:hAnsi="Arial" w:cs="Arial"/>
        </w:rPr>
        <w:t xml:space="preserve">second stage in the two-step </w:t>
      </w:r>
      <w:r>
        <w:rPr>
          <w:rFonts w:ascii="Arial" w:hAnsi="Arial" w:cs="Arial"/>
        </w:rPr>
        <w:t>shortfall method can be expressed algebraically as</w:t>
      </w:r>
    </w:p>
    <w:p w:rsidR="00881FE7" w:rsidRDefault="006119BC" w:rsidP="00B038B8">
      <w:pPr>
        <w:rPr>
          <w:rFonts w:ascii="Arial" w:hAnsi="Arial" w:cs="Arial"/>
          <w:b/>
          <w:i/>
        </w:rPr>
      </w:pPr>
      <w:r w:rsidRPr="00881FE7">
        <w:rPr>
          <w:rFonts w:ascii="Arial" w:hAnsi="Arial" w:cs="Arial"/>
          <w:b/>
          <w:i/>
        </w:rPr>
        <w:t xml:space="preserve">Cost ratios = HB dummies + Supply + Predicted Prevalence </w:t>
      </w:r>
    </w:p>
    <w:p w:rsidR="006119BC" w:rsidRDefault="006119BC" w:rsidP="00B038B8">
      <w:pPr>
        <w:ind w:left="720" w:firstLine="720"/>
        <w:rPr>
          <w:rFonts w:ascii="Arial" w:hAnsi="Arial" w:cs="Arial"/>
          <w:b/>
          <w:i/>
        </w:rPr>
      </w:pPr>
      <w:r w:rsidRPr="00881FE7">
        <w:rPr>
          <w:rFonts w:ascii="Arial" w:hAnsi="Arial" w:cs="Arial"/>
          <w:b/>
          <w:i/>
        </w:rPr>
        <w:t xml:space="preserve">+ Acute Index splines </w:t>
      </w:r>
      <w:r w:rsidR="00881FE7">
        <w:rPr>
          <w:rFonts w:ascii="Arial" w:hAnsi="Arial" w:cs="Arial"/>
          <w:b/>
          <w:i/>
        </w:rPr>
        <w:t xml:space="preserve">+ </w:t>
      </w:r>
      <w:r w:rsidRPr="00881FE7">
        <w:rPr>
          <w:rFonts w:ascii="Arial" w:hAnsi="Arial" w:cs="Arial"/>
          <w:b/>
          <w:i/>
        </w:rPr>
        <w:t>errors</w:t>
      </w:r>
      <w:r w:rsidR="00881FE7" w:rsidRPr="00881FE7">
        <w:rPr>
          <w:rFonts w:ascii="Arial" w:hAnsi="Arial" w:cs="Arial"/>
          <w:b/>
          <w:i/>
        </w:rPr>
        <w:t>.</w:t>
      </w:r>
    </w:p>
    <w:p w:rsidR="00881FE7" w:rsidRDefault="00F05203" w:rsidP="00B038B8">
      <w:pPr>
        <w:jc w:val="both"/>
        <w:rPr>
          <w:rFonts w:ascii="Arial" w:hAnsi="Arial" w:cs="Arial"/>
        </w:rPr>
      </w:pPr>
      <w:r>
        <w:rPr>
          <w:rFonts w:ascii="Arial" w:hAnsi="Arial" w:cs="Arial"/>
        </w:rPr>
        <w:t xml:space="preserve">The detailed results of fitting the two-step shortfall method are included in Annex D. </w:t>
      </w:r>
      <w:r w:rsidR="00D03985">
        <w:rPr>
          <w:rFonts w:ascii="Arial" w:hAnsi="Arial" w:cs="Arial"/>
        </w:rPr>
        <w:t xml:space="preserve">Given the quality of the SHeS data and the </w:t>
      </w:r>
      <w:r w:rsidR="004112B3">
        <w:rPr>
          <w:rFonts w:ascii="Arial" w:hAnsi="Arial" w:cs="Arial"/>
        </w:rPr>
        <w:t xml:space="preserve">fact that the </w:t>
      </w:r>
      <w:r w:rsidR="00D03985">
        <w:rPr>
          <w:rFonts w:ascii="Arial" w:hAnsi="Arial" w:cs="Arial"/>
        </w:rPr>
        <w:t xml:space="preserve">predicted prevalence </w:t>
      </w:r>
      <w:r w:rsidR="004112B3">
        <w:rPr>
          <w:rFonts w:ascii="Arial" w:hAnsi="Arial" w:cs="Arial"/>
        </w:rPr>
        <w:t>values are</w:t>
      </w:r>
      <w:r w:rsidR="00D03985">
        <w:rPr>
          <w:rFonts w:ascii="Arial" w:hAnsi="Arial" w:cs="Arial"/>
        </w:rPr>
        <w:t xml:space="preserve"> quite “method-sensitive”</w:t>
      </w:r>
      <w:r w:rsidR="004112B3">
        <w:rPr>
          <w:rFonts w:ascii="Arial" w:hAnsi="Arial" w:cs="Arial"/>
        </w:rPr>
        <w:t>,</w:t>
      </w:r>
      <w:r w:rsidR="00D03985">
        <w:rPr>
          <w:rFonts w:ascii="Arial" w:hAnsi="Arial" w:cs="Arial"/>
        </w:rPr>
        <w:t xml:space="preserve"> the results from the </w:t>
      </w:r>
      <w:r w:rsidR="00362F52">
        <w:rPr>
          <w:rFonts w:ascii="Arial" w:hAnsi="Arial" w:cs="Arial"/>
        </w:rPr>
        <w:t>two-step</w:t>
      </w:r>
      <w:r w:rsidR="00D03985">
        <w:rPr>
          <w:rFonts w:ascii="Arial" w:hAnsi="Arial" w:cs="Arial"/>
        </w:rPr>
        <w:t xml:space="preserve"> shortfall method might not be </w:t>
      </w:r>
      <w:r w:rsidR="00161660">
        <w:rPr>
          <w:rFonts w:ascii="Arial" w:hAnsi="Arial" w:cs="Arial"/>
        </w:rPr>
        <w:t>robust</w:t>
      </w:r>
      <w:r w:rsidR="00D03985">
        <w:rPr>
          <w:rFonts w:ascii="Arial" w:hAnsi="Arial" w:cs="Arial"/>
        </w:rPr>
        <w:t xml:space="preserve">. </w:t>
      </w:r>
      <w:r w:rsidR="00881FE7">
        <w:rPr>
          <w:rFonts w:ascii="Arial" w:hAnsi="Arial" w:cs="Arial"/>
        </w:rPr>
        <w:t xml:space="preserve">The outcomes from fitting the </w:t>
      </w:r>
      <w:r w:rsidR="00161660">
        <w:rPr>
          <w:rFonts w:ascii="Arial" w:hAnsi="Arial" w:cs="Arial"/>
        </w:rPr>
        <w:t xml:space="preserve">simple </w:t>
      </w:r>
      <w:r w:rsidR="00881FE7">
        <w:rPr>
          <w:rFonts w:ascii="Arial" w:hAnsi="Arial" w:cs="Arial"/>
        </w:rPr>
        <w:t xml:space="preserve">and the </w:t>
      </w:r>
      <w:r w:rsidR="00161660">
        <w:rPr>
          <w:rFonts w:ascii="Arial" w:hAnsi="Arial" w:cs="Arial"/>
        </w:rPr>
        <w:t xml:space="preserve">two-step </w:t>
      </w:r>
      <w:r w:rsidR="00881FE7">
        <w:rPr>
          <w:rFonts w:ascii="Arial" w:hAnsi="Arial" w:cs="Arial"/>
        </w:rPr>
        <w:t xml:space="preserve">shortfall methods are similar for Respiratory and Cancer (significant unmet need for Cancer and significant overmet need for Respiratory in the deprived end). For Digestive and Heart, the outcomes are different and the </w:t>
      </w:r>
      <w:r w:rsidR="00161660">
        <w:rPr>
          <w:rFonts w:ascii="Arial" w:hAnsi="Arial" w:cs="Arial"/>
        </w:rPr>
        <w:t xml:space="preserve">two-step </w:t>
      </w:r>
      <w:r w:rsidR="00881FE7">
        <w:rPr>
          <w:rFonts w:ascii="Arial" w:hAnsi="Arial" w:cs="Arial"/>
        </w:rPr>
        <w:t xml:space="preserve">shortfall method identifies significant effects at both </w:t>
      </w:r>
      <w:r w:rsidR="00715AA9">
        <w:rPr>
          <w:rFonts w:ascii="Arial" w:hAnsi="Arial" w:cs="Arial"/>
        </w:rPr>
        <w:t>low and high values of the acute index</w:t>
      </w:r>
      <w:r w:rsidR="00D03985">
        <w:rPr>
          <w:rFonts w:ascii="Arial" w:hAnsi="Arial" w:cs="Arial"/>
        </w:rPr>
        <w:t xml:space="preserve">; however, the outcomes are in the opposite </w:t>
      </w:r>
      <w:r w:rsidR="00161660">
        <w:rPr>
          <w:rFonts w:ascii="Arial" w:hAnsi="Arial" w:cs="Arial"/>
        </w:rPr>
        <w:t xml:space="preserve">direction </w:t>
      </w:r>
      <w:r w:rsidR="00D03985">
        <w:rPr>
          <w:rFonts w:ascii="Arial" w:hAnsi="Arial" w:cs="Arial"/>
        </w:rPr>
        <w:t xml:space="preserve">to </w:t>
      </w:r>
      <w:r w:rsidR="00161660">
        <w:rPr>
          <w:rFonts w:ascii="Arial" w:hAnsi="Arial" w:cs="Arial"/>
        </w:rPr>
        <w:t xml:space="preserve">expectations </w:t>
      </w:r>
      <w:r w:rsidR="00D03985">
        <w:rPr>
          <w:rFonts w:ascii="Arial" w:hAnsi="Arial" w:cs="Arial"/>
        </w:rPr>
        <w:t xml:space="preserve">– significant unmet need in </w:t>
      </w:r>
      <w:r w:rsidR="00715AA9">
        <w:rPr>
          <w:rFonts w:ascii="Arial" w:hAnsi="Arial" w:cs="Arial"/>
        </w:rPr>
        <w:t xml:space="preserve">areas with the lowest </w:t>
      </w:r>
      <w:r w:rsidR="000D1722">
        <w:rPr>
          <w:rFonts w:ascii="Arial" w:hAnsi="Arial" w:cs="Arial"/>
        </w:rPr>
        <w:t>acute</w:t>
      </w:r>
      <w:r w:rsidR="00715AA9">
        <w:rPr>
          <w:rFonts w:ascii="Arial" w:hAnsi="Arial" w:cs="Arial"/>
        </w:rPr>
        <w:t xml:space="preserve"> index</w:t>
      </w:r>
      <w:r w:rsidR="00D03985">
        <w:rPr>
          <w:rFonts w:ascii="Arial" w:hAnsi="Arial" w:cs="Arial"/>
        </w:rPr>
        <w:t xml:space="preserve"> and overmet need in </w:t>
      </w:r>
      <w:r w:rsidR="00715AA9">
        <w:rPr>
          <w:rFonts w:ascii="Arial" w:hAnsi="Arial" w:cs="Arial"/>
        </w:rPr>
        <w:t xml:space="preserve">areas with the highest </w:t>
      </w:r>
      <w:r w:rsidR="000D1722">
        <w:rPr>
          <w:rFonts w:ascii="Arial" w:hAnsi="Arial" w:cs="Arial"/>
        </w:rPr>
        <w:t>acute</w:t>
      </w:r>
      <w:r w:rsidR="00715AA9">
        <w:rPr>
          <w:rFonts w:ascii="Arial" w:hAnsi="Arial" w:cs="Arial"/>
        </w:rPr>
        <w:t xml:space="preserve"> index</w:t>
      </w:r>
      <w:r w:rsidR="00D03985">
        <w:rPr>
          <w:rFonts w:ascii="Arial" w:hAnsi="Arial" w:cs="Arial"/>
        </w:rPr>
        <w:t>.</w:t>
      </w:r>
      <w:r w:rsidR="004112B3">
        <w:rPr>
          <w:rFonts w:ascii="Arial" w:hAnsi="Arial" w:cs="Arial"/>
        </w:rPr>
        <w:t xml:space="preserve"> What is happening here is that the spline variables are re-adjusting for the patterns imposed from the acute index – prevalence relationships, in which prevalence is seen to increase at the </w:t>
      </w:r>
      <w:r w:rsidR="00715AA9">
        <w:rPr>
          <w:rFonts w:ascii="Arial" w:hAnsi="Arial" w:cs="Arial"/>
        </w:rPr>
        <w:t>lowest acute index values</w:t>
      </w:r>
      <w:r w:rsidR="004112B3">
        <w:rPr>
          <w:rFonts w:ascii="Arial" w:hAnsi="Arial" w:cs="Arial"/>
        </w:rPr>
        <w:t xml:space="preserve"> (e.g. Fig</w:t>
      </w:r>
      <w:r w:rsidR="00911FE0">
        <w:rPr>
          <w:rFonts w:ascii="Arial" w:hAnsi="Arial" w:cs="Arial"/>
        </w:rPr>
        <w:t>ure</w:t>
      </w:r>
      <w:r w:rsidR="004112B3">
        <w:rPr>
          <w:rFonts w:ascii="Arial" w:hAnsi="Arial" w:cs="Arial"/>
        </w:rPr>
        <w:t xml:space="preserve"> 4.1).</w:t>
      </w:r>
      <w:r w:rsidR="00D03985">
        <w:rPr>
          <w:rFonts w:ascii="Arial" w:hAnsi="Arial" w:cs="Arial"/>
        </w:rPr>
        <w:t xml:space="preserve"> </w:t>
      </w:r>
    </w:p>
    <w:p w:rsidR="00423E48" w:rsidRDefault="00423E48" w:rsidP="00B038B8">
      <w:pPr>
        <w:jc w:val="both"/>
        <w:rPr>
          <w:rFonts w:ascii="Arial" w:hAnsi="Arial" w:cs="Arial"/>
          <w:b/>
        </w:rPr>
      </w:pPr>
    </w:p>
    <w:p w:rsidR="00B842E2" w:rsidRPr="00EA74EB" w:rsidRDefault="00B842E2" w:rsidP="00B038B8">
      <w:pPr>
        <w:jc w:val="both"/>
        <w:rPr>
          <w:rFonts w:ascii="Arial" w:hAnsi="Arial" w:cs="Arial"/>
          <w:b/>
        </w:rPr>
      </w:pPr>
      <w:r w:rsidRPr="00EA74EB">
        <w:rPr>
          <w:rFonts w:ascii="Arial" w:hAnsi="Arial" w:cs="Arial"/>
          <w:b/>
        </w:rPr>
        <w:lastRenderedPageBreak/>
        <w:t>4.3. Comparison of results</w:t>
      </w:r>
    </w:p>
    <w:p w:rsidR="00B842E2" w:rsidRDefault="00B842E2" w:rsidP="00EA74EB">
      <w:pPr>
        <w:jc w:val="both"/>
        <w:rPr>
          <w:rFonts w:ascii="Arial" w:hAnsi="Arial" w:cs="Arial"/>
        </w:rPr>
      </w:pPr>
      <w:r w:rsidRPr="00B96F13">
        <w:rPr>
          <w:rFonts w:ascii="Arial" w:hAnsi="Arial" w:cs="Arial"/>
        </w:rPr>
        <w:t xml:space="preserve">The </w:t>
      </w:r>
      <w:r>
        <w:rPr>
          <w:rFonts w:ascii="Arial" w:hAnsi="Arial" w:cs="Arial"/>
        </w:rPr>
        <w:t>two-step</w:t>
      </w:r>
      <w:r w:rsidRPr="00B96F13">
        <w:rPr>
          <w:rFonts w:ascii="Arial" w:hAnsi="Arial" w:cs="Arial"/>
        </w:rPr>
        <w:t xml:space="preserve"> shortfall method </w:t>
      </w:r>
      <w:r>
        <w:rPr>
          <w:rFonts w:ascii="Arial" w:hAnsi="Arial" w:cs="Arial"/>
        </w:rPr>
        <w:t xml:space="preserve">has been explored in the current work and the results </w:t>
      </w:r>
      <w:r w:rsidR="00EA74EB">
        <w:rPr>
          <w:rFonts w:ascii="Arial" w:hAnsi="Arial" w:cs="Arial"/>
        </w:rPr>
        <w:t>are presented</w:t>
      </w:r>
      <w:r>
        <w:rPr>
          <w:rFonts w:ascii="Arial" w:hAnsi="Arial" w:cs="Arial"/>
        </w:rPr>
        <w:t xml:space="preserve"> in Section 4.2.  However,</w:t>
      </w:r>
      <w:r w:rsidR="00AF5667">
        <w:rPr>
          <w:rFonts w:ascii="Arial" w:hAnsi="Arial" w:cs="Arial"/>
        </w:rPr>
        <w:t xml:space="preserve"> it is worth noting that although</w:t>
      </w:r>
      <w:r>
        <w:rPr>
          <w:rFonts w:ascii="Arial" w:hAnsi="Arial" w:cs="Arial"/>
        </w:rPr>
        <w:t xml:space="preserve"> the method </w:t>
      </w:r>
      <w:r w:rsidR="00AF5667">
        <w:rPr>
          <w:rFonts w:ascii="Arial" w:hAnsi="Arial" w:cs="Arial"/>
        </w:rPr>
        <w:t xml:space="preserve">is based on </w:t>
      </w:r>
      <w:proofErr w:type="spellStart"/>
      <w:r>
        <w:rPr>
          <w:rFonts w:ascii="Arial" w:hAnsi="Arial" w:cs="Arial"/>
        </w:rPr>
        <w:t>McConnachie</w:t>
      </w:r>
      <w:proofErr w:type="spellEnd"/>
      <w:r>
        <w:rPr>
          <w:rFonts w:ascii="Arial" w:hAnsi="Arial" w:cs="Arial"/>
        </w:rPr>
        <w:t xml:space="preserve"> and Sutton (2004)</w:t>
      </w:r>
      <w:r w:rsidR="00AF5667">
        <w:rPr>
          <w:rFonts w:ascii="Arial" w:hAnsi="Arial" w:cs="Arial"/>
        </w:rPr>
        <w:t>,</w:t>
      </w:r>
      <w:r>
        <w:rPr>
          <w:rFonts w:ascii="Arial" w:hAnsi="Arial" w:cs="Arial"/>
        </w:rPr>
        <w:t xml:space="preserve"> there </w:t>
      </w:r>
      <w:r w:rsidR="00AF5667">
        <w:rPr>
          <w:rFonts w:ascii="Arial" w:hAnsi="Arial" w:cs="Arial"/>
        </w:rPr>
        <w:t>are</w:t>
      </w:r>
      <w:r>
        <w:rPr>
          <w:rFonts w:ascii="Arial" w:hAnsi="Arial" w:cs="Arial"/>
        </w:rPr>
        <w:t xml:space="preserve"> some </w:t>
      </w:r>
      <w:r w:rsidR="00AF5667">
        <w:rPr>
          <w:rFonts w:ascii="Arial" w:hAnsi="Arial" w:cs="Arial"/>
        </w:rPr>
        <w:t xml:space="preserve">significant </w:t>
      </w:r>
      <w:r>
        <w:rPr>
          <w:rFonts w:ascii="Arial" w:hAnsi="Arial" w:cs="Arial"/>
        </w:rPr>
        <w:t>differences between the current implementation and the one</w:t>
      </w:r>
      <w:r w:rsidR="00AF5667">
        <w:rPr>
          <w:rFonts w:ascii="Arial" w:hAnsi="Arial" w:cs="Arial"/>
        </w:rPr>
        <w:t xml:space="preserve"> used</w:t>
      </w:r>
      <w:r>
        <w:rPr>
          <w:rFonts w:ascii="Arial" w:hAnsi="Arial" w:cs="Arial"/>
        </w:rPr>
        <w:t xml:space="preserve"> in</w:t>
      </w:r>
      <w:r w:rsidR="00AF5667">
        <w:rPr>
          <w:rFonts w:ascii="Arial" w:hAnsi="Arial" w:cs="Arial"/>
        </w:rPr>
        <w:t xml:space="preserve"> </w:t>
      </w:r>
      <w:proofErr w:type="spellStart"/>
      <w:r w:rsidR="00AF5667">
        <w:rPr>
          <w:rFonts w:ascii="Arial" w:hAnsi="Arial" w:cs="Arial"/>
        </w:rPr>
        <w:t>McConnachie</w:t>
      </w:r>
      <w:proofErr w:type="spellEnd"/>
      <w:r w:rsidR="00AF5667">
        <w:rPr>
          <w:rFonts w:ascii="Arial" w:hAnsi="Arial" w:cs="Arial"/>
        </w:rPr>
        <w:t xml:space="preserve"> and Sutton</w:t>
      </w:r>
      <w:r>
        <w:rPr>
          <w:rFonts w:ascii="Arial" w:hAnsi="Arial" w:cs="Arial"/>
        </w:rPr>
        <w:t xml:space="preserve"> </w:t>
      </w:r>
      <w:r w:rsidR="00AF5667">
        <w:rPr>
          <w:rFonts w:ascii="Arial" w:hAnsi="Arial" w:cs="Arial"/>
        </w:rPr>
        <w:t>(</w:t>
      </w:r>
      <w:r>
        <w:rPr>
          <w:rFonts w:ascii="Arial" w:hAnsi="Arial" w:cs="Arial"/>
        </w:rPr>
        <w:t>2004</w:t>
      </w:r>
      <w:r w:rsidR="00AF5667">
        <w:rPr>
          <w:rFonts w:ascii="Arial" w:hAnsi="Arial" w:cs="Arial"/>
        </w:rPr>
        <w:t>)</w:t>
      </w:r>
      <w:r>
        <w:rPr>
          <w:rFonts w:ascii="Arial" w:hAnsi="Arial" w:cs="Arial"/>
        </w:rPr>
        <w:t>:</w:t>
      </w:r>
    </w:p>
    <w:p w:rsidR="00B842E2" w:rsidRPr="00B842E2" w:rsidRDefault="00003B5B" w:rsidP="00EA74EB">
      <w:pPr>
        <w:pStyle w:val="ListParagraph"/>
        <w:numPr>
          <w:ilvl w:val="0"/>
          <w:numId w:val="10"/>
        </w:numPr>
        <w:rPr>
          <w:rFonts w:cs="Arial"/>
        </w:rPr>
      </w:pPr>
      <w:r>
        <w:rPr>
          <w:rFonts w:cs="Arial"/>
          <w:sz w:val="22"/>
        </w:rPr>
        <w:t>The predictors of prevalence are different</w:t>
      </w:r>
      <w:r w:rsidR="00B842E2">
        <w:rPr>
          <w:rFonts w:cs="Arial"/>
          <w:sz w:val="22"/>
        </w:rPr>
        <w:t>.</w:t>
      </w:r>
      <w:r>
        <w:rPr>
          <w:rFonts w:cs="Arial"/>
          <w:sz w:val="22"/>
        </w:rPr>
        <w:t xml:space="preserve"> The current acute index</w:t>
      </w:r>
      <w:r w:rsidR="006B577D">
        <w:rPr>
          <w:rFonts w:cs="Arial"/>
          <w:sz w:val="22"/>
        </w:rPr>
        <w:t xml:space="preserve"> contains </w:t>
      </w:r>
      <w:r>
        <w:rPr>
          <w:rFonts w:cs="Arial"/>
          <w:sz w:val="22"/>
        </w:rPr>
        <w:t xml:space="preserve">all </w:t>
      </w:r>
      <w:r w:rsidR="006B577D">
        <w:rPr>
          <w:rFonts w:cs="Arial"/>
          <w:sz w:val="22"/>
        </w:rPr>
        <w:t>cause SMR in ages 0-74 and LLTI</w:t>
      </w:r>
      <w:r>
        <w:rPr>
          <w:rFonts w:cs="Arial"/>
          <w:sz w:val="22"/>
        </w:rPr>
        <w:t>. However,</w:t>
      </w:r>
      <w:r w:rsidR="00B842E2">
        <w:rPr>
          <w:rFonts w:cs="Arial"/>
          <w:sz w:val="22"/>
        </w:rPr>
        <w:t xml:space="preserve"> </w:t>
      </w:r>
      <w:r>
        <w:rPr>
          <w:rFonts w:cs="Arial"/>
          <w:sz w:val="22"/>
        </w:rPr>
        <w:t>i</w:t>
      </w:r>
      <w:r w:rsidR="00B842E2">
        <w:rPr>
          <w:rFonts w:cs="Arial"/>
          <w:sz w:val="22"/>
        </w:rPr>
        <w:t xml:space="preserve">n 2004, the </w:t>
      </w:r>
      <w:proofErr w:type="spellStart"/>
      <w:r w:rsidR="00B842E2">
        <w:rPr>
          <w:rFonts w:cs="Arial"/>
          <w:sz w:val="22"/>
        </w:rPr>
        <w:t>Arbuthnott</w:t>
      </w:r>
      <w:proofErr w:type="spellEnd"/>
      <w:r w:rsidR="00B842E2">
        <w:rPr>
          <w:rFonts w:cs="Arial"/>
          <w:sz w:val="22"/>
        </w:rPr>
        <w:t xml:space="preserve"> index was </w:t>
      </w:r>
      <w:proofErr w:type="spellStart"/>
      <w:r w:rsidR="00B842E2">
        <w:rPr>
          <w:rFonts w:cs="Arial"/>
          <w:sz w:val="22"/>
        </w:rPr>
        <w:t>usedand</w:t>
      </w:r>
      <w:proofErr w:type="spellEnd"/>
      <w:r w:rsidR="00B842E2">
        <w:rPr>
          <w:rFonts w:cs="Arial"/>
          <w:sz w:val="22"/>
        </w:rPr>
        <w:t xml:space="preserve"> it contained not only morbidity variables</w:t>
      </w:r>
      <w:r w:rsidR="006B577D">
        <w:rPr>
          <w:rFonts w:cs="Arial"/>
          <w:sz w:val="22"/>
        </w:rPr>
        <w:t>:</w:t>
      </w:r>
    </w:p>
    <w:p w:rsidR="00B842E2" w:rsidRPr="008F6E23" w:rsidRDefault="00B842E2" w:rsidP="00EA74EB">
      <w:pPr>
        <w:pStyle w:val="ListParagraph"/>
        <w:numPr>
          <w:ilvl w:val="1"/>
          <w:numId w:val="10"/>
        </w:numPr>
        <w:rPr>
          <w:rFonts w:cs="Arial"/>
          <w:sz w:val="22"/>
        </w:rPr>
      </w:pPr>
      <w:r w:rsidRPr="008F6E23">
        <w:rPr>
          <w:rFonts w:cs="Arial"/>
          <w:sz w:val="22"/>
        </w:rPr>
        <w:t xml:space="preserve">all cause standardised mortality ratios in ages 0-64, </w:t>
      </w:r>
    </w:p>
    <w:p w:rsidR="00B842E2" w:rsidRPr="008F6E23" w:rsidRDefault="00B842E2" w:rsidP="00EA74EB">
      <w:pPr>
        <w:pStyle w:val="ListParagraph"/>
        <w:numPr>
          <w:ilvl w:val="1"/>
          <w:numId w:val="10"/>
        </w:numPr>
        <w:rPr>
          <w:rFonts w:cs="Arial"/>
          <w:sz w:val="22"/>
        </w:rPr>
      </w:pPr>
      <w:r w:rsidRPr="008F6E23">
        <w:rPr>
          <w:rFonts w:cs="Arial"/>
          <w:sz w:val="22"/>
        </w:rPr>
        <w:t xml:space="preserve">the proportion of households having 2 or more deprivation indicators, </w:t>
      </w:r>
    </w:p>
    <w:p w:rsidR="00B842E2" w:rsidRDefault="00B842E2" w:rsidP="00EA74EB">
      <w:pPr>
        <w:pStyle w:val="ListParagraph"/>
        <w:numPr>
          <w:ilvl w:val="1"/>
          <w:numId w:val="10"/>
        </w:numPr>
        <w:rPr>
          <w:rFonts w:cs="Arial"/>
          <w:sz w:val="22"/>
        </w:rPr>
      </w:pPr>
      <w:r w:rsidRPr="008F6E23">
        <w:rPr>
          <w:rFonts w:cs="Arial"/>
          <w:sz w:val="22"/>
        </w:rPr>
        <w:t>the proportion of the population of working age claiming unemployment benefit,</w:t>
      </w:r>
    </w:p>
    <w:p w:rsidR="00EA74EB" w:rsidRPr="00EA74EB" w:rsidRDefault="00B842E2" w:rsidP="00EA74EB">
      <w:pPr>
        <w:pStyle w:val="ListParagraph"/>
        <w:numPr>
          <w:ilvl w:val="1"/>
          <w:numId w:val="10"/>
        </w:numPr>
        <w:rPr>
          <w:rFonts w:cs="Arial"/>
        </w:rPr>
      </w:pPr>
      <w:r w:rsidRPr="008F6E23">
        <w:rPr>
          <w:rFonts w:cs="Arial"/>
          <w:sz w:val="22"/>
        </w:rPr>
        <w:t xml:space="preserve">the proportion of the population ages 65 and over claiming income </w:t>
      </w:r>
      <w:r w:rsidRPr="008F6E23">
        <w:rPr>
          <w:rFonts w:cs="Arial"/>
          <w:sz w:val="22"/>
          <w:szCs w:val="22"/>
        </w:rPr>
        <w:t>support;</w:t>
      </w:r>
    </w:p>
    <w:p w:rsidR="00A63F3D" w:rsidRPr="00DB43CE" w:rsidRDefault="00B842E2" w:rsidP="00A63F3D">
      <w:pPr>
        <w:pStyle w:val="ListParagraph"/>
        <w:numPr>
          <w:ilvl w:val="0"/>
          <w:numId w:val="10"/>
        </w:numPr>
        <w:rPr>
          <w:rFonts w:cs="Arial"/>
        </w:rPr>
      </w:pPr>
      <w:r>
        <w:rPr>
          <w:rFonts w:cs="Arial"/>
          <w:sz w:val="22"/>
          <w:szCs w:val="22"/>
        </w:rPr>
        <w:t xml:space="preserve">Arbuthnott areas were used for </w:t>
      </w:r>
      <w:r w:rsidR="00EA74EB">
        <w:rPr>
          <w:rFonts w:cs="Arial"/>
          <w:sz w:val="22"/>
          <w:szCs w:val="22"/>
        </w:rPr>
        <w:t>the analysis in 2004 (717 Arbuthnott areas) and Intermediate Zones have been used in the current work (1235 IZs);</w:t>
      </w:r>
      <w:r w:rsidR="00A63F3D" w:rsidRPr="00A63F3D">
        <w:rPr>
          <w:rFonts w:cs="Arial"/>
          <w:sz w:val="22"/>
          <w:szCs w:val="22"/>
        </w:rPr>
        <w:t xml:space="preserve"> </w:t>
      </w:r>
      <w:r w:rsidR="00A63F3D">
        <w:rPr>
          <w:rFonts w:cs="Arial"/>
          <w:sz w:val="22"/>
          <w:szCs w:val="22"/>
        </w:rPr>
        <w:t>Also, respondents were sampled from 451 out of 717 Arbuthnott areas and from 1231 out of 1235 Intermediate zones.</w:t>
      </w:r>
    </w:p>
    <w:p w:rsidR="00B842E2" w:rsidRPr="00A63F3D" w:rsidRDefault="00A63F3D" w:rsidP="00A63F3D">
      <w:pPr>
        <w:pStyle w:val="ListParagraph"/>
        <w:numPr>
          <w:ilvl w:val="0"/>
          <w:numId w:val="10"/>
        </w:numPr>
        <w:rPr>
          <w:rFonts w:cs="Arial"/>
        </w:rPr>
      </w:pPr>
      <w:r>
        <w:rPr>
          <w:rFonts w:cs="Arial"/>
          <w:sz w:val="22"/>
          <w:szCs w:val="22"/>
        </w:rPr>
        <w:t xml:space="preserve">Data from 1995 and 1998 waves of the </w:t>
      </w:r>
      <w:proofErr w:type="spellStart"/>
      <w:r>
        <w:rPr>
          <w:rFonts w:cs="Arial"/>
          <w:sz w:val="22"/>
          <w:szCs w:val="22"/>
        </w:rPr>
        <w:t>SHeS</w:t>
      </w:r>
      <w:proofErr w:type="spellEnd"/>
      <w:r>
        <w:rPr>
          <w:rFonts w:cs="Arial"/>
          <w:sz w:val="22"/>
          <w:szCs w:val="22"/>
        </w:rPr>
        <w:t xml:space="preserve"> were used by </w:t>
      </w:r>
      <w:proofErr w:type="spellStart"/>
      <w:r>
        <w:rPr>
          <w:rFonts w:cs="Arial"/>
          <w:sz w:val="22"/>
          <w:szCs w:val="22"/>
        </w:rPr>
        <w:t>McConnachie</w:t>
      </w:r>
      <w:proofErr w:type="spellEnd"/>
      <w:r>
        <w:rPr>
          <w:rFonts w:cs="Arial"/>
          <w:sz w:val="22"/>
          <w:szCs w:val="22"/>
        </w:rPr>
        <w:t xml:space="preserve"> and Sutton while in the current analysis four years of </w:t>
      </w:r>
      <w:proofErr w:type="spellStart"/>
      <w:r>
        <w:rPr>
          <w:rFonts w:cs="Arial"/>
          <w:sz w:val="22"/>
          <w:szCs w:val="22"/>
        </w:rPr>
        <w:t>SHeS</w:t>
      </w:r>
      <w:proofErr w:type="spellEnd"/>
      <w:r>
        <w:rPr>
          <w:rFonts w:cs="Arial"/>
          <w:sz w:val="22"/>
          <w:szCs w:val="22"/>
        </w:rPr>
        <w:t xml:space="preserve"> data are used (2008-2011). </w:t>
      </w:r>
    </w:p>
    <w:p w:rsidR="00EA74EB" w:rsidRPr="00EA74EB" w:rsidRDefault="00EA74EB" w:rsidP="00EA74EB">
      <w:pPr>
        <w:jc w:val="both"/>
        <w:rPr>
          <w:rFonts w:cs="Arial"/>
        </w:rPr>
      </w:pPr>
    </w:p>
    <w:p w:rsidR="00B842E2" w:rsidRDefault="00EA74EB" w:rsidP="00B038B8">
      <w:pPr>
        <w:jc w:val="both"/>
        <w:rPr>
          <w:rFonts w:ascii="Arial" w:hAnsi="Arial" w:cs="Arial"/>
        </w:rPr>
      </w:pPr>
      <w:r>
        <w:rPr>
          <w:rFonts w:ascii="Arial" w:hAnsi="Arial" w:cs="Arial"/>
        </w:rPr>
        <w:t xml:space="preserve">These </w:t>
      </w:r>
      <w:r w:rsidR="00FB7EA1">
        <w:rPr>
          <w:rFonts w:ascii="Arial" w:hAnsi="Arial" w:cs="Arial"/>
        </w:rPr>
        <w:t xml:space="preserve">differences </w:t>
      </w:r>
      <w:r>
        <w:rPr>
          <w:rFonts w:ascii="Arial" w:hAnsi="Arial" w:cs="Arial"/>
        </w:rPr>
        <w:t xml:space="preserve">could lead to </w:t>
      </w:r>
      <w:r w:rsidR="00FB7EA1">
        <w:rPr>
          <w:rFonts w:ascii="Arial" w:hAnsi="Arial" w:cs="Arial"/>
        </w:rPr>
        <w:t xml:space="preserve">variations </w:t>
      </w:r>
      <w:r>
        <w:rPr>
          <w:rFonts w:ascii="Arial" w:hAnsi="Arial" w:cs="Arial"/>
        </w:rPr>
        <w:t xml:space="preserve">in the results from the non-linear modelling since the </w:t>
      </w:r>
      <w:r w:rsidR="008719C7">
        <w:rPr>
          <w:rFonts w:ascii="Arial" w:hAnsi="Arial" w:cs="Arial"/>
        </w:rPr>
        <w:t>predictors of the prevalence</w:t>
      </w:r>
      <w:r>
        <w:rPr>
          <w:rFonts w:ascii="Arial" w:hAnsi="Arial" w:cs="Arial"/>
        </w:rPr>
        <w:t xml:space="preserve"> (</w:t>
      </w:r>
      <w:proofErr w:type="spellStart"/>
      <w:r>
        <w:rPr>
          <w:rFonts w:ascii="Arial" w:hAnsi="Arial" w:cs="Arial"/>
        </w:rPr>
        <w:t>Arbuthnott</w:t>
      </w:r>
      <w:proofErr w:type="spellEnd"/>
      <w:r>
        <w:rPr>
          <w:rFonts w:ascii="Arial" w:hAnsi="Arial" w:cs="Arial"/>
        </w:rPr>
        <w:t xml:space="preserve"> index and acute index) are not equivalent and the</w:t>
      </w:r>
      <w:r w:rsidR="00FB7EA1">
        <w:rPr>
          <w:rFonts w:ascii="Arial" w:hAnsi="Arial" w:cs="Arial"/>
        </w:rPr>
        <w:t>re are more</w:t>
      </w:r>
      <w:r>
        <w:rPr>
          <w:rFonts w:ascii="Arial" w:hAnsi="Arial" w:cs="Arial"/>
        </w:rPr>
        <w:t xml:space="preserve"> zero observations at the smaller geography</w:t>
      </w:r>
      <w:r w:rsidR="00FB7EA1">
        <w:rPr>
          <w:rFonts w:ascii="Arial" w:hAnsi="Arial" w:cs="Arial"/>
        </w:rPr>
        <w:t xml:space="preserve"> unit</w:t>
      </w:r>
      <w:r>
        <w:rPr>
          <w:rFonts w:ascii="Arial" w:hAnsi="Arial" w:cs="Arial"/>
        </w:rPr>
        <w:t xml:space="preserve">. </w:t>
      </w:r>
    </w:p>
    <w:p w:rsidR="00A63F3D" w:rsidRDefault="00A63F3D" w:rsidP="00A63F3D">
      <w:pPr>
        <w:jc w:val="both"/>
        <w:rPr>
          <w:rFonts w:ascii="Arial" w:hAnsi="Arial" w:cs="Arial"/>
        </w:rPr>
      </w:pPr>
      <w:r>
        <w:rPr>
          <w:rFonts w:ascii="Arial" w:hAnsi="Arial" w:cs="Arial"/>
        </w:rPr>
        <w:t xml:space="preserve">In 2004, </w:t>
      </w:r>
      <w:proofErr w:type="spellStart"/>
      <w:r>
        <w:rPr>
          <w:rFonts w:ascii="Arial" w:hAnsi="Arial" w:cs="Arial"/>
        </w:rPr>
        <w:t>McConnachie</w:t>
      </w:r>
      <w:proofErr w:type="spellEnd"/>
      <w:r>
        <w:rPr>
          <w:rFonts w:ascii="Arial" w:hAnsi="Arial" w:cs="Arial"/>
        </w:rPr>
        <w:t xml:space="preserve"> and Sutton found significant unmet need effects using the two-step shortfall method for Heart, Cancer and Respiratory and significant overmet need effects for Digestive in the most deprived areas. They also found significant unmet need effects for Cancer and Respiratory in the most affluent areas. These results are not generally consistent with those obtained for the present analysis, which could reflect (</w:t>
      </w:r>
      <w:proofErr w:type="spellStart"/>
      <w:r>
        <w:rPr>
          <w:rFonts w:ascii="Arial" w:hAnsi="Arial" w:cs="Arial"/>
        </w:rPr>
        <w:t>i</w:t>
      </w:r>
      <w:proofErr w:type="spellEnd"/>
      <w:r>
        <w:rPr>
          <w:rFonts w:ascii="Arial" w:hAnsi="Arial" w:cs="Arial"/>
        </w:rPr>
        <w:t xml:space="preserve">) methodological sensitivity in the two-step shortfall method, (ii) the difference in acute index, geographical scale and level of time-averaging, and / or (iii) real changes through time in the utilization </w:t>
      </w:r>
      <w:r w:rsidR="006B577D">
        <w:rPr>
          <w:rFonts w:ascii="Arial" w:hAnsi="Arial" w:cs="Arial"/>
        </w:rPr>
        <w:t>–</w:t>
      </w:r>
      <w:r>
        <w:rPr>
          <w:rFonts w:ascii="Arial" w:hAnsi="Arial" w:cs="Arial"/>
        </w:rPr>
        <w:t xml:space="preserve"> </w:t>
      </w:r>
      <w:r w:rsidR="006B577D">
        <w:rPr>
          <w:rFonts w:ascii="Arial" w:hAnsi="Arial" w:cs="Arial"/>
        </w:rPr>
        <w:t xml:space="preserve">acute index </w:t>
      </w:r>
      <w:r>
        <w:rPr>
          <w:rFonts w:ascii="Arial" w:hAnsi="Arial" w:cs="Arial"/>
        </w:rPr>
        <w:t xml:space="preserve">and/or prevalence - </w:t>
      </w:r>
      <w:r w:rsidR="006B577D">
        <w:rPr>
          <w:rFonts w:ascii="Arial" w:hAnsi="Arial" w:cs="Arial"/>
        </w:rPr>
        <w:t xml:space="preserve">acute index </w:t>
      </w:r>
      <w:r>
        <w:rPr>
          <w:rFonts w:ascii="Arial" w:hAnsi="Arial" w:cs="Arial"/>
        </w:rPr>
        <w:t xml:space="preserve">relationships. In 2004, </w:t>
      </w:r>
      <w:proofErr w:type="spellStart"/>
      <w:r>
        <w:rPr>
          <w:rFonts w:ascii="Arial" w:hAnsi="Arial" w:cs="Arial"/>
        </w:rPr>
        <w:t>McConnachie</w:t>
      </w:r>
      <w:proofErr w:type="spellEnd"/>
      <w:r>
        <w:rPr>
          <w:rFonts w:ascii="Arial" w:hAnsi="Arial" w:cs="Arial"/>
        </w:rPr>
        <w:t xml:space="preserve"> and Sutton only applied the simple shortfall method to the Heart diagnostic group and this did now show any significant unmet/overmet need effects. This result is consistent with the present analysis.</w:t>
      </w:r>
    </w:p>
    <w:p w:rsidR="00D35011" w:rsidRDefault="00D35011" w:rsidP="00D35011">
      <w:pPr>
        <w:jc w:val="both"/>
        <w:rPr>
          <w:rFonts w:ascii="Arial" w:hAnsi="Arial" w:cs="Arial"/>
        </w:rPr>
      </w:pPr>
    </w:p>
    <w:p w:rsidR="00925EE2" w:rsidRPr="00D35011" w:rsidRDefault="00925EE2" w:rsidP="00D35011">
      <w:pPr>
        <w:jc w:val="both"/>
        <w:rPr>
          <w:rFonts w:ascii="Arial" w:hAnsi="Arial" w:cs="Arial"/>
        </w:rPr>
      </w:pPr>
      <w:r>
        <w:rPr>
          <w:rFonts w:ascii="Arial" w:hAnsi="Arial" w:cs="Arial"/>
          <w:b/>
        </w:rPr>
        <w:t xml:space="preserve">5. </w:t>
      </w:r>
      <w:r w:rsidR="008C1734">
        <w:rPr>
          <w:rFonts w:ascii="Arial" w:hAnsi="Arial" w:cs="Arial"/>
          <w:b/>
        </w:rPr>
        <w:t>Discussion</w:t>
      </w:r>
    </w:p>
    <w:p w:rsidR="00002C84" w:rsidRDefault="00C73BAF" w:rsidP="00B038B8">
      <w:pPr>
        <w:jc w:val="both"/>
        <w:rPr>
          <w:rFonts w:ascii="Arial" w:hAnsi="Arial" w:cs="Arial"/>
        </w:rPr>
      </w:pPr>
      <w:r>
        <w:rPr>
          <w:rFonts w:ascii="Arial" w:hAnsi="Arial" w:cs="Arial"/>
        </w:rPr>
        <w:t xml:space="preserve">The results of the analysis have been discussed within AST and with </w:t>
      </w:r>
      <w:r w:rsidR="009C7E2E">
        <w:rPr>
          <w:rFonts w:ascii="Arial" w:hAnsi="Arial" w:cs="Arial"/>
        </w:rPr>
        <w:t xml:space="preserve">Professor </w:t>
      </w:r>
      <w:r>
        <w:rPr>
          <w:rFonts w:ascii="Arial" w:hAnsi="Arial" w:cs="Arial"/>
        </w:rPr>
        <w:t>Matt Sutton. It was agreed that t</w:t>
      </w:r>
      <w:r w:rsidR="008C1734">
        <w:rPr>
          <w:rFonts w:ascii="Arial" w:hAnsi="Arial" w:cs="Arial"/>
        </w:rPr>
        <w:t xml:space="preserve">he analysis presented in Section 4 provides evidence that the </w:t>
      </w:r>
      <w:r w:rsidR="00161660">
        <w:rPr>
          <w:rFonts w:ascii="Arial" w:hAnsi="Arial" w:cs="Arial"/>
        </w:rPr>
        <w:t xml:space="preserve">two-step </w:t>
      </w:r>
      <w:r w:rsidR="008C1734">
        <w:rPr>
          <w:rFonts w:ascii="Arial" w:hAnsi="Arial" w:cs="Arial"/>
        </w:rPr>
        <w:t xml:space="preserve">shortfall method </w:t>
      </w:r>
      <w:r>
        <w:rPr>
          <w:rFonts w:ascii="Arial" w:hAnsi="Arial" w:cs="Arial"/>
        </w:rPr>
        <w:t xml:space="preserve">should not be used to identify unmet/overmet need across the acute diagnostic groups. </w:t>
      </w:r>
      <w:r w:rsidR="004112B3">
        <w:rPr>
          <w:rFonts w:ascii="Arial" w:hAnsi="Arial" w:cs="Arial"/>
        </w:rPr>
        <w:t>The</w:t>
      </w:r>
      <w:r>
        <w:rPr>
          <w:rFonts w:ascii="Arial" w:hAnsi="Arial" w:cs="Arial"/>
        </w:rPr>
        <w:t xml:space="preserve"> main reasons </w:t>
      </w:r>
      <w:r w:rsidR="004112B3">
        <w:rPr>
          <w:rFonts w:ascii="Arial" w:hAnsi="Arial" w:cs="Arial"/>
        </w:rPr>
        <w:t xml:space="preserve">for this </w:t>
      </w:r>
      <w:r>
        <w:rPr>
          <w:rFonts w:ascii="Arial" w:hAnsi="Arial" w:cs="Arial"/>
        </w:rPr>
        <w:t>are (i)</w:t>
      </w:r>
      <w:r w:rsidR="00CD66A5">
        <w:rPr>
          <w:rFonts w:ascii="Arial" w:hAnsi="Arial" w:cs="Arial"/>
        </w:rPr>
        <w:t xml:space="preserve"> the current acute index</w:t>
      </w:r>
      <w:r w:rsidR="000D1C0E">
        <w:rPr>
          <w:rFonts w:ascii="Arial" w:hAnsi="Arial" w:cs="Arial"/>
        </w:rPr>
        <w:t xml:space="preserve"> contains different variables compared to the Arbuthnott index</w:t>
      </w:r>
      <w:r w:rsidR="00911FE0">
        <w:rPr>
          <w:rStyle w:val="FootnoteReference"/>
          <w:rFonts w:ascii="Arial" w:hAnsi="Arial" w:cs="Arial"/>
        </w:rPr>
        <w:footnoteReference w:id="2"/>
      </w:r>
      <w:r w:rsidR="00CD66A5">
        <w:rPr>
          <w:rFonts w:ascii="Arial" w:hAnsi="Arial" w:cs="Arial"/>
        </w:rPr>
        <w:t>, (ii)</w:t>
      </w:r>
      <w:r>
        <w:rPr>
          <w:rFonts w:ascii="Arial" w:hAnsi="Arial" w:cs="Arial"/>
        </w:rPr>
        <w:t xml:space="preserve"> the large number of zero SHeS data points </w:t>
      </w:r>
      <w:r>
        <w:rPr>
          <w:rFonts w:ascii="Arial" w:hAnsi="Arial" w:cs="Arial"/>
        </w:rPr>
        <w:lastRenderedPageBreak/>
        <w:t>(zero prevalence)</w:t>
      </w:r>
      <w:r w:rsidR="004112B3">
        <w:rPr>
          <w:rFonts w:ascii="Arial" w:hAnsi="Arial" w:cs="Arial"/>
        </w:rPr>
        <w:t>, even at Intermediate Zone geographies</w:t>
      </w:r>
      <w:r>
        <w:rPr>
          <w:rFonts w:ascii="Arial" w:hAnsi="Arial" w:cs="Arial"/>
        </w:rPr>
        <w:t>, (ii</w:t>
      </w:r>
      <w:r w:rsidR="00CD66A5">
        <w:rPr>
          <w:rFonts w:ascii="Arial" w:hAnsi="Arial" w:cs="Arial"/>
        </w:rPr>
        <w:t>i</w:t>
      </w:r>
      <w:r>
        <w:rPr>
          <w:rFonts w:ascii="Arial" w:hAnsi="Arial" w:cs="Arial"/>
        </w:rPr>
        <w:t>) the choice of the type of the non-linear model affects the final cut-off points which introduces</w:t>
      </w:r>
      <w:r w:rsidR="004112B3">
        <w:rPr>
          <w:rFonts w:ascii="Arial" w:hAnsi="Arial" w:cs="Arial"/>
        </w:rPr>
        <w:t xml:space="preserve"> methodological</w:t>
      </w:r>
      <w:r w:rsidR="00CD66A5">
        <w:rPr>
          <w:rFonts w:ascii="Arial" w:hAnsi="Arial" w:cs="Arial"/>
        </w:rPr>
        <w:t xml:space="preserve"> subjectivity</w:t>
      </w:r>
      <w:r w:rsidR="00002C84">
        <w:rPr>
          <w:rFonts w:ascii="Arial" w:hAnsi="Arial" w:cs="Arial"/>
        </w:rPr>
        <w:t>.</w:t>
      </w:r>
    </w:p>
    <w:p w:rsidR="00CD66A5" w:rsidRDefault="00CD66A5" w:rsidP="00B038B8">
      <w:pPr>
        <w:jc w:val="both"/>
        <w:rPr>
          <w:rFonts w:ascii="Arial" w:hAnsi="Arial" w:cs="Arial"/>
        </w:rPr>
      </w:pPr>
      <w:r>
        <w:rPr>
          <w:rFonts w:ascii="Arial" w:hAnsi="Arial" w:cs="Arial"/>
        </w:rPr>
        <w:t xml:space="preserve">The </w:t>
      </w:r>
      <w:r w:rsidR="00161660">
        <w:rPr>
          <w:rFonts w:ascii="Arial" w:hAnsi="Arial" w:cs="Arial"/>
        </w:rPr>
        <w:t xml:space="preserve">simple </w:t>
      </w:r>
      <w:r>
        <w:rPr>
          <w:rFonts w:ascii="Arial" w:hAnsi="Arial" w:cs="Arial"/>
        </w:rPr>
        <w:t xml:space="preserve">shortfall method </w:t>
      </w:r>
      <w:r w:rsidR="00161660">
        <w:rPr>
          <w:rFonts w:ascii="Arial" w:hAnsi="Arial" w:cs="Arial"/>
        </w:rPr>
        <w:t xml:space="preserve">may in fact be </w:t>
      </w:r>
      <w:r>
        <w:rPr>
          <w:rFonts w:ascii="Arial" w:hAnsi="Arial" w:cs="Arial"/>
        </w:rPr>
        <w:t xml:space="preserve">considered </w:t>
      </w:r>
      <w:r w:rsidR="00161660">
        <w:rPr>
          <w:rFonts w:ascii="Arial" w:hAnsi="Arial" w:cs="Arial"/>
        </w:rPr>
        <w:t>to be the more reliable approach</w:t>
      </w:r>
      <w:r>
        <w:rPr>
          <w:rFonts w:ascii="Arial" w:hAnsi="Arial" w:cs="Arial"/>
        </w:rPr>
        <w:t xml:space="preserve"> for the unmet need investigation. The </w:t>
      </w:r>
      <w:r w:rsidR="004112B3">
        <w:rPr>
          <w:rFonts w:ascii="Arial" w:hAnsi="Arial" w:cs="Arial"/>
        </w:rPr>
        <w:t xml:space="preserve">presence of </w:t>
      </w:r>
      <w:r>
        <w:rPr>
          <w:rFonts w:ascii="Arial" w:hAnsi="Arial" w:cs="Arial"/>
        </w:rPr>
        <w:t xml:space="preserve">significant overmet need effects </w:t>
      </w:r>
      <w:r w:rsidR="00EC18F0">
        <w:rPr>
          <w:rFonts w:ascii="Arial" w:hAnsi="Arial" w:cs="Arial"/>
        </w:rPr>
        <w:t xml:space="preserve">in areas with the highest </w:t>
      </w:r>
      <w:r w:rsidR="004B3BD9">
        <w:rPr>
          <w:rFonts w:ascii="Arial" w:hAnsi="Arial" w:cs="Arial"/>
        </w:rPr>
        <w:t>acute index values</w:t>
      </w:r>
      <w:r w:rsidR="004112B3">
        <w:rPr>
          <w:rFonts w:ascii="Arial" w:hAnsi="Arial" w:cs="Arial"/>
        </w:rPr>
        <w:t xml:space="preserve"> </w:t>
      </w:r>
      <w:r>
        <w:rPr>
          <w:rFonts w:ascii="Arial" w:hAnsi="Arial" w:cs="Arial"/>
        </w:rPr>
        <w:t>for Respiratory might be due to severity issues, i.e. more expensive cases</w:t>
      </w:r>
      <w:r w:rsidR="004112B3">
        <w:rPr>
          <w:rFonts w:ascii="Arial" w:hAnsi="Arial" w:cs="Arial"/>
        </w:rPr>
        <w:t>,</w:t>
      </w:r>
      <w:r>
        <w:rPr>
          <w:rFonts w:ascii="Arial" w:hAnsi="Arial" w:cs="Arial"/>
        </w:rPr>
        <w:t xml:space="preserve"> but not more cases and not better access to services. The significant unmet need effects for Cancer </w:t>
      </w:r>
      <w:r w:rsidR="00161660">
        <w:rPr>
          <w:rFonts w:ascii="Arial" w:hAnsi="Arial" w:cs="Arial"/>
        </w:rPr>
        <w:t xml:space="preserve">are </w:t>
      </w:r>
      <w:r w:rsidR="004112B3">
        <w:rPr>
          <w:rFonts w:ascii="Arial" w:hAnsi="Arial" w:cs="Arial"/>
        </w:rPr>
        <w:t xml:space="preserve">potentially more </w:t>
      </w:r>
      <w:r w:rsidR="00161660">
        <w:rPr>
          <w:rFonts w:ascii="Arial" w:hAnsi="Arial" w:cs="Arial"/>
        </w:rPr>
        <w:t>difficult to rationalise</w:t>
      </w:r>
      <w:r>
        <w:rPr>
          <w:rFonts w:ascii="Arial" w:hAnsi="Arial" w:cs="Arial"/>
        </w:rPr>
        <w:t>. Clinical i</w:t>
      </w:r>
      <w:r w:rsidR="009C7E2E">
        <w:rPr>
          <w:rFonts w:ascii="Arial" w:hAnsi="Arial" w:cs="Arial"/>
        </w:rPr>
        <w:t xml:space="preserve">nput will be requested from ISD </w:t>
      </w:r>
      <w:r>
        <w:rPr>
          <w:rFonts w:ascii="Arial" w:hAnsi="Arial" w:cs="Arial"/>
        </w:rPr>
        <w:t>Consultants</w:t>
      </w:r>
      <w:r w:rsidR="009C7E2E">
        <w:rPr>
          <w:rFonts w:ascii="Arial" w:hAnsi="Arial" w:cs="Arial"/>
        </w:rPr>
        <w:t xml:space="preserve"> in Public Health</w:t>
      </w:r>
      <w:r>
        <w:rPr>
          <w:rFonts w:ascii="Arial" w:hAnsi="Arial" w:cs="Arial"/>
        </w:rPr>
        <w:t xml:space="preserve"> for both Cancer and Respiratory unmet/overmet need</w:t>
      </w:r>
      <w:r w:rsidR="004112B3">
        <w:rPr>
          <w:rFonts w:ascii="Arial" w:hAnsi="Arial" w:cs="Arial"/>
        </w:rPr>
        <w:t xml:space="preserve"> before decisions are made whether to adjust for these effects.</w:t>
      </w:r>
    </w:p>
    <w:p w:rsidR="00C73BAF" w:rsidRDefault="00C73BAF" w:rsidP="00B038B8">
      <w:pPr>
        <w:jc w:val="both"/>
        <w:rPr>
          <w:rFonts w:ascii="Arial" w:hAnsi="Arial" w:cs="Arial"/>
        </w:rPr>
      </w:pPr>
      <w:r>
        <w:rPr>
          <w:rFonts w:ascii="Arial" w:hAnsi="Arial" w:cs="Arial"/>
        </w:rPr>
        <w:t>The suggested next steps for the un</w:t>
      </w:r>
      <w:r w:rsidR="00CA4CFB">
        <w:rPr>
          <w:rFonts w:ascii="Arial" w:hAnsi="Arial" w:cs="Arial"/>
        </w:rPr>
        <w:t>met need analysis are as follows</w:t>
      </w:r>
    </w:p>
    <w:p w:rsidR="003D4602" w:rsidRPr="003D4602" w:rsidRDefault="003D4602" w:rsidP="00B038B8">
      <w:pPr>
        <w:pStyle w:val="ListParagraph"/>
        <w:numPr>
          <w:ilvl w:val="0"/>
          <w:numId w:val="8"/>
        </w:numPr>
        <w:spacing w:line="276" w:lineRule="auto"/>
        <w:rPr>
          <w:rFonts w:cs="Arial"/>
        </w:rPr>
      </w:pPr>
      <w:r>
        <w:rPr>
          <w:rFonts w:cs="Arial"/>
          <w:sz w:val="22"/>
        </w:rPr>
        <w:t xml:space="preserve">Ask for clinical input from ISD </w:t>
      </w:r>
      <w:r w:rsidR="009C7E2E">
        <w:rPr>
          <w:rFonts w:cs="Arial"/>
          <w:sz w:val="22"/>
        </w:rPr>
        <w:t>Consultants in Public Health</w:t>
      </w:r>
      <w:r>
        <w:rPr>
          <w:rFonts w:cs="Arial"/>
          <w:sz w:val="22"/>
        </w:rPr>
        <w:t xml:space="preserve"> on the Cancer and Respiratory results</w:t>
      </w:r>
    </w:p>
    <w:p w:rsidR="00CA4CFB" w:rsidRPr="00002C84" w:rsidRDefault="00CA4CFB" w:rsidP="00B038B8">
      <w:pPr>
        <w:pStyle w:val="ListParagraph"/>
        <w:numPr>
          <w:ilvl w:val="0"/>
          <w:numId w:val="7"/>
        </w:numPr>
        <w:spacing w:line="276" w:lineRule="auto"/>
        <w:rPr>
          <w:rFonts w:cs="Arial"/>
        </w:rPr>
      </w:pPr>
      <w:r>
        <w:rPr>
          <w:rFonts w:cs="Arial"/>
          <w:sz w:val="22"/>
        </w:rPr>
        <w:t xml:space="preserve">Fit the </w:t>
      </w:r>
      <w:r w:rsidR="00161660">
        <w:rPr>
          <w:rFonts w:cs="Arial"/>
          <w:sz w:val="22"/>
        </w:rPr>
        <w:t xml:space="preserve">simple </w:t>
      </w:r>
      <w:r>
        <w:rPr>
          <w:rFonts w:cs="Arial"/>
          <w:sz w:val="22"/>
        </w:rPr>
        <w:t>shortfall method at Data Zones since this is the geography chosen for the Review</w:t>
      </w:r>
      <w:r w:rsidR="003D4602">
        <w:rPr>
          <w:rFonts w:cs="Arial"/>
          <w:sz w:val="22"/>
        </w:rPr>
        <w:t xml:space="preserve"> and check the consistency of the results between Intermediate Zones and Data Zones</w:t>
      </w:r>
    </w:p>
    <w:p w:rsidR="00002C84" w:rsidRPr="003D4602" w:rsidRDefault="00002C84" w:rsidP="00002C84">
      <w:pPr>
        <w:pStyle w:val="ListParagraph"/>
        <w:numPr>
          <w:ilvl w:val="0"/>
          <w:numId w:val="7"/>
        </w:numPr>
        <w:spacing w:line="276" w:lineRule="auto"/>
        <w:rPr>
          <w:rFonts w:cs="Arial"/>
        </w:rPr>
      </w:pPr>
      <w:r>
        <w:rPr>
          <w:rFonts w:cs="Arial"/>
          <w:sz w:val="22"/>
        </w:rPr>
        <w:t xml:space="preserve">Fit the simple shortfall method at </w:t>
      </w:r>
      <w:r w:rsidR="006722B9">
        <w:rPr>
          <w:rFonts w:cs="Arial"/>
          <w:sz w:val="22"/>
        </w:rPr>
        <w:t xml:space="preserve">redrawn </w:t>
      </w:r>
      <w:r>
        <w:rPr>
          <w:rFonts w:cs="Arial"/>
          <w:sz w:val="22"/>
        </w:rPr>
        <w:t>Data Zones once the ‘new’ acute index is selected and check the validity of the results</w:t>
      </w:r>
      <w:r w:rsidR="00546BD8">
        <w:rPr>
          <w:rFonts w:cs="Arial"/>
          <w:sz w:val="22"/>
        </w:rPr>
        <w:t>;</w:t>
      </w:r>
    </w:p>
    <w:p w:rsidR="003D4602" w:rsidRPr="003D4602" w:rsidRDefault="003D4602" w:rsidP="00B038B8">
      <w:pPr>
        <w:ind w:left="360"/>
        <w:rPr>
          <w:rFonts w:cs="Arial"/>
        </w:rPr>
      </w:pPr>
    </w:p>
    <w:p w:rsidR="00925EE2" w:rsidRPr="009A6B96" w:rsidRDefault="00954B0B" w:rsidP="00B038B8">
      <w:pPr>
        <w:jc w:val="both"/>
        <w:rPr>
          <w:rFonts w:ascii="Arial" w:hAnsi="Arial" w:cs="Arial"/>
          <w:b/>
        </w:rPr>
      </w:pPr>
      <w:r>
        <w:rPr>
          <w:rFonts w:ascii="Arial" w:hAnsi="Arial" w:cs="Arial"/>
          <w:b/>
        </w:rPr>
        <w:t>The subgroup is</w:t>
      </w:r>
      <w:r w:rsidR="009A6B96" w:rsidRPr="009A6B96">
        <w:rPr>
          <w:rFonts w:ascii="Arial" w:hAnsi="Arial" w:cs="Arial"/>
          <w:b/>
        </w:rPr>
        <w:t xml:space="preserve"> asked to discuss the recommendation </w:t>
      </w:r>
      <w:r w:rsidR="004112B3">
        <w:rPr>
          <w:rFonts w:ascii="Arial" w:hAnsi="Arial" w:cs="Arial"/>
          <w:b/>
        </w:rPr>
        <w:t xml:space="preserve">to use the simple shortfall method </w:t>
      </w:r>
      <w:r w:rsidR="009A6B96" w:rsidRPr="009A6B96">
        <w:rPr>
          <w:rFonts w:ascii="Arial" w:hAnsi="Arial" w:cs="Arial"/>
          <w:b/>
        </w:rPr>
        <w:t xml:space="preserve">as the main method for the unmet need investigation and </w:t>
      </w:r>
      <w:r w:rsidR="004112B3">
        <w:rPr>
          <w:rFonts w:ascii="Arial" w:hAnsi="Arial" w:cs="Arial"/>
          <w:b/>
        </w:rPr>
        <w:t xml:space="preserve">to </w:t>
      </w:r>
      <w:r w:rsidR="009C7E2E">
        <w:rPr>
          <w:rFonts w:ascii="Arial" w:hAnsi="Arial" w:cs="Arial"/>
          <w:b/>
        </w:rPr>
        <w:t xml:space="preserve">agree </w:t>
      </w:r>
      <w:r w:rsidR="009A6B96" w:rsidRPr="009A6B96">
        <w:rPr>
          <w:rFonts w:ascii="Arial" w:hAnsi="Arial" w:cs="Arial"/>
          <w:b/>
        </w:rPr>
        <w:t xml:space="preserve">the next steps for the analysis. </w:t>
      </w:r>
    </w:p>
    <w:p w:rsidR="009E646A" w:rsidRDefault="009E646A" w:rsidP="00B038B8"/>
    <w:p w:rsidR="009E646A" w:rsidRDefault="009E646A" w:rsidP="00B038B8">
      <w:r>
        <w:br w:type="page"/>
      </w:r>
    </w:p>
    <w:p w:rsidR="006D2FF6" w:rsidRPr="004349B4" w:rsidRDefault="004349B4" w:rsidP="00B038B8">
      <w:pPr>
        <w:rPr>
          <w:rFonts w:ascii="Arial" w:hAnsi="Arial" w:cs="Arial"/>
          <w:b/>
        </w:rPr>
      </w:pPr>
      <w:r>
        <w:rPr>
          <w:rFonts w:ascii="Arial" w:hAnsi="Arial" w:cs="Arial"/>
          <w:b/>
        </w:rPr>
        <w:lastRenderedPageBreak/>
        <w:t>ANNEX</w:t>
      </w:r>
      <w:r w:rsidR="009E646A" w:rsidRPr="00A11599">
        <w:rPr>
          <w:rFonts w:ascii="Arial" w:hAnsi="Arial" w:cs="Arial"/>
          <w:b/>
        </w:rPr>
        <w:t xml:space="preserve"> A</w:t>
      </w:r>
      <w:r w:rsidR="00A11599" w:rsidRPr="00A11599">
        <w:rPr>
          <w:rFonts w:ascii="Arial" w:hAnsi="Arial" w:cs="Arial"/>
          <w:b/>
        </w:rPr>
        <w:t xml:space="preserve">: </w:t>
      </w:r>
      <w:r>
        <w:rPr>
          <w:rFonts w:ascii="Arial" w:hAnsi="Arial" w:cs="Arial"/>
          <w:b/>
          <w:caps/>
        </w:rPr>
        <w:t>D</w:t>
      </w:r>
      <w:r>
        <w:rPr>
          <w:rFonts w:ascii="Arial" w:hAnsi="Arial" w:cs="Arial"/>
          <w:b/>
        </w:rPr>
        <w:t>efinition of spline variables</w:t>
      </w:r>
    </w:p>
    <w:p w:rsidR="00A11599" w:rsidRDefault="00A11599" w:rsidP="00B038B8">
      <w:pPr>
        <w:jc w:val="both"/>
        <w:rPr>
          <w:rFonts w:ascii="Arial" w:hAnsi="Arial" w:cs="Arial"/>
        </w:rPr>
      </w:pPr>
      <w:r>
        <w:rPr>
          <w:rFonts w:ascii="Arial" w:hAnsi="Arial" w:cs="Arial"/>
        </w:rPr>
        <w:t xml:space="preserve">The spline variables are included in the </w:t>
      </w:r>
      <w:r w:rsidR="00672E1E">
        <w:rPr>
          <w:rFonts w:ascii="Arial" w:hAnsi="Arial" w:cs="Arial"/>
        </w:rPr>
        <w:t xml:space="preserve">simple </w:t>
      </w:r>
      <w:r>
        <w:rPr>
          <w:rFonts w:ascii="Arial" w:hAnsi="Arial" w:cs="Arial"/>
        </w:rPr>
        <w:t xml:space="preserve">and </w:t>
      </w:r>
      <w:r w:rsidR="00672E1E">
        <w:rPr>
          <w:rFonts w:ascii="Arial" w:hAnsi="Arial" w:cs="Arial"/>
        </w:rPr>
        <w:t xml:space="preserve">two-step </w:t>
      </w:r>
      <w:r>
        <w:rPr>
          <w:rFonts w:ascii="Arial" w:hAnsi="Arial" w:cs="Arial"/>
        </w:rPr>
        <w:t>shortfall methods and they are defined using the acute index values (x</w:t>
      </w:r>
      <w:r>
        <w:rPr>
          <w:rFonts w:ascii="Arial" w:hAnsi="Arial" w:cs="Arial"/>
          <w:vertAlign w:val="subscript"/>
        </w:rPr>
        <w:t>i</w:t>
      </w:r>
      <w:r w:rsidR="005F161F">
        <w:rPr>
          <w:rFonts w:ascii="Arial" w:hAnsi="Arial" w:cs="Arial"/>
        </w:rPr>
        <w:t xml:space="preserve">, where i </w:t>
      </w:r>
      <w:proofErr w:type="gramStart"/>
      <w:r w:rsidR="005F161F">
        <w:rPr>
          <w:rFonts w:ascii="Arial" w:hAnsi="Arial" w:cs="Arial"/>
        </w:rPr>
        <w:t>is</w:t>
      </w:r>
      <w:proofErr w:type="gramEnd"/>
      <w:r w:rsidR="005F161F">
        <w:rPr>
          <w:rFonts w:ascii="Arial" w:hAnsi="Arial" w:cs="Arial"/>
        </w:rPr>
        <w:t xml:space="preserve"> between 1 and 1235 for each Intermediate Zone</w:t>
      </w:r>
      <w:r>
        <w:rPr>
          <w:rFonts w:ascii="Arial" w:hAnsi="Arial" w:cs="Arial"/>
        </w:rPr>
        <w:t>). Splines are included for both most affluent (5</w:t>
      </w:r>
      <w:r w:rsidRPr="00A11599">
        <w:rPr>
          <w:rFonts w:ascii="Arial" w:hAnsi="Arial" w:cs="Arial"/>
          <w:vertAlign w:val="superscript"/>
        </w:rPr>
        <w:t>th</w:t>
      </w:r>
      <w:r>
        <w:rPr>
          <w:rFonts w:ascii="Arial" w:hAnsi="Arial" w:cs="Arial"/>
        </w:rPr>
        <w:t xml:space="preserve"> to 30</w:t>
      </w:r>
      <w:r w:rsidRPr="00A11599">
        <w:rPr>
          <w:rFonts w:ascii="Arial" w:hAnsi="Arial" w:cs="Arial"/>
          <w:vertAlign w:val="superscript"/>
        </w:rPr>
        <w:t>th</w:t>
      </w:r>
      <w:r>
        <w:rPr>
          <w:rFonts w:ascii="Arial" w:hAnsi="Arial" w:cs="Arial"/>
        </w:rPr>
        <w:t xml:space="preserve"> percentile points) and most deprived (70</w:t>
      </w:r>
      <w:r w:rsidRPr="00A11599">
        <w:rPr>
          <w:rFonts w:ascii="Arial" w:hAnsi="Arial" w:cs="Arial"/>
          <w:vertAlign w:val="superscript"/>
        </w:rPr>
        <w:t>th</w:t>
      </w:r>
      <w:r>
        <w:rPr>
          <w:rFonts w:ascii="Arial" w:hAnsi="Arial" w:cs="Arial"/>
        </w:rPr>
        <w:t xml:space="preserve"> to 95</w:t>
      </w:r>
      <w:r w:rsidRPr="00A11599">
        <w:rPr>
          <w:rFonts w:ascii="Arial" w:hAnsi="Arial" w:cs="Arial"/>
          <w:vertAlign w:val="superscript"/>
        </w:rPr>
        <w:t>th</w:t>
      </w:r>
      <w:r>
        <w:rPr>
          <w:rFonts w:ascii="Arial" w:hAnsi="Arial" w:cs="Arial"/>
        </w:rPr>
        <w:t xml:space="preserve"> perce</w:t>
      </w:r>
      <w:r w:rsidR="005F161F">
        <w:rPr>
          <w:rFonts w:ascii="Arial" w:hAnsi="Arial" w:cs="Arial"/>
        </w:rPr>
        <w:t>ntile points) and they are noted</w:t>
      </w:r>
      <w:r>
        <w:rPr>
          <w:rFonts w:ascii="Arial" w:hAnsi="Arial" w:cs="Arial"/>
        </w:rPr>
        <w:t xml:space="preserve"> respectively as </w:t>
      </w:r>
      <w:proofErr w:type="spellStart"/>
      <w:r>
        <w:rPr>
          <w:rFonts w:ascii="Arial" w:hAnsi="Arial" w:cs="Arial"/>
        </w:rPr>
        <w:t>k</w:t>
      </w:r>
      <w:r>
        <w:rPr>
          <w:rFonts w:ascii="Arial" w:hAnsi="Arial" w:cs="Arial"/>
          <w:vertAlign w:val="superscript"/>
        </w:rPr>
        <w:t>L</w:t>
      </w:r>
      <w:proofErr w:type="spellEnd"/>
      <w:r>
        <w:rPr>
          <w:rFonts w:ascii="Arial" w:hAnsi="Arial" w:cs="Arial"/>
        </w:rPr>
        <w:t xml:space="preserve"> and </w:t>
      </w:r>
      <w:proofErr w:type="spellStart"/>
      <w:r>
        <w:rPr>
          <w:rFonts w:ascii="Arial" w:hAnsi="Arial" w:cs="Arial"/>
        </w:rPr>
        <w:t>k</w:t>
      </w:r>
      <w:r>
        <w:rPr>
          <w:rFonts w:ascii="Arial" w:hAnsi="Arial" w:cs="Arial"/>
          <w:vertAlign w:val="superscript"/>
        </w:rPr>
        <w:t>H</w:t>
      </w:r>
      <w:proofErr w:type="spellEnd"/>
      <w:r>
        <w:rPr>
          <w:rFonts w:ascii="Arial" w:hAnsi="Arial" w:cs="Arial"/>
        </w:rPr>
        <w:t xml:space="preserve">.  </w:t>
      </w:r>
    </w:p>
    <w:p w:rsidR="005F161F" w:rsidRDefault="005F161F" w:rsidP="00B038B8">
      <w:pPr>
        <w:jc w:val="both"/>
        <w:rPr>
          <w:rFonts w:ascii="Arial" w:hAnsi="Arial" w:cs="Arial"/>
        </w:rPr>
      </w:pPr>
      <w:r>
        <w:rPr>
          <w:rFonts w:ascii="Arial" w:hAnsi="Arial" w:cs="Arial"/>
        </w:rPr>
        <w:t xml:space="preserve">The spline for low </w:t>
      </w:r>
      <w:r w:rsidR="008719C7">
        <w:rPr>
          <w:rFonts w:ascii="Arial" w:hAnsi="Arial" w:cs="Arial"/>
        </w:rPr>
        <w:t xml:space="preserve">acute index values </w:t>
      </w:r>
      <w:r>
        <w:rPr>
          <w:rFonts w:ascii="Arial" w:hAnsi="Arial" w:cs="Arial"/>
        </w:rPr>
        <w:t>(</w:t>
      </w:r>
      <w:proofErr w:type="spellStart"/>
      <w:r>
        <w:rPr>
          <w:rFonts w:ascii="Arial" w:hAnsi="Arial" w:cs="Arial"/>
        </w:rPr>
        <w:t>x</w:t>
      </w:r>
      <w:r>
        <w:rPr>
          <w:rFonts w:ascii="Arial" w:hAnsi="Arial" w:cs="Arial"/>
          <w:vertAlign w:val="subscript"/>
        </w:rPr>
        <w:t>i</w:t>
      </w:r>
      <w:r>
        <w:rPr>
          <w:rFonts w:ascii="Arial" w:hAnsi="Arial" w:cs="Arial"/>
          <w:vertAlign w:val="superscript"/>
        </w:rPr>
        <w:t>L</w:t>
      </w:r>
      <w:proofErr w:type="spellEnd"/>
      <w:r>
        <w:rPr>
          <w:rFonts w:ascii="Arial" w:hAnsi="Arial" w:cs="Arial"/>
        </w:rPr>
        <w:t>) is defined as:</w:t>
      </w:r>
    </w:p>
    <w:p w:rsidR="005F161F" w:rsidRDefault="005F161F" w:rsidP="00B038B8">
      <w:pPr>
        <w:jc w:val="both"/>
        <w:rPr>
          <w:rFonts w:ascii="Arial" w:hAnsi="Arial" w:cs="Arial"/>
          <w:vertAlign w:val="subscript"/>
        </w:rPr>
      </w:pPr>
      <w:proofErr w:type="spellStart"/>
      <w:proofErr w:type="gramStart"/>
      <w:r>
        <w:rPr>
          <w:rFonts w:ascii="Arial" w:hAnsi="Arial" w:cs="Arial"/>
        </w:rPr>
        <w:t>x</w:t>
      </w:r>
      <w:r>
        <w:rPr>
          <w:rFonts w:ascii="Arial" w:hAnsi="Arial" w:cs="Arial"/>
          <w:vertAlign w:val="subscript"/>
        </w:rPr>
        <w:t>i</w:t>
      </w:r>
      <w:r>
        <w:rPr>
          <w:rFonts w:ascii="Arial" w:hAnsi="Arial" w:cs="Arial"/>
          <w:vertAlign w:val="superscript"/>
        </w:rPr>
        <w:t>L</w:t>
      </w:r>
      <w:proofErr w:type="spellEnd"/>
      <w:proofErr w:type="gramEnd"/>
      <w:r>
        <w:rPr>
          <w:rFonts w:ascii="Arial" w:hAnsi="Arial" w:cs="Arial"/>
          <w:vertAlign w:val="superscript"/>
        </w:rPr>
        <w:t xml:space="preserve"> </w:t>
      </w:r>
      <w:r>
        <w:rPr>
          <w:rFonts w:ascii="Arial" w:hAnsi="Arial" w:cs="Arial"/>
          <w:vertAlign w:val="superscript"/>
        </w:rPr>
        <w:tab/>
      </w:r>
      <w:r>
        <w:rPr>
          <w:rFonts w:ascii="Arial" w:hAnsi="Arial" w:cs="Arial"/>
        </w:rPr>
        <w:t xml:space="preserve">= </w:t>
      </w:r>
      <w:proofErr w:type="spellStart"/>
      <w:r>
        <w:rPr>
          <w:rFonts w:ascii="Arial" w:hAnsi="Arial" w:cs="Arial"/>
        </w:rPr>
        <w:t>k</w:t>
      </w:r>
      <w:r>
        <w:rPr>
          <w:rFonts w:ascii="Arial" w:hAnsi="Arial" w:cs="Arial"/>
          <w:vertAlign w:val="superscript"/>
        </w:rPr>
        <w:t>L</w:t>
      </w:r>
      <w:proofErr w:type="spellEnd"/>
      <w:r>
        <w:rPr>
          <w:rFonts w:ascii="Arial" w:hAnsi="Arial" w:cs="Arial"/>
        </w:rPr>
        <w:t xml:space="preserve"> – x</w:t>
      </w:r>
      <w:r>
        <w:rPr>
          <w:rFonts w:ascii="Arial" w:hAnsi="Arial" w:cs="Arial"/>
          <w:vertAlign w:val="subscript"/>
        </w:rPr>
        <w:t>i</w:t>
      </w:r>
      <w:r>
        <w:rPr>
          <w:rFonts w:ascii="Arial" w:hAnsi="Arial" w:cs="Arial"/>
        </w:rPr>
        <w:tab/>
        <w:t xml:space="preserve">if </w:t>
      </w:r>
      <w:proofErr w:type="spellStart"/>
      <w:r>
        <w:rPr>
          <w:rFonts w:ascii="Arial" w:hAnsi="Arial" w:cs="Arial"/>
        </w:rPr>
        <w:t>k</w:t>
      </w:r>
      <w:r>
        <w:rPr>
          <w:rFonts w:ascii="Arial" w:hAnsi="Arial" w:cs="Arial"/>
          <w:vertAlign w:val="superscript"/>
        </w:rPr>
        <w:t>L</w:t>
      </w:r>
      <w:proofErr w:type="spellEnd"/>
      <w:r>
        <w:rPr>
          <w:rFonts w:ascii="Arial" w:hAnsi="Arial" w:cs="Arial"/>
        </w:rPr>
        <w:t xml:space="preserve"> &gt; x</w:t>
      </w:r>
      <w:r>
        <w:rPr>
          <w:rFonts w:ascii="Arial" w:hAnsi="Arial" w:cs="Arial"/>
          <w:vertAlign w:val="subscript"/>
        </w:rPr>
        <w:t>i</w:t>
      </w:r>
    </w:p>
    <w:p w:rsidR="005F161F" w:rsidRDefault="005F161F" w:rsidP="00B038B8">
      <w:pPr>
        <w:ind w:firstLine="720"/>
        <w:jc w:val="both"/>
        <w:rPr>
          <w:rFonts w:ascii="Arial" w:hAnsi="Arial" w:cs="Arial"/>
          <w:vertAlign w:val="subscript"/>
        </w:rPr>
      </w:pPr>
      <w:r>
        <w:rPr>
          <w:rFonts w:ascii="Arial" w:hAnsi="Arial" w:cs="Arial"/>
        </w:rPr>
        <w:t>=</w:t>
      </w:r>
      <w:r>
        <w:rPr>
          <w:rFonts w:ascii="Arial" w:hAnsi="Arial" w:cs="Arial"/>
          <w:vertAlign w:val="subscript"/>
        </w:rPr>
        <w:t xml:space="preserve"> </w:t>
      </w:r>
      <w:r>
        <w:rPr>
          <w:rFonts w:ascii="Arial" w:hAnsi="Arial" w:cs="Arial"/>
        </w:rPr>
        <w:t>0</w:t>
      </w:r>
      <w:r>
        <w:rPr>
          <w:rFonts w:ascii="Arial" w:hAnsi="Arial" w:cs="Arial"/>
        </w:rPr>
        <w:tab/>
      </w:r>
      <w:r>
        <w:rPr>
          <w:rFonts w:ascii="Arial" w:hAnsi="Arial" w:cs="Arial"/>
        </w:rPr>
        <w:tab/>
        <w:t xml:space="preserve">if </w:t>
      </w:r>
      <w:proofErr w:type="spellStart"/>
      <w:r>
        <w:rPr>
          <w:rFonts w:ascii="Arial" w:hAnsi="Arial" w:cs="Arial"/>
        </w:rPr>
        <w:t>k</w:t>
      </w:r>
      <w:r>
        <w:rPr>
          <w:rFonts w:ascii="Arial" w:hAnsi="Arial" w:cs="Arial"/>
          <w:vertAlign w:val="superscript"/>
        </w:rPr>
        <w:t>L</w:t>
      </w:r>
      <w:proofErr w:type="spellEnd"/>
      <w:r>
        <w:rPr>
          <w:rFonts w:ascii="Arial" w:hAnsi="Arial" w:cs="Arial"/>
        </w:rPr>
        <w:t xml:space="preserve"> ≤ x</w:t>
      </w:r>
      <w:r>
        <w:rPr>
          <w:rFonts w:ascii="Arial" w:hAnsi="Arial" w:cs="Arial"/>
          <w:vertAlign w:val="subscript"/>
        </w:rPr>
        <w:t>i</w:t>
      </w:r>
      <w:r>
        <w:rPr>
          <w:rFonts w:ascii="Arial" w:hAnsi="Arial" w:cs="Arial"/>
          <w:vertAlign w:val="subscript"/>
        </w:rPr>
        <w:tab/>
      </w:r>
    </w:p>
    <w:p w:rsidR="005F161F" w:rsidRDefault="005F161F" w:rsidP="00B038B8">
      <w:pPr>
        <w:jc w:val="both"/>
        <w:rPr>
          <w:rFonts w:ascii="Arial" w:hAnsi="Arial" w:cs="Arial"/>
        </w:rPr>
      </w:pPr>
      <w:r>
        <w:rPr>
          <w:rFonts w:ascii="Arial" w:hAnsi="Arial" w:cs="Arial"/>
        </w:rPr>
        <w:t xml:space="preserve">And the spline for </w:t>
      </w:r>
      <w:r w:rsidR="008719C7">
        <w:rPr>
          <w:rFonts w:ascii="Arial" w:hAnsi="Arial" w:cs="Arial"/>
        </w:rPr>
        <w:t>high acute index values</w:t>
      </w:r>
      <w:r>
        <w:rPr>
          <w:rFonts w:ascii="Arial" w:hAnsi="Arial" w:cs="Arial"/>
        </w:rPr>
        <w:t xml:space="preserve"> (</w:t>
      </w:r>
      <w:proofErr w:type="spellStart"/>
      <w:r>
        <w:rPr>
          <w:rFonts w:ascii="Arial" w:hAnsi="Arial" w:cs="Arial"/>
        </w:rPr>
        <w:t>x</w:t>
      </w:r>
      <w:r>
        <w:rPr>
          <w:rFonts w:ascii="Arial" w:hAnsi="Arial" w:cs="Arial"/>
          <w:vertAlign w:val="subscript"/>
        </w:rPr>
        <w:t>i</w:t>
      </w:r>
      <w:r>
        <w:rPr>
          <w:rFonts w:ascii="Arial" w:hAnsi="Arial" w:cs="Arial"/>
          <w:vertAlign w:val="superscript"/>
        </w:rPr>
        <w:t>H</w:t>
      </w:r>
      <w:proofErr w:type="spellEnd"/>
      <w:r>
        <w:rPr>
          <w:rFonts w:ascii="Arial" w:hAnsi="Arial" w:cs="Arial"/>
        </w:rPr>
        <w:t>) is similarly defined as:</w:t>
      </w:r>
    </w:p>
    <w:p w:rsidR="005F161F" w:rsidRPr="005F161F" w:rsidRDefault="005F161F" w:rsidP="00B038B8">
      <w:pPr>
        <w:jc w:val="both"/>
        <w:rPr>
          <w:rFonts w:ascii="Arial" w:hAnsi="Arial" w:cs="Arial"/>
        </w:rPr>
      </w:pPr>
      <w:proofErr w:type="spellStart"/>
      <w:proofErr w:type="gramStart"/>
      <w:r>
        <w:rPr>
          <w:rFonts w:ascii="Arial" w:hAnsi="Arial" w:cs="Arial"/>
        </w:rPr>
        <w:t>x</w:t>
      </w:r>
      <w:r>
        <w:rPr>
          <w:rFonts w:ascii="Arial" w:hAnsi="Arial" w:cs="Arial"/>
          <w:vertAlign w:val="subscript"/>
        </w:rPr>
        <w:t>i</w:t>
      </w:r>
      <w:r>
        <w:rPr>
          <w:rFonts w:ascii="Arial" w:hAnsi="Arial" w:cs="Arial"/>
          <w:vertAlign w:val="superscript"/>
        </w:rPr>
        <w:t>H</w:t>
      </w:r>
      <w:proofErr w:type="spellEnd"/>
      <w:proofErr w:type="gramEnd"/>
      <w:r>
        <w:rPr>
          <w:rFonts w:ascii="Arial" w:hAnsi="Arial" w:cs="Arial"/>
          <w:vertAlign w:val="superscript"/>
        </w:rPr>
        <w:t xml:space="preserve"> </w:t>
      </w:r>
      <w:r>
        <w:rPr>
          <w:rFonts w:ascii="Arial" w:hAnsi="Arial" w:cs="Arial"/>
          <w:vertAlign w:val="superscript"/>
        </w:rPr>
        <w:tab/>
      </w:r>
      <w:r>
        <w:rPr>
          <w:rFonts w:ascii="Arial" w:hAnsi="Arial" w:cs="Arial"/>
        </w:rPr>
        <w:t>= x</w:t>
      </w:r>
      <w:r>
        <w:rPr>
          <w:rFonts w:ascii="Arial" w:hAnsi="Arial" w:cs="Arial"/>
          <w:vertAlign w:val="subscript"/>
        </w:rPr>
        <w:t xml:space="preserve">i </w:t>
      </w:r>
      <w:r>
        <w:rPr>
          <w:rFonts w:ascii="Arial" w:hAnsi="Arial" w:cs="Arial"/>
        </w:rPr>
        <w:t xml:space="preserve">– </w:t>
      </w:r>
      <w:proofErr w:type="spellStart"/>
      <w:r>
        <w:rPr>
          <w:rFonts w:ascii="Arial" w:hAnsi="Arial" w:cs="Arial"/>
        </w:rPr>
        <w:t>k</w:t>
      </w:r>
      <w:r>
        <w:rPr>
          <w:rFonts w:ascii="Arial" w:hAnsi="Arial" w:cs="Arial"/>
          <w:vertAlign w:val="superscript"/>
        </w:rPr>
        <w:t>H</w:t>
      </w:r>
      <w:proofErr w:type="spellEnd"/>
      <w:r>
        <w:rPr>
          <w:rFonts w:ascii="Arial" w:hAnsi="Arial" w:cs="Arial"/>
        </w:rPr>
        <w:tab/>
        <w:t>if x</w:t>
      </w:r>
      <w:r>
        <w:rPr>
          <w:rFonts w:ascii="Arial" w:hAnsi="Arial" w:cs="Arial"/>
          <w:vertAlign w:val="subscript"/>
        </w:rPr>
        <w:t>i</w:t>
      </w:r>
      <w:r>
        <w:rPr>
          <w:rFonts w:ascii="Arial" w:hAnsi="Arial" w:cs="Arial"/>
        </w:rPr>
        <w:t xml:space="preserve"> &gt; </w:t>
      </w:r>
      <w:proofErr w:type="spellStart"/>
      <w:r>
        <w:rPr>
          <w:rFonts w:ascii="Arial" w:hAnsi="Arial" w:cs="Arial"/>
        </w:rPr>
        <w:t>k</w:t>
      </w:r>
      <w:r>
        <w:rPr>
          <w:rFonts w:ascii="Arial" w:hAnsi="Arial" w:cs="Arial"/>
          <w:vertAlign w:val="superscript"/>
        </w:rPr>
        <w:t>H</w:t>
      </w:r>
      <w:proofErr w:type="spellEnd"/>
    </w:p>
    <w:p w:rsidR="005F161F" w:rsidRPr="005F161F" w:rsidRDefault="005F161F" w:rsidP="00B038B8">
      <w:pPr>
        <w:ind w:firstLine="720"/>
        <w:jc w:val="both"/>
        <w:rPr>
          <w:rFonts w:ascii="Arial" w:hAnsi="Arial" w:cs="Arial"/>
        </w:rPr>
      </w:pPr>
      <w:r>
        <w:rPr>
          <w:rFonts w:ascii="Arial" w:hAnsi="Arial" w:cs="Arial"/>
        </w:rPr>
        <w:t>=</w:t>
      </w:r>
      <w:r>
        <w:rPr>
          <w:rFonts w:ascii="Arial" w:hAnsi="Arial" w:cs="Arial"/>
          <w:vertAlign w:val="subscript"/>
        </w:rPr>
        <w:t xml:space="preserve"> </w:t>
      </w:r>
      <w:r>
        <w:rPr>
          <w:rFonts w:ascii="Arial" w:hAnsi="Arial" w:cs="Arial"/>
        </w:rPr>
        <w:t>0</w:t>
      </w:r>
      <w:r>
        <w:rPr>
          <w:rFonts w:ascii="Arial" w:hAnsi="Arial" w:cs="Arial"/>
        </w:rPr>
        <w:tab/>
      </w:r>
      <w:r>
        <w:rPr>
          <w:rFonts w:ascii="Arial" w:hAnsi="Arial" w:cs="Arial"/>
        </w:rPr>
        <w:tab/>
        <w:t>if x</w:t>
      </w:r>
      <w:r>
        <w:rPr>
          <w:rFonts w:ascii="Arial" w:hAnsi="Arial" w:cs="Arial"/>
          <w:vertAlign w:val="subscript"/>
        </w:rPr>
        <w:t>i</w:t>
      </w:r>
      <w:r>
        <w:rPr>
          <w:rFonts w:ascii="Arial" w:hAnsi="Arial" w:cs="Arial"/>
        </w:rPr>
        <w:t xml:space="preserve"> ≤ </w:t>
      </w:r>
      <w:proofErr w:type="spellStart"/>
      <w:r>
        <w:rPr>
          <w:rFonts w:ascii="Arial" w:hAnsi="Arial" w:cs="Arial"/>
        </w:rPr>
        <w:t>k</w:t>
      </w:r>
      <w:r>
        <w:rPr>
          <w:rFonts w:ascii="Arial" w:hAnsi="Arial" w:cs="Arial"/>
          <w:vertAlign w:val="superscript"/>
        </w:rPr>
        <w:t>H</w:t>
      </w:r>
      <w:proofErr w:type="spellEnd"/>
    </w:p>
    <w:p w:rsidR="00A11599" w:rsidRPr="00A11599" w:rsidRDefault="005F161F" w:rsidP="00B038B8">
      <w:pPr>
        <w:jc w:val="both"/>
        <w:rPr>
          <w:rFonts w:ascii="Arial" w:hAnsi="Arial" w:cs="Arial"/>
        </w:rPr>
      </w:pPr>
      <w:r>
        <w:rPr>
          <w:rFonts w:ascii="Arial" w:hAnsi="Arial" w:cs="Arial"/>
        </w:rPr>
        <w:t>These spline variables are included in the linear regression model in addition to the supply variables, Health Board dummies and the acute index (</w:t>
      </w:r>
      <w:r w:rsidR="00362F52">
        <w:rPr>
          <w:rFonts w:ascii="Arial" w:hAnsi="Arial" w:cs="Arial"/>
        </w:rPr>
        <w:t>simple</w:t>
      </w:r>
      <w:r>
        <w:rPr>
          <w:rFonts w:ascii="Arial" w:hAnsi="Arial" w:cs="Arial"/>
        </w:rPr>
        <w:t xml:space="preserve"> shortfall method) or the predicted prevalence (</w:t>
      </w:r>
      <w:r w:rsidR="00362F52">
        <w:rPr>
          <w:rFonts w:ascii="Arial" w:hAnsi="Arial" w:cs="Arial"/>
        </w:rPr>
        <w:t>two-step</w:t>
      </w:r>
      <w:r>
        <w:rPr>
          <w:rFonts w:ascii="Arial" w:hAnsi="Arial" w:cs="Arial"/>
        </w:rPr>
        <w:t xml:space="preserve"> shortfall method). If the regression coefficients of both spline variables are not significantly different from 0, then there is no evidence of unmet need in health care use. If the sign of the regression coefficient</w:t>
      </w:r>
      <w:r w:rsidR="002D5902">
        <w:rPr>
          <w:rFonts w:ascii="Arial" w:hAnsi="Arial" w:cs="Arial"/>
        </w:rPr>
        <w:t xml:space="preserve"> of the spline variable (</w:t>
      </w:r>
      <w:r w:rsidR="008719C7">
        <w:rPr>
          <w:rFonts w:ascii="Arial" w:hAnsi="Arial" w:cs="Arial"/>
        </w:rPr>
        <w:t>low or high</w:t>
      </w:r>
      <w:r w:rsidR="00D81284">
        <w:rPr>
          <w:rFonts w:ascii="Arial" w:hAnsi="Arial" w:cs="Arial"/>
        </w:rPr>
        <w:t xml:space="preserve"> acute index values</w:t>
      </w:r>
      <w:r w:rsidR="002D5902">
        <w:rPr>
          <w:rFonts w:ascii="Arial" w:hAnsi="Arial" w:cs="Arial"/>
        </w:rPr>
        <w:t>) is negative and it is significant (p-value less than 0.05)</w:t>
      </w:r>
      <w:r>
        <w:rPr>
          <w:rFonts w:ascii="Arial" w:hAnsi="Arial" w:cs="Arial"/>
        </w:rPr>
        <w:t>, then there is</w:t>
      </w:r>
      <w:r w:rsidR="002D5902">
        <w:rPr>
          <w:rFonts w:ascii="Arial" w:hAnsi="Arial" w:cs="Arial"/>
        </w:rPr>
        <w:t xml:space="preserve"> significant effect of unmet need. Otherwise, if the sign of the regression coefficient of the spline variable (</w:t>
      </w:r>
      <w:r w:rsidR="008719C7">
        <w:rPr>
          <w:rFonts w:ascii="Arial" w:hAnsi="Arial" w:cs="Arial"/>
        </w:rPr>
        <w:t xml:space="preserve">low or high </w:t>
      </w:r>
      <w:r w:rsidR="00D81284">
        <w:rPr>
          <w:rFonts w:ascii="Arial" w:hAnsi="Arial" w:cs="Arial"/>
        </w:rPr>
        <w:t>acute index values</w:t>
      </w:r>
      <w:r w:rsidR="002D5902">
        <w:rPr>
          <w:rFonts w:ascii="Arial" w:hAnsi="Arial" w:cs="Arial"/>
        </w:rPr>
        <w:t xml:space="preserve">) is positive and it is significant (p-value less than 0.05), then there is significant effect of overmet need. </w:t>
      </w:r>
    </w:p>
    <w:p w:rsidR="004349B4" w:rsidRDefault="004349B4" w:rsidP="00B038B8">
      <w:pPr>
        <w:rPr>
          <w:rFonts w:ascii="Arial" w:hAnsi="Arial" w:cs="Arial"/>
        </w:rPr>
      </w:pPr>
    </w:p>
    <w:p w:rsidR="004349B4" w:rsidRDefault="004349B4" w:rsidP="00B038B8">
      <w:pPr>
        <w:rPr>
          <w:rFonts w:ascii="Arial" w:hAnsi="Arial" w:cs="Arial"/>
        </w:rPr>
      </w:pPr>
      <w:r>
        <w:rPr>
          <w:rFonts w:ascii="Arial" w:hAnsi="Arial" w:cs="Arial"/>
        </w:rPr>
        <w:br w:type="page"/>
      </w:r>
    </w:p>
    <w:p w:rsidR="00E64BA2" w:rsidRDefault="004349B4" w:rsidP="00B038B8">
      <w:pPr>
        <w:rPr>
          <w:rFonts w:ascii="Arial" w:hAnsi="Arial" w:cs="Arial"/>
        </w:rPr>
      </w:pPr>
      <w:r w:rsidRPr="004349B4">
        <w:rPr>
          <w:rFonts w:ascii="Arial" w:hAnsi="Arial" w:cs="Arial"/>
          <w:b/>
        </w:rPr>
        <w:lastRenderedPageBreak/>
        <w:t xml:space="preserve">ANNEX B: </w:t>
      </w:r>
      <w:r w:rsidR="00672E1E">
        <w:rPr>
          <w:rFonts w:ascii="Arial" w:hAnsi="Arial" w:cs="Arial"/>
          <w:b/>
        </w:rPr>
        <w:t>Simple</w:t>
      </w:r>
      <w:r w:rsidR="00672E1E" w:rsidRPr="004349B4">
        <w:rPr>
          <w:rFonts w:ascii="Arial" w:hAnsi="Arial" w:cs="Arial"/>
          <w:b/>
        </w:rPr>
        <w:t xml:space="preserve"> </w:t>
      </w:r>
      <w:r w:rsidRPr="004349B4">
        <w:rPr>
          <w:rFonts w:ascii="Arial" w:hAnsi="Arial" w:cs="Arial"/>
          <w:b/>
        </w:rPr>
        <w:t>shortfall method results table</w:t>
      </w:r>
    </w:p>
    <w:p w:rsidR="00FC7233" w:rsidRPr="00F60343" w:rsidRDefault="00F60343" w:rsidP="00B038B8">
      <w:pPr>
        <w:spacing w:after="0"/>
        <w:rPr>
          <w:rFonts w:ascii="Arial" w:hAnsi="Arial" w:cs="Arial"/>
          <w:i/>
        </w:rPr>
      </w:pPr>
      <w:r w:rsidRPr="00F60343">
        <w:rPr>
          <w:rFonts w:ascii="Arial" w:hAnsi="Arial" w:cs="Arial"/>
          <w:i/>
        </w:rPr>
        <w:t xml:space="preserve">Table B.1. </w:t>
      </w:r>
      <w:proofErr w:type="gramStart"/>
      <w:r w:rsidRPr="00F60343">
        <w:rPr>
          <w:rFonts w:ascii="Arial" w:hAnsi="Arial" w:cs="Arial"/>
          <w:i/>
        </w:rPr>
        <w:t xml:space="preserve">Summary of results for the reference model (Model 1) and the </w:t>
      </w:r>
      <w:r w:rsidR="00672E1E">
        <w:rPr>
          <w:rFonts w:ascii="Arial" w:hAnsi="Arial" w:cs="Arial"/>
          <w:i/>
        </w:rPr>
        <w:t>simple</w:t>
      </w:r>
      <w:r w:rsidR="00672E1E" w:rsidRPr="00F60343">
        <w:rPr>
          <w:rFonts w:ascii="Arial" w:hAnsi="Arial" w:cs="Arial"/>
          <w:i/>
        </w:rPr>
        <w:t xml:space="preserve"> </w:t>
      </w:r>
      <w:r w:rsidRPr="00F60343">
        <w:rPr>
          <w:rFonts w:ascii="Arial" w:hAnsi="Arial" w:cs="Arial"/>
          <w:i/>
        </w:rPr>
        <w:t>shortfall method (Model 2) for Heart, Respiratory, Digestive and Cancer.</w:t>
      </w:r>
      <w:proofErr w:type="gramEnd"/>
    </w:p>
    <w:tbl>
      <w:tblPr>
        <w:tblStyle w:val="TableGrid"/>
        <w:tblW w:w="5000" w:type="pct"/>
        <w:tblLook w:val="04A0"/>
      </w:tblPr>
      <w:tblGrid>
        <w:gridCol w:w="1247"/>
        <w:gridCol w:w="848"/>
        <w:gridCol w:w="1379"/>
        <w:gridCol w:w="943"/>
        <w:gridCol w:w="1327"/>
        <w:gridCol w:w="1030"/>
        <w:gridCol w:w="1340"/>
        <w:gridCol w:w="1128"/>
      </w:tblGrid>
      <w:tr w:rsidR="004349B4" w:rsidRPr="006A35CF" w:rsidTr="00662F35">
        <w:tc>
          <w:tcPr>
            <w:tcW w:w="675" w:type="pct"/>
          </w:tcPr>
          <w:p w:rsidR="004349B4" w:rsidRPr="006A35CF" w:rsidRDefault="004349B4" w:rsidP="00B038B8">
            <w:pPr>
              <w:spacing w:line="276" w:lineRule="auto"/>
              <w:rPr>
                <w:rFonts w:ascii="Arial" w:hAnsi="Arial" w:cs="Arial"/>
                <w:b/>
                <w:sz w:val="20"/>
                <w:szCs w:val="20"/>
              </w:rPr>
            </w:pPr>
            <w:r w:rsidRPr="006A35CF">
              <w:rPr>
                <w:rFonts w:ascii="Arial" w:hAnsi="Arial" w:cs="Arial"/>
                <w:b/>
                <w:sz w:val="20"/>
                <w:szCs w:val="20"/>
              </w:rPr>
              <w:t>Diagnostic Group</w:t>
            </w:r>
          </w:p>
        </w:tc>
        <w:tc>
          <w:tcPr>
            <w:tcW w:w="459" w:type="pct"/>
          </w:tcPr>
          <w:p w:rsidR="004349B4" w:rsidRPr="006A35CF" w:rsidRDefault="004349B4" w:rsidP="00B038B8">
            <w:pPr>
              <w:spacing w:line="276" w:lineRule="auto"/>
              <w:rPr>
                <w:rFonts w:ascii="Arial" w:hAnsi="Arial" w:cs="Arial"/>
                <w:b/>
                <w:sz w:val="20"/>
                <w:szCs w:val="20"/>
              </w:rPr>
            </w:pPr>
            <w:r w:rsidRPr="006A35CF">
              <w:rPr>
                <w:rFonts w:ascii="Arial" w:hAnsi="Arial" w:cs="Arial"/>
                <w:b/>
                <w:sz w:val="20"/>
                <w:szCs w:val="20"/>
              </w:rPr>
              <w:t>Model</w:t>
            </w:r>
          </w:p>
        </w:tc>
        <w:tc>
          <w:tcPr>
            <w:tcW w:w="746" w:type="pct"/>
          </w:tcPr>
          <w:p w:rsidR="004349B4" w:rsidRPr="006A35CF" w:rsidRDefault="004349B4" w:rsidP="00B038B8">
            <w:pPr>
              <w:spacing w:line="276" w:lineRule="auto"/>
              <w:rPr>
                <w:rFonts w:ascii="Arial" w:hAnsi="Arial" w:cs="Arial"/>
                <w:b/>
                <w:sz w:val="20"/>
                <w:szCs w:val="20"/>
              </w:rPr>
            </w:pPr>
            <w:r w:rsidRPr="006A35CF">
              <w:rPr>
                <w:rFonts w:ascii="Arial" w:hAnsi="Arial" w:cs="Arial"/>
                <w:b/>
                <w:sz w:val="20"/>
                <w:szCs w:val="20"/>
              </w:rPr>
              <w:t>Main effect</w:t>
            </w:r>
          </w:p>
          <w:p w:rsidR="004349B4" w:rsidRPr="006A35CF" w:rsidRDefault="004349B4" w:rsidP="00B038B8">
            <w:pPr>
              <w:spacing w:line="276" w:lineRule="auto"/>
              <w:rPr>
                <w:rFonts w:ascii="Arial" w:hAnsi="Arial" w:cs="Arial"/>
                <w:b/>
                <w:sz w:val="20"/>
                <w:szCs w:val="20"/>
              </w:rPr>
            </w:pPr>
            <w:r w:rsidRPr="006A35CF">
              <w:rPr>
                <w:rFonts w:ascii="Arial" w:hAnsi="Arial" w:cs="Arial"/>
                <w:b/>
                <w:sz w:val="20"/>
                <w:szCs w:val="20"/>
              </w:rPr>
              <w:t>(Acute Index)</w:t>
            </w:r>
          </w:p>
        </w:tc>
        <w:tc>
          <w:tcPr>
            <w:tcW w:w="510" w:type="pct"/>
          </w:tcPr>
          <w:p w:rsidR="004349B4" w:rsidRPr="006A35CF" w:rsidRDefault="004349B4" w:rsidP="00B038B8">
            <w:pPr>
              <w:spacing w:line="276" w:lineRule="auto"/>
              <w:rPr>
                <w:rFonts w:ascii="Arial" w:hAnsi="Arial" w:cs="Arial"/>
                <w:b/>
                <w:sz w:val="20"/>
                <w:szCs w:val="20"/>
              </w:rPr>
            </w:pPr>
            <w:r w:rsidRPr="006A35CF">
              <w:rPr>
                <w:rFonts w:ascii="Arial" w:hAnsi="Arial" w:cs="Arial"/>
                <w:b/>
                <w:sz w:val="20"/>
                <w:szCs w:val="20"/>
              </w:rPr>
              <w:t xml:space="preserve">% </w:t>
            </w:r>
          </w:p>
          <w:p w:rsidR="004349B4" w:rsidRPr="006A35CF" w:rsidRDefault="00D81284" w:rsidP="00B038B8">
            <w:pPr>
              <w:spacing w:line="276" w:lineRule="auto"/>
              <w:rPr>
                <w:rFonts w:ascii="Arial" w:hAnsi="Arial" w:cs="Arial"/>
                <w:b/>
                <w:sz w:val="20"/>
                <w:szCs w:val="20"/>
              </w:rPr>
            </w:pPr>
            <w:r>
              <w:rPr>
                <w:rFonts w:ascii="Arial" w:hAnsi="Arial" w:cs="Arial"/>
                <w:b/>
                <w:sz w:val="20"/>
                <w:szCs w:val="20"/>
              </w:rPr>
              <w:t>lower</w:t>
            </w:r>
            <w:r w:rsidRPr="006A35CF">
              <w:rPr>
                <w:rFonts w:ascii="Arial" w:hAnsi="Arial" w:cs="Arial"/>
                <w:b/>
                <w:sz w:val="20"/>
                <w:szCs w:val="20"/>
              </w:rPr>
              <w:t xml:space="preserve"> </w:t>
            </w:r>
            <w:r w:rsidR="004349B4" w:rsidRPr="006A35CF">
              <w:rPr>
                <w:rFonts w:ascii="Arial" w:hAnsi="Arial" w:cs="Arial"/>
                <w:b/>
                <w:sz w:val="20"/>
                <w:szCs w:val="20"/>
              </w:rPr>
              <w:t>cut</w:t>
            </w:r>
          </w:p>
        </w:tc>
        <w:tc>
          <w:tcPr>
            <w:tcW w:w="718" w:type="pct"/>
          </w:tcPr>
          <w:p w:rsidR="004349B4" w:rsidRPr="006A35CF" w:rsidRDefault="004349B4" w:rsidP="00B038B8">
            <w:pPr>
              <w:spacing w:line="276" w:lineRule="auto"/>
              <w:rPr>
                <w:rFonts w:ascii="Arial" w:hAnsi="Arial" w:cs="Arial"/>
                <w:b/>
                <w:sz w:val="20"/>
                <w:szCs w:val="20"/>
              </w:rPr>
            </w:pPr>
            <w:r w:rsidRPr="006A35CF">
              <w:rPr>
                <w:rFonts w:ascii="Arial" w:hAnsi="Arial" w:cs="Arial"/>
                <w:b/>
                <w:sz w:val="20"/>
                <w:szCs w:val="20"/>
              </w:rPr>
              <w:t>Effect</w:t>
            </w:r>
          </w:p>
        </w:tc>
        <w:tc>
          <w:tcPr>
            <w:tcW w:w="557" w:type="pct"/>
          </w:tcPr>
          <w:p w:rsidR="004349B4" w:rsidRPr="006A35CF" w:rsidRDefault="004349B4" w:rsidP="00B038B8">
            <w:pPr>
              <w:spacing w:line="276" w:lineRule="auto"/>
              <w:rPr>
                <w:rFonts w:ascii="Arial" w:hAnsi="Arial" w:cs="Arial"/>
                <w:b/>
                <w:sz w:val="20"/>
                <w:szCs w:val="20"/>
              </w:rPr>
            </w:pPr>
            <w:r w:rsidRPr="006A35CF">
              <w:rPr>
                <w:rFonts w:ascii="Arial" w:hAnsi="Arial" w:cs="Arial"/>
                <w:b/>
                <w:sz w:val="20"/>
                <w:szCs w:val="20"/>
              </w:rPr>
              <w:t xml:space="preserve">% </w:t>
            </w:r>
          </w:p>
          <w:p w:rsidR="004349B4" w:rsidRPr="006A35CF" w:rsidRDefault="00D81284" w:rsidP="00B038B8">
            <w:pPr>
              <w:spacing w:line="276" w:lineRule="auto"/>
              <w:rPr>
                <w:rFonts w:ascii="Arial" w:hAnsi="Arial" w:cs="Arial"/>
                <w:b/>
                <w:sz w:val="20"/>
                <w:szCs w:val="20"/>
              </w:rPr>
            </w:pPr>
            <w:r>
              <w:rPr>
                <w:rFonts w:ascii="Arial" w:hAnsi="Arial" w:cs="Arial"/>
                <w:b/>
                <w:sz w:val="20"/>
                <w:szCs w:val="20"/>
              </w:rPr>
              <w:t>upper</w:t>
            </w:r>
            <w:r w:rsidRPr="006A35CF">
              <w:rPr>
                <w:rFonts w:ascii="Arial" w:hAnsi="Arial" w:cs="Arial"/>
                <w:b/>
                <w:sz w:val="20"/>
                <w:szCs w:val="20"/>
              </w:rPr>
              <w:t xml:space="preserve"> </w:t>
            </w:r>
            <w:r>
              <w:rPr>
                <w:rFonts w:ascii="Arial" w:hAnsi="Arial" w:cs="Arial"/>
                <w:b/>
                <w:sz w:val="20"/>
                <w:szCs w:val="20"/>
              </w:rPr>
              <w:t>c</w:t>
            </w:r>
            <w:r w:rsidR="004349B4" w:rsidRPr="006A35CF">
              <w:rPr>
                <w:rFonts w:ascii="Arial" w:hAnsi="Arial" w:cs="Arial"/>
                <w:b/>
                <w:sz w:val="20"/>
                <w:szCs w:val="20"/>
              </w:rPr>
              <w:t>ut</w:t>
            </w:r>
          </w:p>
        </w:tc>
        <w:tc>
          <w:tcPr>
            <w:tcW w:w="725" w:type="pct"/>
          </w:tcPr>
          <w:p w:rsidR="004349B4" w:rsidRPr="006A35CF" w:rsidRDefault="004349B4" w:rsidP="00B038B8">
            <w:pPr>
              <w:spacing w:line="276" w:lineRule="auto"/>
              <w:rPr>
                <w:rFonts w:ascii="Arial" w:hAnsi="Arial" w:cs="Arial"/>
                <w:b/>
                <w:sz w:val="20"/>
                <w:szCs w:val="20"/>
              </w:rPr>
            </w:pPr>
            <w:r w:rsidRPr="006A35CF">
              <w:rPr>
                <w:rFonts w:ascii="Arial" w:hAnsi="Arial" w:cs="Arial"/>
                <w:b/>
                <w:sz w:val="20"/>
                <w:szCs w:val="20"/>
              </w:rPr>
              <w:t>Effect</w:t>
            </w:r>
          </w:p>
        </w:tc>
        <w:tc>
          <w:tcPr>
            <w:tcW w:w="610" w:type="pct"/>
          </w:tcPr>
          <w:p w:rsidR="004349B4" w:rsidRPr="006A35CF" w:rsidRDefault="004349B4" w:rsidP="00B038B8">
            <w:pPr>
              <w:spacing w:line="276" w:lineRule="auto"/>
              <w:rPr>
                <w:rFonts w:ascii="Arial" w:hAnsi="Arial" w:cs="Arial"/>
                <w:b/>
                <w:sz w:val="20"/>
                <w:szCs w:val="20"/>
                <w:vertAlign w:val="superscript"/>
              </w:rPr>
            </w:pPr>
            <w:r w:rsidRPr="006A35CF">
              <w:rPr>
                <w:rFonts w:ascii="Arial" w:hAnsi="Arial" w:cs="Arial"/>
                <w:b/>
                <w:sz w:val="20"/>
                <w:szCs w:val="20"/>
              </w:rPr>
              <w:t>Adjusted R</w:t>
            </w:r>
            <w:r w:rsidRPr="006A35CF">
              <w:rPr>
                <w:rFonts w:ascii="Arial" w:hAnsi="Arial" w:cs="Arial"/>
                <w:b/>
                <w:sz w:val="20"/>
                <w:szCs w:val="20"/>
                <w:vertAlign w:val="superscript"/>
              </w:rPr>
              <w:t>2</w:t>
            </w:r>
          </w:p>
        </w:tc>
      </w:tr>
      <w:tr w:rsidR="004349B4" w:rsidRPr="007D4CDD" w:rsidTr="006E0281">
        <w:tc>
          <w:tcPr>
            <w:tcW w:w="675" w:type="pct"/>
            <w:vMerge w:val="restart"/>
            <w:vAlign w:val="center"/>
          </w:tcPr>
          <w:p w:rsidR="004349B4" w:rsidRPr="007D4CDD" w:rsidRDefault="004349B4" w:rsidP="00B038B8">
            <w:pPr>
              <w:spacing w:line="276" w:lineRule="auto"/>
              <w:rPr>
                <w:rFonts w:ascii="Arial" w:hAnsi="Arial" w:cs="Arial"/>
                <w:sz w:val="20"/>
                <w:szCs w:val="20"/>
              </w:rPr>
            </w:pPr>
            <w:r w:rsidRPr="007D4CDD">
              <w:rPr>
                <w:rFonts w:ascii="Arial" w:hAnsi="Arial" w:cs="Arial"/>
                <w:sz w:val="20"/>
                <w:szCs w:val="20"/>
              </w:rPr>
              <w:t>Heart</w:t>
            </w:r>
          </w:p>
        </w:tc>
        <w:tc>
          <w:tcPr>
            <w:tcW w:w="459" w:type="pct"/>
            <w:vAlign w:val="center"/>
          </w:tcPr>
          <w:p w:rsidR="004349B4" w:rsidRPr="007D4CDD" w:rsidRDefault="004349B4" w:rsidP="00B038B8">
            <w:pPr>
              <w:spacing w:line="276" w:lineRule="auto"/>
              <w:rPr>
                <w:rFonts w:ascii="Arial" w:hAnsi="Arial" w:cs="Arial"/>
                <w:sz w:val="20"/>
                <w:szCs w:val="20"/>
              </w:rPr>
            </w:pPr>
            <w:r w:rsidRPr="007D4CDD">
              <w:rPr>
                <w:rFonts w:ascii="Arial" w:hAnsi="Arial" w:cs="Arial"/>
                <w:sz w:val="20"/>
                <w:szCs w:val="20"/>
              </w:rPr>
              <w:t>1</w:t>
            </w:r>
          </w:p>
        </w:tc>
        <w:tc>
          <w:tcPr>
            <w:tcW w:w="746"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0.09</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(0.08, 0.10)</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p&lt;0.0001</w:t>
            </w:r>
          </w:p>
        </w:tc>
        <w:tc>
          <w:tcPr>
            <w:tcW w:w="2510" w:type="pct"/>
            <w:gridSpan w:val="4"/>
            <w:vAlign w:val="center"/>
          </w:tcPr>
          <w:p w:rsidR="004349B4" w:rsidRPr="007D4CDD" w:rsidRDefault="004349B4" w:rsidP="00B038B8">
            <w:pPr>
              <w:spacing w:line="276" w:lineRule="auto"/>
              <w:jc w:val="center"/>
              <w:rPr>
                <w:rFonts w:ascii="Arial" w:hAnsi="Arial" w:cs="Arial"/>
                <w:sz w:val="20"/>
                <w:szCs w:val="20"/>
              </w:rPr>
            </w:pPr>
          </w:p>
        </w:tc>
        <w:tc>
          <w:tcPr>
            <w:tcW w:w="610"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27.00%</w:t>
            </w:r>
          </w:p>
        </w:tc>
      </w:tr>
      <w:tr w:rsidR="004349B4" w:rsidRPr="007D4CDD" w:rsidTr="006E0281">
        <w:tc>
          <w:tcPr>
            <w:tcW w:w="675" w:type="pct"/>
            <w:vMerge/>
          </w:tcPr>
          <w:p w:rsidR="004349B4" w:rsidRPr="007D4CDD" w:rsidRDefault="004349B4" w:rsidP="00B038B8">
            <w:pPr>
              <w:spacing w:line="276" w:lineRule="auto"/>
              <w:rPr>
                <w:rFonts w:ascii="Arial" w:hAnsi="Arial" w:cs="Arial"/>
                <w:sz w:val="20"/>
                <w:szCs w:val="20"/>
              </w:rPr>
            </w:pPr>
          </w:p>
        </w:tc>
        <w:tc>
          <w:tcPr>
            <w:tcW w:w="459" w:type="pct"/>
            <w:vAlign w:val="center"/>
          </w:tcPr>
          <w:p w:rsidR="004349B4" w:rsidRPr="007D4CDD" w:rsidRDefault="004349B4" w:rsidP="00B038B8">
            <w:pPr>
              <w:spacing w:line="276" w:lineRule="auto"/>
              <w:rPr>
                <w:rFonts w:ascii="Arial" w:hAnsi="Arial" w:cs="Arial"/>
                <w:sz w:val="20"/>
                <w:szCs w:val="20"/>
              </w:rPr>
            </w:pPr>
            <w:r w:rsidRPr="007D4CDD">
              <w:rPr>
                <w:rFonts w:ascii="Arial" w:hAnsi="Arial" w:cs="Arial"/>
                <w:sz w:val="20"/>
                <w:szCs w:val="20"/>
              </w:rPr>
              <w:t>2</w:t>
            </w:r>
          </w:p>
        </w:tc>
        <w:tc>
          <w:tcPr>
            <w:tcW w:w="746"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0.09</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(0.08; 0.10)</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p&lt;0.0001</w:t>
            </w:r>
          </w:p>
        </w:tc>
        <w:tc>
          <w:tcPr>
            <w:tcW w:w="510"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5%</w:t>
            </w:r>
          </w:p>
        </w:tc>
        <w:tc>
          <w:tcPr>
            <w:tcW w:w="718"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-0.10</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(-0.30; 0.10)</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p=0.31</w:t>
            </w:r>
          </w:p>
          <w:p w:rsidR="004349B4" w:rsidRPr="007D4CDD" w:rsidRDefault="004349B4" w:rsidP="00B038B8">
            <w:pPr>
              <w:spacing w:line="276" w:lineRule="auto"/>
              <w:jc w:val="center"/>
              <w:rPr>
                <w:rFonts w:ascii="Arial" w:hAnsi="Arial" w:cs="Arial"/>
                <w:b/>
                <w:sz w:val="20"/>
                <w:szCs w:val="20"/>
              </w:rPr>
            </w:pPr>
            <w:r w:rsidRPr="007D4CDD">
              <w:rPr>
                <w:rFonts w:ascii="Arial" w:hAnsi="Arial" w:cs="Arial"/>
                <w:b/>
                <w:sz w:val="20"/>
                <w:szCs w:val="20"/>
              </w:rPr>
              <w:t>Not significant</w:t>
            </w:r>
          </w:p>
        </w:tc>
        <w:tc>
          <w:tcPr>
            <w:tcW w:w="557"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90%</w:t>
            </w:r>
          </w:p>
        </w:tc>
        <w:tc>
          <w:tcPr>
            <w:tcW w:w="725"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-0.03</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(-0.07; 0.10)</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p=0.21</w:t>
            </w:r>
          </w:p>
          <w:p w:rsidR="004349B4" w:rsidRPr="007D4CDD" w:rsidRDefault="004349B4" w:rsidP="00B038B8">
            <w:pPr>
              <w:spacing w:line="276" w:lineRule="auto"/>
              <w:jc w:val="center"/>
              <w:rPr>
                <w:rFonts w:ascii="Arial" w:hAnsi="Arial" w:cs="Arial"/>
                <w:b/>
                <w:sz w:val="20"/>
                <w:szCs w:val="20"/>
              </w:rPr>
            </w:pPr>
            <w:r w:rsidRPr="007D4CDD">
              <w:rPr>
                <w:rFonts w:ascii="Arial" w:hAnsi="Arial" w:cs="Arial"/>
                <w:b/>
                <w:sz w:val="20"/>
                <w:szCs w:val="20"/>
              </w:rPr>
              <w:t>Not significant</w:t>
            </w:r>
          </w:p>
        </w:tc>
        <w:tc>
          <w:tcPr>
            <w:tcW w:w="610"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27.07%</w:t>
            </w:r>
          </w:p>
        </w:tc>
      </w:tr>
      <w:tr w:rsidR="004349B4" w:rsidRPr="007D4CDD" w:rsidTr="006E0281">
        <w:tc>
          <w:tcPr>
            <w:tcW w:w="675" w:type="pct"/>
            <w:vMerge w:val="restart"/>
            <w:vAlign w:val="center"/>
          </w:tcPr>
          <w:p w:rsidR="004349B4" w:rsidRPr="007D4CDD" w:rsidRDefault="004349B4" w:rsidP="00B038B8">
            <w:pPr>
              <w:spacing w:line="276" w:lineRule="auto"/>
              <w:rPr>
                <w:rFonts w:ascii="Arial" w:hAnsi="Arial" w:cs="Arial"/>
                <w:sz w:val="20"/>
                <w:szCs w:val="20"/>
              </w:rPr>
            </w:pPr>
            <w:r w:rsidRPr="007D4CDD">
              <w:rPr>
                <w:rFonts w:ascii="Arial" w:hAnsi="Arial" w:cs="Arial"/>
                <w:sz w:val="20"/>
                <w:szCs w:val="20"/>
              </w:rPr>
              <w:t>Respiratory</w:t>
            </w:r>
          </w:p>
        </w:tc>
        <w:tc>
          <w:tcPr>
            <w:tcW w:w="459" w:type="pct"/>
            <w:vAlign w:val="center"/>
          </w:tcPr>
          <w:p w:rsidR="004349B4" w:rsidRPr="007D4CDD" w:rsidRDefault="004349B4" w:rsidP="00B038B8">
            <w:pPr>
              <w:spacing w:line="276" w:lineRule="auto"/>
              <w:rPr>
                <w:rFonts w:ascii="Arial" w:hAnsi="Arial" w:cs="Arial"/>
                <w:sz w:val="20"/>
                <w:szCs w:val="20"/>
              </w:rPr>
            </w:pPr>
            <w:r w:rsidRPr="007D4CDD">
              <w:rPr>
                <w:rFonts w:ascii="Arial" w:hAnsi="Arial" w:cs="Arial"/>
                <w:sz w:val="20"/>
                <w:szCs w:val="20"/>
              </w:rPr>
              <w:t>1</w:t>
            </w:r>
          </w:p>
        </w:tc>
        <w:tc>
          <w:tcPr>
            <w:tcW w:w="746"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0.16</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(0.15; 1.73)</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p&lt;0.0001</w:t>
            </w:r>
          </w:p>
        </w:tc>
        <w:tc>
          <w:tcPr>
            <w:tcW w:w="2510" w:type="pct"/>
            <w:gridSpan w:val="4"/>
            <w:vAlign w:val="center"/>
          </w:tcPr>
          <w:p w:rsidR="004349B4" w:rsidRPr="007D4CDD" w:rsidRDefault="004349B4" w:rsidP="00B038B8">
            <w:pPr>
              <w:spacing w:line="276" w:lineRule="auto"/>
              <w:jc w:val="center"/>
              <w:rPr>
                <w:rFonts w:ascii="Arial" w:hAnsi="Arial" w:cs="Arial"/>
                <w:sz w:val="20"/>
                <w:szCs w:val="20"/>
              </w:rPr>
            </w:pPr>
          </w:p>
        </w:tc>
        <w:tc>
          <w:tcPr>
            <w:tcW w:w="610"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55.59%</w:t>
            </w:r>
          </w:p>
        </w:tc>
      </w:tr>
      <w:tr w:rsidR="004349B4" w:rsidRPr="007D4CDD" w:rsidTr="006E0281">
        <w:tc>
          <w:tcPr>
            <w:tcW w:w="675" w:type="pct"/>
            <w:vMerge/>
            <w:vAlign w:val="center"/>
          </w:tcPr>
          <w:p w:rsidR="004349B4" w:rsidRPr="007D4CDD" w:rsidRDefault="004349B4" w:rsidP="00B038B8">
            <w:pPr>
              <w:spacing w:line="276" w:lineRule="auto"/>
              <w:rPr>
                <w:rFonts w:ascii="Arial" w:hAnsi="Arial" w:cs="Arial"/>
                <w:sz w:val="20"/>
                <w:szCs w:val="20"/>
              </w:rPr>
            </w:pPr>
          </w:p>
        </w:tc>
        <w:tc>
          <w:tcPr>
            <w:tcW w:w="459" w:type="pct"/>
            <w:vAlign w:val="center"/>
          </w:tcPr>
          <w:p w:rsidR="004349B4" w:rsidRPr="007D4CDD" w:rsidRDefault="004349B4" w:rsidP="00B038B8">
            <w:pPr>
              <w:spacing w:line="276" w:lineRule="auto"/>
              <w:rPr>
                <w:rFonts w:ascii="Arial" w:hAnsi="Arial" w:cs="Arial"/>
                <w:sz w:val="20"/>
                <w:szCs w:val="20"/>
              </w:rPr>
            </w:pPr>
            <w:r w:rsidRPr="007D4CDD">
              <w:rPr>
                <w:rFonts w:ascii="Arial" w:hAnsi="Arial" w:cs="Arial"/>
                <w:sz w:val="20"/>
                <w:szCs w:val="20"/>
              </w:rPr>
              <w:t>2</w:t>
            </w:r>
          </w:p>
        </w:tc>
        <w:tc>
          <w:tcPr>
            <w:tcW w:w="746"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0.15</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(0.14; 0.17)</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p&lt;0.0001</w:t>
            </w:r>
          </w:p>
        </w:tc>
        <w:tc>
          <w:tcPr>
            <w:tcW w:w="510"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30%</w:t>
            </w:r>
          </w:p>
        </w:tc>
        <w:tc>
          <w:tcPr>
            <w:tcW w:w="718"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-0.02</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(-0.08; 0.04)</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p=0.47</w:t>
            </w:r>
          </w:p>
          <w:p w:rsidR="004349B4" w:rsidRPr="007D4CDD" w:rsidRDefault="004349B4" w:rsidP="00B038B8">
            <w:pPr>
              <w:spacing w:line="276" w:lineRule="auto"/>
              <w:jc w:val="center"/>
              <w:rPr>
                <w:rFonts w:ascii="Arial" w:hAnsi="Arial" w:cs="Arial"/>
                <w:b/>
                <w:sz w:val="20"/>
                <w:szCs w:val="20"/>
              </w:rPr>
            </w:pPr>
            <w:r w:rsidRPr="007D4CDD">
              <w:rPr>
                <w:rFonts w:ascii="Arial" w:hAnsi="Arial" w:cs="Arial"/>
                <w:b/>
                <w:sz w:val="20"/>
                <w:szCs w:val="20"/>
              </w:rPr>
              <w:t>Not significant</w:t>
            </w:r>
          </w:p>
        </w:tc>
        <w:tc>
          <w:tcPr>
            <w:tcW w:w="557"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95%</w:t>
            </w:r>
          </w:p>
        </w:tc>
        <w:tc>
          <w:tcPr>
            <w:tcW w:w="725"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0.09</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(0.02; 0.15)</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p=0.007</w:t>
            </w:r>
          </w:p>
          <w:p w:rsidR="004349B4" w:rsidRPr="007D4CDD" w:rsidRDefault="004349B4" w:rsidP="00B038B8">
            <w:pPr>
              <w:spacing w:line="276" w:lineRule="auto"/>
              <w:jc w:val="center"/>
              <w:rPr>
                <w:rFonts w:ascii="Arial" w:hAnsi="Arial" w:cs="Arial"/>
                <w:b/>
                <w:sz w:val="20"/>
                <w:szCs w:val="20"/>
              </w:rPr>
            </w:pPr>
            <w:r w:rsidRPr="007D4CDD">
              <w:rPr>
                <w:rFonts w:ascii="Arial" w:hAnsi="Arial" w:cs="Arial"/>
                <w:b/>
                <w:sz w:val="20"/>
                <w:szCs w:val="20"/>
              </w:rPr>
              <w:t>Overmet need</w:t>
            </w:r>
          </w:p>
        </w:tc>
        <w:tc>
          <w:tcPr>
            <w:tcW w:w="610"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55.78%</w:t>
            </w:r>
          </w:p>
        </w:tc>
      </w:tr>
      <w:tr w:rsidR="004349B4" w:rsidRPr="007D4CDD" w:rsidTr="006E0281">
        <w:tc>
          <w:tcPr>
            <w:tcW w:w="675" w:type="pct"/>
            <w:vMerge w:val="restart"/>
            <w:vAlign w:val="center"/>
          </w:tcPr>
          <w:p w:rsidR="004349B4" w:rsidRPr="007D4CDD" w:rsidRDefault="004349B4" w:rsidP="00B038B8">
            <w:pPr>
              <w:spacing w:line="276" w:lineRule="auto"/>
              <w:rPr>
                <w:rFonts w:ascii="Arial" w:hAnsi="Arial" w:cs="Arial"/>
                <w:sz w:val="20"/>
                <w:szCs w:val="20"/>
              </w:rPr>
            </w:pPr>
            <w:r w:rsidRPr="007D4CDD">
              <w:rPr>
                <w:rFonts w:ascii="Arial" w:hAnsi="Arial" w:cs="Arial"/>
                <w:sz w:val="20"/>
                <w:szCs w:val="20"/>
              </w:rPr>
              <w:t>Digestive</w:t>
            </w:r>
          </w:p>
        </w:tc>
        <w:tc>
          <w:tcPr>
            <w:tcW w:w="459" w:type="pct"/>
            <w:vAlign w:val="center"/>
          </w:tcPr>
          <w:p w:rsidR="004349B4" w:rsidRPr="007D4CDD" w:rsidRDefault="004349B4" w:rsidP="00B038B8">
            <w:pPr>
              <w:spacing w:line="276" w:lineRule="auto"/>
              <w:rPr>
                <w:rFonts w:ascii="Arial" w:hAnsi="Arial" w:cs="Arial"/>
                <w:sz w:val="20"/>
                <w:szCs w:val="20"/>
              </w:rPr>
            </w:pPr>
            <w:r w:rsidRPr="007D4CDD">
              <w:rPr>
                <w:rFonts w:ascii="Arial" w:hAnsi="Arial" w:cs="Arial"/>
                <w:sz w:val="20"/>
                <w:szCs w:val="20"/>
              </w:rPr>
              <w:t>1</w:t>
            </w:r>
          </w:p>
        </w:tc>
        <w:tc>
          <w:tcPr>
            <w:tcW w:w="746"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0.10</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(0.09; 0.11)</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p&lt;0.0001</w:t>
            </w:r>
          </w:p>
        </w:tc>
        <w:tc>
          <w:tcPr>
            <w:tcW w:w="2510" w:type="pct"/>
            <w:gridSpan w:val="4"/>
            <w:vAlign w:val="center"/>
          </w:tcPr>
          <w:p w:rsidR="004349B4" w:rsidRPr="007D4CDD" w:rsidRDefault="004349B4" w:rsidP="00B038B8">
            <w:pPr>
              <w:spacing w:line="276" w:lineRule="auto"/>
              <w:jc w:val="center"/>
              <w:rPr>
                <w:rFonts w:ascii="Arial" w:hAnsi="Arial" w:cs="Arial"/>
                <w:sz w:val="20"/>
                <w:szCs w:val="20"/>
              </w:rPr>
            </w:pPr>
          </w:p>
        </w:tc>
        <w:tc>
          <w:tcPr>
            <w:tcW w:w="610"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55.02%</w:t>
            </w:r>
          </w:p>
        </w:tc>
      </w:tr>
      <w:tr w:rsidR="004349B4" w:rsidRPr="007D4CDD" w:rsidTr="006E0281">
        <w:tc>
          <w:tcPr>
            <w:tcW w:w="675" w:type="pct"/>
            <w:vMerge/>
            <w:vAlign w:val="center"/>
          </w:tcPr>
          <w:p w:rsidR="004349B4" w:rsidRPr="007D4CDD" w:rsidRDefault="004349B4" w:rsidP="00B038B8">
            <w:pPr>
              <w:spacing w:line="276" w:lineRule="auto"/>
              <w:rPr>
                <w:rFonts w:ascii="Arial" w:hAnsi="Arial" w:cs="Arial"/>
                <w:sz w:val="20"/>
                <w:szCs w:val="20"/>
              </w:rPr>
            </w:pPr>
          </w:p>
        </w:tc>
        <w:tc>
          <w:tcPr>
            <w:tcW w:w="459" w:type="pct"/>
            <w:vAlign w:val="center"/>
          </w:tcPr>
          <w:p w:rsidR="004349B4" w:rsidRPr="007D4CDD" w:rsidRDefault="004349B4" w:rsidP="00B038B8">
            <w:pPr>
              <w:spacing w:line="276" w:lineRule="auto"/>
              <w:rPr>
                <w:rFonts w:ascii="Arial" w:hAnsi="Arial" w:cs="Arial"/>
                <w:sz w:val="20"/>
                <w:szCs w:val="20"/>
              </w:rPr>
            </w:pPr>
            <w:r w:rsidRPr="007D4CDD">
              <w:rPr>
                <w:rFonts w:ascii="Arial" w:hAnsi="Arial" w:cs="Arial"/>
                <w:sz w:val="20"/>
                <w:szCs w:val="20"/>
              </w:rPr>
              <w:t>2</w:t>
            </w:r>
          </w:p>
        </w:tc>
        <w:tc>
          <w:tcPr>
            <w:tcW w:w="746"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0.09</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(0.08; 0.10)</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p&lt;0.0001</w:t>
            </w:r>
          </w:p>
        </w:tc>
        <w:tc>
          <w:tcPr>
            <w:tcW w:w="510"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30%</w:t>
            </w:r>
          </w:p>
        </w:tc>
        <w:tc>
          <w:tcPr>
            <w:tcW w:w="718"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-0.03</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(-0.08; 0.01)</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p=0.15</w:t>
            </w:r>
          </w:p>
          <w:p w:rsidR="004349B4" w:rsidRPr="007D4CDD" w:rsidRDefault="004349B4" w:rsidP="00B038B8">
            <w:pPr>
              <w:spacing w:line="276" w:lineRule="auto"/>
              <w:jc w:val="center"/>
              <w:rPr>
                <w:rFonts w:ascii="Arial" w:hAnsi="Arial" w:cs="Arial"/>
                <w:b/>
                <w:sz w:val="20"/>
                <w:szCs w:val="20"/>
              </w:rPr>
            </w:pPr>
            <w:r w:rsidRPr="007D4CDD">
              <w:rPr>
                <w:rFonts w:ascii="Arial" w:hAnsi="Arial" w:cs="Arial"/>
                <w:b/>
                <w:sz w:val="20"/>
                <w:szCs w:val="20"/>
              </w:rPr>
              <w:t>Not significant</w:t>
            </w:r>
          </w:p>
        </w:tc>
        <w:tc>
          <w:tcPr>
            <w:tcW w:w="557"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93%</w:t>
            </w:r>
          </w:p>
        </w:tc>
        <w:tc>
          <w:tcPr>
            <w:tcW w:w="725"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0.03</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(-0.02; 0.07)</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p=0.24</w:t>
            </w:r>
          </w:p>
          <w:p w:rsidR="004349B4" w:rsidRPr="007D4CDD" w:rsidRDefault="004349B4" w:rsidP="00B038B8">
            <w:pPr>
              <w:spacing w:line="276" w:lineRule="auto"/>
              <w:jc w:val="center"/>
              <w:rPr>
                <w:rFonts w:ascii="Arial" w:hAnsi="Arial" w:cs="Arial"/>
                <w:b/>
                <w:sz w:val="20"/>
                <w:szCs w:val="20"/>
              </w:rPr>
            </w:pPr>
            <w:r w:rsidRPr="007D4CDD">
              <w:rPr>
                <w:rFonts w:ascii="Arial" w:hAnsi="Arial" w:cs="Arial"/>
                <w:b/>
                <w:sz w:val="20"/>
                <w:szCs w:val="20"/>
              </w:rPr>
              <w:t>Not significant</w:t>
            </w:r>
          </w:p>
        </w:tc>
        <w:tc>
          <w:tcPr>
            <w:tcW w:w="610"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55.04%</w:t>
            </w:r>
          </w:p>
        </w:tc>
      </w:tr>
      <w:tr w:rsidR="004349B4" w:rsidRPr="007D4CDD" w:rsidTr="006E0281">
        <w:tc>
          <w:tcPr>
            <w:tcW w:w="675" w:type="pct"/>
            <w:vMerge w:val="restart"/>
            <w:vAlign w:val="center"/>
          </w:tcPr>
          <w:p w:rsidR="004349B4" w:rsidRPr="007D4CDD" w:rsidRDefault="004349B4" w:rsidP="00B038B8">
            <w:pPr>
              <w:spacing w:line="276" w:lineRule="auto"/>
              <w:rPr>
                <w:rFonts w:ascii="Arial" w:hAnsi="Arial" w:cs="Arial"/>
                <w:sz w:val="20"/>
                <w:szCs w:val="20"/>
              </w:rPr>
            </w:pPr>
            <w:r w:rsidRPr="007D4CDD">
              <w:rPr>
                <w:rFonts w:ascii="Arial" w:hAnsi="Arial" w:cs="Arial"/>
                <w:sz w:val="20"/>
                <w:szCs w:val="20"/>
              </w:rPr>
              <w:t>Cancer</w:t>
            </w:r>
          </w:p>
        </w:tc>
        <w:tc>
          <w:tcPr>
            <w:tcW w:w="459" w:type="pct"/>
            <w:vAlign w:val="center"/>
          </w:tcPr>
          <w:p w:rsidR="004349B4" w:rsidRPr="007D4CDD" w:rsidRDefault="004349B4" w:rsidP="00B038B8">
            <w:pPr>
              <w:spacing w:line="276" w:lineRule="auto"/>
              <w:rPr>
                <w:rFonts w:ascii="Arial" w:hAnsi="Arial" w:cs="Arial"/>
                <w:sz w:val="20"/>
                <w:szCs w:val="20"/>
              </w:rPr>
            </w:pPr>
            <w:r w:rsidRPr="007D4CDD">
              <w:rPr>
                <w:rFonts w:ascii="Arial" w:hAnsi="Arial" w:cs="Arial"/>
                <w:sz w:val="20"/>
                <w:szCs w:val="20"/>
              </w:rPr>
              <w:t>1</w:t>
            </w:r>
          </w:p>
        </w:tc>
        <w:tc>
          <w:tcPr>
            <w:tcW w:w="746"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0.04</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(0.03; 0.05)</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p&lt;0.0001</w:t>
            </w:r>
          </w:p>
        </w:tc>
        <w:tc>
          <w:tcPr>
            <w:tcW w:w="2510" w:type="pct"/>
            <w:gridSpan w:val="4"/>
            <w:vAlign w:val="center"/>
          </w:tcPr>
          <w:p w:rsidR="004349B4" w:rsidRPr="007D4CDD" w:rsidRDefault="004349B4" w:rsidP="00B038B8">
            <w:pPr>
              <w:spacing w:line="276" w:lineRule="auto"/>
              <w:jc w:val="center"/>
              <w:rPr>
                <w:rFonts w:ascii="Arial" w:hAnsi="Arial" w:cs="Arial"/>
                <w:sz w:val="20"/>
                <w:szCs w:val="20"/>
              </w:rPr>
            </w:pPr>
          </w:p>
        </w:tc>
        <w:tc>
          <w:tcPr>
            <w:tcW w:w="610"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23.45%</w:t>
            </w:r>
          </w:p>
        </w:tc>
      </w:tr>
      <w:tr w:rsidR="004349B4" w:rsidRPr="007D4CDD" w:rsidTr="006E0281">
        <w:tc>
          <w:tcPr>
            <w:tcW w:w="675" w:type="pct"/>
            <w:vMerge/>
          </w:tcPr>
          <w:p w:rsidR="004349B4" w:rsidRPr="007D4CDD" w:rsidRDefault="004349B4" w:rsidP="00B038B8">
            <w:pPr>
              <w:spacing w:line="276" w:lineRule="auto"/>
              <w:rPr>
                <w:rFonts w:ascii="Arial" w:hAnsi="Arial" w:cs="Arial"/>
                <w:sz w:val="20"/>
                <w:szCs w:val="20"/>
              </w:rPr>
            </w:pPr>
          </w:p>
        </w:tc>
        <w:tc>
          <w:tcPr>
            <w:tcW w:w="459" w:type="pct"/>
            <w:vAlign w:val="center"/>
          </w:tcPr>
          <w:p w:rsidR="004349B4" w:rsidRPr="007D4CDD" w:rsidRDefault="004349B4" w:rsidP="00B038B8">
            <w:pPr>
              <w:spacing w:line="276" w:lineRule="auto"/>
              <w:rPr>
                <w:rFonts w:ascii="Arial" w:hAnsi="Arial" w:cs="Arial"/>
                <w:sz w:val="20"/>
                <w:szCs w:val="20"/>
              </w:rPr>
            </w:pPr>
            <w:r w:rsidRPr="007D4CDD">
              <w:rPr>
                <w:rFonts w:ascii="Arial" w:hAnsi="Arial" w:cs="Arial"/>
                <w:sz w:val="20"/>
                <w:szCs w:val="20"/>
              </w:rPr>
              <w:t>2</w:t>
            </w:r>
          </w:p>
        </w:tc>
        <w:tc>
          <w:tcPr>
            <w:tcW w:w="746"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0.05</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(0.03; 0.06)</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p&lt;0.0001</w:t>
            </w:r>
          </w:p>
        </w:tc>
        <w:tc>
          <w:tcPr>
            <w:tcW w:w="510"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30%</w:t>
            </w:r>
          </w:p>
        </w:tc>
        <w:tc>
          <w:tcPr>
            <w:tcW w:w="718"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-0.02</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(-0.07; 0.06)</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p=0.56</w:t>
            </w:r>
          </w:p>
          <w:p w:rsidR="004349B4" w:rsidRPr="007D4CDD" w:rsidRDefault="004349B4" w:rsidP="00B038B8">
            <w:pPr>
              <w:spacing w:line="276" w:lineRule="auto"/>
              <w:jc w:val="center"/>
              <w:rPr>
                <w:rFonts w:ascii="Arial" w:hAnsi="Arial" w:cs="Arial"/>
                <w:b/>
                <w:sz w:val="20"/>
                <w:szCs w:val="20"/>
              </w:rPr>
            </w:pPr>
            <w:r w:rsidRPr="007D4CDD">
              <w:rPr>
                <w:rFonts w:ascii="Arial" w:hAnsi="Arial" w:cs="Arial"/>
                <w:b/>
                <w:sz w:val="20"/>
                <w:szCs w:val="20"/>
              </w:rPr>
              <w:t>Not significant</w:t>
            </w:r>
          </w:p>
        </w:tc>
        <w:tc>
          <w:tcPr>
            <w:tcW w:w="557"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85%</w:t>
            </w:r>
          </w:p>
        </w:tc>
        <w:tc>
          <w:tcPr>
            <w:tcW w:w="725"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-0.04</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(-0.08;-0.01)</w:t>
            </w:r>
          </w:p>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p=0.029</w:t>
            </w:r>
          </w:p>
          <w:p w:rsidR="004349B4" w:rsidRPr="007D4CDD" w:rsidRDefault="004349B4" w:rsidP="00B038B8">
            <w:pPr>
              <w:spacing w:line="276" w:lineRule="auto"/>
              <w:jc w:val="center"/>
              <w:rPr>
                <w:rFonts w:ascii="Arial" w:hAnsi="Arial" w:cs="Arial"/>
                <w:b/>
                <w:sz w:val="20"/>
                <w:szCs w:val="20"/>
              </w:rPr>
            </w:pPr>
            <w:r w:rsidRPr="007D4CDD">
              <w:rPr>
                <w:rFonts w:ascii="Arial" w:hAnsi="Arial" w:cs="Arial"/>
                <w:b/>
                <w:sz w:val="20"/>
                <w:szCs w:val="20"/>
              </w:rPr>
              <w:t>Unmet need</w:t>
            </w:r>
          </w:p>
        </w:tc>
        <w:tc>
          <w:tcPr>
            <w:tcW w:w="610" w:type="pct"/>
            <w:vAlign w:val="center"/>
          </w:tcPr>
          <w:p w:rsidR="004349B4" w:rsidRPr="007D4CDD" w:rsidRDefault="004349B4" w:rsidP="00B038B8">
            <w:pPr>
              <w:spacing w:line="276" w:lineRule="auto"/>
              <w:jc w:val="center"/>
              <w:rPr>
                <w:rFonts w:ascii="Arial" w:hAnsi="Arial" w:cs="Arial"/>
                <w:sz w:val="20"/>
                <w:szCs w:val="20"/>
              </w:rPr>
            </w:pPr>
            <w:r w:rsidRPr="007D4CDD">
              <w:rPr>
                <w:rFonts w:ascii="Arial" w:hAnsi="Arial" w:cs="Arial"/>
                <w:sz w:val="20"/>
                <w:szCs w:val="20"/>
              </w:rPr>
              <w:t>23.85%</w:t>
            </w:r>
          </w:p>
        </w:tc>
      </w:tr>
    </w:tbl>
    <w:p w:rsidR="004349B4" w:rsidRDefault="004349B4" w:rsidP="00B038B8">
      <w:pPr>
        <w:rPr>
          <w:rFonts w:ascii="Arial" w:hAnsi="Arial" w:cs="Arial"/>
        </w:rPr>
      </w:pPr>
    </w:p>
    <w:p w:rsidR="004349B4" w:rsidRDefault="004349B4" w:rsidP="00B038B8">
      <w:pPr>
        <w:rPr>
          <w:rFonts w:ascii="Arial" w:hAnsi="Arial" w:cs="Arial"/>
        </w:rPr>
      </w:pPr>
      <w:r>
        <w:rPr>
          <w:rFonts w:ascii="Arial" w:hAnsi="Arial" w:cs="Arial"/>
        </w:rPr>
        <w:br w:type="page"/>
      </w:r>
    </w:p>
    <w:p w:rsidR="00AB6046" w:rsidRDefault="002A09B1" w:rsidP="00B038B8">
      <w:pPr>
        <w:rPr>
          <w:rFonts w:ascii="Arial" w:hAnsi="Arial" w:cs="Arial"/>
          <w:b/>
        </w:rPr>
      </w:pPr>
      <w:r w:rsidRPr="00AB6046">
        <w:rPr>
          <w:rFonts w:ascii="Arial" w:hAnsi="Arial" w:cs="Arial"/>
          <w:b/>
        </w:rPr>
        <w:lastRenderedPageBreak/>
        <w:t>Annex C: Scatter plots</w:t>
      </w:r>
      <w:r w:rsidR="00AB6046">
        <w:rPr>
          <w:rFonts w:ascii="Arial" w:hAnsi="Arial" w:cs="Arial"/>
          <w:b/>
        </w:rPr>
        <w:t xml:space="preserve"> of</w:t>
      </w:r>
      <w:r w:rsidRPr="00AB6046">
        <w:rPr>
          <w:rFonts w:ascii="Arial" w:hAnsi="Arial" w:cs="Arial"/>
          <w:b/>
        </w:rPr>
        <w:t xml:space="preserve"> step 1</w:t>
      </w:r>
      <w:r w:rsidR="00AB6046">
        <w:rPr>
          <w:rFonts w:ascii="Arial" w:hAnsi="Arial" w:cs="Arial"/>
          <w:b/>
        </w:rPr>
        <w:t xml:space="preserve"> results</w:t>
      </w:r>
      <w:r w:rsidRPr="00AB6046">
        <w:rPr>
          <w:rFonts w:ascii="Arial" w:hAnsi="Arial" w:cs="Arial"/>
          <w:b/>
        </w:rPr>
        <w:t xml:space="preserve"> of the two-step shortfall method</w:t>
      </w:r>
    </w:p>
    <w:p w:rsidR="00AB6046" w:rsidRDefault="00AB6046">
      <w:pPr>
        <w:rPr>
          <w:rFonts w:ascii="Arial" w:hAnsi="Arial" w:cs="Arial"/>
          <w:b/>
        </w:rPr>
      </w:pPr>
      <w:r>
        <w:rPr>
          <w:rFonts w:ascii="Arial" w:hAnsi="Arial" w:cs="Arial"/>
          <w:b/>
          <w:noProof/>
        </w:rPr>
        <w:drawing>
          <wp:anchor distT="0" distB="0" distL="114300" distR="114300" simplePos="0" relativeHeight="251670528" behindDoc="1" locked="0" layoutInCell="1" allowOverlap="1">
            <wp:simplePos x="0" y="0"/>
            <wp:positionH relativeFrom="column">
              <wp:posOffset>-57150</wp:posOffset>
            </wp:positionH>
            <wp:positionV relativeFrom="paragraph">
              <wp:posOffset>3669665</wp:posOffset>
            </wp:positionV>
            <wp:extent cx="4676775" cy="3600450"/>
            <wp:effectExtent l="1905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4676775" cy="3600450"/>
                    </a:xfrm>
                    <a:prstGeom prst="rect">
                      <a:avLst/>
                    </a:prstGeom>
                    <a:noFill/>
                    <a:ln w="9525">
                      <a:noFill/>
                      <a:miter lim="800000"/>
                      <a:headEnd/>
                      <a:tailEnd/>
                    </a:ln>
                  </pic:spPr>
                </pic:pic>
              </a:graphicData>
            </a:graphic>
          </wp:anchor>
        </w:drawing>
      </w:r>
      <w:r>
        <w:rPr>
          <w:rFonts w:ascii="Arial" w:hAnsi="Arial" w:cs="Arial"/>
          <w:b/>
          <w:noProof/>
        </w:rPr>
        <w:drawing>
          <wp:anchor distT="0" distB="0" distL="114300" distR="114300" simplePos="0" relativeHeight="251671552" behindDoc="1" locked="0" layoutInCell="1" allowOverlap="1">
            <wp:simplePos x="0" y="0"/>
            <wp:positionH relativeFrom="column">
              <wp:posOffset>-57150</wp:posOffset>
            </wp:positionH>
            <wp:positionV relativeFrom="paragraph">
              <wp:posOffset>126365</wp:posOffset>
            </wp:positionV>
            <wp:extent cx="4676775" cy="3600450"/>
            <wp:effectExtent l="1905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4676775" cy="3600450"/>
                    </a:xfrm>
                    <a:prstGeom prst="rect">
                      <a:avLst/>
                    </a:prstGeom>
                    <a:noFill/>
                    <a:ln w="9525">
                      <a:noFill/>
                      <a:miter lim="800000"/>
                      <a:headEnd/>
                      <a:tailEnd/>
                    </a:ln>
                  </pic:spPr>
                </pic:pic>
              </a:graphicData>
            </a:graphic>
          </wp:anchor>
        </w:drawing>
      </w:r>
      <w:r>
        <w:rPr>
          <w:rFonts w:ascii="Arial" w:hAnsi="Arial" w:cs="Arial"/>
          <w:b/>
        </w:rPr>
        <w:br w:type="page"/>
      </w:r>
    </w:p>
    <w:p w:rsidR="002A09B1" w:rsidRDefault="00AB6046" w:rsidP="00B038B8">
      <w:pPr>
        <w:rPr>
          <w:rFonts w:ascii="Arial" w:hAnsi="Arial" w:cs="Arial"/>
          <w:b/>
        </w:rPr>
      </w:pPr>
      <w:r>
        <w:rPr>
          <w:rFonts w:ascii="Arial" w:hAnsi="Arial" w:cs="Arial"/>
          <w:b/>
          <w:noProof/>
        </w:rPr>
        <w:lastRenderedPageBreak/>
        <w:drawing>
          <wp:anchor distT="0" distB="0" distL="114300" distR="114300" simplePos="0" relativeHeight="251669504" behindDoc="1" locked="0" layoutInCell="1" allowOverlap="1">
            <wp:simplePos x="0" y="0"/>
            <wp:positionH relativeFrom="column">
              <wp:posOffset>-57150</wp:posOffset>
            </wp:positionH>
            <wp:positionV relativeFrom="paragraph">
              <wp:posOffset>-238125</wp:posOffset>
            </wp:positionV>
            <wp:extent cx="4676775" cy="3600450"/>
            <wp:effectExtent l="1905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4676775" cy="3600450"/>
                    </a:xfrm>
                    <a:prstGeom prst="rect">
                      <a:avLst/>
                    </a:prstGeom>
                    <a:noFill/>
                    <a:ln w="9525">
                      <a:noFill/>
                      <a:miter lim="800000"/>
                      <a:headEnd/>
                      <a:tailEnd/>
                    </a:ln>
                  </pic:spPr>
                </pic:pic>
              </a:graphicData>
            </a:graphic>
          </wp:anchor>
        </w:drawing>
      </w:r>
    </w:p>
    <w:p w:rsidR="00AB6046" w:rsidRPr="00AB6046" w:rsidRDefault="00AB6046" w:rsidP="00B038B8">
      <w:pPr>
        <w:rPr>
          <w:rFonts w:ascii="Arial" w:hAnsi="Arial" w:cs="Arial"/>
          <w:b/>
        </w:rPr>
      </w:pPr>
    </w:p>
    <w:p w:rsidR="00AB6046" w:rsidRDefault="00AB6046">
      <w:pPr>
        <w:rPr>
          <w:rFonts w:ascii="Arial" w:hAnsi="Arial" w:cs="Arial"/>
          <w:b/>
        </w:rPr>
      </w:pPr>
    </w:p>
    <w:p w:rsidR="00AB6046" w:rsidRDefault="00AB6046">
      <w:pPr>
        <w:rPr>
          <w:rFonts w:ascii="Arial" w:hAnsi="Arial" w:cs="Arial"/>
          <w:b/>
        </w:rPr>
      </w:pPr>
    </w:p>
    <w:p w:rsidR="00AB6046" w:rsidRDefault="00AB6046">
      <w:pPr>
        <w:rPr>
          <w:rFonts w:ascii="Arial" w:hAnsi="Arial" w:cs="Arial"/>
          <w:b/>
        </w:rPr>
      </w:pPr>
    </w:p>
    <w:p w:rsidR="00AB6046" w:rsidRDefault="00AB6046">
      <w:pPr>
        <w:rPr>
          <w:rFonts w:ascii="Arial" w:hAnsi="Arial" w:cs="Arial"/>
          <w:b/>
        </w:rPr>
      </w:pPr>
    </w:p>
    <w:p w:rsidR="00AB6046" w:rsidRDefault="00AB6046">
      <w:pPr>
        <w:rPr>
          <w:rFonts w:ascii="Arial" w:hAnsi="Arial" w:cs="Arial"/>
          <w:b/>
        </w:rPr>
      </w:pPr>
    </w:p>
    <w:p w:rsidR="00AB6046" w:rsidRDefault="00AB6046">
      <w:pPr>
        <w:rPr>
          <w:rFonts w:ascii="Arial" w:hAnsi="Arial" w:cs="Arial"/>
          <w:b/>
        </w:rPr>
      </w:pPr>
    </w:p>
    <w:p w:rsidR="00AB6046" w:rsidRDefault="00AB6046">
      <w:pPr>
        <w:rPr>
          <w:rFonts w:ascii="Arial" w:hAnsi="Arial" w:cs="Arial"/>
          <w:b/>
        </w:rPr>
      </w:pPr>
    </w:p>
    <w:p w:rsidR="00AB6046" w:rsidRDefault="00AB6046">
      <w:pPr>
        <w:rPr>
          <w:rFonts w:ascii="Arial" w:hAnsi="Arial" w:cs="Arial"/>
          <w:b/>
        </w:rPr>
      </w:pPr>
    </w:p>
    <w:p w:rsidR="00AB6046" w:rsidRPr="00AB6046" w:rsidRDefault="00AB6046">
      <w:pPr>
        <w:rPr>
          <w:rFonts w:ascii="Arial" w:hAnsi="Arial" w:cs="Arial"/>
          <w:i/>
        </w:rPr>
      </w:pPr>
    </w:p>
    <w:p w:rsidR="002A09B1" w:rsidRDefault="00AB6046">
      <w:pPr>
        <w:rPr>
          <w:rFonts w:ascii="Arial" w:hAnsi="Arial" w:cs="Arial"/>
          <w:b/>
        </w:rPr>
      </w:pPr>
      <w:r w:rsidRPr="00AB6046">
        <w:rPr>
          <w:rFonts w:ascii="Arial" w:hAnsi="Arial" w:cs="Arial"/>
          <w:i/>
        </w:rPr>
        <w:t>Figure C.1. Scatter plot of SHeS ratios against the acute index for the acute diagnostic groups Cancer, Digestive and Respiratory. Predicted values from fitting a Generalised Additive Model shown in red. Dashed lines represent 95% confidence intervals.</w:t>
      </w:r>
      <w:r w:rsidRPr="00815E41">
        <w:rPr>
          <w:rFonts w:ascii="Arial" w:hAnsi="Arial" w:cs="Arial"/>
          <w:i/>
        </w:rPr>
        <w:t xml:space="preserve"> </w:t>
      </w:r>
      <w:r w:rsidR="002A09B1">
        <w:rPr>
          <w:rFonts w:ascii="Arial" w:hAnsi="Arial" w:cs="Arial"/>
          <w:b/>
        </w:rPr>
        <w:br w:type="page"/>
      </w:r>
    </w:p>
    <w:p w:rsidR="004349B4" w:rsidRDefault="004349B4" w:rsidP="00B038B8">
      <w:pPr>
        <w:rPr>
          <w:rFonts w:ascii="Arial" w:hAnsi="Arial" w:cs="Arial"/>
          <w:b/>
        </w:rPr>
      </w:pPr>
      <w:r>
        <w:rPr>
          <w:rFonts w:ascii="Arial" w:hAnsi="Arial" w:cs="Arial"/>
          <w:b/>
        </w:rPr>
        <w:lastRenderedPageBreak/>
        <w:t xml:space="preserve">ANNEX </w:t>
      </w:r>
      <w:r w:rsidR="002A09B1">
        <w:rPr>
          <w:rFonts w:ascii="Arial" w:hAnsi="Arial" w:cs="Arial"/>
          <w:b/>
        </w:rPr>
        <w:t>D</w:t>
      </w:r>
      <w:r>
        <w:rPr>
          <w:rFonts w:ascii="Arial" w:hAnsi="Arial" w:cs="Arial"/>
          <w:b/>
        </w:rPr>
        <w:t xml:space="preserve">: </w:t>
      </w:r>
      <w:r w:rsidR="00672E1E">
        <w:rPr>
          <w:rFonts w:ascii="Arial" w:hAnsi="Arial" w:cs="Arial"/>
          <w:b/>
        </w:rPr>
        <w:t>Two-step</w:t>
      </w:r>
      <w:r w:rsidR="00672E1E" w:rsidRPr="004349B4">
        <w:rPr>
          <w:rFonts w:ascii="Arial" w:hAnsi="Arial" w:cs="Arial"/>
          <w:b/>
        </w:rPr>
        <w:t xml:space="preserve"> </w:t>
      </w:r>
      <w:r w:rsidRPr="004349B4">
        <w:rPr>
          <w:rFonts w:ascii="Arial" w:hAnsi="Arial" w:cs="Arial"/>
          <w:b/>
        </w:rPr>
        <w:t>shortfall method results table</w:t>
      </w:r>
    </w:p>
    <w:p w:rsidR="00E64BA2" w:rsidRPr="00F60343" w:rsidRDefault="00F60343" w:rsidP="00B038B8">
      <w:pPr>
        <w:spacing w:after="0"/>
        <w:rPr>
          <w:rFonts w:ascii="Arial" w:hAnsi="Arial" w:cs="Arial"/>
          <w:i/>
        </w:rPr>
      </w:pPr>
      <w:r w:rsidRPr="00C82B0A">
        <w:rPr>
          <w:rFonts w:ascii="Arial" w:hAnsi="Arial" w:cs="Arial"/>
          <w:i/>
        </w:rPr>
        <w:t>Table C.1</w:t>
      </w:r>
      <w:r w:rsidRPr="00F60343">
        <w:rPr>
          <w:rFonts w:ascii="Arial" w:hAnsi="Arial" w:cs="Arial"/>
          <w:i/>
        </w:rPr>
        <w:t xml:space="preserve">. </w:t>
      </w:r>
      <w:proofErr w:type="gramStart"/>
      <w:r w:rsidRPr="00F60343">
        <w:rPr>
          <w:rFonts w:ascii="Arial" w:hAnsi="Arial" w:cs="Arial"/>
          <w:i/>
        </w:rPr>
        <w:t xml:space="preserve">Summary of results for </w:t>
      </w:r>
      <w:r>
        <w:rPr>
          <w:rFonts w:ascii="Arial" w:hAnsi="Arial" w:cs="Arial"/>
          <w:i/>
        </w:rPr>
        <w:t xml:space="preserve">the </w:t>
      </w:r>
      <w:r w:rsidR="00672E1E">
        <w:rPr>
          <w:rFonts w:ascii="Arial" w:hAnsi="Arial" w:cs="Arial"/>
          <w:i/>
        </w:rPr>
        <w:t xml:space="preserve">two-step </w:t>
      </w:r>
      <w:r>
        <w:rPr>
          <w:rFonts w:ascii="Arial" w:hAnsi="Arial" w:cs="Arial"/>
          <w:i/>
        </w:rPr>
        <w:t>shortfall method for Heart, Respiratory, Digestive and Cancer.</w:t>
      </w:r>
      <w:proofErr w:type="gramEnd"/>
    </w:p>
    <w:tbl>
      <w:tblPr>
        <w:tblStyle w:val="TableGrid"/>
        <w:tblW w:w="5000" w:type="pct"/>
        <w:tblLook w:val="04A0"/>
      </w:tblPr>
      <w:tblGrid>
        <w:gridCol w:w="1363"/>
        <w:gridCol w:w="1387"/>
        <w:gridCol w:w="1143"/>
        <w:gridCol w:w="1450"/>
        <w:gridCol w:w="1177"/>
        <w:gridCol w:w="1545"/>
        <w:gridCol w:w="1177"/>
      </w:tblGrid>
      <w:tr w:rsidR="00F60343" w:rsidRPr="0023472A" w:rsidTr="00F60343">
        <w:tc>
          <w:tcPr>
            <w:tcW w:w="737" w:type="pct"/>
          </w:tcPr>
          <w:p w:rsidR="00F60343" w:rsidRPr="0023472A" w:rsidRDefault="00F60343" w:rsidP="00B038B8">
            <w:pPr>
              <w:spacing w:line="276" w:lineRule="auto"/>
              <w:rPr>
                <w:rFonts w:ascii="Arial" w:hAnsi="Arial" w:cs="Arial"/>
                <w:b/>
                <w:sz w:val="20"/>
                <w:szCs w:val="20"/>
              </w:rPr>
            </w:pPr>
            <w:r w:rsidRPr="0023472A">
              <w:rPr>
                <w:rFonts w:ascii="Arial" w:hAnsi="Arial" w:cs="Arial"/>
                <w:b/>
                <w:sz w:val="20"/>
                <w:szCs w:val="20"/>
              </w:rPr>
              <w:t>Diagnostic Group</w:t>
            </w:r>
          </w:p>
        </w:tc>
        <w:tc>
          <w:tcPr>
            <w:tcW w:w="750" w:type="pct"/>
          </w:tcPr>
          <w:p w:rsidR="00F60343" w:rsidRPr="0023472A" w:rsidRDefault="00F60343" w:rsidP="00B038B8">
            <w:pPr>
              <w:spacing w:line="276" w:lineRule="auto"/>
              <w:rPr>
                <w:rFonts w:ascii="Arial" w:hAnsi="Arial" w:cs="Arial"/>
                <w:b/>
                <w:sz w:val="20"/>
                <w:szCs w:val="20"/>
              </w:rPr>
            </w:pPr>
            <w:r w:rsidRPr="0023472A">
              <w:rPr>
                <w:rFonts w:ascii="Arial" w:hAnsi="Arial" w:cs="Arial"/>
                <w:b/>
                <w:sz w:val="20"/>
                <w:szCs w:val="20"/>
              </w:rPr>
              <w:t>Main effect</w:t>
            </w:r>
          </w:p>
          <w:p w:rsidR="00F60343" w:rsidRPr="0023472A" w:rsidRDefault="00F60343" w:rsidP="00B038B8">
            <w:pPr>
              <w:spacing w:line="276" w:lineRule="auto"/>
              <w:rPr>
                <w:rFonts w:ascii="Arial" w:hAnsi="Arial" w:cs="Arial"/>
                <w:b/>
                <w:sz w:val="20"/>
                <w:szCs w:val="20"/>
              </w:rPr>
            </w:pPr>
            <w:r w:rsidRPr="0023472A">
              <w:rPr>
                <w:rFonts w:ascii="Arial" w:hAnsi="Arial" w:cs="Arial"/>
                <w:b/>
                <w:sz w:val="20"/>
                <w:szCs w:val="20"/>
              </w:rPr>
              <w:t>(Acute Index)</w:t>
            </w:r>
          </w:p>
        </w:tc>
        <w:tc>
          <w:tcPr>
            <w:tcW w:w="618" w:type="pct"/>
          </w:tcPr>
          <w:p w:rsidR="00B96FA2" w:rsidRDefault="00F60343" w:rsidP="00D81284">
            <w:pPr>
              <w:spacing w:line="276" w:lineRule="auto"/>
              <w:rPr>
                <w:rFonts w:ascii="Arial" w:hAnsi="Arial" w:cs="Arial"/>
                <w:b/>
                <w:sz w:val="20"/>
                <w:szCs w:val="20"/>
              </w:rPr>
            </w:pPr>
            <w:r w:rsidRPr="0023472A">
              <w:rPr>
                <w:rFonts w:ascii="Arial" w:hAnsi="Arial" w:cs="Arial"/>
                <w:b/>
                <w:sz w:val="20"/>
                <w:szCs w:val="20"/>
              </w:rPr>
              <w:t>%</w:t>
            </w:r>
            <w:r>
              <w:rPr>
                <w:rFonts w:ascii="Arial" w:hAnsi="Arial" w:cs="Arial"/>
                <w:b/>
                <w:sz w:val="20"/>
                <w:szCs w:val="20"/>
              </w:rPr>
              <w:t xml:space="preserve"> </w:t>
            </w:r>
          </w:p>
          <w:p w:rsidR="00F60343" w:rsidRPr="0023472A" w:rsidRDefault="00D81284" w:rsidP="00D81284">
            <w:pPr>
              <w:spacing w:line="276" w:lineRule="auto"/>
              <w:rPr>
                <w:rFonts w:ascii="Arial" w:hAnsi="Arial" w:cs="Arial"/>
                <w:b/>
                <w:sz w:val="20"/>
                <w:szCs w:val="20"/>
              </w:rPr>
            </w:pPr>
            <w:r>
              <w:rPr>
                <w:rFonts w:ascii="Arial" w:hAnsi="Arial" w:cs="Arial"/>
                <w:b/>
                <w:sz w:val="20"/>
                <w:szCs w:val="20"/>
              </w:rPr>
              <w:t>lower</w:t>
            </w:r>
            <w:r w:rsidR="00B96FA2">
              <w:rPr>
                <w:rFonts w:ascii="Arial" w:hAnsi="Arial" w:cs="Arial"/>
                <w:b/>
                <w:sz w:val="20"/>
                <w:szCs w:val="20"/>
              </w:rPr>
              <w:t xml:space="preserve"> </w:t>
            </w:r>
            <w:r w:rsidR="00F60343" w:rsidRPr="0023472A">
              <w:rPr>
                <w:rFonts w:ascii="Arial" w:hAnsi="Arial" w:cs="Arial"/>
                <w:b/>
                <w:sz w:val="20"/>
                <w:szCs w:val="20"/>
              </w:rPr>
              <w:t>cut</w:t>
            </w:r>
          </w:p>
        </w:tc>
        <w:tc>
          <w:tcPr>
            <w:tcW w:w="784" w:type="pct"/>
          </w:tcPr>
          <w:p w:rsidR="00F60343" w:rsidRPr="0023472A" w:rsidRDefault="00F60343" w:rsidP="00B038B8">
            <w:pPr>
              <w:spacing w:line="276" w:lineRule="auto"/>
              <w:rPr>
                <w:rFonts w:ascii="Arial" w:hAnsi="Arial" w:cs="Arial"/>
                <w:b/>
                <w:sz w:val="20"/>
                <w:szCs w:val="20"/>
              </w:rPr>
            </w:pPr>
            <w:r w:rsidRPr="0023472A">
              <w:rPr>
                <w:rFonts w:ascii="Arial" w:hAnsi="Arial" w:cs="Arial"/>
                <w:b/>
                <w:sz w:val="20"/>
                <w:szCs w:val="20"/>
              </w:rPr>
              <w:t>Effect</w:t>
            </w:r>
          </w:p>
        </w:tc>
        <w:tc>
          <w:tcPr>
            <w:tcW w:w="637" w:type="pct"/>
          </w:tcPr>
          <w:p w:rsidR="00F60343" w:rsidRPr="0023472A" w:rsidRDefault="00F60343" w:rsidP="00B038B8">
            <w:pPr>
              <w:spacing w:line="276" w:lineRule="auto"/>
              <w:rPr>
                <w:rFonts w:ascii="Arial" w:hAnsi="Arial" w:cs="Arial"/>
                <w:b/>
                <w:sz w:val="20"/>
                <w:szCs w:val="20"/>
              </w:rPr>
            </w:pPr>
            <w:r w:rsidRPr="0023472A">
              <w:rPr>
                <w:rFonts w:ascii="Arial" w:hAnsi="Arial" w:cs="Arial"/>
                <w:b/>
                <w:sz w:val="20"/>
                <w:szCs w:val="20"/>
              </w:rPr>
              <w:t xml:space="preserve">% </w:t>
            </w:r>
          </w:p>
          <w:p w:rsidR="00F60343" w:rsidRPr="0023472A" w:rsidRDefault="00D81284" w:rsidP="00B038B8">
            <w:pPr>
              <w:spacing w:line="276" w:lineRule="auto"/>
              <w:rPr>
                <w:rFonts w:ascii="Arial" w:hAnsi="Arial" w:cs="Arial"/>
                <w:b/>
                <w:sz w:val="20"/>
                <w:szCs w:val="20"/>
              </w:rPr>
            </w:pPr>
            <w:r>
              <w:rPr>
                <w:rFonts w:ascii="Arial" w:hAnsi="Arial" w:cs="Arial"/>
                <w:b/>
                <w:sz w:val="20"/>
                <w:szCs w:val="20"/>
              </w:rPr>
              <w:t>upper</w:t>
            </w:r>
            <w:r w:rsidRPr="0023472A">
              <w:rPr>
                <w:rFonts w:ascii="Arial" w:hAnsi="Arial" w:cs="Arial"/>
                <w:b/>
                <w:sz w:val="20"/>
                <w:szCs w:val="20"/>
              </w:rPr>
              <w:t xml:space="preserve"> </w:t>
            </w:r>
            <w:r>
              <w:rPr>
                <w:rFonts w:ascii="Arial" w:hAnsi="Arial" w:cs="Arial"/>
                <w:b/>
                <w:sz w:val="20"/>
                <w:szCs w:val="20"/>
              </w:rPr>
              <w:t>c</w:t>
            </w:r>
            <w:r w:rsidR="00F60343" w:rsidRPr="0023472A">
              <w:rPr>
                <w:rFonts w:ascii="Arial" w:hAnsi="Arial" w:cs="Arial"/>
                <w:b/>
                <w:sz w:val="20"/>
                <w:szCs w:val="20"/>
              </w:rPr>
              <w:t>ut</w:t>
            </w:r>
          </w:p>
        </w:tc>
        <w:tc>
          <w:tcPr>
            <w:tcW w:w="836" w:type="pct"/>
          </w:tcPr>
          <w:p w:rsidR="00F60343" w:rsidRPr="0023472A" w:rsidRDefault="00F60343" w:rsidP="00B038B8">
            <w:pPr>
              <w:spacing w:line="276" w:lineRule="auto"/>
              <w:rPr>
                <w:rFonts w:ascii="Arial" w:hAnsi="Arial" w:cs="Arial"/>
                <w:b/>
                <w:sz w:val="20"/>
                <w:szCs w:val="20"/>
              </w:rPr>
            </w:pPr>
            <w:r w:rsidRPr="0023472A">
              <w:rPr>
                <w:rFonts w:ascii="Arial" w:hAnsi="Arial" w:cs="Arial"/>
                <w:b/>
                <w:sz w:val="20"/>
                <w:szCs w:val="20"/>
              </w:rPr>
              <w:t>Effect</w:t>
            </w:r>
          </w:p>
        </w:tc>
        <w:tc>
          <w:tcPr>
            <w:tcW w:w="637" w:type="pct"/>
          </w:tcPr>
          <w:p w:rsidR="00F60343" w:rsidRPr="0023472A" w:rsidRDefault="00F60343" w:rsidP="00B038B8">
            <w:pPr>
              <w:spacing w:line="276" w:lineRule="auto"/>
              <w:rPr>
                <w:rFonts w:ascii="Arial" w:hAnsi="Arial" w:cs="Arial"/>
                <w:b/>
                <w:sz w:val="20"/>
                <w:szCs w:val="20"/>
                <w:vertAlign w:val="superscript"/>
              </w:rPr>
            </w:pPr>
            <w:r w:rsidRPr="0023472A">
              <w:rPr>
                <w:rFonts w:ascii="Arial" w:hAnsi="Arial" w:cs="Arial"/>
                <w:b/>
                <w:sz w:val="20"/>
                <w:szCs w:val="20"/>
              </w:rPr>
              <w:t>Adjusted R</w:t>
            </w:r>
            <w:r w:rsidRPr="0023472A">
              <w:rPr>
                <w:rFonts w:ascii="Arial" w:hAnsi="Arial" w:cs="Arial"/>
                <w:b/>
                <w:sz w:val="20"/>
                <w:szCs w:val="20"/>
                <w:vertAlign w:val="superscript"/>
              </w:rPr>
              <w:t>2</w:t>
            </w:r>
          </w:p>
        </w:tc>
      </w:tr>
      <w:tr w:rsidR="00F60343" w:rsidRPr="0023472A" w:rsidTr="006E0281">
        <w:tc>
          <w:tcPr>
            <w:tcW w:w="737" w:type="pct"/>
            <w:vAlign w:val="center"/>
          </w:tcPr>
          <w:p w:rsidR="00F60343" w:rsidRPr="00F60343" w:rsidRDefault="00F60343" w:rsidP="00B038B8">
            <w:pPr>
              <w:spacing w:line="276" w:lineRule="auto"/>
              <w:rPr>
                <w:rFonts w:ascii="Arial" w:hAnsi="Arial" w:cs="Arial"/>
                <w:b/>
                <w:sz w:val="20"/>
                <w:szCs w:val="20"/>
              </w:rPr>
            </w:pPr>
            <w:r w:rsidRPr="00F60343">
              <w:rPr>
                <w:rFonts w:ascii="Arial" w:hAnsi="Arial" w:cs="Arial"/>
                <w:b/>
                <w:sz w:val="20"/>
                <w:szCs w:val="20"/>
              </w:rPr>
              <w:t>Heart</w:t>
            </w:r>
          </w:p>
        </w:tc>
        <w:tc>
          <w:tcPr>
            <w:tcW w:w="750"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0.62</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(0.50; 0.74)</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p&lt;0.001</w:t>
            </w:r>
          </w:p>
        </w:tc>
        <w:tc>
          <w:tcPr>
            <w:tcW w:w="618"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9%</w:t>
            </w:r>
          </w:p>
        </w:tc>
        <w:tc>
          <w:tcPr>
            <w:tcW w:w="784"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-0.28</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(-0.39;-0.18)</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p&lt;0.0001</w:t>
            </w:r>
          </w:p>
          <w:p w:rsidR="00F60343" w:rsidRPr="0023472A" w:rsidRDefault="00F60343" w:rsidP="00B038B8">
            <w:pPr>
              <w:spacing w:line="276" w:lineRule="auto"/>
              <w:jc w:val="center"/>
              <w:rPr>
                <w:rFonts w:ascii="Arial" w:hAnsi="Arial" w:cs="Arial"/>
                <w:b/>
                <w:sz w:val="20"/>
                <w:szCs w:val="20"/>
              </w:rPr>
            </w:pPr>
            <w:r w:rsidRPr="0023472A">
              <w:rPr>
                <w:rFonts w:ascii="Arial" w:hAnsi="Arial" w:cs="Arial"/>
                <w:b/>
                <w:sz w:val="20"/>
                <w:szCs w:val="20"/>
              </w:rPr>
              <w:t>Unmet need</w:t>
            </w:r>
          </w:p>
        </w:tc>
        <w:tc>
          <w:tcPr>
            <w:tcW w:w="637"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73%</w:t>
            </w:r>
          </w:p>
        </w:tc>
        <w:tc>
          <w:tcPr>
            <w:tcW w:w="836"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0.04</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(0.02; 0.07)</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p&lt;0.001</w:t>
            </w:r>
          </w:p>
          <w:p w:rsidR="00F60343" w:rsidRPr="0023472A" w:rsidRDefault="00F60343" w:rsidP="00B038B8">
            <w:pPr>
              <w:spacing w:line="276" w:lineRule="auto"/>
              <w:jc w:val="center"/>
              <w:rPr>
                <w:rFonts w:ascii="Arial" w:hAnsi="Arial" w:cs="Arial"/>
                <w:b/>
                <w:sz w:val="20"/>
                <w:szCs w:val="20"/>
              </w:rPr>
            </w:pPr>
            <w:r w:rsidRPr="0023472A">
              <w:rPr>
                <w:rFonts w:ascii="Arial" w:hAnsi="Arial" w:cs="Arial"/>
                <w:b/>
                <w:sz w:val="20"/>
                <w:szCs w:val="20"/>
              </w:rPr>
              <w:t>Overmet need</w:t>
            </w:r>
          </w:p>
        </w:tc>
        <w:tc>
          <w:tcPr>
            <w:tcW w:w="637"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27.01%</w:t>
            </w:r>
          </w:p>
        </w:tc>
      </w:tr>
      <w:tr w:rsidR="00F60343" w:rsidRPr="0023472A" w:rsidTr="006E0281">
        <w:tc>
          <w:tcPr>
            <w:tcW w:w="737" w:type="pct"/>
            <w:vAlign w:val="center"/>
          </w:tcPr>
          <w:p w:rsidR="00F60343" w:rsidRPr="00F60343" w:rsidRDefault="00F60343" w:rsidP="00B038B8">
            <w:pPr>
              <w:spacing w:line="276" w:lineRule="auto"/>
              <w:rPr>
                <w:rFonts w:ascii="Arial" w:hAnsi="Arial" w:cs="Arial"/>
                <w:b/>
                <w:sz w:val="20"/>
                <w:szCs w:val="20"/>
              </w:rPr>
            </w:pPr>
            <w:r w:rsidRPr="00F60343">
              <w:rPr>
                <w:rFonts w:ascii="Arial" w:hAnsi="Arial" w:cs="Arial"/>
                <w:b/>
                <w:sz w:val="20"/>
                <w:szCs w:val="20"/>
              </w:rPr>
              <w:t>Respiratory</w:t>
            </w:r>
          </w:p>
        </w:tc>
        <w:tc>
          <w:tcPr>
            <w:tcW w:w="750"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1.60</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(1.44; 1.78)</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p&lt;0.0001</w:t>
            </w:r>
          </w:p>
        </w:tc>
        <w:tc>
          <w:tcPr>
            <w:tcW w:w="618"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30%</w:t>
            </w:r>
          </w:p>
        </w:tc>
        <w:tc>
          <w:tcPr>
            <w:tcW w:w="784"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-0.04</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(-0.09; 0.02)</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p=0.21</w:t>
            </w:r>
          </w:p>
          <w:p w:rsidR="00F60343" w:rsidRPr="0023472A" w:rsidRDefault="00F60343" w:rsidP="00B038B8">
            <w:pPr>
              <w:spacing w:line="276" w:lineRule="auto"/>
              <w:jc w:val="center"/>
              <w:rPr>
                <w:rFonts w:ascii="Arial" w:hAnsi="Arial" w:cs="Arial"/>
                <w:b/>
                <w:sz w:val="20"/>
                <w:szCs w:val="20"/>
              </w:rPr>
            </w:pPr>
            <w:r w:rsidRPr="0023472A">
              <w:rPr>
                <w:rFonts w:ascii="Arial" w:hAnsi="Arial" w:cs="Arial"/>
                <w:b/>
                <w:sz w:val="20"/>
                <w:szCs w:val="20"/>
              </w:rPr>
              <w:t>Not significant</w:t>
            </w:r>
          </w:p>
        </w:tc>
        <w:tc>
          <w:tcPr>
            <w:tcW w:w="637"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95%</w:t>
            </w:r>
          </w:p>
        </w:tc>
        <w:tc>
          <w:tcPr>
            <w:tcW w:w="836"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0.08</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(0.01; 0.15)</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p=0.02</w:t>
            </w:r>
          </w:p>
          <w:p w:rsidR="00F60343" w:rsidRPr="0023472A" w:rsidRDefault="00F60343" w:rsidP="00B038B8">
            <w:pPr>
              <w:spacing w:line="276" w:lineRule="auto"/>
              <w:jc w:val="center"/>
              <w:rPr>
                <w:rFonts w:ascii="Arial" w:hAnsi="Arial" w:cs="Arial"/>
                <w:b/>
                <w:sz w:val="20"/>
                <w:szCs w:val="20"/>
              </w:rPr>
            </w:pPr>
            <w:r w:rsidRPr="0023472A">
              <w:rPr>
                <w:rFonts w:ascii="Arial" w:hAnsi="Arial" w:cs="Arial"/>
                <w:b/>
                <w:sz w:val="20"/>
                <w:szCs w:val="20"/>
              </w:rPr>
              <w:t>Overmet need</w:t>
            </w:r>
          </w:p>
        </w:tc>
        <w:tc>
          <w:tcPr>
            <w:tcW w:w="637"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55.75%</w:t>
            </w:r>
          </w:p>
        </w:tc>
      </w:tr>
      <w:tr w:rsidR="00F60343" w:rsidRPr="0023472A" w:rsidTr="006E0281">
        <w:tc>
          <w:tcPr>
            <w:tcW w:w="737" w:type="pct"/>
            <w:vAlign w:val="center"/>
          </w:tcPr>
          <w:p w:rsidR="00F60343" w:rsidRPr="00F60343" w:rsidRDefault="00F60343" w:rsidP="00B038B8">
            <w:pPr>
              <w:spacing w:line="276" w:lineRule="auto"/>
              <w:rPr>
                <w:rFonts w:ascii="Arial" w:hAnsi="Arial" w:cs="Arial"/>
                <w:b/>
                <w:sz w:val="20"/>
                <w:szCs w:val="20"/>
              </w:rPr>
            </w:pPr>
            <w:r w:rsidRPr="00F60343">
              <w:rPr>
                <w:rFonts w:ascii="Arial" w:hAnsi="Arial" w:cs="Arial"/>
                <w:b/>
                <w:sz w:val="20"/>
                <w:szCs w:val="20"/>
              </w:rPr>
              <w:t>Digestive</w:t>
            </w:r>
          </w:p>
        </w:tc>
        <w:tc>
          <w:tcPr>
            <w:tcW w:w="750"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0.52</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(0.41; 0.63)</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p&lt;0.0001</w:t>
            </w:r>
          </w:p>
        </w:tc>
        <w:tc>
          <w:tcPr>
            <w:tcW w:w="618"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30%</w:t>
            </w:r>
          </w:p>
        </w:tc>
        <w:tc>
          <w:tcPr>
            <w:tcW w:w="784"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-0.12</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(-0.15;-0.08)</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p&lt;0.001</w:t>
            </w:r>
          </w:p>
          <w:p w:rsidR="00F60343" w:rsidRPr="0023472A" w:rsidRDefault="00F60343" w:rsidP="00B038B8">
            <w:pPr>
              <w:spacing w:line="276" w:lineRule="auto"/>
              <w:jc w:val="center"/>
              <w:rPr>
                <w:rFonts w:ascii="Arial" w:hAnsi="Arial" w:cs="Arial"/>
                <w:b/>
                <w:sz w:val="20"/>
                <w:szCs w:val="20"/>
              </w:rPr>
            </w:pPr>
            <w:r w:rsidRPr="0023472A">
              <w:rPr>
                <w:rFonts w:ascii="Arial" w:hAnsi="Arial" w:cs="Arial"/>
                <w:b/>
                <w:sz w:val="20"/>
                <w:szCs w:val="20"/>
              </w:rPr>
              <w:t>Unmet need</w:t>
            </w:r>
          </w:p>
        </w:tc>
        <w:tc>
          <w:tcPr>
            <w:tcW w:w="637"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76%</w:t>
            </w:r>
          </w:p>
        </w:tc>
        <w:tc>
          <w:tcPr>
            <w:tcW w:w="836"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0.11</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(0.09; 0.13)</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p&lt;0.0001</w:t>
            </w:r>
          </w:p>
          <w:p w:rsidR="00F60343" w:rsidRPr="0023472A" w:rsidRDefault="00F60343" w:rsidP="00B038B8">
            <w:pPr>
              <w:spacing w:line="276" w:lineRule="auto"/>
              <w:jc w:val="center"/>
              <w:rPr>
                <w:rFonts w:ascii="Arial" w:hAnsi="Arial" w:cs="Arial"/>
                <w:b/>
                <w:sz w:val="20"/>
                <w:szCs w:val="20"/>
              </w:rPr>
            </w:pPr>
            <w:r w:rsidRPr="0023472A">
              <w:rPr>
                <w:rFonts w:ascii="Arial" w:hAnsi="Arial" w:cs="Arial"/>
                <w:b/>
                <w:sz w:val="20"/>
                <w:szCs w:val="20"/>
              </w:rPr>
              <w:t>Overmet need</w:t>
            </w:r>
          </w:p>
        </w:tc>
        <w:tc>
          <w:tcPr>
            <w:tcW w:w="637"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54.99%</w:t>
            </w:r>
          </w:p>
        </w:tc>
      </w:tr>
      <w:tr w:rsidR="00F60343" w:rsidRPr="0023472A" w:rsidTr="006E0281">
        <w:tc>
          <w:tcPr>
            <w:tcW w:w="737" w:type="pct"/>
            <w:vAlign w:val="center"/>
          </w:tcPr>
          <w:p w:rsidR="00F60343" w:rsidRPr="00F60343" w:rsidRDefault="00F60343" w:rsidP="00B038B8">
            <w:pPr>
              <w:spacing w:line="276" w:lineRule="auto"/>
              <w:rPr>
                <w:rFonts w:ascii="Arial" w:hAnsi="Arial" w:cs="Arial"/>
                <w:b/>
                <w:sz w:val="20"/>
                <w:szCs w:val="20"/>
              </w:rPr>
            </w:pPr>
            <w:r w:rsidRPr="00F60343">
              <w:rPr>
                <w:rFonts w:ascii="Arial" w:hAnsi="Arial" w:cs="Arial"/>
                <w:b/>
                <w:sz w:val="20"/>
                <w:szCs w:val="20"/>
              </w:rPr>
              <w:t>Cancer</w:t>
            </w:r>
          </w:p>
        </w:tc>
        <w:tc>
          <w:tcPr>
            <w:tcW w:w="750"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0.63</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(0.38; 0.87)</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p&lt;0.0001</w:t>
            </w:r>
          </w:p>
        </w:tc>
        <w:tc>
          <w:tcPr>
            <w:tcW w:w="618"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30%</w:t>
            </w:r>
          </w:p>
        </w:tc>
        <w:tc>
          <w:tcPr>
            <w:tcW w:w="784"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-0.02</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(-0.07; 0.04)</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p=0.56</w:t>
            </w:r>
          </w:p>
          <w:p w:rsidR="00F60343" w:rsidRPr="0023472A" w:rsidRDefault="00F60343" w:rsidP="00B038B8">
            <w:pPr>
              <w:spacing w:line="276" w:lineRule="auto"/>
              <w:jc w:val="center"/>
              <w:rPr>
                <w:rFonts w:ascii="Arial" w:hAnsi="Arial" w:cs="Arial"/>
                <w:b/>
                <w:sz w:val="20"/>
                <w:szCs w:val="20"/>
              </w:rPr>
            </w:pPr>
            <w:r w:rsidRPr="0023472A">
              <w:rPr>
                <w:rFonts w:ascii="Arial" w:hAnsi="Arial" w:cs="Arial"/>
                <w:b/>
                <w:sz w:val="20"/>
                <w:szCs w:val="20"/>
              </w:rPr>
              <w:t>Not significant</w:t>
            </w:r>
          </w:p>
        </w:tc>
        <w:tc>
          <w:tcPr>
            <w:tcW w:w="637"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84%</w:t>
            </w:r>
          </w:p>
        </w:tc>
        <w:tc>
          <w:tcPr>
            <w:tcW w:w="836"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-0.04</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(-0.08; -0.01)</w:t>
            </w:r>
          </w:p>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p=0.029</w:t>
            </w:r>
          </w:p>
          <w:p w:rsidR="00F60343" w:rsidRPr="0023472A" w:rsidRDefault="00F60343" w:rsidP="00B038B8">
            <w:pPr>
              <w:spacing w:line="276" w:lineRule="auto"/>
              <w:jc w:val="center"/>
              <w:rPr>
                <w:rFonts w:ascii="Arial" w:hAnsi="Arial" w:cs="Arial"/>
                <w:b/>
                <w:sz w:val="20"/>
                <w:szCs w:val="20"/>
              </w:rPr>
            </w:pPr>
            <w:r w:rsidRPr="0023472A">
              <w:rPr>
                <w:rFonts w:ascii="Arial" w:hAnsi="Arial" w:cs="Arial"/>
                <w:b/>
                <w:sz w:val="20"/>
                <w:szCs w:val="20"/>
              </w:rPr>
              <w:t>Unmet need</w:t>
            </w:r>
          </w:p>
        </w:tc>
        <w:tc>
          <w:tcPr>
            <w:tcW w:w="637" w:type="pct"/>
            <w:vAlign w:val="center"/>
          </w:tcPr>
          <w:p w:rsidR="00F60343" w:rsidRPr="0023472A" w:rsidRDefault="00F60343" w:rsidP="00B038B8">
            <w:pPr>
              <w:spacing w:line="276" w:lineRule="auto"/>
              <w:jc w:val="center"/>
              <w:rPr>
                <w:rFonts w:ascii="Arial" w:hAnsi="Arial" w:cs="Arial"/>
                <w:sz w:val="20"/>
                <w:szCs w:val="20"/>
              </w:rPr>
            </w:pPr>
            <w:r w:rsidRPr="0023472A">
              <w:rPr>
                <w:rFonts w:ascii="Arial" w:hAnsi="Arial" w:cs="Arial"/>
                <w:sz w:val="20"/>
                <w:szCs w:val="20"/>
              </w:rPr>
              <w:t>23.85%</w:t>
            </w:r>
          </w:p>
        </w:tc>
      </w:tr>
    </w:tbl>
    <w:p w:rsidR="00A11599" w:rsidRPr="004349B4" w:rsidRDefault="00A11599" w:rsidP="00B038B8">
      <w:pPr>
        <w:rPr>
          <w:rFonts w:ascii="Arial" w:hAnsi="Arial" w:cs="Arial"/>
        </w:rPr>
      </w:pPr>
    </w:p>
    <w:sectPr w:rsidR="00A11599" w:rsidRPr="004349B4" w:rsidSect="0010734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BB3" w:rsidRDefault="004E1BB3" w:rsidP="00925EE2">
      <w:pPr>
        <w:spacing w:after="0" w:line="240" w:lineRule="auto"/>
      </w:pPr>
      <w:r>
        <w:separator/>
      </w:r>
    </w:p>
  </w:endnote>
  <w:endnote w:type="continuationSeparator" w:id="0">
    <w:p w:rsidR="004E1BB3" w:rsidRDefault="004E1BB3" w:rsidP="00925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05766"/>
      <w:docPartObj>
        <w:docPartGallery w:val="Page Numbers (Bottom of Page)"/>
        <w:docPartUnique/>
      </w:docPartObj>
    </w:sdtPr>
    <w:sdtContent>
      <w:p w:rsidR="004E1BB3" w:rsidRDefault="00343CD1">
        <w:pPr>
          <w:pStyle w:val="Footer"/>
          <w:jc w:val="center"/>
        </w:pPr>
        <w:fldSimple w:instr=" PAGE   \* MERGEFORMAT ">
          <w:r w:rsidR="00423E48">
            <w:rPr>
              <w:noProof/>
            </w:rPr>
            <w:t>8</w:t>
          </w:r>
        </w:fldSimple>
      </w:p>
    </w:sdtContent>
  </w:sdt>
  <w:p w:rsidR="004E1BB3" w:rsidRDefault="004E1B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BB3" w:rsidRDefault="004E1BB3" w:rsidP="00925EE2">
      <w:pPr>
        <w:spacing w:after="0" w:line="240" w:lineRule="auto"/>
      </w:pPr>
      <w:r>
        <w:separator/>
      </w:r>
    </w:p>
  </w:footnote>
  <w:footnote w:type="continuationSeparator" w:id="0">
    <w:p w:rsidR="004E1BB3" w:rsidRDefault="004E1BB3" w:rsidP="00925EE2">
      <w:pPr>
        <w:spacing w:after="0" w:line="240" w:lineRule="auto"/>
      </w:pPr>
      <w:r>
        <w:continuationSeparator/>
      </w:r>
    </w:p>
  </w:footnote>
  <w:footnote w:id="1">
    <w:p w:rsidR="004E1BB3" w:rsidRDefault="004E1BB3" w:rsidP="00663EF9">
      <w:pPr>
        <w:pStyle w:val="FootnoteText"/>
      </w:pPr>
      <w:r>
        <w:rPr>
          <w:rStyle w:val="FootnoteReference"/>
        </w:rPr>
        <w:footnoteRef/>
      </w:r>
      <w:r>
        <w:t xml:space="preserve"> </w:t>
      </w:r>
      <w:r w:rsidRPr="00152EB1">
        <w:t>McConnachie and Sutton (2004) ‘Derivation of an Adjustment to t</w:t>
      </w:r>
      <w:r>
        <w:t>he Arbuthnott Formula for Socio</w:t>
      </w:r>
      <w:r w:rsidRPr="00152EB1">
        <w:t>economic Inequities in Health Care’.</w:t>
      </w:r>
    </w:p>
  </w:footnote>
  <w:footnote w:id="2">
    <w:p w:rsidR="004E1BB3" w:rsidRPr="00D81284" w:rsidRDefault="004E1BB3" w:rsidP="00D81284">
      <w:pPr>
        <w:jc w:val="both"/>
        <w:rPr>
          <w:rFonts w:ascii="Arial" w:hAnsi="Arial" w:cs="Arial"/>
          <w:sz w:val="20"/>
          <w:szCs w:val="20"/>
        </w:rPr>
      </w:pPr>
      <w:r>
        <w:rPr>
          <w:rStyle w:val="FootnoteReference"/>
        </w:rPr>
        <w:footnoteRef/>
      </w:r>
      <w:r>
        <w:t xml:space="preserve"> </w:t>
      </w:r>
      <w:r>
        <w:rPr>
          <w:rFonts w:ascii="Arial" w:hAnsi="Arial" w:cs="Arial"/>
          <w:sz w:val="20"/>
          <w:szCs w:val="20"/>
        </w:rPr>
        <w:t xml:space="preserve">The Arbuthnott index </w:t>
      </w:r>
      <w:r w:rsidRPr="00911FE0">
        <w:rPr>
          <w:rFonts w:ascii="Arial" w:hAnsi="Arial" w:cs="Arial"/>
          <w:sz w:val="20"/>
          <w:szCs w:val="20"/>
        </w:rPr>
        <w:t xml:space="preserve">was used </w:t>
      </w:r>
      <w:r>
        <w:rPr>
          <w:rFonts w:ascii="Arial" w:hAnsi="Arial" w:cs="Arial"/>
          <w:sz w:val="20"/>
          <w:szCs w:val="20"/>
        </w:rPr>
        <w:t xml:space="preserve">as a measure of deprivation </w:t>
      </w:r>
      <w:r w:rsidRPr="00911FE0">
        <w:rPr>
          <w:rFonts w:ascii="Arial" w:hAnsi="Arial" w:cs="Arial"/>
          <w:sz w:val="20"/>
          <w:szCs w:val="20"/>
        </w:rPr>
        <w:t>in the unmet ne</w:t>
      </w:r>
      <w:r>
        <w:rPr>
          <w:rFonts w:ascii="Arial" w:hAnsi="Arial" w:cs="Arial"/>
          <w:sz w:val="20"/>
          <w:szCs w:val="20"/>
        </w:rPr>
        <w:t xml:space="preserve">ed analysis carried out </w:t>
      </w:r>
      <w:r w:rsidRPr="00911FE0">
        <w:rPr>
          <w:rFonts w:ascii="Arial" w:hAnsi="Arial" w:cs="Arial"/>
          <w:sz w:val="20"/>
          <w:szCs w:val="20"/>
        </w:rPr>
        <w:t>by McConnachie and Sutton</w:t>
      </w:r>
      <w:r>
        <w:rPr>
          <w:rFonts w:ascii="Arial" w:hAnsi="Arial" w:cs="Arial"/>
          <w:sz w:val="20"/>
          <w:szCs w:val="20"/>
        </w:rPr>
        <w:t xml:space="preserve"> (2004)</w:t>
      </w:r>
      <w:r w:rsidRPr="00911FE0">
        <w:rPr>
          <w:rFonts w:ascii="Arial" w:hAnsi="Arial" w:cs="Arial"/>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B3" w:rsidRPr="00925EE2" w:rsidRDefault="004E1BB3" w:rsidP="00925EE2">
    <w:pPr>
      <w:pStyle w:val="Header"/>
      <w:jc w:val="right"/>
      <w:rPr>
        <w:rFonts w:ascii="Arial" w:hAnsi="Arial" w:cs="Arial"/>
        <w:i/>
      </w:rPr>
    </w:pPr>
    <w:r w:rsidRPr="00925EE2">
      <w:rPr>
        <w:rFonts w:ascii="Arial" w:hAnsi="Arial" w:cs="Arial"/>
        <w:i/>
      </w:rPr>
      <w:t>TAMLC28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983"/>
    <w:multiLevelType w:val="hybridMultilevel"/>
    <w:tmpl w:val="3198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617E4"/>
    <w:multiLevelType w:val="hybridMultilevel"/>
    <w:tmpl w:val="6512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EC4944"/>
    <w:multiLevelType w:val="hybridMultilevel"/>
    <w:tmpl w:val="16BE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773CAA"/>
    <w:multiLevelType w:val="hybridMultilevel"/>
    <w:tmpl w:val="E7789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9860CED"/>
    <w:multiLevelType w:val="hybridMultilevel"/>
    <w:tmpl w:val="21FE91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F261E91"/>
    <w:multiLevelType w:val="hybridMultilevel"/>
    <w:tmpl w:val="9E22FE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62676774"/>
    <w:multiLevelType w:val="hybridMultilevel"/>
    <w:tmpl w:val="4A565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DB46174"/>
    <w:multiLevelType w:val="hybridMultilevel"/>
    <w:tmpl w:val="EE22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9A327A"/>
    <w:multiLevelType w:val="hybridMultilevel"/>
    <w:tmpl w:val="3C52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1840D1"/>
    <w:multiLevelType w:val="hybridMultilevel"/>
    <w:tmpl w:val="9C46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
  </w:num>
  <w:num w:numId="5">
    <w:abstractNumId w:val="9"/>
  </w:num>
  <w:num w:numId="6">
    <w:abstractNumId w:val="4"/>
  </w:num>
  <w:num w:numId="7">
    <w:abstractNumId w:val="0"/>
  </w:num>
  <w:num w:numId="8">
    <w:abstractNumId w:val="2"/>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
  <w:rsids>
    <w:rsidRoot w:val="006D2FF6"/>
    <w:rsid w:val="00002C84"/>
    <w:rsid w:val="00003B5B"/>
    <w:rsid w:val="00012D6C"/>
    <w:rsid w:val="00012E34"/>
    <w:rsid w:val="00016A24"/>
    <w:rsid w:val="00051405"/>
    <w:rsid w:val="000528DE"/>
    <w:rsid w:val="000C6CFF"/>
    <w:rsid w:val="000D1722"/>
    <w:rsid w:val="000D1C0E"/>
    <w:rsid w:val="000E0549"/>
    <w:rsid w:val="000E7AAA"/>
    <w:rsid w:val="000E7F02"/>
    <w:rsid w:val="0010734A"/>
    <w:rsid w:val="001318C2"/>
    <w:rsid w:val="00161660"/>
    <w:rsid w:val="001705E4"/>
    <w:rsid w:val="00177A4B"/>
    <w:rsid w:val="00190A76"/>
    <w:rsid w:val="001A733C"/>
    <w:rsid w:val="001B73AA"/>
    <w:rsid w:val="0020427F"/>
    <w:rsid w:val="002275DC"/>
    <w:rsid w:val="00234AAA"/>
    <w:rsid w:val="00235FC7"/>
    <w:rsid w:val="00252629"/>
    <w:rsid w:val="00254D59"/>
    <w:rsid w:val="002631DE"/>
    <w:rsid w:val="002708D3"/>
    <w:rsid w:val="00270EE6"/>
    <w:rsid w:val="0027786E"/>
    <w:rsid w:val="002A09B1"/>
    <w:rsid w:val="002C28C7"/>
    <w:rsid w:val="002C5B51"/>
    <w:rsid w:val="002C792E"/>
    <w:rsid w:val="002D5902"/>
    <w:rsid w:val="002E5F59"/>
    <w:rsid w:val="00313A32"/>
    <w:rsid w:val="00334B6F"/>
    <w:rsid w:val="00340719"/>
    <w:rsid w:val="00343CD1"/>
    <w:rsid w:val="00356EAB"/>
    <w:rsid w:val="00362F52"/>
    <w:rsid w:val="003C13B2"/>
    <w:rsid w:val="003D2472"/>
    <w:rsid w:val="003D4602"/>
    <w:rsid w:val="003D56D4"/>
    <w:rsid w:val="003D60DB"/>
    <w:rsid w:val="003E3EB2"/>
    <w:rsid w:val="003F13BB"/>
    <w:rsid w:val="003F55DD"/>
    <w:rsid w:val="004112B3"/>
    <w:rsid w:val="00413E8E"/>
    <w:rsid w:val="004177C5"/>
    <w:rsid w:val="00423E48"/>
    <w:rsid w:val="004349B4"/>
    <w:rsid w:val="00461C5A"/>
    <w:rsid w:val="00467377"/>
    <w:rsid w:val="0047497F"/>
    <w:rsid w:val="00490754"/>
    <w:rsid w:val="0049120A"/>
    <w:rsid w:val="00493CC1"/>
    <w:rsid w:val="004B3BD9"/>
    <w:rsid w:val="004D5335"/>
    <w:rsid w:val="004E1BB3"/>
    <w:rsid w:val="004E28C8"/>
    <w:rsid w:val="004E2DB3"/>
    <w:rsid w:val="004F1614"/>
    <w:rsid w:val="004F6F4D"/>
    <w:rsid w:val="00502138"/>
    <w:rsid w:val="00514C9E"/>
    <w:rsid w:val="0051500A"/>
    <w:rsid w:val="0053424B"/>
    <w:rsid w:val="00546BD8"/>
    <w:rsid w:val="00566071"/>
    <w:rsid w:val="005738C5"/>
    <w:rsid w:val="005A5D44"/>
    <w:rsid w:val="005D76FF"/>
    <w:rsid w:val="005F161F"/>
    <w:rsid w:val="005F6712"/>
    <w:rsid w:val="006119BC"/>
    <w:rsid w:val="00633B05"/>
    <w:rsid w:val="00644C1D"/>
    <w:rsid w:val="00646C38"/>
    <w:rsid w:val="0066073A"/>
    <w:rsid w:val="00661BEC"/>
    <w:rsid w:val="00662F35"/>
    <w:rsid w:val="00663EF9"/>
    <w:rsid w:val="006722B9"/>
    <w:rsid w:val="00672E1E"/>
    <w:rsid w:val="00685ED2"/>
    <w:rsid w:val="006B577D"/>
    <w:rsid w:val="006C5786"/>
    <w:rsid w:val="006D2FF6"/>
    <w:rsid w:val="006E0281"/>
    <w:rsid w:val="00715AA9"/>
    <w:rsid w:val="007303CF"/>
    <w:rsid w:val="007427B8"/>
    <w:rsid w:val="00765928"/>
    <w:rsid w:val="00776B61"/>
    <w:rsid w:val="0078033E"/>
    <w:rsid w:val="00784330"/>
    <w:rsid w:val="00794C8A"/>
    <w:rsid w:val="007C0728"/>
    <w:rsid w:val="007E20DD"/>
    <w:rsid w:val="007F1A47"/>
    <w:rsid w:val="007F24C5"/>
    <w:rsid w:val="007F2E29"/>
    <w:rsid w:val="0080607F"/>
    <w:rsid w:val="00812438"/>
    <w:rsid w:val="00815E41"/>
    <w:rsid w:val="0082196E"/>
    <w:rsid w:val="00853ABA"/>
    <w:rsid w:val="008719C7"/>
    <w:rsid w:val="00874DEF"/>
    <w:rsid w:val="00881FE7"/>
    <w:rsid w:val="008A415F"/>
    <w:rsid w:val="008C1734"/>
    <w:rsid w:val="008C47D1"/>
    <w:rsid w:val="008F6E23"/>
    <w:rsid w:val="00901C23"/>
    <w:rsid w:val="009047D0"/>
    <w:rsid w:val="00911FE0"/>
    <w:rsid w:val="00914D06"/>
    <w:rsid w:val="009212CC"/>
    <w:rsid w:val="00925EE2"/>
    <w:rsid w:val="00946B55"/>
    <w:rsid w:val="00954B0B"/>
    <w:rsid w:val="009575F3"/>
    <w:rsid w:val="00972158"/>
    <w:rsid w:val="0099256A"/>
    <w:rsid w:val="009A5C94"/>
    <w:rsid w:val="009A66B7"/>
    <w:rsid w:val="009A6B96"/>
    <w:rsid w:val="009C5FB0"/>
    <w:rsid w:val="009C7E2E"/>
    <w:rsid w:val="009D688E"/>
    <w:rsid w:val="009E60D1"/>
    <w:rsid w:val="009E646A"/>
    <w:rsid w:val="00A04A11"/>
    <w:rsid w:val="00A11599"/>
    <w:rsid w:val="00A63F3D"/>
    <w:rsid w:val="00A648F7"/>
    <w:rsid w:val="00A65598"/>
    <w:rsid w:val="00A70D30"/>
    <w:rsid w:val="00A817D3"/>
    <w:rsid w:val="00AA0059"/>
    <w:rsid w:val="00AA160E"/>
    <w:rsid w:val="00AB6046"/>
    <w:rsid w:val="00AB70F4"/>
    <w:rsid w:val="00AC246E"/>
    <w:rsid w:val="00AD580E"/>
    <w:rsid w:val="00AE2C1F"/>
    <w:rsid w:val="00AF1D8F"/>
    <w:rsid w:val="00AF5667"/>
    <w:rsid w:val="00AF57AF"/>
    <w:rsid w:val="00B038B8"/>
    <w:rsid w:val="00B1470F"/>
    <w:rsid w:val="00B27963"/>
    <w:rsid w:val="00B46C9C"/>
    <w:rsid w:val="00B47550"/>
    <w:rsid w:val="00B52A1A"/>
    <w:rsid w:val="00B740DE"/>
    <w:rsid w:val="00B842E2"/>
    <w:rsid w:val="00B96F13"/>
    <w:rsid w:val="00B96FA2"/>
    <w:rsid w:val="00BB0119"/>
    <w:rsid w:val="00BC1D05"/>
    <w:rsid w:val="00BF365E"/>
    <w:rsid w:val="00C0108A"/>
    <w:rsid w:val="00C14B57"/>
    <w:rsid w:val="00C1598B"/>
    <w:rsid w:val="00C22DA9"/>
    <w:rsid w:val="00C44637"/>
    <w:rsid w:val="00C73BAF"/>
    <w:rsid w:val="00C82B0A"/>
    <w:rsid w:val="00C83E05"/>
    <w:rsid w:val="00CA4CFB"/>
    <w:rsid w:val="00CB44D5"/>
    <w:rsid w:val="00CD66A5"/>
    <w:rsid w:val="00CE75C0"/>
    <w:rsid w:val="00CF453E"/>
    <w:rsid w:val="00CF4F0E"/>
    <w:rsid w:val="00D03985"/>
    <w:rsid w:val="00D047A6"/>
    <w:rsid w:val="00D06402"/>
    <w:rsid w:val="00D10FDE"/>
    <w:rsid w:val="00D16EC9"/>
    <w:rsid w:val="00D30B7A"/>
    <w:rsid w:val="00D35011"/>
    <w:rsid w:val="00D45BD6"/>
    <w:rsid w:val="00D52BCB"/>
    <w:rsid w:val="00D65372"/>
    <w:rsid w:val="00D81284"/>
    <w:rsid w:val="00D96C64"/>
    <w:rsid w:val="00DC172B"/>
    <w:rsid w:val="00E020E3"/>
    <w:rsid w:val="00E06E6C"/>
    <w:rsid w:val="00E15704"/>
    <w:rsid w:val="00E22D6E"/>
    <w:rsid w:val="00E40AB9"/>
    <w:rsid w:val="00E40DA1"/>
    <w:rsid w:val="00E4632B"/>
    <w:rsid w:val="00E5688E"/>
    <w:rsid w:val="00E60CFB"/>
    <w:rsid w:val="00E64BA2"/>
    <w:rsid w:val="00E702DF"/>
    <w:rsid w:val="00E9401A"/>
    <w:rsid w:val="00E97C5E"/>
    <w:rsid w:val="00EA74EB"/>
    <w:rsid w:val="00EC18F0"/>
    <w:rsid w:val="00EC5043"/>
    <w:rsid w:val="00F05203"/>
    <w:rsid w:val="00F221E0"/>
    <w:rsid w:val="00F34ECD"/>
    <w:rsid w:val="00F574BE"/>
    <w:rsid w:val="00F60343"/>
    <w:rsid w:val="00F93194"/>
    <w:rsid w:val="00FA0D6F"/>
    <w:rsid w:val="00FA5E56"/>
    <w:rsid w:val="00FB5955"/>
    <w:rsid w:val="00FB729E"/>
    <w:rsid w:val="00FB7EA1"/>
    <w:rsid w:val="00FC05CF"/>
    <w:rsid w:val="00FC7233"/>
    <w:rsid w:val="00FD0C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3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5E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5EE2"/>
  </w:style>
  <w:style w:type="paragraph" w:styleId="Footer">
    <w:name w:val="footer"/>
    <w:basedOn w:val="Normal"/>
    <w:link w:val="FooterChar"/>
    <w:uiPriority w:val="99"/>
    <w:unhideWhenUsed/>
    <w:rsid w:val="00925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EE2"/>
  </w:style>
  <w:style w:type="paragraph" w:styleId="ListParagraph">
    <w:name w:val="List Paragraph"/>
    <w:basedOn w:val="Normal"/>
    <w:uiPriority w:val="34"/>
    <w:qFormat/>
    <w:rsid w:val="00663EF9"/>
    <w:pPr>
      <w:tabs>
        <w:tab w:val="left" w:pos="720"/>
        <w:tab w:val="left" w:pos="1440"/>
        <w:tab w:val="left" w:pos="2160"/>
        <w:tab w:val="left" w:pos="2880"/>
        <w:tab w:val="left" w:pos="4680"/>
        <w:tab w:val="left" w:pos="5400"/>
        <w:tab w:val="right" w:pos="9000"/>
      </w:tabs>
      <w:spacing w:after="0" w:line="240" w:lineRule="atLeast"/>
      <w:ind w:left="720"/>
      <w:contextualSpacing/>
      <w:jc w:val="both"/>
    </w:pPr>
    <w:rPr>
      <w:rFonts w:ascii="Arial" w:eastAsia="Times New Roman" w:hAnsi="Arial" w:cs="Times New Roman"/>
      <w:sz w:val="24"/>
      <w:szCs w:val="20"/>
    </w:rPr>
  </w:style>
  <w:style w:type="paragraph" w:styleId="FootnoteText">
    <w:name w:val="footnote text"/>
    <w:basedOn w:val="Normal"/>
    <w:link w:val="FootnoteTextChar"/>
    <w:uiPriority w:val="99"/>
    <w:semiHidden/>
    <w:unhideWhenUsed/>
    <w:rsid w:val="00663EF9"/>
    <w:pPr>
      <w:tabs>
        <w:tab w:val="left" w:pos="720"/>
        <w:tab w:val="left" w:pos="1440"/>
        <w:tab w:val="left" w:pos="2160"/>
        <w:tab w:val="left" w:pos="2880"/>
        <w:tab w:val="left" w:pos="4680"/>
        <w:tab w:val="left" w:pos="5400"/>
        <w:tab w:val="right" w:pos="9000"/>
      </w:tabs>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663EF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63EF9"/>
    <w:rPr>
      <w:vertAlign w:val="superscript"/>
    </w:rPr>
  </w:style>
  <w:style w:type="character" w:styleId="CommentReference">
    <w:name w:val="annotation reference"/>
    <w:basedOn w:val="DefaultParagraphFont"/>
    <w:uiPriority w:val="99"/>
    <w:semiHidden/>
    <w:unhideWhenUsed/>
    <w:rsid w:val="00914D06"/>
    <w:rPr>
      <w:sz w:val="16"/>
      <w:szCs w:val="16"/>
    </w:rPr>
  </w:style>
  <w:style w:type="paragraph" w:styleId="CommentText">
    <w:name w:val="annotation text"/>
    <w:basedOn w:val="Normal"/>
    <w:link w:val="CommentTextChar"/>
    <w:uiPriority w:val="99"/>
    <w:semiHidden/>
    <w:unhideWhenUsed/>
    <w:rsid w:val="00914D06"/>
    <w:pPr>
      <w:spacing w:line="240" w:lineRule="auto"/>
    </w:pPr>
    <w:rPr>
      <w:sz w:val="20"/>
      <w:szCs w:val="20"/>
    </w:rPr>
  </w:style>
  <w:style w:type="character" w:customStyle="1" w:styleId="CommentTextChar">
    <w:name w:val="Comment Text Char"/>
    <w:basedOn w:val="DefaultParagraphFont"/>
    <w:link w:val="CommentText"/>
    <w:uiPriority w:val="99"/>
    <w:semiHidden/>
    <w:rsid w:val="00914D06"/>
    <w:rPr>
      <w:sz w:val="20"/>
      <w:szCs w:val="20"/>
    </w:rPr>
  </w:style>
  <w:style w:type="paragraph" w:styleId="CommentSubject">
    <w:name w:val="annotation subject"/>
    <w:basedOn w:val="CommentText"/>
    <w:next w:val="CommentText"/>
    <w:link w:val="CommentSubjectChar"/>
    <w:uiPriority w:val="99"/>
    <w:semiHidden/>
    <w:unhideWhenUsed/>
    <w:rsid w:val="00914D06"/>
    <w:rPr>
      <w:b/>
      <w:bCs/>
    </w:rPr>
  </w:style>
  <w:style w:type="character" w:customStyle="1" w:styleId="CommentSubjectChar">
    <w:name w:val="Comment Subject Char"/>
    <w:basedOn w:val="CommentTextChar"/>
    <w:link w:val="CommentSubject"/>
    <w:uiPriority w:val="99"/>
    <w:semiHidden/>
    <w:rsid w:val="00914D06"/>
    <w:rPr>
      <w:b/>
      <w:bCs/>
      <w:sz w:val="20"/>
      <w:szCs w:val="20"/>
    </w:rPr>
  </w:style>
  <w:style w:type="paragraph" w:styleId="BalloonText">
    <w:name w:val="Balloon Text"/>
    <w:basedOn w:val="Normal"/>
    <w:link w:val="BalloonTextChar"/>
    <w:uiPriority w:val="99"/>
    <w:semiHidden/>
    <w:unhideWhenUsed/>
    <w:rsid w:val="00914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D06"/>
    <w:rPr>
      <w:rFonts w:ascii="Tahoma" w:hAnsi="Tahoma" w:cs="Tahoma"/>
      <w:sz w:val="16"/>
      <w:szCs w:val="16"/>
    </w:rPr>
  </w:style>
  <w:style w:type="table" w:styleId="TableGrid">
    <w:name w:val="Table Grid"/>
    <w:basedOn w:val="TableNormal"/>
    <w:uiPriority w:val="59"/>
    <w:rsid w:val="00434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5E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5EE2"/>
  </w:style>
  <w:style w:type="paragraph" w:styleId="Footer">
    <w:name w:val="footer"/>
    <w:basedOn w:val="Normal"/>
    <w:link w:val="FooterChar"/>
    <w:uiPriority w:val="99"/>
    <w:unhideWhenUsed/>
    <w:rsid w:val="00925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EE2"/>
  </w:style>
  <w:style w:type="paragraph" w:styleId="ListParagraph">
    <w:name w:val="List Paragraph"/>
    <w:basedOn w:val="Normal"/>
    <w:uiPriority w:val="34"/>
    <w:qFormat/>
    <w:rsid w:val="00663EF9"/>
    <w:pPr>
      <w:tabs>
        <w:tab w:val="left" w:pos="720"/>
        <w:tab w:val="left" w:pos="1440"/>
        <w:tab w:val="left" w:pos="2160"/>
        <w:tab w:val="left" w:pos="2880"/>
        <w:tab w:val="left" w:pos="4680"/>
        <w:tab w:val="left" w:pos="5400"/>
        <w:tab w:val="right" w:pos="9000"/>
      </w:tabs>
      <w:spacing w:after="0" w:line="240" w:lineRule="atLeast"/>
      <w:ind w:left="720"/>
      <w:contextualSpacing/>
      <w:jc w:val="both"/>
    </w:pPr>
    <w:rPr>
      <w:rFonts w:ascii="Arial" w:eastAsia="Times New Roman" w:hAnsi="Arial" w:cs="Times New Roman"/>
      <w:sz w:val="24"/>
      <w:szCs w:val="20"/>
    </w:rPr>
  </w:style>
  <w:style w:type="paragraph" w:styleId="FootnoteText">
    <w:name w:val="footnote text"/>
    <w:basedOn w:val="Normal"/>
    <w:link w:val="FootnoteTextChar"/>
    <w:uiPriority w:val="99"/>
    <w:semiHidden/>
    <w:unhideWhenUsed/>
    <w:rsid w:val="00663EF9"/>
    <w:pPr>
      <w:tabs>
        <w:tab w:val="left" w:pos="720"/>
        <w:tab w:val="left" w:pos="1440"/>
        <w:tab w:val="left" w:pos="2160"/>
        <w:tab w:val="left" w:pos="2880"/>
        <w:tab w:val="left" w:pos="4680"/>
        <w:tab w:val="left" w:pos="5400"/>
        <w:tab w:val="right" w:pos="9000"/>
      </w:tabs>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663EF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63EF9"/>
    <w:rPr>
      <w:vertAlign w:val="superscript"/>
    </w:rPr>
  </w:style>
  <w:style w:type="character" w:styleId="CommentReference">
    <w:name w:val="annotation reference"/>
    <w:basedOn w:val="DefaultParagraphFont"/>
    <w:uiPriority w:val="99"/>
    <w:semiHidden/>
    <w:unhideWhenUsed/>
    <w:rsid w:val="00914D06"/>
    <w:rPr>
      <w:sz w:val="16"/>
      <w:szCs w:val="16"/>
    </w:rPr>
  </w:style>
  <w:style w:type="paragraph" w:styleId="CommentText">
    <w:name w:val="annotation text"/>
    <w:basedOn w:val="Normal"/>
    <w:link w:val="CommentTextChar"/>
    <w:uiPriority w:val="99"/>
    <w:semiHidden/>
    <w:unhideWhenUsed/>
    <w:rsid w:val="00914D06"/>
    <w:pPr>
      <w:spacing w:line="240" w:lineRule="auto"/>
    </w:pPr>
    <w:rPr>
      <w:sz w:val="20"/>
      <w:szCs w:val="20"/>
    </w:rPr>
  </w:style>
  <w:style w:type="character" w:customStyle="1" w:styleId="CommentTextChar">
    <w:name w:val="Comment Text Char"/>
    <w:basedOn w:val="DefaultParagraphFont"/>
    <w:link w:val="CommentText"/>
    <w:uiPriority w:val="99"/>
    <w:semiHidden/>
    <w:rsid w:val="00914D06"/>
    <w:rPr>
      <w:sz w:val="20"/>
      <w:szCs w:val="20"/>
    </w:rPr>
  </w:style>
  <w:style w:type="paragraph" w:styleId="CommentSubject">
    <w:name w:val="annotation subject"/>
    <w:basedOn w:val="CommentText"/>
    <w:next w:val="CommentText"/>
    <w:link w:val="CommentSubjectChar"/>
    <w:uiPriority w:val="99"/>
    <w:semiHidden/>
    <w:unhideWhenUsed/>
    <w:rsid w:val="00914D06"/>
    <w:rPr>
      <w:b/>
      <w:bCs/>
    </w:rPr>
  </w:style>
  <w:style w:type="character" w:customStyle="1" w:styleId="CommentSubjectChar">
    <w:name w:val="Comment Subject Char"/>
    <w:basedOn w:val="CommentTextChar"/>
    <w:link w:val="CommentSubject"/>
    <w:uiPriority w:val="99"/>
    <w:semiHidden/>
    <w:rsid w:val="00914D06"/>
    <w:rPr>
      <w:b/>
      <w:bCs/>
      <w:sz w:val="20"/>
      <w:szCs w:val="20"/>
    </w:rPr>
  </w:style>
  <w:style w:type="paragraph" w:styleId="BalloonText">
    <w:name w:val="Balloon Text"/>
    <w:basedOn w:val="Normal"/>
    <w:link w:val="BalloonTextChar"/>
    <w:uiPriority w:val="99"/>
    <w:semiHidden/>
    <w:unhideWhenUsed/>
    <w:rsid w:val="00914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D06"/>
    <w:rPr>
      <w:rFonts w:ascii="Tahoma" w:hAnsi="Tahoma" w:cs="Tahoma"/>
      <w:sz w:val="16"/>
      <w:szCs w:val="16"/>
    </w:rPr>
  </w:style>
  <w:style w:type="table" w:styleId="TableGrid">
    <w:name w:val="Table Grid"/>
    <w:basedOn w:val="TableNormal"/>
    <w:uiPriority w:val="59"/>
    <w:rsid w:val="00434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7761792">
      <w:bodyDiv w:val="1"/>
      <w:marLeft w:val="0"/>
      <w:marRight w:val="0"/>
      <w:marTop w:val="0"/>
      <w:marBottom w:val="0"/>
      <w:divBdr>
        <w:top w:val="none" w:sz="0" w:space="0" w:color="auto"/>
        <w:left w:val="none" w:sz="0" w:space="0" w:color="auto"/>
        <w:bottom w:val="none" w:sz="0" w:space="0" w:color="auto"/>
        <w:right w:val="none" w:sz="0" w:space="0" w:color="auto"/>
      </w:divBdr>
    </w:div>
    <w:div w:id="1416392841">
      <w:bodyDiv w:val="1"/>
      <w:marLeft w:val="0"/>
      <w:marRight w:val="0"/>
      <w:marTop w:val="0"/>
      <w:marBottom w:val="0"/>
      <w:divBdr>
        <w:top w:val="none" w:sz="0" w:space="0" w:color="auto"/>
        <w:left w:val="none" w:sz="0" w:space="0" w:color="auto"/>
        <w:bottom w:val="none" w:sz="0" w:space="0" w:color="auto"/>
        <w:right w:val="none" w:sz="0" w:space="0" w:color="auto"/>
      </w:divBdr>
    </w:div>
    <w:div w:id="15865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12617-AFB1-4A27-9FBB-45777812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Petya Kindalova</dc:creator>
  <cp:lastModifiedBy>Petya Kindalova</cp:lastModifiedBy>
  <cp:revision>31</cp:revision>
  <dcterms:created xsi:type="dcterms:W3CDTF">2015-06-10T13:48:00Z</dcterms:created>
  <dcterms:modified xsi:type="dcterms:W3CDTF">2015-07-01T09:12:00Z</dcterms:modified>
</cp:coreProperties>
</file>