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15" w:rsidRDefault="00542015" w:rsidP="00AA6A5B">
      <w:pPr>
        <w:spacing w:after="240"/>
        <w:rPr>
          <w:rFonts w:ascii="Arial" w:hAnsi="Arial" w:cs="Arial"/>
          <w:b/>
        </w:rPr>
      </w:pPr>
      <w:r>
        <w:rPr>
          <w:rFonts w:ascii="Arial" w:hAnsi="Arial" w:cs="Arial"/>
          <w:b/>
        </w:rPr>
        <w:t>TAGRA</w:t>
      </w:r>
      <w:r w:rsidR="007135AA">
        <w:rPr>
          <w:rFonts w:ascii="Arial" w:hAnsi="Arial" w:cs="Arial"/>
          <w:b/>
        </w:rPr>
        <w:t xml:space="preserve"> ACUTE MLC SUBGROUP</w:t>
      </w:r>
      <w:r w:rsidR="007135AA">
        <w:rPr>
          <w:rFonts w:ascii="Arial" w:hAnsi="Arial" w:cs="Arial"/>
          <w:b/>
        </w:rPr>
        <w:tab/>
      </w:r>
      <w:r w:rsidR="007135AA">
        <w:rPr>
          <w:rFonts w:ascii="Arial" w:hAnsi="Arial" w:cs="Arial"/>
          <w:b/>
        </w:rPr>
        <w:tab/>
      </w:r>
      <w:r w:rsidR="007135AA">
        <w:rPr>
          <w:rFonts w:ascii="Arial" w:hAnsi="Arial" w:cs="Arial"/>
          <w:b/>
        </w:rPr>
        <w:tab/>
      </w:r>
      <w:r w:rsidR="007135AA">
        <w:rPr>
          <w:rFonts w:ascii="Arial" w:hAnsi="Arial" w:cs="Arial"/>
          <w:b/>
        </w:rPr>
        <w:tab/>
        <w:t xml:space="preserve">      </w:t>
      </w:r>
      <w:r w:rsidR="00B63CA7">
        <w:rPr>
          <w:rFonts w:ascii="Arial" w:hAnsi="Arial" w:cs="Arial"/>
          <w:b/>
        </w:rPr>
        <w:t xml:space="preserve">                             (By email)</w:t>
      </w:r>
    </w:p>
    <w:p w:rsidR="00542015" w:rsidRDefault="007135AA" w:rsidP="00AA6A5B">
      <w:pPr>
        <w:spacing w:after="240"/>
        <w:rPr>
          <w:rFonts w:ascii="Arial" w:hAnsi="Arial" w:cs="Arial"/>
          <w:b/>
        </w:rPr>
      </w:pPr>
      <w:r>
        <w:rPr>
          <w:rFonts w:ascii="Arial" w:hAnsi="Arial" w:cs="Arial"/>
          <w:b/>
        </w:rPr>
        <w:t>Potential Indicators and Supply</w:t>
      </w:r>
      <w:r w:rsidR="00AB2DE4">
        <w:rPr>
          <w:rFonts w:ascii="Arial" w:hAnsi="Arial" w:cs="Arial"/>
          <w:b/>
        </w:rPr>
        <w:t xml:space="preserve"> Variables</w:t>
      </w:r>
    </w:p>
    <w:p w:rsidR="00903AE9" w:rsidRDefault="00903AE9" w:rsidP="00AA6A5B">
      <w:pPr>
        <w:spacing w:after="240"/>
        <w:rPr>
          <w:rFonts w:ascii="Arial" w:hAnsi="Arial" w:cs="Arial"/>
          <w:b/>
        </w:rPr>
      </w:pPr>
    </w:p>
    <w:p w:rsidR="00AB2DE4" w:rsidRDefault="00903AE9" w:rsidP="00AA6A5B">
      <w:pPr>
        <w:spacing w:after="240"/>
        <w:rPr>
          <w:rFonts w:ascii="Arial" w:hAnsi="Arial" w:cs="Arial"/>
          <w:b/>
        </w:rPr>
      </w:pPr>
      <w:r>
        <w:rPr>
          <w:rFonts w:ascii="Arial" w:hAnsi="Arial" w:cs="Arial"/>
          <w:b/>
        </w:rPr>
        <w:t>Background</w:t>
      </w:r>
    </w:p>
    <w:p w:rsidR="004C3A6D" w:rsidRDefault="00903AE9" w:rsidP="0031666B">
      <w:pPr>
        <w:spacing w:after="240"/>
        <w:jc w:val="both"/>
        <w:rPr>
          <w:rFonts w:ascii="Arial" w:hAnsi="Arial" w:cs="Arial"/>
        </w:rPr>
      </w:pPr>
      <w:r>
        <w:rPr>
          <w:rFonts w:ascii="Arial" w:hAnsi="Arial" w:cs="Arial"/>
        </w:rPr>
        <w:t>At the 10</w:t>
      </w:r>
      <w:r w:rsidRPr="00903AE9">
        <w:rPr>
          <w:rFonts w:ascii="Arial" w:hAnsi="Arial" w:cs="Arial"/>
          <w:vertAlign w:val="superscript"/>
        </w:rPr>
        <w:t>th</w:t>
      </w:r>
      <w:r>
        <w:rPr>
          <w:rFonts w:ascii="Arial" w:hAnsi="Arial" w:cs="Arial"/>
        </w:rPr>
        <w:t xml:space="preserve"> meeting of the Subgroup in August 2015, the potential candidate variables and supply variables were discussed in the context of the Health Inequalities Impact Assessment discussion with equality leads. </w:t>
      </w:r>
    </w:p>
    <w:p w:rsidR="00903AE9" w:rsidRDefault="0031666B" w:rsidP="0031666B">
      <w:pPr>
        <w:spacing w:after="240"/>
        <w:jc w:val="both"/>
        <w:rPr>
          <w:rFonts w:ascii="Arial" w:hAnsi="Arial" w:cs="Arial"/>
        </w:rPr>
      </w:pPr>
      <w:r>
        <w:rPr>
          <w:rFonts w:ascii="Arial" w:hAnsi="Arial" w:cs="Arial"/>
        </w:rPr>
        <w:t xml:space="preserve">The additional candidate variables from </w:t>
      </w:r>
      <w:r w:rsidR="00CB3813">
        <w:rPr>
          <w:rFonts w:ascii="Arial" w:hAnsi="Arial" w:cs="Arial"/>
        </w:rPr>
        <w:t xml:space="preserve">2011 </w:t>
      </w:r>
      <w:r>
        <w:rPr>
          <w:rFonts w:ascii="Arial" w:hAnsi="Arial" w:cs="Arial"/>
        </w:rPr>
        <w:t xml:space="preserve">census data that were suggested in paper TAMLC34 (unpaid care, bad general health, low education level, mental health condition, and job seekers) were approved for inclusion, as it was felt that they had a plausible link to </w:t>
      </w:r>
      <w:r w:rsidR="00CB3813">
        <w:rPr>
          <w:rFonts w:ascii="Arial" w:hAnsi="Arial" w:cs="Arial"/>
        </w:rPr>
        <w:t xml:space="preserve">need for </w:t>
      </w:r>
      <w:r>
        <w:rPr>
          <w:rFonts w:ascii="Arial" w:hAnsi="Arial" w:cs="Arial"/>
        </w:rPr>
        <w:t xml:space="preserve">Acute </w:t>
      </w:r>
      <w:r w:rsidR="00CB3813">
        <w:rPr>
          <w:rFonts w:ascii="Arial" w:hAnsi="Arial" w:cs="Arial"/>
        </w:rPr>
        <w:t>services</w:t>
      </w:r>
      <w:r>
        <w:rPr>
          <w:rFonts w:ascii="Arial" w:hAnsi="Arial" w:cs="Arial"/>
        </w:rPr>
        <w:t xml:space="preserve"> and that their geographical distribution could be expected to be stable over the 10-year interval between censuses. </w:t>
      </w:r>
      <w:r w:rsidR="00903AE9">
        <w:rPr>
          <w:rFonts w:ascii="Arial" w:hAnsi="Arial" w:cs="Arial"/>
        </w:rPr>
        <w:t xml:space="preserve">It was suggested that while unpaid care was likely to reflect need, the </w:t>
      </w:r>
      <w:r w:rsidR="00903AE9" w:rsidRPr="00903AE9">
        <w:rPr>
          <w:rFonts w:ascii="Arial" w:hAnsi="Arial" w:cs="Arial"/>
          <w:i/>
        </w:rPr>
        <w:t>absence</w:t>
      </w:r>
      <w:r w:rsidR="00903AE9">
        <w:rPr>
          <w:rFonts w:ascii="Arial" w:hAnsi="Arial" w:cs="Arial"/>
        </w:rPr>
        <w:t xml:space="preserve"> of care where it is needed may also impact on </w:t>
      </w:r>
      <w:proofErr w:type="gramStart"/>
      <w:r w:rsidR="00903AE9">
        <w:rPr>
          <w:rFonts w:ascii="Arial" w:hAnsi="Arial" w:cs="Arial"/>
        </w:rPr>
        <w:t>Acute</w:t>
      </w:r>
      <w:proofErr w:type="gramEnd"/>
      <w:r w:rsidR="00903AE9">
        <w:rPr>
          <w:rFonts w:ascii="Arial" w:hAnsi="Arial" w:cs="Arial"/>
        </w:rPr>
        <w:t xml:space="preserve"> service need. To </w:t>
      </w:r>
      <w:r w:rsidR="004C3A6D">
        <w:rPr>
          <w:rFonts w:ascii="Arial" w:hAnsi="Arial" w:cs="Arial"/>
        </w:rPr>
        <w:t xml:space="preserve">attempt to </w:t>
      </w:r>
      <w:r w:rsidR="00903AE9">
        <w:rPr>
          <w:rFonts w:ascii="Arial" w:hAnsi="Arial" w:cs="Arial"/>
        </w:rPr>
        <w:t xml:space="preserve">capture this, it was </w:t>
      </w:r>
      <w:r w:rsidR="00CB3813">
        <w:rPr>
          <w:rFonts w:ascii="Arial" w:hAnsi="Arial" w:cs="Arial"/>
        </w:rPr>
        <w:t>agree</w:t>
      </w:r>
      <w:r w:rsidR="00903AE9">
        <w:rPr>
          <w:rFonts w:ascii="Arial" w:hAnsi="Arial" w:cs="Arial"/>
        </w:rPr>
        <w:t xml:space="preserve">d that a measure of the number of elderly people living alone could be included, based on census data. </w:t>
      </w:r>
      <w:r>
        <w:rPr>
          <w:rFonts w:ascii="Arial" w:hAnsi="Arial" w:cs="Arial"/>
        </w:rPr>
        <w:t xml:space="preserve">The inclusion of this variable </w:t>
      </w:r>
      <w:r w:rsidR="00CB3813">
        <w:rPr>
          <w:rFonts w:ascii="Arial" w:hAnsi="Arial" w:cs="Arial"/>
        </w:rPr>
        <w:t>is</w:t>
      </w:r>
      <w:r>
        <w:rPr>
          <w:rFonts w:ascii="Arial" w:hAnsi="Arial" w:cs="Arial"/>
        </w:rPr>
        <w:t xml:space="preserve"> also consistent with the aim to include </w:t>
      </w:r>
      <w:r w:rsidR="00903AE9">
        <w:rPr>
          <w:rFonts w:ascii="Arial" w:hAnsi="Arial" w:cs="Arial"/>
        </w:rPr>
        <w:t xml:space="preserve">more </w:t>
      </w:r>
      <w:r w:rsidR="004C3A6D">
        <w:rPr>
          <w:rFonts w:ascii="Arial" w:hAnsi="Arial" w:cs="Arial"/>
        </w:rPr>
        <w:t>variables of relevance to the elder</w:t>
      </w:r>
      <w:r>
        <w:rPr>
          <w:rFonts w:ascii="Arial" w:hAnsi="Arial" w:cs="Arial"/>
        </w:rPr>
        <w:t>ly population.</w:t>
      </w:r>
    </w:p>
    <w:p w:rsidR="004C3A6D" w:rsidRDefault="004C3A6D" w:rsidP="0031666B">
      <w:pPr>
        <w:spacing w:after="240"/>
        <w:jc w:val="both"/>
        <w:rPr>
          <w:rFonts w:ascii="Arial" w:hAnsi="Arial" w:cs="Arial"/>
        </w:rPr>
      </w:pPr>
      <w:r>
        <w:rPr>
          <w:rFonts w:ascii="Arial" w:hAnsi="Arial" w:cs="Arial"/>
        </w:rPr>
        <w:t>The equality leads advised that the use of a percentage of non-white residents as a variable was problematic, since the relationships between ethnicity and healthcare needs are much more complex than this.</w:t>
      </w:r>
    </w:p>
    <w:p w:rsidR="004C3A6D" w:rsidRDefault="0031666B" w:rsidP="0031666B">
      <w:pPr>
        <w:spacing w:after="240"/>
        <w:jc w:val="both"/>
        <w:rPr>
          <w:rFonts w:ascii="Arial" w:hAnsi="Arial" w:cs="Arial"/>
        </w:rPr>
      </w:pPr>
      <w:r>
        <w:rPr>
          <w:rFonts w:ascii="Arial" w:hAnsi="Arial" w:cs="Arial"/>
        </w:rPr>
        <w:t>A</w:t>
      </w:r>
      <w:r w:rsidR="004C3A6D">
        <w:rPr>
          <w:rFonts w:ascii="Arial" w:hAnsi="Arial" w:cs="Arial"/>
        </w:rPr>
        <w:t xml:space="preserve"> query </w:t>
      </w:r>
      <w:r>
        <w:rPr>
          <w:rFonts w:ascii="Arial" w:hAnsi="Arial" w:cs="Arial"/>
        </w:rPr>
        <w:t xml:space="preserve">was </w:t>
      </w:r>
      <w:r w:rsidR="004C3A6D">
        <w:rPr>
          <w:rFonts w:ascii="Arial" w:hAnsi="Arial" w:cs="Arial"/>
        </w:rPr>
        <w:t xml:space="preserve">raised in paper TAMLC34 around whether to exclude the supply variables that had been shown during the NRAC review to perform poorly. AST were asked to check whether the Subgroup had previously made any </w:t>
      </w:r>
      <w:r>
        <w:rPr>
          <w:rFonts w:ascii="Arial" w:hAnsi="Arial" w:cs="Arial"/>
        </w:rPr>
        <w:t xml:space="preserve">explicit </w:t>
      </w:r>
      <w:r w:rsidR="004C3A6D">
        <w:rPr>
          <w:rFonts w:ascii="Arial" w:hAnsi="Arial" w:cs="Arial"/>
        </w:rPr>
        <w:t>decisions on the set of supply variables.</w:t>
      </w:r>
    </w:p>
    <w:p w:rsidR="0031666B" w:rsidRDefault="0031666B" w:rsidP="0031666B">
      <w:pPr>
        <w:spacing w:after="240"/>
        <w:jc w:val="both"/>
        <w:rPr>
          <w:rFonts w:ascii="Arial" w:hAnsi="Arial" w:cs="Arial"/>
        </w:rPr>
      </w:pPr>
      <w:r>
        <w:rPr>
          <w:rFonts w:ascii="Arial" w:hAnsi="Arial" w:cs="Arial"/>
        </w:rPr>
        <w:t>Finally, AST were also asked to check whether the Scottish Patients at Risk of Readmission and Admission (SPARRA) tool had previously been excluded as a potential candidate variable.</w:t>
      </w:r>
    </w:p>
    <w:p w:rsidR="00903AE9" w:rsidRDefault="00EB54A1" w:rsidP="0031666B">
      <w:pPr>
        <w:spacing w:after="240"/>
        <w:jc w:val="both"/>
        <w:rPr>
          <w:rFonts w:ascii="Arial" w:hAnsi="Arial" w:cs="Arial"/>
          <w:b/>
        </w:rPr>
      </w:pPr>
      <w:r w:rsidRPr="00C47A73">
        <w:rPr>
          <w:rFonts w:ascii="Arial" w:hAnsi="Arial" w:cs="Arial"/>
        </w:rPr>
        <w:t xml:space="preserve">This paper </w:t>
      </w:r>
      <w:r>
        <w:rPr>
          <w:rFonts w:ascii="Arial" w:hAnsi="Arial" w:cs="Arial"/>
        </w:rPr>
        <w:t>presents investigations to explore these suggestions and presents the final potential candidate variables and supply variables.</w:t>
      </w:r>
      <w:r w:rsidR="00CB3813">
        <w:rPr>
          <w:rFonts w:ascii="Arial" w:hAnsi="Arial" w:cs="Arial"/>
        </w:rPr>
        <w:t xml:space="preserve"> </w:t>
      </w:r>
      <w:r w:rsidR="00CB3813" w:rsidRPr="00CB3813">
        <w:rPr>
          <w:rFonts w:ascii="Arial" w:hAnsi="Arial" w:cs="Arial"/>
          <w:b/>
        </w:rPr>
        <w:t xml:space="preserve">It includes </w:t>
      </w:r>
      <w:r w:rsidR="00213174">
        <w:rPr>
          <w:rFonts w:ascii="Arial" w:hAnsi="Arial" w:cs="Arial"/>
          <w:b/>
        </w:rPr>
        <w:t>two</w:t>
      </w:r>
      <w:r w:rsidR="00CB3813" w:rsidRPr="00CB3813">
        <w:rPr>
          <w:rFonts w:ascii="Arial" w:hAnsi="Arial" w:cs="Arial"/>
          <w:b/>
        </w:rPr>
        <w:t xml:space="preserve"> issues for approval by </w:t>
      </w:r>
      <w:r w:rsidR="001670E8" w:rsidRPr="00CB3813">
        <w:rPr>
          <w:rFonts w:ascii="Arial" w:hAnsi="Arial" w:cs="Arial"/>
          <w:b/>
        </w:rPr>
        <w:t>1</w:t>
      </w:r>
      <w:r w:rsidR="001670E8">
        <w:rPr>
          <w:rFonts w:ascii="Arial" w:hAnsi="Arial" w:cs="Arial"/>
          <w:b/>
        </w:rPr>
        <w:t>2</w:t>
      </w:r>
      <w:r w:rsidR="001D66AE" w:rsidRPr="001D66AE">
        <w:rPr>
          <w:rFonts w:ascii="Arial" w:hAnsi="Arial" w:cs="Arial"/>
          <w:b/>
          <w:vertAlign w:val="superscript"/>
        </w:rPr>
        <w:t>th</w:t>
      </w:r>
      <w:r w:rsidR="001D66AE">
        <w:rPr>
          <w:rFonts w:ascii="Arial" w:hAnsi="Arial" w:cs="Arial"/>
          <w:b/>
        </w:rPr>
        <w:t xml:space="preserve"> </w:t>
      </w:r>
      <w:r w:rsidR="00CB3813" w:rsidRPr="00CB3813">
        <w:rPr>
          <w:rFonts w:ascii="Arial" w:hAnsi="Arial" w:cs="Arial"/>
          <w:b/>
        </w:rPr>
        <w:t>November</w:t>
      </w:r>
      <w:r w:rsidR="00CB3813">
        <w:rPr>
          <w:rFonts w:ascii="Arial" w:hAnsi="Arial" w:cs="Arial"/>
          <w:b/>
        </w:rPr>
        <w:t>.</w:t>
      </w:r>
      <w:r w:rsidR="00CB3813" w:rsidRPr="00CB3813">
        <w:rPr>
          <w:rFonts w:ascii="Arial" w:hAnsi="Arial" w:cs="Arial"/>
          <w:b/>
        </w:rPr>
        <w:t xml:space="preserve"> If we do not hear from you, we will </w:t>
      </w:r>
      <w:r w:rsidR="00CB3813">
        <w:rPr>
          <w:rFonts w:ascii="Arial" w:hAnsi="Arial" w:cs="Arial"/>
          <w:b/>
        </w:rPr>
        <w:t>as</w:t>
      </w:r>
      <w:r w:rsidR="00CB3813" w:rsidRPr="00CB3813">
        <w:rPr>
          <w:rFonts w:ascii="Arial" w:hAnsi="Arial" w:cs="Arial"/>
          <w:b/>
        </w:rPr>
        <w:t>sume that you approve the</w:t>
      </w:r>
      <w:r w:rsidR="00CB3813">
        <w:rPr>
          <w:rFonts w:ascii="Arial" w:hAnsi="Arial" w:cs="Arial"/>
          <w:b/>
        </w:rPr>
        <w:t>se</w:t>
      </w:r>
      <w:r w:rsidR="00CB3813" w:rsidRPr="00CB3813">
        <w:rPr>
          <w:rFonts w:ascii="Arial" w:hAnsi="Arial" w:cs="Arial"/>
          <w:b/>
        </w:rPr>
        <w:t xml:space="preserve"> recommendations</w:t>
      </w:r>
      <w:r w:rsidR="00CB3813">
        <w:rPr>
          <w:rFonts w:ascii="Arial" w:hAnsi="Arial" w:cs="Arial"/>
          <w:b/>
        </w:rPr>
        <w:t xml:space="preserve"> and we will proceed with the planned regression analyses accordingly</w:t>
      </w:r>
      <w:r w:rsidR="00CB3813" w:rsidRPr="00CB3813">
        <w:rPr>
          <w:rFonts w:ascii="Arial" w:hAnsi="Arial" w:cs="Arial"/>
          <w:b/>
        </w:rPr>
        <w:t>.</w:t>
      </w:r>
      <w:r w:rsidR="00CB3813">
        <w:rPr>
          <w:rFonts w:ascii="Arial" w:hAnsi="Arial" w:cs="Arial"/>
          <w:b/>
        </w:rPr>
        <w:t xml:space="preserve"> </w:t>
      </w:r>
    </w:p>
    <w:p w:rsidR="001670E8" w:rsidRPr="00CB3813" w:rsidRDefault="001670E8" w:rsidP="0031666B">
      <w:pPr>
        <w:spacing w:after="240"/>
        <w:jc w:val="both"/>
        <w:rPr>
          <w:rFonts w:ascii="Arial" w:hAnsi="Arial" w:cs="Arial"/>
          <w:b/>
        </w:rPr>
      </w:pPr>
    </w:p>
    <w:p w:rsidR="00AB2DE4" w:rsidRPr="00AB2DE4" w:rsidRDefault="00AB2DE4" w:rsidP="00AB2DE4">
      <w:pPr>
        <w:spacing w:before="240"/>
        <w:jc w:val="both"/>
        <w:rPr>
          <w:rFonts w:ascii="Arial" w:hAnsi="Arial" w:cs="Arial"/>
        </w:rPr>
      </w:pPr>
      <w:r>
        <w:rPr>
          <w:rFonts w:ascii="Arial" w:hAnsi="Arial" w:cs="Arial"/>
          <w:b/>
        </w:rPr>
        <w:t xml:space="preserve">1. </w:t>
      </w:r>
      <w:r w:rsidRPr="00AB2DE4">
        <w:rPr>
          <w:rFonts w:ascii="Arial" w:hAnsi="Arial" w:cs="Arial"/>
          <w:b/>
        </w:rPr>
        <w:t>Summary</w:t>
      </w:r>
    </w:p>
    <w:p w:rsidR="00AB2DE4" w:rsidRDefault="00AB2DE4" w:rsidP="00AB2DE4">
      <w:pPr>
        <w:jc w:val="both"/>
        <w:rPr>
          <w:rFonts w:ascii="Arial" w:hAnsi="Arial" w:cs="Arial"/>
        </w:rPr>
      </w:pPr>
      <w:r w:rsidRPr="00C47A73" w:rsidDel="00CB3813">
        <w:rPr>
          <w:rFonts w:ascii="Arial" w:hAnsi="Arial" w:cs="Arial"/>
        </w:rPr>
        <w:t xml:space="preserve">This paper </w:t>
      </w:r>
      <w:r w:rsidR="0031666B" w:rsidDel="00CB3813">
        <w:rPr>
          <w:rFonts w:ascii="Arial" w:hAnsi="Arial" w:cs="Arial"/>
        </w:rPr>
        <w:t xml:space="preserve">addresses the </w:t>
      </w:r>
      <w:r w:rsidR="008F3B32" w:rsidDel="00CB3813">
        <w:rPr>
          <w:rFonts w:ascii="Arial" w:hAnsi="Arial" w:cs="Arial"/>
        </w:rPr>
        <w:t xml:space="preserve">feedback and suggestions </w:t>
      </w:r>
      <w:r w:rsidR="00EB54A1">
        <w:rPr>
          <w:rFonts w:ascii="Arial" w:hAnsi="Arial" w:cs="Arial"/>
        </w:rPr>
        <w:t>from the last sub-group meeting</w:t>
      </w:r>
      <w:r w:rsidR="008F3B32" w:rsidDel="00CB3813">
        <w:rPr>
          <w:rFonts w:ascii="Arial" w:hAnsi="Arial" w:cs="Arial"/>
        </w:rPr>
        <w:t xml:space="preserve">, and </w:t>
      </w:r>
      <w:r w:rsidDel="00CB3813">
        <w:rPr>
          <w:rFonts w:ascii="Arial" w:hAnsi="Arial" w:cs="Arial"/>
        </w:rPr>
        <w:t>presents the final potential candidate variables and supply variables table</w:t>
      </w:r>
      <w:r w:rsidR="008F3B32" w:rsidDel="00CB3813">
        <w:rPr>
          <w:rFonts w:ascii="Arial" w:hAnsi="Arial" w:cs="Arial"/>
        </w:rPr>
        <w:t>.</w:t>
      </w:r>
      <w:r w:rsidDel="00CB3813">
        <w:rPr>
          <w:rFonts w:ascii="Arial" w:hAnsi="Arial" w:cs="Arial"/>
        </w:rPr>
        <w:t xml:space="preserve"> </w:t>
      </w:r>
      <w:r w:rsidR="00EB54A1">
        <w:rPr>
          <w:rFonts w:ascii="Arial" w:hAnsi="Arial" w:cs="Arial"/>
        </w:rPr>
        <w:t xml:space="preserve">Section 2 presents the final list of potential candidate variables. Section </w:t>
      </w:r>
      <w:r w:rsidR="001670E8">
        <w:rPr>
          <w:rFonts w:ascii="Arial" w:hAnsi="Arial" w:cs="Arial"/>
        </w:rPr>
        <w:t xml:space="preserve">3 </w:t>
      </w:r>
      <w:r w:rsidR="00EB54A1">
        <w:rPr>
          <w:rFonts w:ascii="Arial" w:hAnsi="Arial" w:cs="Arial"/>
        </w:rPr>
        <w:t>explores</w:t>
      </w:r>
      <w:r w:rsidR="001670E8">
        <w:rPr>
          <w:rFonts w:ascii="Arial" w:hAnsi="Arial" w:cs="Arial"/>
        </w:rPr>
        <w:t xml:space="preserve"> </w:t>
      </w:r>
      <w:r w:rsidR="00EB54A1">
        <w:rPr>
          <w:rFonts w:ascii="Arial" w:hAnsi="Arial" w:cs="Arial"/>
        </w:rPr>
        <w:t>t</w:t>
      </w:r>
      <w:r w:rsidR="008F3B32">
        <w:rPr>
          <w:rFonts w:ascii="Arial" w:hAnsi="Arial" w:cs="Arial"/>
        </w:rPr>
        <w:t xml:space="preserve">he </w:t>
      </w:r>
      <w:r w:rsidRPr="00C47A73">
        <w:rPr>
          <w:rFonts w:ascii="Arial" w:hAnsi="Arial" w:cs="Arial"/>
        </w:rPr>
        <w:t xml:space="preserve">strengths and weaknesses of the different </w:t>
      </w:r>
      <w:r>
        <w:rPr>
          <w:rFonts w:ascii="Arial" w:hAnsi="Arial" w:cs="Arial"/>
        </w:rPr>
        <w:t xml:space="preserve">options for the </w:t>
      </w:r>
      <w:r w:rsidRPr="00C47A73">
        <w:rPr>
          <w:rFonts w:ascii="Arial" w:hAnsi="Arial" w:cs="Arial"/>
        </w:rPr>
        <w:t>supply</w:t>
      </w:r>
      <w:r>
        <w:rPr>
          <w:rFonts w:ascii="Arial" w:hAnsi="Arial" w:cs="Arial"/>
        </w:rPr>
        <w:t xml:space="preserve"> model</w:t>
      </w:r>
      <w:r w:rsidR="008F3B32">
        <w:rPr>
          <w:rFonts w:ascii="Arial" w:hAnsi="Arial" w:cs="Arial"/>
        </w:rPr>
        <w:t xml:space="preserve"> and a recommendation is made to </w:t>
      </w:r>
      <w:r w:rsidR="008F3B32">
        <w:rPr>
          <w:rFonts w:ascii="Arial" w:hAnsi="Arial" w:cs="Arial"/>
        </w:rPr>
        <w:lastRenderedPageBreak/>
        <w:t>the Subgroup to retain the current NRAC supply model, consisting of the variables IPACX and OPACX as well as the Health Board dummies. Finally, in section 4, the methodology for</w:t>
      </w:r>
      <w:r>
        <w:rPr>
          <w:rFonts w:ascii="Arial" w:hAnsi="Arial" w:cs="Arial"/>
        </w:rPr>
        <w:t xml:space="preserve"> the selection of the needs indicators</w:t>
      </w:r>
      <w:r w:rsidR="008F3B32">
        <w:rPr>
          <w:rFonts w:ascii="Arial" w:hAnsi="Arial" w:cs="Arial"/>
        </w:rPr>
        <w:t xml:space="preserve"> in the 2007 NRAC review is summarised</w:t>
      </w:r>
      <w:r w:rsidR="00D8677F">
        <w:rPr>
          <w:rFonts w:ascii="Arial" w:hAnsi="Arial" w:cs="Arial"/>
        </w:rPr>
        <w:t xml:space="preserve"> as a basis for the methodology that will be used in the current review</w:t>
      </w:r>
      <w:r w:rsidR="008F3B32">
        <w:rPr>
          <w:rFonts w:ascii="Arial" w:hAnsi="Arial" w:cs="Arial"/>
        </w:rPr>
        <w:t>.</w:t>
      </w:r>
    </w:p>
    <w:p w:rsidR="00AB2DE4" w:rsidRDefault="00AB2DE4" w:rsidP="00AB2DE4">
      <w:pPr>
        <w:jc w:val="both"/>
        <w:rPr>
          <w:rFonts w:ascii="Arial" w:hAnsi="Arial" w:cs="Arial"/>
        </w:rPr>
      </w:pPr>
    </w:p>
    <w:p w:rsidR="007F12B9" w:rsidRPr="00AB2DE4" w:rsidRDefault="00AB2DE4" w:rsidP="00AA6A5B">
      <w:pPr>
        <w:spacing w:after="240"/>
        <w:rPr>
          <w:rFonts w:ascii="Arial" w:hAnsi="Arial" w:cs="Arial"/>
          <w:b/>
        </w:rPr>
      </w:pPr>
      <w:r w:rsidRPr="00AB2DE4">
        <w:rPr>
          <w:rFonts w:ascii="Arial" w:hAnsi="Arial" w:cs="Arial"/>
          <w:b/>
        </w:rPr>
        <w:t xml:space="preserve">2. Potential candidate variables </w:t>
      </w:r>
    </w:p>
    <w:p w:rsidR="00AF11AD" w:rsidRDefault="00EB54A1" w:rsidP="0023771E">
      <w:pPr>
        <w:spacing w:after="240"/>
        <w:jc w:val="both"/>
        <w:rPr>
          <w:rFonts w:ascii="Arial" w:hAnsi="Arial" w:cs="Arial"/>
        </w:rPr>
      </w:pPr>
      <w:r>
        <w:rPr>
          <w:rFonts w:ascii="Arial" w:hAnsi="Arial" w:cs="Arial"/>
        </w:rPr>
        <w:t xml:space="preserve">The variables that will be tested as potential predictors of additional needs due to morbidity and life circumstances </w:t>
      </w:r>
      <w:r w:rsidR="00AB2DE4">
        <w:rPr>
          <w:rFonts w:ascii="Arial" w:hAnsi="Arial" w:cs="Arial"/>
        </w:rPr>
        <w:t xml:space="preserve">are shown in Table 1, along with their current status. Most variables have now been calculated at the 2011 data zones. </w:t>
      </w:r>
    </w:p>
    <w:p w:rsidR="0010549D" w:rsidRDefault="00AF11AD" w:rsidP="0023771E">
      <w:pPr>
        <w:spacing w:after="240"/>
        <w:jc w:val="both"/>
        <w:rPr>
          <w:rFonts w:ascii="Arial" w:hAnsi="Arial" w:cs="Arial"/>
        </w:rPr>
      </w:pPr>
      <w:r>
        <w:rPr>
          <w:rFonts w:ascii="Arial" w:hAnsi="Arial" w:cs="Arial"/>
        </w:rPr>
        <w:t>T</w:t>
      </w:r>
      <w:r w:rsidR="0010549D">
        <w:rPr>
          <w:rFonts w:ascii="Arial" w:hAnsi="Arial" w:cs="Arial"/>
        </w:rPr>
        <w:t>he number of elderly people living alone</w:t>
      </w:r>
      <w:r>
        <w:rPr>
          <w:rFonts w:ascii="Arial" w:hAnsi="Arial" w:cs="Arial"/>
        </w:rPr>
        <w:t>, based on census data,</w:t>
      </w:r>
      <w:r w:rsidR="0010549D">
        <w:rPr>
          <w:rFonts w:ascii="Arial" w:hAnsi="Arial" w:cs="Arial"/>
        </w:rPr>
        <w:t xml:space="preserve"> </w:t>
      </w:r>
      <w:r>
        <w:rPr>
          <w:rFonts w:ascii="Arial" w:hAnsi="Arial" w:cs="Arial"/>
        </w:rPr>
        <w:t xml:space="preserve">is now </w:t>
      </w:r>
      <w:r w:rsidR="0010549D">
        <w:rPr>
          <w:rFonts w:ascii="Arial" w:hAnsi="Arial" w:cs="Arial"/>
        </w:rPr>
        <w:t>included</w:t>
      </w:r>
      <w:r>
        <w:rPr>
          <w:rFonts w:ascii="Arial" w:hAnsi="Arial" w:cs="Arial"/>
        </w:rPr>
        <w:t>, following the suggestion at the last Subgroup meeting.</w:t>
      </w:r>
    </w:p>
    <w:p w:rsidR="004F22D0" w:rsidRDefault="00627C62" w:rsidP="004F22D0">
      <w:pPr>
        <w:spacing w:after="240"/>
        <w:jc w:val="both"/>
        <w:rPr>
          <w:rFonts w:ascii="Arial" w:hAnsi="Arial" w:cs="Arial"/>
        </w:rPr>
      </w:pPr>
      <w:r>
        <w:rPr>
          <w:rFonts w:ascii="Arial" w:hAnsi="Arial" w:cs="Arial"/>
        </w:rPr>
        <w:t xml:space="preserve">Following the </w:t>
      </w:r>
      <w:r w:rsidR="004F22D0">
        <w:rPr>
          <w:rFonts w:ascii="Arial" w:hAnsi="Arial" w:cs="Arial"/>
        </w:rPr>
        <w:t xml:space="preserve">feedback from equality leads that the ethnicity variable needed modification, the Scottish Government </w:t>
      </w:r>
      <w:proofErr w:type="spellStart"/>
      <w:r w:rsidR="004F22D0">
        <w:rPr>
          <w:rFonts w:ascii="Arial" w:hAnsi="Arial" w:cs="Arial"/>
        </w:rPr>
        <w:t>ScotStat</w:t>
      </w:r>
      <w:proofErr w:type="spellEnd"/>
      <w:r w:rsidR="004F22D0">
        <w:rPr>
          <w:rFonts w:ascii="Arial" w:hAnsi="Arial" w:cs="Arial"/>
        </w:rPr>
        <w:t xml:space="preserve"> report “</w:t>
      </w:r>
      <w:r w:rsidR="004F22D0" w:rsidRPr="004F22D0">
        <w:rPr>
          <w:rFonts w:ascii="Arial" w:hAnsi="Arial" w:cs="Arial"/>
        </w:rPr>
        <w:t>Which ethnic groups have the poorest health?</w:t>
      </w:r>
      <w:r w:rsidR="004F22D0">
        <w:rPr>
          <w:rFonts w:ascii="Arial" w:hAnsi="Arial" w:cs="Arial"/>
        </w:rPr>
        <w:t xml:space="preserve"> </w:t>
      </w:r>
      <w:r w:rsidR="004F22D0" w:rsidRPr="004F22D0">
        <w:rPr>
          <w:rFonts w:ascii="Arial" w:hAnsi="Arial" w:cs="Arial"/>
        </w:rPr>
        <w:t>An Analysis of Health Inequality and Ethnicity in Scotland</w:t>
      </w:r>
      <w:r w:rsidR="004F22D0">
        <w:rPr>
          <w:rFonts w:ascii="Arial" w:hAnsi="Arial" w:cs="Arial"/>
        </w:rPr>
        <w:t>”</w:t>
      </w:r>
      <w:r w:rsidR="004F22D0">
        <w:rPr>
          <w:rStyle w:val="FootnoteReference"/>
          <w:rFonts w:ascii="Arial" w:hAnsi="Arial" w:cs="Arial"/>
        </w:rPr>
        <w:footnoteReference w:id="1"/>
      </w:r>
      <w:r w:rsidR="004F22D0">
        <w:rPr>
          <w:rFonts w:ascii="Arial" w:hAnsi="Arial" w:cs="Arial"/>
        </w:rPr>
        <w:t xml:space="preserve"> has been used </w:t>
      </w:r>
      <w:r w:rsidR="0010549D">
        <w:rPr>
          <w:rFonts w:ascii="Arial" w:hAnsi="Arial" w:cs="Arial"/>
        </w:rPr>
        <w:t>as a</w:t>
      </w:r>
      <w:r w:rsidR="004F22D0">
        <w:rPr>
          <w:rFonts w:ascii="Arial" w:hAnsi="Arial" w:cs="Arial"/>
        </w:rPr>
        <w:t xml:space="preserve"> guide. The report suggests that heal</w:t>
      </w:r>
      <w:r w:rsidR="0010549D">
        <w:rPr>
          <w:rFonts w:ascii="Arial" w:hAnsi="Arial" w:cs="Arial"/>
        </w:rPr>
        <w:t>th outcomes for Gypsy/Traveller and Pakistani ethnic groups</w:t>
      </w:r>
      <w:r w:rsidR="004F22D0">
        <w:rPr>
          <w:rFonts w:ascii="Arial" w:hAnsi="Arial" w:cs="Arial"/>
        </w:rPr>
        <w:t xml:space="preserve"> are worse on average, for both sexes, compared to the overall population, so counts of these populations are now suggested to be used.</w:t>
      </w:r>
    </w:p>
    <w:p w:rsidR="00257E08" w:rsidRDefault="00257E08" w:rsidP="0023771E">
      <w:pPr>
        <w:jc w:val="both"/>
        <w:rPr>
          <w:rFonts w:ascii="Arial" w:hAnsi="Arial" w:cs="Arial"/>
        </w:rPr>
      </w:pPr>
      <w:r>
        <w:rPr>
          <w:rFonts w:ascii="Arial" w:hAnsi="Arial" w:cs="Arial"/>
        </w:rPr>
        <w:t xml:space="preserve">SPARRA </w:t>
      </w:r>
      <w:r w:rsidR="00EB54A1">
        <w:rPr>
          <w:rFonts w:ascii="Arial" w:hAnsi="Arial" w:cs="Arial"/>
        </w:rPr>
        <w:t>is not included because it was</w:t>
      </w:r>
      <w:r>
        <w:rPr>
          <w:rFonts w:ascii="Arial" w:hAnsi="Arial" w:cs="Arial"/>
        </w:rPr>
        <w:t xml:space="preserve"> ruled out previously</w:t>
      </w:r>
      <w:r w:rsidR="00EB54A1">
        <w:rPr>
          <w:rFonts w:ascii="Arial" w:hAnsi="Arial" w:cs="Arial"/>
        </w:rPr>
        <w:t xml:space="preserve"> by the Subgroup</w:t>
      </w:r>
      <w:r>
        <w:rPr>
          <w:rFonts w:ascii="Arial" w:hAnsi="Arial" w:cs="Arial"/>
        </w:rPr>
        <w:t xml:space="preserve">. Paper TAMLC09 says, </w:t>
      </w:r>
      <w:r w:rsidRPr="008A2D4D">
        <w:rPr>
          <w:rFonts w:ascii="Arial" w:hAnsi="Arial" w:cs="Arial"/>
          <w:i/>
        </w:rPr>
        <w:t>“On investigating using the SPARRA data, it was concluded that this will not be a suitable candidate variable for the Acute MLC update as the data produces a score (known as a SPARRA score) for each patient. Many of the risk factors and variables used in SPARRA are already considered for the update or are highly correlated with them”</w:t>
      </w:r>
      <w:r>
        <w:rPr>
          <w:rFonts w:ascii="Arial" w:hAnsi="Arial" w:cs="Arial"/>
        </w:rPr>
        <w:t>.</w:t>
      </w:r>
    </w:p>
    <w:p w:rsidR="00627C62" w:rsidRPr="008A2D4D" w:rsidRDefault="008A2D4D" w:rsidP="00C87B46">
      <w:pPr>
        <w:spacing w:after="240"/>
        <w:jc w:val="both"/>
        <w:rPr>
          <w:rFonts w:ascii="Arial" w:hAnsi="Arial" w:cs="Arial"/>
          <w:b/>
        </w:rPr>
      </w:pPr>
      <w:r w:rsidRPr="008A2D4D">
        <w:rPr>
          <w:rFonts w:ascii="Arial" w:hAnsi="Arial" w:cs="Arial"/>
          <w:b/>
        </w:rPr>
        <w:t>Q1: The Subgroup is asked to approve the change from a single “non-white” ethnicity variable to the use of Gypsy/Traveller and Pakistani ethnic group populations.</w:t>
      </w:r>
    </w:p>
    <w:p w:rsidR="008D2979" w:rsidRDefault="008D2979" w:rsidP="00BB003D">
      <w:pPr>
        <w:spacing w:after="240"/>
        <w:jc w:val="both"/>
        <w:rPr>
          <w:rFonts w:ascii="Arial" w:hAnsi="Arial" w:cs="Arial"/>
          <w:szCs w:val="24"/>
        </w:rPr>
      </w:pPr>
    </w:p>
    <w:p w:rsidR="007135AA" w:rsidRDefault="007135AA" w:rsidP="00E97682">
      <w:pPr>
        <w:spacing w:after="120"/>
        <w:rPr>
          <w:rFonts w:ascii="Arial" w:hAnsi="Arial" w:cs="Arial"/>
          <w:i/>
        </w:rPr>
        <w:sectPr w:rsidR="007135AA" w:rsidSect="007135AA">
          <w:headerReference w:type="default" r:id="rId8"/>
          <w:footerReference w:type="default" r:id="rId9"/>
          <w:pgSz w:w="11906" w:h="16838"/>
          <w:pgMar w:top="1440" w:right="1440" w:bottom="1440" w:left="1440" w:header="708" w:footer="708" w:gutter="0"/>
          <w:cols w:space="708"/>
          <w:docGrid w:linePitch="360"/>
        </w:sectPr>
      </w:pPr>
    </w:p>
    <w:p w:rsidR="008E2DD5" w:rsidRPr="008E2DD5" w:rsidRDefault="008E2DD5" w:rsidP="00C87B46">
      <w:pPr>
        <w:spacing w:after="0"/>
        <w:rPr>
          <w:rFonts w:ascii="Arial" w:hAnsi="Arial" w:cs="Arial"/>
          <w:i/>
        </w:rPr>
      </w:pPr>
      <w:proofErr w:type="gramStart"/>
      <w:r w:rsidRPr="000F2402">
        <w:rPr>
          <w:rFonts w:ascii="Arial" w:hAnsi="Arial" w:cs="Arial"/>
          <w:i/>
        </w:rPr>
        <w:lastRenderedPageBreak/>
        <w:t>Table 1.</w:t>
      </w:r>
      <w:proofErr w:type="gramEnd"/>
      <w:r w:rsidRPr="000F2402">
        <w:rPr>
          <w:rFonts w:ascii="Arial" w:hAnsi="Arial" w:cs="Arial"/>
          <w:i/>
        </w:rPr>
        <w:t xml:space="preserve"> </w:t>
      </w:r>
      <w:r w:rsidR="00097102">
        <w:rPr>
          <w:rFonts w:ascii="Arial" w:hAnsi="Arial" w:cs="Arial"/>
          <w:i/>
        </w:rPr>
        <w:t>Potential candidate variables</w:t>
      </w:r>
      <w:r w:rsidR="00EF6165">
        <w:rPr>
          <w:rFonts w:ascii="Arial" w:hAnsi="Arial" w:cs="Arial"/>
          <w:i/>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9216"/>
        <w:gridCol w:w="1449"/>
      </w:tblGrid>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b/>
                <w:sz w:val="20"/>
                <w:szCs w:val="20"/>
                <w:u w:val="single"/>
              </w:rPr>
            </w:pPr>
            <w:r w:rsidRPr="00E819B6">
              <w:rPr>
                <w:rFonts w:ascii="Arial" w:hAnsi="Arial" w:cs="Arial"/>
                <w:b/>
                <w:sz w:val="20"/>
                <w:szCs w:val="20"/>
                <w:u w:val="single"/>
              </w:rPr>
              <w:t>Variable</w:t>
            </w:r>
          </w:p>
        </w:tc>
        <w:tc>
          <w:tcPr>
            <w:tcW w:w="325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b/>
                <w:sz w:val="20"/>
                <w:szCs w:val="20"/>
                <w:u w:val="single"/>
              </w:rPr>
            </w:pPr>
            <w:r w:rsidRPr="00E819B6">
              <w:rPr>
                <w:rFonts w:ascii="Arial" w:hAnsi="Arial" w:cs="Arial"/>
                <w:b/>
                <w:sz w:val="20"/>
                <w:szCs w:val="20"/>
                <w:u w:val="single"/>
              </w:rPr>
              <w:t>Details</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b/>
                <w:sz w:val="20"/>
                <w:szCs w:val="20"/>
                <w:u w:val="single"/>
              </w:rPr>
            </w:pPr>
            <w:r w:rsidRPr="00E819B6">
              <w:rPr>
                <w:rFonts w:ascii="Arial" w:hAnsi="Arial" w:cs="Arial"/>
                <w:b/>
                <w:sz w:val="20"/>
                <w:szCs w:val="20"/>
                <w:u w:val="single"/>
              </w:rPr>
              <w:t>Status</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E819B6">
            <w:pPr>
              <w:spacing w:after="0"/>
              <w:rPr>
                <w:rFonts w:ascii="Arial" w:hAnsi="Arial" w:cs="Arial"/>
                <w:sz w:val="20"/>
                <w:szCs w:val="20"/>
              </w:rPr>
            </w:pPr>
            <w:r w:rsidRPr="00E819B6">
              <w:rPr>
                <w:rFonts w:ascii="Arial" w:hAnsi="Arial" w:cs="Arial"/>
                <w:sz w:val="20"/>
                <w:szCs w:val="20"/>
              </w:rPr>
              <w:t>Low birth weight births</w:t>
            </w:r>
            <w:r w:rsidR="00E819B6">
              <w:rPr>
                <w:rFonts w:ascii="Arial" w:hAnsi="Arial" w:cs="Arial"/>
                <w:sz w:val="20"/>
                <w:szCs w:val="20"/>
              </w:rPr>
              <w:t xml:space="preserve"> – </w:t>
            </w:r>
            <w:r w:rsidR="00E819B6" w:rsidRPr="00E819B6">
              <w:rPr>
                <w:rFonts w:ascii="Arial" w:hAnsi="Arial" w:cs="Arial"/>
                <w:sz w:val="20"/>
                <w:szCs w:val="20"/>
              </w:rPr>
              <w:t>as</w:t>
            </w:r>
            <w:r w:rsidR="00E819B6">
              <w:rPr>
                <w:rFonts w:ascii="Arial" w:hAnsi="Arial" w:cs="Arial"/>
                <w:sz w:val="20"/>
                <w:szCs w:val="20"/>
              </w:rPr>
              <w:t xml:space="preserve"> </w:t>
            </w:r>
            <w:r w:rsidR="00E819B6" w:rsidRPr="00E819B6">
              <w:rPr>
                <w:rFonts w:ascii="Arial" w:hAnsi="Arial" w:cs="Arial"/>
                <w:sz w:val="20"/>
                <w:szCs w:val="20"/>
              </w:rPr>
              <w:t>a fraction of population</w:t>
            </w:r>
          </w:p>
        </w:tc>
        <w:tc>
          <w:tcPr>
            <w:tcW w:w="325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E819B6">
            <w:pPr>
              <w:spacing w:after="0"/>
              <w:rPr>
                <w:rFonts w:ascii="Arial" w:hAnsi="Arial" w:cs="Arial"/>
                <w:sz w:val="20"/>
                <w:szCs w:val="20"/>
              </w:rPr>
            </w:pPr>
            <w:r w:rsidRPr="00E819B6">
              <w:rPr>
                <w:rFonts w:ascii="Arial" w:hAnsi="Arial" w:cs="Arial"/>
                <w:sz w:val="20"/>
                <w:szCs w:val="20"/>
              </w:rPr>
              <w:t>3 financial years’ data from ISD Maternity team (1</w:t>
            </w:r>
            <w:r w:rsidR="00E819B6" w:rsidRPr="00E819B6">
              <w:rPr>
                <w:rFonts w:ascii="Arial" w:hAnsi="Arial" w:cs="Arial"/>
                <w:sz w:val="20"/>
                <w:szCs w:val="20"/>
              </w:rPr>
              <w:t>0</w:t>
            </w:r>
            <w:r w:rsidRPr="00E819B6">
              <w:rPr>
                <w:rFonts w:ascii="Arial" w:hAnsi="Arial" w:cs="Arial"/>
                <w:sz w:val="20"/>
                <w:szCs w:val="20"/>
              </w:rPr>
              <w:t>/1</w:t>
            </w:r>
            <w:r w:rsidR="00E819B6" w:rsidRPr="00E819B6">
              <w:rPr>
                <w:rFonts w:ascii="Arial" w:hAnsi="Arial" w:cs="Arial"/>
                <w:sz w:val="20"/>
                <w:szCs w:val="20"/>
              </w:rPr>
              <w:t>1—12/</w:t>
            </w:r>
            <w:r w:rsidRPr="00E819B6">
              <w:rPr>
                <w:rFonts w:ascii="Arial" w:hAnsi="Arial" w:cs="Arial"/>
                <w:sz w:val="20"/>
                <w:szCs w:val="20"/>
              </w:rPr>
              <w:t>1</w:t>
            </w:r>
            <w:r w:rsidR="00E819B6" w:rsidRPr="00E819B6">
              <w:rPr>
                <w:rFonts w:ascii="Arial" w:hAnsi="Arial" w:cs="Arial"/>
                <w:sz w:val="20"/>
                <w:szCs w:val="20"/>
              </w:rPr>
              <w:t>3 – the three most recent years’ data available</w:t>
            </w:r>
            <w:r w:rsidRPr="00E819B6">
              <w:rPr>
                <w:rFonts w:ascii="Arial" w:hAnsi="Arial" w:cs="Arial"/>
                <w:sz w:val="20"/>
                <w:szCs w:val="20"/>
              </w:rPr>
              <w:t xml:space="preserve">). Expressed as a </w:t>
            </w:r>
            <w:r w:rsidR="009E7921" w:rsidRPr="00E819B6">
              <w:rPr>
                <w:rFonts w:ascii="Arial" w:hAnsi="Arial" w:cs="Arial"/>
                <w:sz w:val="20"/>
                <w:szCs w:val="20"/>
              </w:rPr>
              <w:t>fraction</w:t>
            </w:r>
            <w:r w:rsidRPr="00E819B6">
              <w:rPr>
                <w:rFonts w:ascii="Arial" w:hAnsi="Arial" w:cs="Arial"/>
                <w:sz w:val="20"/>
                <w:szCs w:val="20"/>
              </w:rPr>
              <w:t xml:space="preserve"> of average population over 3 years (MYEs 201</w:t>
            </w:r>
            <w:r w:rsidR="00E819B6" w:rsidRPr="00E819B6">
              <w:rPr>
                <w:rFonts w:ascii="Arial" w:hAnsi="Arial" w:cs="Arial"/>
                <w:sz w:val="20"/>
                <w:szCs w:val="20"/>
              </w:rPr>
              <w:t>1, 2012, 2013</w:t>
            </w:r>
            <w:r w:rsidRPr="00E819B6">
              <w:rPr>
                <w:rFonts w:ascii="Arial" w:hAnsi="Arial" w:cs="Arial"/>
                <w:sz w:val="20"/>
                <w:szCs w:val="20"/>
              </w:rPr>
              <w:t>).</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E819B6" w:rsidP="00E819B6">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Death rate 0-74 all causes</w:t>
            </w:r>
          </w:p>
        </w:tc>
        <w:tc>
          <w:tcPr>
            <w:tcW w:w="3251" w:type="pct"/>
            <w:vMerge w:val="restart"/>
            <w:tcBorders>
              <w:top w:val="single" w:sz="4" w:space="0" w:color="auto"/>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5 financial years’ GRO death records (09/10 – 13/14). Expressed as a </w:t>
            </w:r>
            <w:r w:rsidR="009E7921" w:rsidRPr="00E819B6">
              <w:rPr>
                <w:rFonts w:ascii="Arial" w:hAnsi="Arial" w:cs="Arial"/>
                <w:sz w:val="20"/>
                <w:szCs w:val="20"/>
              </w:rPr>
              <w:t>fraction</w:t>
            </w:r>
            <w:r w:rsidRPr="00E819B6">
              <w:rPr>
                <w:rFonts w:ascii="Arial" w:hAnsi="Arial" w:cs="Arial"/>
                <w:sz w:val="20"/>
                <w:szCs w:val="20"/>
              </w:rPr>
              <w:t xml:space="preserve"> of average population over middle 3 years (MYEs – 2011, 2012, 2013) since 2010 MYE not available until Spring 2016.</w:t>
            </w:r>
          </w:p>
          <w:p w:rsidR="00AB2DE4" w:rsidRPr="00E819B6" w:rsidRDefault="00AB2DE4" w:rsidP="00AB2DE4">
            <w:pPr>
              <w:spacing w:after="0"/>
              <w:rPr>
                <w:rFonts w:ascii="Arial" w:hAnsi="Arial" w:cs="Arial"/>
                <w:sz w:val="20"/>
                <w:szCs w:val="20"/>
              </w:rPr>
            </w:pPr>
          </w:p>
          <w:p w:rsidR="00AB2DE4" w:rsidRPr="00E819B6" w:rsidRDefault="00AB2DE4" w:rsidP="00AB2DE4">
            <w:pPr>
              <w:spacing w:after="0"/>
              <w:rPr>
                <w:rFonts w:ascii="Arial" w:hAnsi="Arial" w:cs="Arial"/>
                <w:sz w:val="20"/>
                <w:szCs w:val="20"/>
              </w:rPr>
            </w:pPr>
            <w:r w:rsidRPr="00E819B6">
              <w:rPr>
                <w:rFonts w:ascii="Arial" w:hAnsi="Arial" w:cs="Arial"/>
                <w:sz w:val="20"/>
                <w:szCs w:val="20"/>
              </w:rPr>
              <w:t>Cause of death selected using ICD10 codes:</w:t>
            </w:r>
          </w:p>
          <w:p w:rsidR="00AB2DE4" w:rsidRPr="00E819B6" w:rsidRDefault="00AB2DE4" w:rsidP="00AB2DE4">
            <w:pPr>
              <w:pStyle w:val="ListParagraph"/>
              <w:numPr>
                <w:ilvl w:val="0"/>
                <w:numId w:val="10"/>
              </w:numPr>
              <w:spacing w:after="0"/>
              <w:rPr>
                <w:rFonts w:ascii="Arial" w:hAnsi="Arial" w:cs="Arial"/>
                <w:sz w:val="20"/>
                <w:szCs w:val="20"/>
              </w:rPr>
            </w:pPr>
            <w:r w:rsidRPr="00E819B6">
              <w:rPr>
                <w:rFonts w:ascii="Arial" w:hAnsi="Arial" w:cs="Arial"/>
                <w:sz w:val="20"/>
                <w:szCs w:val="20"/>
              </w:rPr>
              <w:t>Cancer C00--D48</w:t>
            </w:r>
          </w:p>
          <w:p w:rsidR="00AB2DE4" w:rsidRPr="00E819B6" w:rsidRDefault="00AB2DE4" w:rsidP="00AB2DE4">
            <w:pPr>
              <w:pStyle w:val="ListParagraph"/>
              <w:numPr>
                <w:ilvl w:val="0"/>
                <w:numId w:val="10"/>
              </w:numPr>
              <w:spacing w:after="0"/>
              <w:rPr>
                <w:rFonts w:ascii="Arial" w:hAnsi="Arial" w:cs="Arial"/>
                <w:sz w:val="20"/>
                <w:szCs w:val="20"/>
              </w:rPr>
            </w:pPr>
            <w:r w:rsidRPr="00E819B6">
              <w:rPr>
                <w:rFonts w:ascii="Arial" w:hAnsi="Arial" w:cs="Arial"/>
                <w:sz w:val="20"/>
                <w:szCs w:val="20"/>
              </w:rPr>
              <w:t>CHD I20--I25</w:t>
            </w:r>
          </w:p>
          <w:p w:rsidR="00AB2DE4" w:rsidRPr="00E819B6" w:rsidRDefault="00AB2DE4" w:rsidP="00AB2DE4">
            <w:pPr>
              <w:pStyle w:val="ListParagraph"/>
              <w:numPr>
                <w:ilvl w:val="0"/>
                <w:numId w:val="10"/>
              </w:numPr>
              <w:spacing w:after="0"/>
              <w:rPr>
                <w:rFonts w:ascii="Arial" w:hAnsi="Arial" w:cs="Arial"/>
                <w:sz w:val="20"/>
                <w:szCs w:val="20"/>
              </w:rPr>
            </w:pPr>
            <w:r w:rsidRPr="00E819B6">
              <w:rPr>
                <w:rFonts w:ascii="Arial" w:hAnsi="Arial" w:cs="Arial"/>
                <w:sz w:val="20"/>
                <w:szCs w:val="20"/>
              </w:rPr>
              <w:t>Stroke I61, I63, I64</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Death rate 0-74 Cancer</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Death rate 0-74 CHD</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Death rate 0-74 Stroke</w:t>
            </w:r>
          </w:p>
        </w:tc>
        <w:tc>
          <w:tcPr>
            <w:tcW w:w="3251" w:type="pct"/>
            <w:vMerge/>
            <w:tcBorders>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All cause SMR 0-64</w:t>
            </w:r>
          </w:p>
        </w:tc>
        <w:tc>
          <w:tcPr>
            <w:tcW w:w="3251" w:type="pct"/>
            <w:vMerge w:val="restart"/>
            <w:tcBorders>
              <w:top w:val="single" w:sz="4" w:space="0" w:color="auto"/>
              <w:left w:val="single" w:sz="4" w:space="0" w:color="auto"/>
              <w:right w:val="single" w:sz="4" w:space="0" w:color="auto"/>
            </w:tcBorders>
            <w:vAlign w:val="center"/>
            <w:hideMark/>
          </w:tcPr>
          <w:p w:rsidR="00E819B6" w:rsidRDefault="00E819B6" w:rsidP="00AB2DE4">
            <w:pPr>
              <w:spacing w:after="0"/>
              <w:rPr>
                <w:rFonts w:ascii="Arial" w:hAnsi="Arial" w:cs="Arial"/>
                <w:sz w:val="20"/>
                <w:szCs w:val="20"/>
              </w:rPr>
            </w:pPr>
            <w:r>
              <w:rPr>
                <w:rFonts w:ascii="Arial" w:hAnsi="Arial" w:cs="Arial"/>
                <w:sz w:val="20"/>
                <w:szCs w:val="20"/>
              </w:rPr>
              <w:t>Standardised mortality ratios with different causes of death.</w:t>
            </w:r>
          </w:p>
          <w:p w:rsidR="00E819B6" w:rsidRDefault="00E819B6" w:rsidP="00AB2DE4">
            <w:pPr>
              <w:spacing w:after="0"/>
              <w:rPr>
                <w:rFonts w:ascii="Arial" w:hAnsi="Arial" w:cs="Arial"/>
                <w:sz w:val="20"/>
                <w:szCs w:val="20"/>
              </w:rPr>
            </w:pPr>
          </w:p>
          <w:p w:rsidR="00AB2DE4" w:rsidRPr="00E819B6" w:rsidRDefault="00E819B6" w:rsidP="00AB2DE4">
            <w:pPr>
              <w:spacing w:after="0"/>
              <w:rPr>
                <w:rFonts w:ascii="Arial" w:hAnsi="Arial" w:cs="Arial"/>
                <w:sz w:val="20"/>
                <w:szCs w:val="20"/>
              </w:rPr>
            </w:pPr>
            <w:r>
              <w:rPr>
                <w:rFonts w:ascii="Arial" w:hAnsi="Arial" w:cs="Arial"/>
                <w:sz w:val="20"/>
                <w:szCs w:val="20"/>
              </w:rPr>
              <w:t xml:space="preserve">Using </w:t>
            </w:r>
            <w:r w:rsidR="00AB2DE4" w:rsidRPr="00E819B6">
              <w:rPr>
                <w:rFonts w:ascii="Arial" w:hAnsi="Arial" w:cs="Arial"/>
                <w:sz w:val="20"/>
                <w:szCs w:val="20"/>
              </w:rPr>
              <w:t xml:space="preserve">5 financial years’ GRO death records (09/10 – 13/14). SMR calculated using average population over middle 3 years (MYEs – 2011, 2012, </w:t>
            </w:r>
            <w:proofErr w:type="gramStart"/>
            <w:r w:rsidR="00AB2DE4" w:rsidRPr="00E819B6">
              <w:rPr>
                <w:rFonts w:ascii="Arial" w:hAnsi="Arial" w:cs="Arial"/>
                <w:sz w:val="20"/>
                <w:szCs w:val="20"/>
              </w:rPr>
              <w:t>2013</w:t>
            </w:r>
            <w:proofErr w:type="gramEnd"/>
            <w:r w:rsidR="00AB2DE4" w:rsidRPr="00E819B6">
              <w:rPr>
                <w:rFonts w:ascii="Arial" w:hAnsi="Arial" w:cs="Arial"/>
                <w:sz w:val="20"/>
                <w:szCs w:val="20"/>
              </w:rPr>
              <w:t>) since 2010 MYE not available until Spring 2016.</w:t>
            </w:r>
          </w:p>
          <w:p w:rsidR="00AB2DE4" w:rsidRPr="00E819B6" w:rsidRDefault="00AB2DE4" w:rsidP="00AB2DE4">
            <w:pPr>
              <w:spacing w:after="0"/>
              <w:rPr>
                <w:rFonts w:ascii="Arial" w:hAnsi="Arial" w:cs="Arial"/>
                <w:sz w:val="20"/>
                <w:szCs w:val="20"/>
              </w:rPr>
            </w:pPr>
          </w:p>
          <w:p w:rsidR="00AB2DE4" w:rsidRPr="00E819B6" w:rsidRDefault="00AB2DE4" w:rsidP="00AB2DE4">
            <w:pPr>
              <w:spacing w:after="0"/>
              <w:rPr>
                <w:rFonts w:ascii="Arial" w:hAnsi="Arial" w:cs="Arial"/>
                <w:sz w:val="20"/>
                <w:szCs w:val="20"/>
              </w:rPr>
            </w:pPr>
            <w:r w:rsidRPr="00E819B6">
              <w:rPr>
                <w:rFonts w:ascii="Arial" w:hAnsi="Arial" w:cs="Arial"/>
                <w:sz w:val="20"/>
                <w:szCs w:val="20"/>
              </w:rPr>
              <w:t>Cause of death selected using ICD10 codes:</w:t>
            </w:r>
          </w:p>
          <w:p w:rsidR="00AB2DE4" w:rsidRPr="00E819B6" w:rsidRDefault="00AB2DE4" w:rsidP="00AB2DE4">
            <w:pPr>
              <w:pStyle w:val="ListParagraph"/>
              <w:numPr>
                <w:ilvl w:val="0"/>
                <w:numId w:val="10"/>
              </w:numPr>
              <w:spacing w:after="0"/>
              <w:rPr>
                <w:rFonts w:ascii="Arial" w:hAnsi="Arial" w:cs="Arial"/>
                <w:sz w:val="20"/>
                <w:szCs w:val="20"/>
              </w:rPr>
            </w:pPr>
            <w:r w:rsidRPr="00E819B6">
              <w:rPr>
                <w:rFonts w:ascii="Arial" w:hAnsi="Arial" w:cs="Arial"/>
                <w:sz w:val="20"/>
                <w:szCs w:val="20"/>
              </w:rPr>
              <w:t>Cancer C00--D48</w:t>
            </w:r>
          </w:p>
          <w:p w:rsidR="00AB2DE4" w:rsidRPr="00E819B6" w:rsidRDefault="00AB2DE4" w:rsidP="00AB2DE4">
            <w:pPr>
              <w:pStyle w:val="ListParagraph"/>
              <w:numPr>
                <w:ilvl w:val="0"/>
                <w:numId w:val="10"/>
              </w:numPr>
              <w:spacing w:after="0"/>
              <w:rPr>
                <w:rFonts w:ascii="Arial" w:hAnsi="Arial" w:cs="Arial"/>
                <w:sz w:val="20"/>
                <w:szCs w:val="20"/>
              </w:rPr>
            </w:pPr>
            <w:r w:rsidRPr="00E819B6">
              <w:rPr>
                <w:rFonts w:ascii="Arial" w:hAnsi="Arial" w:cs="Arial"/>
                <w:sz w:val="20"/>
                <w:szCs w:val="20"/>
              </w:rPr>
              <w:t>Heart disease I00--I99</w:t>
            </w:r>
          </w:p>
          <w:p w:rsidR="00AB2DE4" w:rsidRPr="00E819B6" w:rsidRDefault="00AB2DE4" w:rsidP="00AB2DE4">
            <w:pPr>
              <w:pStyle w:val="ListParagraph"/>
              <w:numPr>
                <w:ilvl w:val="0"/>
                <w:numId w:val="10"/>
              </w:numPr>
              <w:spacing w:after="0"/>
              <w:rPr>
                <w:rFonts w:ascii="Arial" w:hAnsi="Arial" w:cs="Arial"/>
                <w:sz w:val="20"/>
                <w:szCs w:val="20"/>
              </w:rPr>
            </w:pPr>
            <w:r w:rsidRPr="00E819B6">
              <w:rPr>
                <w:rFonts w:ascii="Arial" w:hAnsi="Arial" w:cs="Arial"/>
                <w:sz w:val="20"/>
                <w:szCs w:val="20"/>
              </w:rPr>
              <w:t>Respiratory J00--J99</w:t>
            </w:r>
          </w:p>
          <w:p w:rsidR="00AB2DE4" w:rsidRPr="00E819B6" w:rsidRDefault="00AB2DE4" w:rsidP="00AB2DE4">
            <w:pPr>
              <w:pStyle w:val="ListParagraph"/>
              <w:numPr>
                <w:ilvl w:val="0"/>
                <w:numId w:val="10"/>
              </w:numPr>
              <w:spacing w:after="0"/>
              <w:rPr>
                <w:rFonts w:ascii="Arial" w:hAnsi="Arial" w:cs="Arial"/>
                <w:sz w:val="20"/>
                <w:szCs w:val="20"/>
              </w:rPr>
            </w:pPr>
            <w:r w:rsidRPr="00E819B6">
              <w:rPr>
                <w:rFonts w:ascii="Arial" w:hAnsi="Arial" w:cs="Arial"/>
                <w:sz w:val="20"/>
                <w:szCs w:val="20"/>
              </w:rPr>
              <w:t>Digestive K00--K93</w:t>
            </w:r>
          </w:p>
          <w:p w:rsidR="00AB2DE4" w:rsidRPr="00E819B6" w:rsidRDefault="00AB2DE4" w:rsidP="00AB2DE4">
            <w:pPr>
              <w:pStyle w:val="ListParagraph"/>
              <w:numPr>
                <w:ilvl w:val="0"/>
                <w:numId w:val="10"/>
              </w:numPr>
              <w:spacing w:after="0"/>
              <w:rPr>
                <w:rFonts w:ascii="Arial" w:hAnsi="Arial" w:cs="Arial"/>
                <w:sz w:val="20"/>
                <w:szCs w:val="20"/>
              </w:rPr>
            </w:pPr>
            <w:r w:rsidRPr="00E819B6">
              <w:rPr>
                <w:rFonts w:ascii="Arial" w:hAnsi="Arial" w:cs="Arial"/>
                <w:sz w:val="20"/>
                <w:szCs w:val="20"/>
              </w:rPr>
              <w:t>External Causes V__--Y__</w:t>
            </w:r>
          </w:p>
          <w:p w:rsidR="00AB2DE4" w:rsidRPr="00E819B6" w:rsidRDefault="00AB2DE4" w:rsidP="00AB2DE4">
            <w:pPr>
              <w:pStyle w:val="ListParagraph"/>
              <w:numPr>
                <w:ilvl w:val="0"/>
                <w:numId w:val="10"/>
              </w:numPr>
              <w:spacing w:after="0"/>
              <w:rPr>
                <w:rFonts w:ascii="Arial" w:hAnsi="Arial" w:cs="Arial"/>
                <w:sz w:val="20"/>
                <w:szCs w:val="20"/>
              </w:rPr>
            </w:pPr>
            <w:r w:rsidRPr="00E819B6">
              <w:rPr>
                <w:rFonts w:ascii="Arial" w:hAnsi="Arial" w:cs="Arial"/>
                <w:sz w:val="20"/>
                <w:szCs w:val="20"/>
              </w:rPr>
              <w:t>Other – any other codes</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All cause SMR 0-69</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All cause SMR 0-74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Cancer SMR 0-64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Cancer SMR 0-69</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Cancer SMR 0-74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Heart Disease SMR 0-64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Heart Disease SMR 0-69</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Heart Disease SMR 0-74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Respiratory SMR 0-64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Respiratory SMR 0-69</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Respiratory SMR 0-74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Digestive System SMR  0-64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Digestive System SMR 0-69</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Digestive System SMR 0-74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External Causes SMR 0-64 </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External Causes SMR 0-69</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External Causes SMR 0-74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Other SMR 0-64</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Other SMR 0-69</w:t>
            </w:r>
          </w:p>
        </w:tc>
        <w:tc>
          <w:tcPr>
            <w:tcW w:w="3251" w:type="pct"/>
            <w:vMerge/>
            <w:tcBorders>
              <w:left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lastRenderedPageBreak/>
              <w:t>Other SMR 0-74</w:t>
            </w:r>
          </w:p>
        </w:tc>
        <w:tc>
          <w:tcPr>
            <w:tcW w:w="3251" w:type="pct"/>
            <w:vMerge/>
            <w:tcBorders>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9E7921">
            <w:pPr>
              <w:spacing w:after="0"/>
              <w:rPr>
                <w:rFonts w:ascii="Arial" w:hAnsi="Arial" w:cs="Arial"/>
                <w:sz w:val="20"/>
                <w:szCs w:val="20"/>
              </w:rPr>
            </w:pPr>
            <w:r w:rsidRPr="00E819B6">
              <w:rPr>
                <w:rFonts w:ascii="Arial" w:hAnsi="Arial" w:cs="Arial"/>
                <w:sz w:val="20"/>
                <w:szCs w:val="20"/>
              </w:rPr>
              <w:t xml:space="preserve">High Resource Individual counts – as </w:t>
            </w:r>
            <w:r w:rsidR="008A6E51">
              <w:rPr>
                <w:rFonts w:ascii="Arial" w:hAnsi="Arial" w:cs="Arial"/>
                <w:sz w:val="20"/>
                <w:szCs w:val="20"/>
              </w:rPr>
              <w:t xml:space="preserve">a </w:t>
            </w:r>
            <w:r w:rsidR="009E7921" w:rsidRPr="00E819B6">
              <w:rPr>
                <w:rFonts w:ascii="Arial" w:hAnsi="Arial" w:cs="Arial"/>
                <w:sz w:val="20"/>
                <w:szCs w:val="20"/>
              </w:rPr>
              <w:t>fraction</w:t>
            </w:r>
            <w:r w:rsidRPr="00E819B6">
              <w:rPr>
                <w:rFonts w:ascii="Arial" w:hAnsi="Arial" w:cs="Arial"/>
                <w:sz w:val="20"/>
                <w:szCs w:val="20"/>
              </w:rPr>
              <w:t xml:space="preserve"> of population</w:t>
            </w:r>
          </w:p>
        </w:tc>
        <w:tc>
          <w:tcPr>
            <w:tcW w:w="325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9E7921">
            <w:pPr>
              <w:spacing w:after="0"/>
              <w:rPr>
                <w:rFonts w:ascii="Arial" w:hAnsi="Arial" w:cs="Arial"/>
                <w:sz w:val="20"/>
                <w:szCs w:val="20"/>
              </w:rPr>
            </w:pPr>
            <w:r w:rsidRPr="00E819B6">
              <w:rPr>
                <w:rFonts w:ascii="Arial" w:hAnsi="Arial" w:cs="Arial"/>
                <w:sz w:val="20"/>
                <w:szCs w:val="20"/>
              </w:rPr>
              <w:t xml:space="preserve">3 financial years’ data from ISD IRF team (11/12 – 13/14). Expressed as a </w:t>
            </w:r>
            <w:r w:rsidR="009E7921" w:rsidRPr="00E819B6">
              <w:rPr>
                <w:rFonts w:ascii="Arial" w:hAnsi="Arial" w:cs="Arial"/>
                <w:sz w:val="20"/>
                <w:szCs w:val="20"/>
              </w:rPr>
              <w:t>fraction</w:t>
            </w:r>
            <w:r w:rsidRPr="00E819B6">
              <w:rPr>
                <w:rFonts w:ascii="Arial" w:hAnsi="Arial" w:cs="Arial"/>
                <w:sz w:val="20"/>
                <w:szCs w:val="20"/>
              </w:rPr>
              <w:t xml:space="preserve"> of average population over 3 years (MYEs – 2012, 2013, 2014).</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9E7921">
            <w:pPr>
              <w:spacing w:after="0"/>
              <w:rPr>
                <w:rFonts w:ascii="Arial" w:hAnsi="Arial" w:cs="Arial"/>
                <w:sz w:val="20"/>
                <w:szCs w:val="20"/>
              </w:rPr>
            </w:pPr>
            <w:r w:rsidRPr="00E819B6">
              <w:rPr>
                <w:rFonts w:ascii="Arial" w:hAnsi="Arial" w:cs="Arial"/>
                <w:sz w:val="20"/>
                <w:szCs w:val="20"/>
              </w:rPr>
              <w:t xml:space="preserve">Did Not Attend counts – as </w:t>
            </w:r>
            <w:r w:rsidR="008A6E51">
              <w:rPr>
                <w:rFonts w:ascii="Arial" w:hAnsi="Arial" w:cs="Arial"/>
                <w:sz w:val="20"/>
                <w:szCs w:val="20"/>
              </w:rPr>
              <w:t xml:space="preserve">a </w:t>
            </w:r>
            <w:r w:rsidR="009E7921" w:rsidRPr="00E819B6">
              <w:rPr>
                <w:rFonts w:ascii="Arial" w:hAnsi="Arial" w:cs="Arial"/>
                <w:sz w:val="20"/>
                <w:szCs w:val="20"/>
              </w:rPr>
              <w:t>fraction</w:t>
            </w:r>
            <w:r w:rsidRPr="00E819B6">
              <w:rPr>
                <w:rFonts w:ascii="Arial" w:hAnsi="Arial" w:cs="Arial"/>
                <w:sz w:val="20"/>
                <w:szCs w:val="20"/>
              </w:rPr>
              <w:t xml:space="preserve"> of all OP appointments</w:t>
            </w:r>
          </w:p>
        </w:tc>
        <w:tc>
          <w:tcPr>
            <w:tcW w:w="325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9E7921">
            <w:pPr>
              <w:spacing w:after="0"/>
              <w:rPr>
                <w:rFonts w:ascii="Arial" w:hAnsi="Arial" w:cs="Arial"/>
                <w:sz w:val="20"/>
                <w:szCs w:val="20"/>
              </w:rPr>
            </w:pPr>
            <w:r w:rsidRPr="00E819B6">
              <w:rPr>
                <w:rFonts w:ascii="Arial" w:hAnsi="Arial" w:cs="Arial"/>
                <w:sz w:val="20"/>
                <w:szCs w:val="20"/>
              </w:rPr>
              <w:t xml:space="preserve">3 financial years’ data from ISD SC team (11/12 – 13/14). Expressed as a </w:t>
            </w:r>
            <w:r w:rsidR="009E7921" w:rsidRPr="00E819B6">
              <w:rPr>
                <w:rFonts w:ascii="Arial" w:hAnsi="Arial" w:cs="Arial"/>
                <w:sz w:val="20"/>
                <w:szCs w:val="20"/>
              </w:rPr>
              <w:t>fraction</w:t>
            </w:r>
            <w:r w:rsidRPr="00E819B6">
              <w:rPr>
                <w:rFonts w:ascii="Arial" w:hAnsi="Arial" w:cs="Arial"/>
                <w:sz w:val="20"/>
                <w:szCs w:val="20"/>
              </w:rPr>
              <w:t xml:space="preserve"> of total outpatient appointments over same 3 financial years.</w:t>
            </w:r>
            <w:r w:rsidR="009E7921" w:rsidRPr="00E819B6">
              <w:rPr>
                <w:rFonts w:ascii="Arial" w:hAnsi="Arial" w:cs="Arial"/>
                <w:sz w:val="20"/>
                <w:szCs w:val="20"/>
              </w:rPr>
              <w:t xml:space="preserve"> Included because of its link to deprivation.</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9E7921" w:rsidP="009E7921">
            <w:pPr>
              <w:spacing w:after="0"/>
              <w:rPr>
                <w:rFonts w:ascii="Arial" w:hAnsi="Arial" w:cs="Arial"/>
                <w:sz w:val="20"/>
                <w:szCs w:val="20"/>
              </w:rPr>
            </w:pPr>
            <w:r w:rsidRPr="00E819B6">
              <w:rPr>
                <w:rFonts w:ascii="Arial" w:hAnsi="Arial" w:cs="Arial"/>
                <w:sz w:val="20"/>
                <w:szCs w:val="20"/>
              </w:rPr>
              <w:t xml:space="preserve">Ratio of </w:t>
            </w:r>
            <w:r w:rsidR="00AB2DE4" w:rsidRPr="00E819B6">
              <w:rPr>
                <w:rFonts w:ascii="Arial" w:hAnsi="Arial" w:cs="Arial"/>
                <w:sz w:val="20"/>
                <w:szCs w:val="20"/>
              </w:rPr>
              <w:t>Did Not Attend counts</w:t>
            </w:r>
            <w:r w:rsidRPr="00E819B6">
              <w:rPr>
                <w:rFonts w:ascii="Arial" w:hAnsi="Arial" w:cs="Arial"/>
                <w:sz w:val="20"/>
                <w:szCs w:val="20"/>
              </w:rPr>
              <w:t xml:space="preserve"> to</w:t>
            </w:r>
            <w:r w:rsidR="00AB2DE4" w:rsidRPr="00E819B6">
              <w:rPr>
                <w:rFonts w:ascii="Arial" w:hAnsi="Arial" w:cs="Arial"/>
                <w:sz w:val="20"/>
                <w:szCs w:val="20"/>
              </w:rPr>
              <w:t xml:space="preserve"> </w:t>
            </w:r>
            <w:r w:rsidRPr="00E819B6">
              <w:rPr>
                <w:rFonts w:ascii="Arial" w:hAnsi="Arial" w:cs="Arial"/>
                <w:sz w:val="20"/>
                <w:szCs w:val="20"/>
              </w:rPr>
              <w:t xml:space="preserve">data zone </w:t>
            </w:r>
            <w:r w:rsidR="00AB2DE4" w:rsidRPr="00E819B6">
              <w:rPr>
                <w:rFonts w:ascii="Arial" w:hAnsi="Arial" w:cs="Arial"/>
                <w:sz w:val="20"/>
                <w:szCs w:val="20"/>
              </w:rPr>
              <w:t>population</w:t>
            </w:r>
          </w:p>
        </w:tc>
        <w:tc>
          <w:tcPr>
            <w:tcW w:w="325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9E7921">
            <w:pPr>
              <w:spacing w:after="0"/>
              <w:rPr>
                <w:rFonts w:ascii="Arial" w:hAnsi="Arial" w:cs="Arial"/>
                <w:sz w:val="20"/>
                <w:szCs w:val="20"/>
              </w:rPr>
            </w:pPr>
            <w:r w:rsidRPr="00E819B6">
              <w:rPr>
                <w:rFonts w:ascii="Arial" w:hAnsi="Arial" w:cs="Arial"/>
                <w:sz w:val="20"/>
                <w:szCs w:val="20"/>
              </w:rPr>
              <w:t xml:space="preserve">3 financial years’ data from ISD SC team (11/12 – 13/14). </w:t>
            </w:r>
            <w:r w:rsidR="009E7921" w:rsidRPr="00E819B6">
              <w:rPr>
                <w:rFonts w:ascii="Arial" w:hAnsi="Arial" w:cs="Arial"/>
                <w:sz w:val="20"/>
                <w:szCs w:val="20"/>
              </w:rPr>
              <w:t>A</w:t>
            </w:r>
            <w:r w:rsidRPr="00E819B6">
              <w:rPr>
                <w:rFonts w:ascii="Arial" w:hAnsi="Arial" w:cs="Arial"/>
                <w:sz w:val="20"/>
                <w:szCs w:val="20"/>
              </w:rPr>
              <w:t>verage population over 3 years (MYEs – 2012, 2013, 2014). Included because of its link to deprivation.</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tcPr>
          <w:p w:rsidR="00AB2DE4" w:rsidRPr="00E819B6" w:rsidRDefault="008A6E51" w:rsidP="00AB2DE4">
            <w:pPr>
              <w:spacing w:after="0"/>
              <w:rPr>
                <w:rFonts w:ascii="Arial" w:hAnsi="Arial" w:cs="Arial"/>
                <w:sz w:val="20"/>
                <w:szCs w:val="20"/>
              </w:rPr>
            </w:pPr>
            <w:r>
              <w:rPr>
                <w:rFonts w:ascii="Arial" w:hAnsi="Arial" w:cs="Arial"/>
                <w:sz w:val="20"/>
                <w:szCs w:val="20"/>
              </w:rPr>
              <w:t>P</w:t>
            </w:r>
            <w:r w:rsidR="00AB2DE4" w:rsidRPr="00E819B6">
              <w:rPr>
                <w:rFonts w:ascii="Arial" w:hAnsi="Arial" w:cs="Arial"/>
                <w:sz w:val="20"/>
                <w:szCs w:val="20"/>
              </w:rPr>
              <w:t>atients receiving Diabetes prescriptions</w:t>
            </w:r>
            <w:r>
              <w:rPr>
                <w:rFonts w:ascii="Arial" w:hAnsi="Arial" w:cs="Arial"/>
                <w:sz w:val="20"/>
                <w:szCs w:val="20"/>
              </w:rPr>
              <w:t xml:space="preserve"> (fraction of population)</w:t>
            </w:r>
          </w:p>
        </w:tc>
        <w:tc>
          <w:tcPr>
            <w:tcW w:w="3251" w:type="pct"/>
            <w:vMerge w:val="restart"/>
            <w:tcBorders>
              <w:top w:val="single" w:sz="4" w:space="0" w:color="auto"/>
              <w:left w:val="single" w:sz="4" w:space="0" w:color="auto"/>
              <w:right w:val="single" w:sz="4" w:space="0" w:color="auto"/>
            </w:tcBorders>
            <w:vAlign w:val="center"/>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3 financial years’ data from ISD Prescribing team (11/12 – 13/14). Expressed as a </w:t>
            </w:r>
            <w:r w:rsidR="009E7921" w:rsidRPr="00E819B6">
              <w:rPr>
                <w:rFonts w:ascii="Arial" w:hAnsi="Arial" w:cs="Arial"/>
                <w:sz w:val="20"/>
                <w:szCs w:val="20"/>
              </w:rPr>
              <w:t>fraction</w:t>
            </w:r>
            <w:r w:rsidRPr="00E819B6">
              <w:rPr>
                <w:rFonts w:ascii="Arial" w:hAnsi="Arial" w:cs="Arial"/>
                <w:sz w:val="20"/>
                <w:szCs w:val="20"/>
              </w:rPr>
              <w:t xml:space="preserve"> of average population over 3 years (MYEs – 2012, 2013, 2014). </w:t>
            </w:r>
          </w:p>
          <w:p w:rsidR="00AB2DE4" w:rsidRPr="00E819B6" w:rsidRDefault="00AB2DE4" w:rsidP="00AB2DE4">
            <w:pPr>
              <w:spacing w:after="0"/>
              <w:rPr>
                <w:rFonts w:ascii="Arial" w:hAnsi="Arial" w:cs="Arial"/>
                <w:sz w:val="20"/>
                <w:szCs w:val="20"/>
              </w:rPr>
            </w:pPr>
          </w:p>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Dementia - includes all drugs in BNF section 4.11; Diabetes - includes all insulin and antidiabetic drugs; Respiratory - includes all lama, </w:t>
            </w:r>
            <w:proofErr w:type="spellStart"/>
            <w:r w:rsidRPr="00E819B6">
              <w:rPr>
                <w:rFonts w:ascii="Arial" w:hAnsi="Arial" w:cs="Arial"/>
                <w:sz w:val="20"/>
                <w:szCs w:val="20"/>
              </w:rPr>
              <w:t>laba</w:t>
            </w:r>
            <w:proofErr w:type="spellEnd"/>
            <w:r w:rsidRPr="00E819B6">
              <w:rPr>
                <w:rFonts w:ascii="Arial" w:hAnsi="Arial" w:cs="Arial"/>
                <w:sz w:val="20"/>
                <w:szCs w:val="20"/>
              </w:rPr>
              <w:t xml:space="preserve"> and high strength steroid inhalers</w:t>
            </w:r>
          </w:p>
        </w:tc>
        <w:tc>
          <w:tcPr>
            <w:tcW w:w="511" w:type="pct"/>
            <w:tcBorders>
              <w:top w:val="single" w:sz="4" w:space="0" w:color="auto"/>
              <w:left w:val="single" w:sz="4" w:space="0" w:color="auto"/>
              <w:bottom w:val="single" w:sz="4" w:space="0" w:color="auto"/>
              <w:right w:val="single" w:sz="4" w:space="0" w:color="auto"/>
            </w:tcBorders>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tcPr>
          <w:p w:rsidR="00AB2DE4" w:rsidRPr="00E819B6" w:rsidRDefault="008A6E51" w:rsidP="00AB2DE4">
            <w:pPr>
              <w:spacing w:after="0"/>
              <w:rPr>
                <w:rFonts w:ascii="Arial" w:hAnsi="Arial" w:cs="Arial"/>
                <w:sz w:val="20"/>
                <w:szCs w:val="20"/>
              </w:rPr>
            </w:pPr>
            <w:r>
              <w:rPr>
                <w:rFonts w:ascii="Arial" w:hAnsi="Arial" w:cs="Arial"/>
                <w:sz w:val="20"/>
                <w:szCs w:val="20"/>
              </w:rPr>
              <w:t>P</w:t>
            </w:r>
            <w:r w:rsidR="00AB2DE4" w:rsidRPr="00E819B6">
              <w:rPr>
                <w:rFonts w:ascii="Arial" w:hAnsi="Arial" w:cs="Arial"/>
                <w:sz w:val="20"/>
                <w:szCs w:val="20"/>
              </w:rPr>
              <w:t>atients receiving Dementia prescriptions</w:t>
            </w:r>
            <w:r>
              <w:rPr>
                <w:rFonts w:ascii="Arial" w:hAnsi="Arial" w:cs="Arial"/>
                <w:sz w:val="20"/>
                <w:szCs w:val="20"/>
              </w:rPr>
              <w:t xml:space="preserve"> (fraction of population)</w:t>
            </w:r>
          </w:p>
        </w:tc>
        <w:tc>
          <w:tcPr>
            <w:tcW w:w="3251" w:type="pct"/>
            <w:vMerge/>
            <w:tcBorders>
              <w:left w:val="single" w:sz="4" w:space="0" w:color="auto"/>
              <w:right w:val="single" w:sz="4" w:space="0" w:color="auto"/>
            </w:tcBorders>
            <w:vAlign w:val="center"/>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tcPr>
          <w:p w:rsidR="00AB2DE4" w:rsidRPr="00E819B6" w:rsidRDefault="008A6E51" w:rsidP="00AB2DE4">
            <w:pPr>
              <w:spacing w:after="0"/>
              <w:rPr>
                <w:rFonts w:ascii="Arial" w:hAnsi="Arial" w:cs="Arial"/>
                <w:sz w:val="20"/>
                <w:szCs w:val="20"/>
              </w:rPr>
            </w:pPr>
            <w:r>
              <w:rPr>
                <w:rFonts w:ascii="Arial" w:hAnsi="Arial" w:cs="Arial"/>
                <w:sz w:val="20"/>
                <w:szCs w:val="20"/>
              </w:rPr>
              <w:t>P</w:t>
            </w:r>
            <w:r w:rsidR="00AB2DE4" w:rsidRPr="00E819B6">
              <w:rPr>
                <w:rFonts w:ascii="Arial" w:hAnsi="Arial" w:cs="Arial"/>
                <w:sz w:val="20"/>
                <w:szCs w:val="20"/>
              </w:rPr>
              <w:t>atients receiving Respiratory prescriptions</w:t>
            </w:r>
            <w:r>
              <w:rPr>
                <w:rFonts w:ascii="Arial" w:hAnsi="Arial" w:cs="Arial"/>
                <w:sz w:val="20"/>
                <w:szCs w:val="20"/>
              </w:rPr>
              <w:t xml:space="preserve"> (fraction of population)</w:t>
            </w:r>
          </w:p>
        </w:tc>
        <w:tc>
          <w:tcPr>
            <w:tcW w:w="3251" w:type="pct"/>
            <w:vMerge/>
            <w:tcBorders>
              <w:left w:val="single" w:sz="4" w:space="0" w:color="auto"/>
              <w:bottom w:val="single" w:sz="4" w:space="0" w:color="auto"/>
              <w:right w:val="single" w:sz="4" w:space="0" w:color="auto"/>
            </w:tcBorders>
            <w:vAlign w:val="center"/>
          </w:tcPr>
          <w:p w:rsidR="00AB2DE4" w:rsidRPr="00E819B6" w:rsidRDefault="00AB2DE4" w:rsidP="00AB2DE4">
            <w:pPr>
              <w:spacing w:after="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Long-term illness </w:t>
            </w:r>
          </w:p>
        </w:tc>
        <w:tc>
          <w:tcPr>
            <w:tcW w:w="3251" w:type="pct"/>
            <w:tcBorders>
              <w:top w:val="single" w:sz="4" w:space="0" w:color="auto"/>
              <w:left w:val="single" w:sz="4" w:space="0" w:color="auto"/>
              <w:bottom w:val="single" w:sz="4" w:space="0" w:color="auto"/>
              <w:right w:val="single" w:sz="4" w:space="0" w:color="auto"/>
            </w:tcBorders>
            <w:vAlign w:val="center"/>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Data from Census 2011 question 20 – standardised by age and sex using 2011 MYE population.</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E819B6">
            <w:pPr>
              <w:spacing w:after="0"/>
              <w:rPr>
                <w:rFonts w:ascii="Arial" w:hAnsi="Arial" w:cs="Arial"/>
                <w:sz w:val="20"/>
                <w:szCs w:val="20"/>
              </w:rPr>
            </w:pPr>
            <w:r w:rsidRPr="00E819B6">
              <w:rPr>
                <w:rFonts w:ascii="Arial" w:hAnsi="Arial" w:cs="Arial"/>
                <w:sz w:val="20"/>
                <w:szCs w:val="20"/>
              </w:rPr>
              <w:t>Awaiting data</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Mental health condition </w:t>
            </w:r>
          </w:p>
        </w:tc>
        <w:tc>
          <w:tcPr>
            <w:tcW w:w="3251" w:type="pct"/>
            <w:tcBorders>
              <w:top w:val="single" w:sz="4" w:space="0" w:color="auto"/>
              <w:left w:val="single" w:sz="4" w:space="0" w:color="auto"/>
              <w:bottom w:val="single" w:sz="4" w:space="0" w:color="auto"/>
              <w:right w:val="single" w:sz="4" w:space="0" w:color="auto"/>
            </w:tcBorders>
            <w:vAlign w:val="center"/>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Data from Census 2011 question 20 – standardised by age and sex using 2011 MYE population. Included because of the link between mental health conditions and need for Acute services.</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Limiting long-term illness </w:t>
            </w:r>
          </w:p>
        </w:tc>
        <w:tc>
          <w:tcPr>
            <w:tcW w:w="3251" w:type="pct"/>
            <w:tcBorders>
              <w:top w:val="single" w:sz="4" w:space="0" w:color="auto"/>
              <w:left w:val="single" w:sz="4" w:space="0" w:color="auto"/>
              <w:bottom w:val="single" w:sz="4" w:space="0" w:color="auto"/>
              <w:right w:val="single" w:sz="4" w:space="0" w:color="auto"/>
            </w:tcBorders>
            <w:vAlign w:val="center"/>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Data from Census 2011 question 21 – standardised by age and sex using 2011 MYE population. Uses number of respondents answering ‘Yes’ (including both ‘a little’ and ‘a lot’).</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Long-term sick and not seeking work </w:t>
            </w:r>
          </w:p>
        </w:tc>
        <w:tc>
          <w:tcPr>
            <w:tcW w:w="3251" w:type="pct"/>
            <w:tcBorders>
              <w:top w:val="single" w:sz="4" w:space="0" w:color="auto"/>
              <w:left w:val="single" w:sz="4" w:space="0" w:color="auto"/>
              <w:bottom w:val="single" w:sz="4" w:space="0" w:color="auto"/>
              <w:right w:val="single" w:sz="4" w:space="0" w:color="auto"/>
            </w:tcBorders>
            <w:vAlign w:val="center"/>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Data from Census 2011 questions 24-28 – standardised by age and sex using 2011 MYE population.</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257E08"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257E08" w:rsidRPr="00E819B6" w:rsidRDefault="00257E08" w:rsidP="00AB2DE4">
            <w:pPr>
              <w:spacing w:after="0"/>
              <w:rPr>
                <w:rFonts w:ascii="Arial" w:hAnsi="Arial" w:cs="Arial"/>
                <w:sz w:val="20"/>
                <w:szCs w:val="20"/>
              </w:rPr>
            </w:pPr>
            <w:r w:rsidRPr="00E819B6">
              <w:rPr>
                <w:rFonts w:ascii="Arial" w:hAnsi="Arial" w:cs="Arial"/>
                <w:sz w:val="20"/>
                <w:szCs w:val="20"/>
              </w:rPr>
              <w:t>Elderly people living alone</w:t>
            </w:r>
          </w:p>
        </w:tc>
        <w:tc>
          <w:tcPr>
            <w:tcW w:w="3251" w:type="pct"/>
            <w:tcBorders>
              <w:top w:val="single" w:sz="4" w:space="0" w:color="auto"/>
              <w:left w:val="single" w:sz="4" w:space="0" w:color="auto"/>
              <w:bottom w:val="single" w:sz="4" w:space="0" w:color="auto"/>
              <w:right w:val="single" w:sz="4" w:space="0" w:color="auto"/>
            </w:tcBorders>
            <w:vAlign w:val="center"/>
            <w:hideMark/>
          </w:tcPr>
          <w:p w:rsidR="00257E08" w:rsidRPr="00E819B6" w:rsidRDefault="00257E08" w:rsidP="00AB2DE4">
            <w:pPr>
              <w:spacing w:after="0"/>
              <w:rPr>
                <w:rFonts w:ascii="Arial" w:hAnsi="Arial" w:cs="Arial"/>
                <w:sz w:val="20"/>
                <w:szCs w:val="20"/>
              </w:rPr>
            </w:pPr>
            <w:r w:rsidRPr="00E819B6">
              <w:rPr>
                <w:rFonts w:ascii="Arial" w:hAnsi="Arial" w:cs="Arial"/>
                <w:sz w:val="20"/>
                <w:szCs w:val="20"/>
              </w:rPr>
              <w:t>Data from Census 2011 (counts of people living alone by the 20 NRAC age bands, so several cut-off ages could be used). Expressed as a fraction of 2011 MYE population.</w:t>
            </w:r>
          </w:p>
        </w:tc>
        <w:tc>
          <w:tcPr>
            <w:tcW w:w="511" w:type="pct"/>
            <w:tcBorders>
              <w:top w:val="single" w:sz="4" w:space="0" w:color="auto"/>
              <w:left w:val="single" w:sz="4" w:space="0" w:color="auto"/>
              <w:bottom w:val="single" w:sz="4" w:space="0" w:color="auto"/>
              <w:right w:val="single" w:sz="4" w:space="0" w:color="auto"/>
            </w:tcBorders>
            <w:hideMark/>
          </w:tcPr>
          <w:p w:rsidR="00257E08" w:rsidRPr="00E819B6" w:rsidRDefault="00257E08" w:rsidP="00E819B6">
            <w:pPr>
              <w:spacing w:after="0"/>
              <w:rPr>
                <w:rFonts w:ascii="Arial" w:hAnsi="Arial" w:cs="Arial"/>
                <w:sz w:val="20"/>
                <w:szCs w:val="20"/>
              </w:rPr>
            </w:pPr>
            <w:r w:rsidRPr="00E819B6">
              <w:rPr>
                <w:rFonts w:ascii="Arial" w:hAnsi="Arial" w:cs="Arial"/>
                <w:sz w:val="20"/>
                <w:szCs w:val="20"/>
              </w:rPr>
              <w:t>Awaiting data</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Unpaid care </w:t>
            </w:r>
          </w:p>
        </w:tc>
        <w:tc>
          <w:tcPr>
            <w:tcW w:w="3251" w:type="pct"/>
            <w:tcBorders>
              <w:top w:val="single" w:sz="4" w:space="0" w:color="auto"/>
              <w:left w:val="single" w:sz="4" w:space="0" w:color="auto"/>
              <w:bottom w:val="single" w:sz="4" w:space="0" w:color="auto"/>
              <w:right w:val="single" w:sz="4" w:space="0" w:color="auto"/>
            </w:tcBorders>
            <w:vAlign w:val="center"/>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Data from Census 2011 question 9 – standardised by age and sex using 2011 MYE population. Uses number of respondents answering yes (with various numbers of hours).</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E819B6">
            <w:pPr>
              <w:spacing w:after="0"/>
              <w:rPr>
                <w:rFonts w:ascii="Arial" w:hAnsi="Arial" w:cs="Arial"/>
                <w:sz w:val="20"/>
                <w:szCs w:val="20"/>
              </w:rPr>
            </w:pPr>
            <w:r w:rsidRPr="00E819B6">
              <w:rPr>
                <w:rFonts w:ascii="Arial" w:hAnsi="Arial" w:cs="Arial"/>
                <w:sz w:val="20"/>
                <w:szCs w:val="20"/>
              </w:rPr>
              <w:t>Awaiting data</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Bad general health </w:t>
            </w:r>
          </w:p>
        </w:tc>
        <w:tc>
          <w:tcPr>
            <w:tcW w:w="3251" w:type="pct"/>
            <w:tcBorders>
              <w:top w:val="single" w:sz="4" w:space="0" w:color="auto"/>
              <w:left w:val="single" w:sz="4" w:space="0" w:color="auto"/>
              <w:bottom w:val="single" w:sz="4" w:space="0" w:color="auto"/>
              <w:right w:val="single" w:sz="4" w:space="0" w:color="auto"/>
            </w:tcBorders>
            <w:vAlign w:val="center"/>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Data from Census 2011 question 19 – standardised by age and sex using 2011 MYE population. Uses number of respondents answering ‘Bad’ or ‘Very bad’.</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E819B6">
            <w:pPr>
              <w:spacing w:after="0"/>
              <w:rPr>
                <w:rFonts w:ascii="Arial" w:hAnsi="Arial" w:cs="Arial"/>
                <w:sz w:val="20"/>
                <w:szCs w:val="20"/>
              </w:rPr>
            </w:pPr>
            <w:r w:rsidRPr="00E819B6">
              <w:rPr>
                <w:rFonts w:ascii="Arial" w:hAnsi="Arial" w:cs="Arial"/>
                <w:sz w:val="20"/>
                <w:szCs w:val="20"/>
              </w:rPr>
              <w:t>Awaiting data</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Low education level </w:t>
            </w:r>
          </w:p>
        </w:tc>
        <w:tc>
          <w:tcPr>
            <w:tcW w:w="3251" w:type="pct"/>
            <w:tcBorders>
              <w:top w:val="single" w:sz="4" w:space="0" w:color="auto"/>
              <w:left w:val="single" w:sz="4" w:space="0" w:color="auto"/>
              <w:bottom w:val="single" w:sz="4" w:space="0" w:color="auto"/>
              <w:right w:val="single" w:sz="4" w:space="0" w:color="auto"/>
            </w:tcBorders>
            <w:vAlign w:val="center"/>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Data from Census 2011 question 23 – standardised by age and sex using 2011 MYE population. Uses number of respondents with low education levels (various options). Included for its relation to deprivation.</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E819B6">
            <w:pPr>
              <w:spacing w:after="0"/>
              <w:rPr>
                <w:rFonts w:ascii="Arial" w:hAnsi="Arial" w:cs="Arial"/>
                <w:sz w:val="20"/>
                <w:szCs w:val="20"/>
              </w:rPr>
            </w:pPr>
            <w:r w:rsidRPr="00E819B6">
              <w:rPr>
                <w:rFonts w:ascii="Arial" w:hAnsi="Arial" w:cs="Arial"/>
                <w:sz w:val="20"/>
                <w:szCs w:val="20"/>
              </w:rPr>
              <w:t>Awaiting data</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 xml:space="preserve">Job seekers </w:t>
            </w:r>
          </w:p>
        </w:tc>
        <w:tc>
          <w:tcPr>
            <w:tcW w:w="3251" w:type="pct"/>
            <w:tcBorders>
              <w:top w:val="single" w:sz="4" w:space="0" w:color="auto"/>
              <w:left w:val="single" w:sz="4" w:space="0" w:color="auto"/>
              <w:bottom w:val="single" w:sz="4" w:space="0" w:color="auto"/>
              <w:right w:val="single" w:sz="4" w:space="0" w:color="auto"/>
            </w:tcBorders>
            <w:vAlign w:val="center"/>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Data from Census 2011 question 25 – standardised by age and sex using 2011 MYE population (possibly economically active population only – try both). Included for its relation to deprivation.</w:t>
            </w:r>
          </w:p>
        </w:tc>
        <w:tc>
          <w:tcPr>
            <w:tcW w:w="511" w:type="pct"/>
            <w:tcBorders>
              <w:top w:val="single" w:sz="4" w:space="0" w:color="auto"/>
              <w:left w:val="single" w:sz="4" w:space="0" w:color="auto"/>
              <w:bottom w:val="single" w:sz="4" w:space="0" w:color="auto"/>
              <w:right w:val="single" w:sz="4" w:space="0" w:color="auto"/>
            </w:tcBorders>
            <w:hideMark/>
          </w:tcPr>
          <w:p w:rsidR="00AB2DE4" w:rsidRPr="00E819B6" w:rsidRDefault="00AB2DE4" w:rsidP="00AB2DE4">
            <w:pPr>
              <w:spacing w:after="0"/>
              <w:rPr>
                <w:rFonts w:ascii="Arial" w:hAnsi="Arial" w:cs="Arial"/>
                <w:sz w:val="20"/>
                <w:szCs w:val="20"/>
              </w:rPr>
            </w:pPr>
            <w:r w:rsidRPr="00E819B6">
              <w:rPr>
                <w:rFonts w:ascii="Arial" w:hAnsi="Arial" w:cs="Arial"/>
                <w:sz w:val="20"/>
                <w:szCs w:val="20"/>
              </w:rPr>
              <w:t>Completed</w:t>
            </w:r>
          </w:p>
        </w:tc>
      </w:tr>
      <w:tr w:rsidR="00AB2DE4" w:rsidRPr="00E819B6" w:rsidTr="008A6E51">
        <w:trPr>
          <w:trHeight w:val="284"/>
          <w:jc w:val="center"/>
        </w:trPr>
        <w:tc>
          <w:tcPr>
            <w:tcW w:w="1238" w:type="pct"/>
            <w:tcBorders>
              <w:top w:val="single" w:sz="4" w:space="0" w:color="auto"/>
              <w:left w:val="single" w:sz="4" w:space="0" w:color="auto"/>
              <w:bottom w:val="single" w:sz="4" w:space="0" w:color="auto"/>
            </w:tcBorders>
            <w:hideMark/>
          </w:tcPr>
          <w:p w:rsidR="00AB2DE4" w:rsidRPr="00E819B6" w:rsidRDefault="00627C62" w:rsidP="00AB2DE4">
            <w:pPr>
              <w:spacing w:after="0"/>
              <w:rPr>
                <w:rFonts w:ascii="Arial" w:hAnsi="Arial" w:cs="Arial"/>
                <w:sz w:val="20"/>
                <w:szCs w:val="20"/>
              </w:rPr>
            </w:pPr>
            <w:r w:rsidRPr="00E819B6">
              <w:rPr>
                <w:rFonts w:ascii="Arial" w:hAnsi="Arial" w:cs="Arial"/>
                <w:sz w:val="20"/>
                <w:szCs w:val="20"/>
              </w:rPr>
              <w:t>Ethnic group populations (Pakistani, Gypsy/Traveller)</w:t>
            </w:r>
          </w:p>
        </w:tc>
        <w:tc>
          <w:tcPr>
            <w:tcW w:w="3251" w:type="pct"/>
            <w:tcBorders>
              <w:top w:val="single" w:sz="4" w:space="0" w:color="auto"/>
              <w:left w:val="single" w:sz="4" w:space="0" w:color="auto"/>
              <w:bottom w:val="single" w:sz="4" w:space="0" w:color="auto"/>
            </w:tcBorders>
          </w:tcPr>
          <w:p w:rsidR="00AB2DE4" w:rsidRPr="00E819B6" w:rsidRDefault="00AB2DE4" w:rsidP="009E7921">
            <w:pPr>
              <w:spacing w:after="0"/>
              <w:rPr>
                <w:rFonts w:ascii="Arial" w:hAnsi="Arial" w:cs="Arial"/>
                <w:sz w:val="20"/>
                <w:szCs w:val="20"/>
              </w:rPr>
            </w:pPr>
            <w:r w:rsidRPr="00E819B6">
              <w:rPr>
                <w:rFonts w:ascii="Arial" w:hAnsi="Arial" w:cs="Arial"/>
                <w:sz w:val="20"/>
                <w:szCs w:val="20"/>
              </w:rPr>
              <w:t xml:space="preserve">Data from Census 2011 question 15 – simple </w:t>
            </w:r>
            <w:r w:rsidR="009E7921" w:rsidRPr="00E819B6">
              <w:rPr>
                <w:rFonts w:ascii="Arial" w:hAnsi="Arial" w:cs="Arial"/>
                <w:sz w:val="20"/>
                <w:szCs w:val="20"/>
              </w:rPr>
              <w:t>fraction</w:t>
            </w:r>
            <w:r w:rsidRPr="00E819B6">
              <w:rPr>
                <w:rFonts w:ascii="Arial" w:hAnsi="Arial" w:cs="Arial"/>
                <w:sz w:val="20"/>
                <w:szCs w:val="20"/>
              </w:rPr>
              <w:t xml:space="preserve"> of 2011 MYE population.</w:t>
            </w:r>
          </w:p>
        </w:tc>
        <w:tc>
          <w:tcPr>
            <w:tcW w:w="511" w:type="pct"/>
            <w:tcBorders>
              <w:top w:val="single" w:sz="4" w:space="0" w:color="auto"/>
              <w:left w:val="single" w:sz="4" w:space="0" w:color="auto"/>
              <w:bottom w:val="single" w:sz="4" w:space="0" w:color="auto"/>
            </w:tcBorders>
          </w:tcPr>
          <w:p w:rsidR="00AB2DE4" w:rsidRPr="00E819B6" w:rsidRDefault="009E7921" w:rsidP="00E819B6">
            <w:pPr>
              <w:spacing w:after="0"/>
              <w:rPr>
                <w:rFonts w:ascii="Arial" w:hAnsi="Arial" w:cs="Arial"/>
                <w:sz w:val="20"/>
                <w:szCs w:val="20"/>
              </w:rPr>
            </w:pPr>
            <w:r w:rsidRPr="00E819B6">
              <w:rPr>
                <w:rFonts w:ascii="Arial" w:hAnsi="Arial" w:cs="Arial"/>
                <w:sz w:val="20"/>
                <w:szCs w:val="20"/>
              </w:rPr>
              <w:t>Awaiting data</w:t>
            </w:r>
          </w:p>
        </w:tc>
      </w:tr>
    </w:tbl>
    <w:p w:rsidR="00EB54A1" w:rsidRDefault="00EB54A1"/>
    <w:p w:rsidR="00EB54A1" w:rsidRPr="001670E8" w:rsidRDefault="00EB54A1" w:rsidP="001670E8">
      <w:pPr>
        <w:spacing w:after="0"/>
        <w:rPr>
          <w:rFonts w:ascii="Arial" w:hAnsi="Arial" w:cs="Arial"/>
          <w:i/>
        </w:rPr>
      </w:pPr>
      <w:proofErr w:type="gramStart"/>
      <w:r w:rsidRPr="001670E8">
        <w:rPr>
          <w:rFonts w:ascii="Arial" w:hAnsi="Arial" w:cs="Arial"/>
          <w:i/>
        </w:rPr>
        <w:lastRenderedPageBreak/>
        <w:t>Table 2.</w:t>
      </w:r>
      <w:proofErr w:type="gramEnd"/>
      <w:r w:rsidRPr="001670E8">
        <w:rPr>
          <w:rFonts w:ascii="Arial" w:hAnsi="Arial" w:cs="Arial"/>
          <w:i/>
        </w:rPr>
        <w:t xml:space="preserve"> Possible supply variables for investigation</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6"/>
        <w:gridCol w:w="4961"/>
        <w:gridCol w:w="6096"/>
      </w:tblGrid>
      <w:tr w:rsidR="008A6E51" w:rsidRPr="00D7797B" w:rsidTr="001C2CA0">
        <w:trPr>
          <w:trHeight w:val="284"/>
        </w:trPr>
        <w:tc>
          <w:tcPr>
            <w:tcW w:w="1091" w:type="pct"/>
            <w:tcBorders>
              <w:top w:val="single" w:sz="4" w:space="0" w:color="auto"/>
              <w:left w:val="single" w:sz="4" w:space="0" w:color="auto"/>
              <w:bottom w:val="single" w:sz="4" w:space="0" w:color="auto"/>
              <w:right w:val="single" w:sz="4" w:space="0" w:color="auto"/>
            </w:tcBorders>
          </w:tcPr>
          <w:p w:rsidR="008A6E51" w:rsidRPr="00D7797B" w:rsidRDefault="008A6E51" w:rsidP="00A8797C">
            <w:pPr>
              <w:spacing w:after="0"/>
              <w:rPr>
                <w:rFonts w:ascii="Arial" w:hAnsi="Arial" w:cs="Arial"/>
                <w:b/>
                <w:sz w:val="20"/>
                <w:szCs w:val="20"/>
              </w:rPr>
            </w:pPr>
            <w:r w:rsidRPr="00D7797B">
              <w:rPr>
                <w:rFonts w:ascii="Arial" w:hAnsi="Arial" w:cs="Arial"/>
                <w:b/>
                <w:sz w:val="20"/>
                <w:szCs w:val="20"/>
              </w:rPr>
              <w:t xml:space="preserve">Variable </w:t>
            </w:r>
          </w:p>
        </w:tc>
        <w:tc>
          <w:tcPr>
            <w:tcW w:w="1754" w:type="pct"/>
            <w:tcBorders>
              <w:top w:val="single" w:sz="4" w:space="0" w:color="auto"/>
              <w:left w:val="single" w:sz="4" w:space="0" w:color="auto"/>
              <w:bottom w:val="single" w:sz="4" w:space="0" w:color="auto"/>
              <w:right w:val="single" w:sz="4" w:space="0" w:color="auto"/>
            </w:tcBorders>
          </w:tcPr>
          <w:p w:rsidR="008A6E51" w:rsidRPr="00D7797B" w:rsidRDefault="008A6E51" w:rsidP="00AB2DE4">
            <w:pPr>
              <w:spacing w:after="0"/>
              <w:rPr>
                <w:rFonts w:ascii="Arial" w:hAnsi="Arial" w:cs="Arial"/>
                <w:b/>
                <w:sz w:val="20"/>
                <w:szCs w:val="20"/>
              </w:rPr>
            </w:pPr>
            <w:r>
              <w:rPr>
                <w:rFonts w:ascii="Arial" w:hAnsi="Arial" w:cs="Arial"/>
                <w:b/>
                <w:sz w:val="20"/>
                <w:szCs w:val="20"/>
              </w:rPr>
              <w:t>Description</w:t>
            </w:r>
          </w:p>
        </w:tc>
        <w:tc>
          <w:tcPr>
            <w:tcW w:w="2155" w:type="pct"/>
            <w:tcBorders>
              <w:top w:val="single" w:sz="4" w:space="0" w:color="auto"/>
              <w:left w:val="single" w:sz="4" w:space="0" w:color="auto"/>
              <w:bottom w:val="single" w:sz="4" w:space="0" w:color="auto"/>
              <w:right w:val="single" w:sz="4" w:space="0" w:color="auto"/>
            </w:tcBorders>
          </w:tcPr>
          <w:p w:rsidR="008A6E51" w:rsidRPr="00D7797B" w:rsidRDefault="008A6E51" w:rsidP="00AB2DE4">
            <w:pPr>
              <w:spacing w:after="0"/>
              <w:rPr>
                <w:rFonts w:ascii="Arial" w:hAnsi="Arial" w:cs="Arial"/>
                <w:b/>
                <w:sz w:val="20"/>
                <w:szCs w:val="20"/>
              </w:rPr>
            </w:pPr>
            <w:r w:rsidRPr="00D7797B">
              <w:rPr>
                <w:rFonts w:ascii="Arial" w:hAnsi="Arial" w:cs="Arial"/>
                <w:b/>
                <w:sz w:val="20"/>
                <w:szCs w:val="20"/>
              </w:rPr>
              <w:t>Details</w:t>
            </w:r>
          </w:p>
        </w:tc>
      </w:tr>
      <w:tr w:rsidR="008A6E51" w:rsidRPr="00072072" w:rsidTr="001C2CA0">
        <w:trPr>
          <w:trHeight w:val="284"/>
        </w:trPr>
        <w:tc>
          <w:tcPr>
            <w:tcW w:w="1091" w:type="pct"/>
            <w:tcBorders>
              <w:top w:val="single" w:sz="4" w:space="0" w:color="auto"/>
              <w:left w:val="single" w:sz="4" w:space="0" w:color="auto"/>
              <w:bottom w:val="single" w:sz="4" w:space="0" w:color="auto"/>
              <w:right w:val="single" w:sz="4" w:space="0" w:color="auto"/>
            </w:tcBorders>
          </w:tcPr>
          <w:p w:rsidR="008A6E51" w:rsidRPr="00072072" w:rsidRDefault="008A6E51" w:rsidP="00A8797C">
            <w:pPr>
              <w:spacing w:after="0"/>
              <w:rPr>
                <w:rFonts w:ascii="Arial" w:hAnsi="Arial" w:cs="Arial"/>
                <w:sz w:val="20"/>
                <w:szCs w:val="20"/>
              </w:rPr>
            </w:pPr>
            <w:proofErr w:type="spellStart"/>
            <w:r>
              <w:rPr>
                <w:rFonts w:ascii="Arial" w:hAnsi="Arial" w:cs="Arial"/>
                <w:sz w:val="20"/>
                <w:szCs w:val="20"/>
              </w:rPr>
              <w:t>GPCount</w:t>
            </w:r>
            <w:proofErr w:type="spellEnd"/>
          </w:p>
        </w:tc>
        <w:tc>
          <w:tcPr>
            <w:tcW w:w="1754" w:type="pct"/>
            <w:tcBorders>
              <w:top w:val="single" w:sz="4" w:space="0" w:color="auto"/>
              <w:left w:val="single" w:sz="4" w:space="0" w:color="auto"/>
              <w:bottom w:val="single" w:sz="4" w:space="0" w:color="auto"/>
              <w:right w:val="single" w:sz="4" w:space="0" w:color="auto"/>
            </w:tcBorders>
          </w:tcPr>
          <w:p w:rsidR="008A6E51" w:rsidRPr="00072072" w:rsidRDefault="008A6E51" w:rsidP="008A6E51">
            <w:pPr>
              <w:spacing w:after="0"/>
              <w:rPr>
                <w:rFonts w:ascii="Arial" w:hAnsi="Arial" w:cs="Arial"/>
                <w:sz w:val="20"/>
                <w:szCs w:val="20"/>
              </w:rPr>
            </w:pPr>
            <w:r w:rsidRPr="00072072">
              <w:rPr>
                <w:rFonts w:ascii="Arial" w:hAnsi="Arial" w:cs="Arial"/>
                <w:sz w:val="20"/>
                <w:szCs w:val="20"/>
              </w:rPr>
              <w:t xml:space="preserve">Number of GPs serving each </w:t>
            </w:r>
            <w:r>
              <w:rPr>
                <w:rFonts w:ascii="Arial" w:hAnsi="Arial" w:cs="Arial"/>
                <w:sz w:val="20"/>
                <w:szCs w:val="20"/>
              </w:rPr>
              <w:t>d</w:t>
            </w:r>
            <w:r w:rsidRPr="00072072">
              <w:rPr>
                <w:rFonts w:ascii="Arial" w:hAnsi="Arial" w:cs="Arial"/>
                <w:sz w:val="20"/>
                <w:szCs w:val="20"/>
              </w:rPr>
              <w:t xml:space="preserve">ata </w:t>
            </w:r>
            <w:r>
              <w:rPr>
                <w:rFonts w:ascii="Arial" w:hAnsi="Arial" w:cs="Arial"/>
                <w:sz w:val="20"/>
                <w:szCs w:val="20"/>
              </w:rPr>
              <w:t>z</w:t>
            </w:r>
            <w:r w:rsidRPr="00072072">
              <w:rPr>
                <w:rFonts w:ascii="Arial" w:hAnsi="Arial" w:cs="Arial"/>
                <w:sz w:val="20"/>
                <w:szCs w:val="20"/>
              </w:rPr>
              <w:t>one</w:t>
            </w:r>
            <w:r>
              <w:rPr>
                <w:rFonts w:ascii="Arial" w:hAnsi="Arial" w:cs="Arial"/>
                <w:sz w:val="20"/>
                <w:szCs w:val="20"/>
              </w:rPr>
              <w:t xml:space="preserve">. </w:t>
            </w:r>
          </w:p>
        </w:tc>
        <w:tc>
          <w:tcPr>
            <w:tcW w:w="2155" w:type="pct"/>
            <w:tcBorders>
              <w:top w:val="single" w:sz="4" w:space="0" w:color="auto"/>
              <w:left w:val="single" w:sz="4" w:space="0" w:color="auto"/>
              <w:bottom w:val="single" w:sz="4" w:space="0" w:color="auto"/>
              <w:right w:val="single" w:sz="4" w:space="0" w:color="auto"/>
            </w:tcBorders>
          </w:tcPr>
          <w:p w:rsidR="008A6E51" w:rsidRPr="00072072" w:rsidRDefault="008A6E51" w:rsidP="00AB2DE4">
            <w:pPr>
              <w:spacing w:after="0"/>
              <w:rPr>
                <w:rFonts w:ascii="Arial" w:hAnsi="Arial" w:cs="Arial"/>
                <w:sz w:val="20"/>
                <w:szCs w:val="20"/>
              </w:rPr>
            </w:pPr>
            <w:r>
              <w:rPr>
                <w:rFonts w:ascii="Arial" w:hAnsi="Arial" w:cs="Arial"/>
                <w:sz w:val="20"/>
                <w:szCs w:val="20"/>
              </w:rPr>
              <w:t xml:space="preserve">Calculated using headcount of GPs per practice as at 04/09/2015 from </w:t>
            </w:r>
            <w:r w:rsidRPr="00586271">
              <w:rPr>
                <w:rFonts w:ascii="Arial" w:hAnsi="Arial" w:cs="Arial"/>
                <w:sz w:val="20"/>
                <w:szCs w:val="20"/>
              </w:rPr>
              <w:t>General Practitioner Contractor Database</w:t>
            </w:r>
            <w:r>
              <w:rPr>
                <w:rFonts w:ascii="Arial" w:hAnsi="Arial" w:cs="Arial"/>
                <w:sz w:val="20"/>
                <w:szCs w:val="20"/>
              </w:rPr>
              <w:t>, and April 2015 CHI data to map GP practices to data zones.</w:t>
            </w:r>
          </w:p>
        </w:tc>
      </w:tr>
      <w:tr w:rsidR="008A6E51" w:rsidRPr="00072072" w:rsidTr="001C2CA0">
        <w:trPr>
          <w:trHeight w:val="284"/>
        </w:trPr>
        <w:tc>
          <w:tcPr>
            <w:tcW w:w="1091" w:type="pct"/>
            <w:tcBorders>
              <w:top w:val="single" w:sz="4" w:space="0" w:color="auto"/>
              <w:left w:val="single" w:sz="4" w:space="0" w:color="auto"/>
              <w:bottom w:val="single" w:sz="4" w:space="0" w:color="auto"/>
              <w:right w:val="single" w:sz="4" w:space="0" w:color="auto"/>
            </w:tcBorders>
            <w:hideMark/>
          </w:tcPr>
          <w:p w:rsidR="008A6E51" w:rsidRPr="00072072" w:rsidRDefault="008A6E51" w:rsidP="00A8797C">
            <w:pPr>
              <w:spacing w:after="0"/>
              <w:rPr>
                <w:rFonts w:ascii="Arial" w:hAnsi="Arial" w:cs="Arial"/>
                <w:sz w:val="20"/>
                <w:szCs w:val="20"/>
              </w:rPr>
            </w:pPr>
            <w:proofErr w:type="spellStart"/>
            <w:r>
              <w:rPr>
                <w:rFonts w:ascii="Arial" w:hAnsi="Arial" w:cs="Arial"/>
                <w:sz w:val="20"/>
                <w:szCs w:val="20"/>
              </w:rPr>
              <w:t>GPSup</w:t>
            </w:r>
            <w:proofErr w:type="spellEnd"/>
            <w:r w:rsidR="001C2CA0">
              <w:rPr>
                <w:rFonts w:ascii="Arial" w:hAnsi="Arial" w:cs="Arial"/>
                <w:sz w:val="20"/>
                <w:szCs w:val="20"/>
              </w:rPr>
              <w:t>, GPSup5, GPSup10</w:t>
            </w:r>
          </w:p>
        </w:tc>
        <w:tc>
          <w:tcPr>
            <w:tcW w:w="1754" w:type="pct"/>
            <w:tcBorders>
              <w:top w:val="single" w:sz="4" w:space="0" w:color="auto"/>
              <w:left w:val="single" w:sz="4" w:space="0" w:color="auto"/>
              <w:right w:val="single" w:sz="4" w:space="0" w:color="auto"/>
            </w:tcBorders>
          </w:tcPr>
          <w:p w:rsidR="008A6E51" w:rsidRPr="00072072" w:rsidRDefault="008A6E51" w:rsidP="008A6E51">
            <w:pPr>
              <w:spacing w:after="0"/>
              <w:rPr>
                <w:rFonts w:ascii="Arial" w:hAnsi="Arial" w:cs="Arial"/>
                <w:sz w:val="20"/>
                <w:szCs w:val="20"/>
              </w:rPr>
            </w:pPr>
            <w:r>
              <w:rPr>
                <w:rFonts w:ascii="Arial" w:hAnsi="Arial" w:cs="Arial"/>
                <w:sz w:val="20"/>
                <w:szCs w:val="20"/>
              </w:rPr>
              <w:t xml:space="preserve">A function of both the number of GPs serving each data zone and the distance to the practices. Distance estimated using </w:t>
            </w:r>
            <w:r w:rsidRPr="00072072">
              <w:rPr>
                <w:rFonts w:ascii="Arial" w:hAnsi="Arial" w:cs="Arial"/>
                <w:sz w:val="20"/>
                <w:szCs w:val="20"/>
              </w:rPr>
              <w:t>1km</w:t>
            </w:r>
            <w:r>
              <w:rPr>
                <w:rFonts w:ascii="Arial" w:hAnsi="Arial" w:cs="Arial"/>
                <w:sz w:val="20"/>
                <w:szCs w:val="20"/>
              </w:rPr>
              <w:t>, 5km and 10km</w:t>
            </w:r>
            <w:r w:rsidRPr="00072072">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intrazonal</w:t>
            </w:r>
            <w:proofErr w:type="spellEnd"/>
            <w:r>
              <w:rPr>
                <w:rFonts w:ascii="Arial" w:hAnsi="Arial" w:cs="Arial"/>
                <w:sz w:val="20"/>
                <w:szCs w:val="20"/>
              </w:rPr>
              <w:t xml:space="preserve"> cost”, respectively (see Annex A for full details).</w:t>
            </w:r>
          </w:p>
        </w:tc>
        <w:tc>
          <w:tcPr>
            <w:tcW w:w="2155" w:type="pct"/>
            <w:tcBorders>
              <w:top w:val="single" w:sz="4" w:space="0" w:color="auto"/>
              <w:left w:val="single" w:sz="4" w:space="0" w:color="auto"/>
              <w:right w:val="single" w:sz="4" w:space="0" w:color="auto"/>
            </w:tcBorders>
          </w:tcPr>
          <w:p w:rsidR="008A6E51" w:rsidRPr="00072072" w:rsidRDefault="008A6E51" w:rsidP="00AB2DE4">
            <w:pPr>
              <w:spacing w:after="0"/>
              <w:rPr>
                <w:rFonts w:ascii="Arial" w:hAnsi="Arial" w:cs="Arial"/>
                <w:sz w:val="20"/>
                <w:szCs w:val="20"/>
              </w:rPr>
            </w:pPr>
            <w:r>
              <w:rPr>
                <w:rFonts w:ascii="Arial" w:hAnsi="Arial" w:cs="Arial"/>
                <w:sz w:val="20"/>
                <w:szCs w:val="20"/>
              </w:rPr>
              <w:t xml:space="preserve">Calculated using headcount of GPs per practice as at 04/09/2015 from </w:t>
            </w:r>
            <w:r w:rsidRPr="00586271">
              <w:rPr>
                <w:rFonts w:ascii="Arial" w:hAnsi="Arial" w:cs="Arial"/>
                <w:sz w:val="20"/>
                <w:szCs w:val="20"/>
              </w:rPr>
              <w:t>General Practitioner Contractor Database</w:t>
            </w:r>
            <w:r>
              <w:rPr>
                <w:rFonts w:ascii="Arial" w:hAnsi="Arial" w:cs="Arial"/>
                <w:sz w:val="20"/>
                <w:szCs w:val="20"/>
              </w:rPr>
              <w:t>, April 2015 CHI data to map GP practices to data zones, 2011 data zone population centroids, and locations of practices.</w:t>
            </w:r>
          </w:p>
        </w:tc>
      </w:tr>
      <w:tr w:rsidR="001C2CA0" w:rsidRPr="00072072" w:rsidTr="001C2CA0">
        <w:trPr>
          <w:trHeight w:val="284"/>
        </w:trPr>
        <w:tc>
          <w:tcPr>
            <w:tcW w:w="1091" w:type="pct"/>
            <w:tcBorders>
              <w:top w:val="single" w:sz="4" w:space="0" w:color="auto"/>
              <w:left w:val="single" w:sz="4" w:space="0" w:color="auto"/>
              <w:bottom w:val="single" w:sz="4" w:space="0" w:color="auto"/>
              <w:right w:val="single" w:sz="4" w:space="0" w:color="auto"/>
            </w:tcBorders>
            <w:hideMark/>
          </w:tcPr>
          <w:p w:rsidR="001C2CA0" w:rsidRPr="00072072" w:rsidRDefault="001C2CA0" w:rsidP="003D4FE0">
            <w:pPr>
              <w:spacing w:after="0"/>
              <w:rPr>
                <w:rFonts w:ascii="Arial" w:hAnsi="Arial" w:cs="Arial"/>
                <w:sz w:val="20"/>
                <w:szCs w:val="20"/>
              </w:rPr>
            </w:pPr>
            <w:r>
              <w:rPr>
                <w:rFonts w:ascii="Arial" w:hAnsi="Arial" w:cs="Arial"/>
                <w:sz w:val="20"/>
                <w:szCs w:val="20"/>
              </w:rPr>
              <w:t>IA1, OA1</w:t>
            </w:r>
          </w:p>
        </w:tc>
        <w:tc>
          <w:tcPr>
            <w:tcW w:w="1754" w:type="pct"/>
            <w:tcBorders>
              <w:top w:val="single" w:sz="4" w:space="0" w:color="auto"/>
              <w:left w:val="single" w:sz="4" w:space="0" w:color="auto"/>
              <w:right w:val="single" w:sz="4" w:space="0" w:color="auto"/>
            </w:tcBorders>
          </w:tcPr>
          <w:p w:rsidR="001C2CA0" w:rsidRPr="00072072" w:rsidRDefault="001C2CA0" w:rsidP="001C2CA0">
            <w:pPr>
              <w:spacing w:after="0"/>
              <w:rPr>
                <w:rFonts w:ascii="Arial" w:hAnsi="Arial" w:cs="Arial"/>
                <w:sz w:val="20"/>
                <w:szCs w:val="20"/>
              </w:rPr>
            </w:pPr>
            <w:r>
              <w:rPr>
                <w:rFonts w:ascii="Arial" w:hAnsi="Arial" w:cs="Arial"/>
                <w:sz w:val="20"/>
                <w:szCs w:val="20"/>
              </w:rPr>
              <w:t xml:space="preserve">Size of nearest inpatient / outpatient facility. </w:t>
            </w:r>
          </w:p>
        </w:tc>
        <w:tc>
          <w:tcPr>
            <w:tcW w:w="2155" w:type="pct"/>
            <w:vMerge w:val="restart"/>
            <w:tcBorders>
              <w:top w:val="single" w:sz="4" w:space="0" w:color="auto"/>
              <w:left w:val="single" w:sz="4" w:space="0" w:color="auto"/>
              <w:right w:val="single" w:sz="4" w:space="0" w:color="auto"/>
            </w:tcBorders>
          </w:tcPr>
          <w:p w:rsidR="001C2CA0" w:rsidRDefault="001C2CA0" w:rsidP="003D4FE0">
            <w:pPr>
              <w:spacing w:after="0"/>
              <w:rPr>
                <w:rFonts w:ascii="Arial" w:hAnsi="Arial" w:cs="Arial"/>
                <w:sz w:val="20"/>
                <w:szCs w:val="20"/>
              </w:rPr>
            </w:pPr>
            <w:r>
              <w:rPr>
                <w:rFonts w:ascii="Arial" w:hAnsi="Arial" w:cs="Arial"/>
                <w:sz w:val="20"/>
                <w:szCs w:val="20"/>
              </w:rPr>
              <w:t>Calculated using numbers of SMR01/00 episodes in 13/14, 2011 data zone population centroids, and locations of facilities.</w:t>
            </w:r>
          </w:p>
        </w:tc>
      </w:tr>
      <w:tr w:rsidR="001C2CA0" w:rsidRPr="00072072" w:rsidTr="001C2CA0">
        <w:trPr>
          <w:trHeight w:val="284"/>
        </w:trPr>
        <w:tc>
          <w:tcPr>
            <w:tcW w:w="1091" w:type="pct"/>
            <w:tcBorders>
              <w:top w:val="single" w:sz="4" w:space="0" w:color="auto"/>
              <w:left w:val="single" w:sz="4" w:space="0" w:color="auto"/>
              <w:bottom w:val="single" w:sz="4" w:space="0" w:color="auto"/>
              <w:right w:val="single" w:sz="4" w:space="0" w:color="auto"/>
            </w:tcBorders>
            <w:hideMark/>
          </w:tcPr>
          <w:p w:rsidR="001C2CA0" w:rsidRPr="00072072" w:rsidRDefault="001C2CA0" w:rsidP="003D4FE0">
            <w:pPr>
              <w:spacing w:after="0"/>
              <w:rPr>
                <w:rFonts w:ascii="Arial" w:hAnsi="Arial" w:cs="Arial"/>
                <w:sz w:val="20"/>
                <w:szCs w:val="20"/>
              </w:rPr>
            </w:pPr>
            <w:r>
              <w:rPr>
                <w:rFonts w:ascii="Arial" w:hAnsi="Arial" w:cs="Arial"/>
                <w:sz w:val="20"/>
                <w:szCs w:val="20"/>
              </w:rPr>
              <w:t>IA2, OA2</w:t>
            </w:r>
          </w:p>
        </w:tc>
        <w:tc>
          <w:tcPr>
            <w:tcW w:w="1754" w:type="pct"/>
            <w:tcBorders>
              <w:left w:val="single" w:sz="4" w:space="0" w:color="auto"/>
              <w:right w:val="single" w:sz="4" w:space="0" w:color="auto"/>
            </w:tcBorders>
          </w:tcPr>
          <w:p w:rsidR="001C2CA0" w:rsidRPr="00072072" w:rsidRDefault="001C2CA0" w:rsidP="001C2CA0">
            <w:pPr>
              <w:spacing w:after="0"/>
              <w:rPr>
                <w:rFonts w:ascii="Arial" w:hAnsi="Arial" w:cs="Arial"/>
                <w:sz w:val="20"/>
                <w:szCs w:val="20"/>
              </w:rPr>
            </w:pPr>
            <w:r>
              <w:rPr>
                <w:rFonts w:ascii="Arial" w:hAnsi="Arial" w:cs="Arial"/>
                <w:sz w:val="20"/>
                <w:szCs w:val="20"/>
              </w:rPr>
              <w:t xml:space="preserve">Size of </w:t>
            </w:r>
            <w:r w:rsidRPr="00072072">
              <w:rPr>
                <w:rFonts w:ascii="Arial" w:hAnsi="Arial" w:cs="Arial"/>
                <w:sz w:val="20"/>
                <w:szCs w:val="20"/>
              </w:rPr>
              <w:t xml:space="preserve">nearest </w:t>
            </w:r>
            <w:r>
              <w:rPr>
                <w:rFonts w:ascii="Arial" w:hAnsi="Arial" w:cs="Arial"/>
                <w:sz w:val="20"/>
                <w:szCs w:val="20"/>
              </w:rPr>
              <w:t xml:space="preserve">or second-nearest </w:t>
            </w:r>
            <w:r w:rsidRPr="00072072">
              <w:rPr>
                <w:rFonts w:ascii="Arial" w:hAnsi="Arial" w:cs="Arial"/>
                <w:sz w:val="20"/>
                <w:szCs w:val="20"/>
              </w:rPr>
              <w:t>facility</w:t>
            </w:r>
            <w:r>
              <w:rPr>
                <w:rFonts w:ascii="Arial" w:hAnsi="Arial" w:cs="Arial"/>
                <w:sz w:val="20"/>
                <w:szCs w:val="20"/>
              </w:rPr>
              <w:t>, whichever is the larger.</w:t>
            </w:r>
          </w:p>
        </w:tc>
        <w:tc>
          <w:tcPr>
            <w:tcW w:w="2155" w:type="pct"/>
            <w:vMerge/>
            <w:tcBorders>
              <w:left w:val="single" w:sz="4" w:space="0" w:color="auto"/>
              <w:right w:val="single" w:sz="4" w:space="0" w:color="auto"/>
            </w:tcBorders>
          </w:tcPr>
          <w:p w:rsidR="001C2CA0" w:rsidRPr="00072072" w:rsidRDefault="001C2CA0" w:rsidP="003D4FE0">
            <w:pPr>
              <w:spacing w:after="0"/>
              <w:rPr>
                <w:rFonts w:ascii="Arial" w:hAnsi="Arial" w:cs="Arial"/>
                <w:sz w:val="20"/>
                <w:szCs w:val="20"/>
              </w:rPr>
            </w:pPr>
          </w:p>
        </w:tc>
      </w:tr>
      <w:tr w:rsidR="000872BB" w:rsidRPr="00072072" w:rsidTr="001C2CA0">
        <w:trPr>
          <w:trHeight w:val="284"/>
        </w:trPr>
        <w:tc>
          <w:tcPr>
            <w:tcW w:w="1091" w:type="pct"/>
            <w:tcBorders>
              <w:top w:val="single" w:sz="4" w:space="0" w:color="auto"/>
              <w:left w:val="single" w:sz="4" w:space="0" w:color="auto"/>
              <w:bottom w:val="single" w:sz="4" w:space="0" w:color="auto"/>
              <w:right w:val="single" w:sz="4" w:space="0" w:color="auto"/>
            </w:tcBorders>
            <w:hideMark/>
          </w:tcPr>
          <w:p w:rsidR="000872BB" w:rsidRPr="00072072" w:rsidRDefault="001C2CA0" w:rsidP="008753CE">
            <w:pPr>
              <w:spacing w:after="0"/>
              <w:rPr>
                <w:rFonts w:ascii="Arial" w:hAnsi="Arial" w:cs="Arial"/>
                <w:sz w:val="20"/>
                <w:szCs w:val="20"/>
              </w:rPr>
            </w:pPr>
            <w:r>
              <w:rPr>
                <w:rFonts w:ascii="Arial" w:hAnsi="Arial" w:cs="Arial"/>
                <w:sz w:val="20"/>
                <w:szCs w:val="20"/>
              </w:rPr>
              <w:t>IPACX, OPACX</w:t>
            </w:r>
          </w:p>
        </w:tc>
        <w:tc>
          <w:tcPr>
            <w:tcW w:w="1754" w:type="pct"/>
            <w:tcBorders>
              <w:top w:val="single" w:sz="4" w:space="0" w:color="auto"/>
              <w:left w:val="single" w:sz="4" w:space="0" w:color="auto"/>
              <w:right w:val="single" w:sz="4" w:space="0" w:color="auto"/>
            </w:tcBorders>
          </w:tcPr>
          <w:p w:rsidR="000872BB" w:rsidRPr="00072072" w:rsidRDefault="000872BB" w:rsidP="008753CE">
            <w:pPr>
              <w:spacing w:after="0"/>
              <w:rPr>
                <w:rFonts w:ascii="Arial" w:hAnsi="Arial" w:cs="Arial"/>
                <w:sz w:val="20"/>
                <w:szCs w:val="20"/>
              </w:rPr>
            </w:pPr>
            <w:r>
              <w:rPr>
                <w:rFonts w:ascii="Arial" w:hAnsi="Arial" w:cs="Arial"/>
                <w:sz w:val="20"/>
                <w:szCs w:val="20"/>
              </w:rPr>
              <w:t>A function of both the size of the inpatient / outpatient facilities serving each data zone and the distance to the facility.</w:t>
            </w:r>
          </w:p>
        </w:tc>
        <w:tc>
          <w:tcPr>
            <w:tcW w:w="2155" w:type="pct"/>
            <w:tcBorders>
              <w:top w:val="single" w:sz="4" w:space="0" w:color="auto"/>
              <w:left w:val="single" w:sz="4" w:space="0" w:color="auto"/>
              <w:right w:val="single" w:sz="4" w:space="0" w:color="auto"/>
            </w:tcBorders>
          </w:tcPr>
          <w:p w:rsidR="000872BB" w:rsidRDefault="000872BB" w:rsidP="008753CE">
            <w:pPr>
              <w:spacing w:after="0"/>
              <w:rPr>
                <w:rFonts w:ascii="Arial" w:hAnsi="Arial" w:cs="Arial"/>
                <w:sz w:val="20"/>
                <w:szCs w:val="20"/>
              </w:rPr>
            </w:pPr>
            <w:r>
              <w:rPr>
                <w:rFonts w:ascii="Arial" w:hAnsi="Arial" w:cs="Arial"/>
                <w:sz w:val="20"/>
                <w:szCs w:val="20"/>
              </w:rPr>
              <w:t>Calculated using numbers of SMR01/00 episodes in 13/14, 2011 data zone population centroids, locations of facilities, and 13/14 SMR01/00 data to map facilities and their served data zones.</w:t>
            </w:r>
          </w:p>
        </w:tc>
      </w:tr>
      <w:tr w:rsidR="008A6E51" w:rsidRPr="00072072" w:rsidTr="001C2CA0">
        <w:trPr>
          <w:trHeight w:val="284"/>
        </w:trPr>
        <w:tc>
          <w:tcPr>
            <w:tcW w:w="1091" w:type="pct"/>
            <w:tcBorders>
              <w:top w:val="single" w:sz="4" w:space="0" w:color="auto"/>
              <w:left w:val="single" w:sz="4" w:space="0" w:color="auto"/>
              <w:bottom w:val="single" w:sz="4" w:space="0" w:color="auto"/>
              <w:right w:val="single" w:sz="4" w:space="0" w:color="auto"/>
            </w:tcBorders>
            <w:hideMark/>
          </w:tcPr>
          <w:p w:rsidR="008A6E51" w:rsidRPr="00072072" w:rsidRDefault="001C2CA0" w:rsidP="00AB2DE4">
            <w:pPr>
              <w:spacing w:after="0"/>
              <w:rPr>
                <w:rFonts w:ascii="Arial" w:hAnsi="Arial" w:cs="Arial"/>
                <w:sz w:val="20"/>
                <w:szCs w:val="20"/>
              </w:rPr>
            </w:pPr>
            <w:r>
              <w:rPr>
                <w:rFonts w:ascii="Arial" w:hAnsi="Arial" w:cs="Arial"/>
                <w:sz w:val="20"/>
                <w:szCs w:val="20"/>
              </w:rPr>
              <w:t>IPAC, OPAC</w:t>
            </w:r>
          </w:p>
        </w:tc>
        <w:tc>
          <w:tcPr>
            <w:tcW w:w="1754" w:type="pct"/>
            <w:tcBorders>
              <w:top w:val="single" w:sz="4" w:space="0" w:color="auto"/>
              <w:left w:val="single" w:sz="4" w:space="0" w:color="auto"/>
              <w:right w:val="single" w:sz="4" w:space="0" w:color="auto"/>
            </w:tcBorders>
          </w:tcPr>
          <w:p w:rsidR="008A6E51" w:rsidRPr="00072072" w:rsidRDefault="000872BB" w:rsidP="000872BB">
            <w:pPr>
              <w:spacing w:after="0"/>
              <w:rPr>
                <w:rFonts w:ascii="Arial" w:hAnsi="Arial" w:cs="Arial"/>
                <w:sz w:val="20"/>
                <w:szCs w:val="20"/>
              </w:rPr>
            </w:pPr>
            <w:r>
              <w:rPr>
                <w:rFonts w:ascii="Arial" w:hAnsi="Arial" w:cs="Arial"/>
                <w:sz w:val="20"/>
                <w:szCs w:val="20"/>
              </w:rPr>
              <w:t>Similar to IPACX and OPACX, but with an attempt to correct the size of the facility for capacity.</w:t>
            </w:r>
          </w:p>
        </w:tc>
        <w:tc>
          <w:tcPr>
            <w:tcW w:w="2155" w:type="pct"/>
            <w:tcBorders>
              <w:top w:val="single" w:sz="4" w:space="0" w:color="auto"/>
              <w:left w:val="single" w:sz="4" w:space="0" w:color="auto"/>
              <w:right w:val="single" w:sz="4" w:space="0" w:color="auto"/>
            </w:tcBorders>
          </w:tcPr>
          <w:p w:rsidR="008A6E51" w:rsidRDefault="008A6E51" w:rsidP="00AB2DE4">
            <w:pPr>
              <w:spacing w:after="0"/>
              <w:rPr>
                <w:rFonts w:ascii="Arial" w:hAnsi="Arial" w:cs="Arial"/>
                <w:sz w:val="20"/>
                <w:szCs w:val="20"/>
              </w:rPr>
            </w:pPr>
            <w:r>
              <w:rPr>
                <w:rFonts w:ascii="Arial" w:hAnsi="Arial" w:cs="Arial"/>
                <w:sz w:val="20"/>
                <w:szCs w:val="20"/>
              </w:rPr>
              <w:t>Calculated using numbers of SMR01/00 episodes in 13/14, 2011 data zone population centroids, locations of facilities, 13/14 SMR01/00 data to map facilities and their served data zones, and 2013 MYE populations.</w:t>
            </w:r>
          </w:p>
        </w:tc>
      </w:tr>
      <w:tr w:rsidR="008A6E51" w:rsidRPr="00072072" w:rsidTr="001C2CA0">
        <w:trPr>
          <w:trHeight w:val="284"/>
        </w:trPr>
        <w:tc>
          <w:tcPr>
            <w:tcW w:w="1091" w:type="pct"/>
            <w:tcBorders>
              <w:top w:val="single" w:sz="4" w:space="0" w:color="auto"/>
              <w:left w:val="single" w:sz="4" w:space="0" w:color="auto"/>
              <w:bottom w:val="single" w:sz="4" w:space="0" w:color="auto"/>
              <w:right w:val="single" w:sz="4" w:space="0" w:color="auto"/>
            </w:tcBorders>
            <w:hideMark/>
          </w:tcPr>
          <w:p w:rsidR="008A6E51" w:rsidRPr="00072072" w:rsidRDefault="008A6E51" w:rsidP="00AB2DE4">
            <w:pPr>
              <w:spacing w:after="0"/>
              <w:rPr>
                <w:rFonts w:ascii="Arial" w:hAnsi="Arial" w:cs="Arial"/>
                <w:sz w:val="20"/>
                <w:szCs w:val="20"/>
              </w:rPr>
            </w:pPr>
            <w:r>
              <w:rPr>
                <w:rFonts w:ascii="Arial" w:hAnsi="Arial" w:cs="Arial"/>
                <w:sz w:val="20"/>
                <w:szCs w:val="20"/>
              </w:rPr>
              <w:t>Health Board dummy variables</w:t>
            </w:r>
          </w:p>
        </w:tc>
        <w:tc>
          <w:tcPr>
            <w:tcW w:w="1754" w:type="pct"/>
            <w:tcBorders>
              <w:top w:val="single" w:sz="4" w:space="0" w:color="auto"/>
              <w:left w:val="single" w:sz="4" w:space="0" w:color="auto"/>
              <w:bottom w:val="single" w:sz="4" w:space="0" w:color="auto"/>
              <w:right w:val="single" w:sz="4" w:space="0" w:color="auto"/>
            </w:tcBorders>
          </w:tcPr>
          <w:p w:rsidR="008A6E51" w:rsidRPr="00072072" w:rsidRDefault="008A6E51" w:rsidP="00AB2DE4">
            <w:pPr>
              <w:spacing w:after="0"/>
              <w:rPr>
                <w:rFonts w:ascii="Arial" w:hAnsi="Arial" w:cs="Arial"/>
                <w:sz w:val="20"/>
                <w:szCs w:val="20"/>
              </w:rPr>
            </w:pPr>
            <w:r>
              <w:rPr>
                <w:rFonts w:ascii="Arial" w:hAnsi="Arial" w:cs="Arial"/>
                <w:sz w:val="20"/>
                <w:szCs w:val="20"/>
              </w:rPr>
              <w:t>Represents the effect of the health board.</w:t>
            </w:r>
          </w:p>
        </w:tc>
        <w:tc>
          <w:tcPr>
            <w:tcW w:w="2155" w:type="pct"/>
            <w:tcBorders>
              <w:top w:val="single" w:sz="4" w:space="0" w:color="auto"/>
              <w:left w:val="single" w:sz="4" w:space="0" w:color="auto"/>
              <w:bottom w:val="single" w:sz="4" w:space="0" w:color="auto"/>
              <w:right w:val="single" w:sz="4" w:space="0" w:color="auto"/>
            </w:tcBorders>
          </w:tcPr>
          <w:p w:rsidR="008A6E51" w:rsidRDefault="008A6E51" w:rsidP="00AB2DE4">
            <w:pPr>
              <w:spacing w:after="0"/>
              <w:rPr>
                <w:rFonts w:ascii="Arial" w:hAnsi="Arial" w:cs="Arial"/>
                <w:sz w:val="20"/>
                <w:szCs w:val="20"/>
              </w:rPr>
            </w:pPr>
            <w:r>
              <w:rPr>
                <w:rFonts w:ascii="Arial" w:hAnsi="Arial" w:cs="Arial"/>
                <w:sz w:val="20"/>
                <w:szCs w:val="20"/>
              </w:rPr>
              <w:t>Calculated using current data zone—Health Board best-fit lookup.</w:t>
            </w:r>
          </w:p>
        </w:tc>
      </w:tr>
    </w:tbl>
    <w:p w:rsidR="00A44D23" w:rsidRDefault="00A44D23" w:rsidP="00A44D23">
      <w:pPr>
        <w:rPr>
          <w:rFonts w:ascii="Arial" w:hAnsi="Arial" w:cs="Arial"/>
          <w:b/>
        </w:rPr>
        <w:sectPr w:rsidR="00A44D23" w:rsidSect="0064743F">
          <w:pgSz w:w="16838" w:h="11906" w:orient="landscape"/>
          <w:pgMar w:top="1440" w:right="1440" w:bottom="1440" w:left="1440" w:header="708" w:footer="708" w:gutter="0"/>
          <w:cols w:space="708"/>
          <w:docGrid w:linePitch="360"/>
        </w:sectPr>
      </w:pPr>
    </w:p>
    <w:p w:rsidR="00AB2DE4" w:rsidRDefault="00AB2DE4" w:rsidP="00A44D23">
      <w:pPr>
        <w:rPr>
          <w:rFonts w:ascii="Arial" w:hAnsi="Arial" w:cs="Arial"/>
          <w:b/>
        </w:rPr>
      </w:pPr>
      <w:r w:rsidRPr="00AB2DE4">
        <w:rPr>
          <w:rFonts w:ascii="Arial" w:hAnsi="Arial" w:cs="Arial"/>
          <w:b/>
        </w:rPr>
        <w:lastRenderedPageBreak/>
        <w:t>3.</w:t>
      </w:r>
      <w:r>
        <w:rPr>
          <w:rFonts w:ascii="Arial" w:hAnsi="Arial" w:cs="Arial"/>
          <w:b/>
        </w:rPr>
        <w:t xml:space="preserve"> Supply model exploration</w:t>
      </w:r>
    </w:p>
    <w:p w:rsidR="00C63F0D" w:rsidRPr="00551B78" w:rsidRDefault="00C63F0D" w:rsidP="00AF11AD">
      <w:pPr>
        <w:spacing w:after="240"/>
        <w:jc w:val="both"/>
        <w:rPr>
          <w:rFonts w:ascii="Arial" w:hAnsi="Arial" w:cs="Arial"/>
        </w:rPr>
      </w:pPr>
      <w:r>
        <w:rPr>
          <w:rFonts w:ascii="Arial" w:hAnsi="Arial" w:cs="Arial"/>
        </w:rPr>
        <w:t xml:space="preserve">Table </w:t>
      </w:r>
      <w:r w:rsidR="00D7797B">
        <w:rPr>
          <w:rFonts w:ascii="Arial" w:hAnsi="Arial" w:cs="Arial"/>
        </w:rPr>
        <w:t>2</w:t>
      </w:r>
      <w:r>
        <w:rPr>
          <w:rFonts w:ascii="Arial" w:hAnsi="Arial" w:cs="Arial"/>
        </w:rPr>
        <w:t xml:space="preserve"> </w:t>
      </w:r>
      <w:r w:rsidR="00D7797B">
        <w:rPr>
          <w:rFonts w:ascii="Arial" w:hAnsi="Arial" w:cs="Arial"/>
        </w:rPr>
        <w:t xml:space="preserve">presents </w:t>
      </w:r>
      <w:r w:rsidR="00FB52AA">
        <w:rPr>
          <w:rFonts w:ascii="Arial" w:hAnsi="Arial" w:cs="Arial"/>
        </w:rPr>
        <w:t xml:space="preserve">the supply variables that were </w:t>
      </w:r>
      <w:r>
        <w:rPr>
          <w:rFonts w:ascii="Arial" w:hAnsi="Arial" w:cs="Arial"/>
        </w:rPr>
        <w:t>previously ex</w:t>
      </w:r>
      <w:r w:rsidR="00FB52AA">
        <w:rPr>
          <w:rFonts w:ascii="Arial" w:hAnsi="Arial" w:cs="Arial"/>
        </w:rPr>
        <w:t>plored in the 2007 NRAC review</w:t>
      </w:r>
      <w:r w:rsidR="00D7797B">
        <w:rPr>
          <w:rFonts w:ascii="Arial" w:hAnsi="Arial" w:cs="Arial"/>
        </w:rPr>
        <w:t xml:space="preserve">. </w:t>
      </w:r>
      <w:r w:rsidR="00302B8B" w:rsidRPr="00551B78">
        <w:rPr>
          <w:rFonts w:ascii="Arial" w:hAnsi="Arial" w:cs="Arial"/>
        </w:rPr>
        <w:t xml:space="preserve">Annex </w:t>
      </w:r>
      <w:proofErr w:type="gramStart"/>
      <w:r w:rsidR="00302B8B" w:rsidRPr="00551B78">
        <w:rPr>
          <w:rFonts w:ascii="Arial" w:hAnsi="Arial" w:cs="Arial"/>
        </w:rPr>
        <w:t>A</w:t>
      </w:r>
      <w:proofErr w:type="gramEnd"/>
      <w:r w:rsidR="00302B8B" w:rsidRPr="00551B78">
        <w:rPr>
          <w:rFonts w:ascii="Arial" w:hAnsi="Arial" w:cs="Arial"/>
        </w:rPr>
        <w:t xml:space="preserve"> </w:t>
      </w:r>
      <w:r w:rsidR="00302B8B">
        <w:rPr>
          <w:rFonts w:ascii="Arial" w:hAnsi="Arial" w:cs="Arial"/>
        </w:rPr>
        <w:t>gives</w:t>
      </w:r>
      <w:r w:rsidR="00302B8B" w:rsidRPr="00551B78">
        <w:rPr>
          <w:rFonts w:ascii="Arial" w:hAnsi="Arial" w:cs="Arial"/>
        </w:rPr>
        <w:t xml:space="preserve"> the exact formulation of </w:t>
      </w:r>
      <w:r w:rsidR="00302B8B">
        <w:rPr>
          <w:rFonts w:ascii="Arial" w:hAnsi="Arial" w:cs="Arial"/>
        </w:rPr>
        <w:t>each variable.</w:t>
      </w:r>
    </w:p>
    <w:p w:rsidR="00C63F0D" w:rsidRPr="00551B78" w:rsidRDefault="00302B8B" w:rsidP="00C63F0D">
      <w:pPr>
        <w:spacing w:after="240"/>
        <w:jc w:val="both"/>
        <w:rPr>
          <w:rFonts w:ascii="Arial" w:hAnsi="Arial" w:cs="Arial"/>
          <w:i/>
        </w:rPr>
      </w:pPr>
      <w:r>
        <w:rPr>
          <w:rFonts w:ascii="Arial" w:hAnsi="Arial" w:cs="Arial"/>
        </w:rPr>
        <w:t>The</w:t>
      </w:r>
      <w:r w:rsidR="00C63F0D" w:rsidRPr="00C87B46">
        <w:rPr>
          <w:rFonts w:ascii="Arial" w:hAnsi="Arial" w:cs="Arial"/>
        </w:rPr>
        <w:t xml:space="preserve"> IA and OA measures</w:t>
      </w:r>
      <w:r w:rsidR="00C63F0D" w:rsidRPr="00551B78">
        <w:rPr>
          <w:rFonts w:ascii="Arial" w:hAnsi="Arial" w:cs="Arial"/>
        </w:rPr>
        <w:t xml:space="preserve"> were not recommended in Technical Report D </w:t>
      </w:r>
      <w:r>
        <w:rPr>
          <w:rFonts w:ascii="Arial" w:hAnsi="Arial" w:cs="Arial"/>
        </w:rPr>
        <w:t xml:space="preserve">of the NRAC review </w:t>
      </w:r>
      <w:r w:rsidR="00C63F0D" w:rsidRPr="00551B78">
        <w:rPr>
          <w:rFonts w:ascii="Arial" w:hAnsi="Arial" w:cs="Arial"/>
        </w:rPr>
        <w:t xml:space="preserve">since they tend to be biased by institutions with very small capacity. Also, in </w:t>
      </w:r>
      <w:r w:rsidR="00C63F0D" w:rsidRPr="00682F24">
        <w:rPr>
          <w:rFonts w:ascii="Arial" w:hAnsi="Arial" w:cs="Arial"/>
        </w:rPr>
        <w:t xml:space="preserve">relation to IPAC and OPAC, Technical Report </w:t>
      </w:r>
      <w:r w:rsidR="00C63F0D">
        <w:rPr>
          <w:rFonts w:ascii="Arial" w:hAnsi="Arial" w:cs="Arial"/>
        </w:rPr>
        <w:t>D states</w:t>
      </w:r>
      <w:r w:rsidR="00C63F0D" w:rsidRPr="00551B78">
        <w:rPr>
          <w:rFonts w:ascii="Arial" w:hAnsi="Arial" w:cs="Arial"/>
        </w:rPr>
        <w:t xml:space="preserve">: </w:t>
      </w:r>
    </w:p>
    <w:p w:rsidR="00C63F0D" w:rsidRDefault="00C63F0D" w:rsidP="00C63F0D">
      <w:pPr>
        <w:pStyle w:val="ListParagraph"/>
        <w:spacing w:after="240"/>
        <w:ind w:left="360"/>
        <w:jc w:val="both"/>
        <w:rPr>
          <w:rFonts w:ascii="Arial" w:hAnsi="Arial" w:cs="Arial"/>
          <w:i/>
        </w:rPr>
      </w:pPr>
      <w:r w:rsidRPr="002E5502">
        <w:rPr>
          <w:rFonts w:ascii="Arial" w:hAnsi="Arial" w:cs="Arial"/>
          <w:i/>
        </w:rPr>
        <w:t>“Though intuitively attractive, this method appears to overcompensate for population effects – especially in the Western Isles and Shetland. Although the hospitals are relatively small, the numbers in the catchment populations are also small, leading to values for (population corrected supply) that exceed those in central Glasgow. Because of our concern at the scale of the attraction constrained correction, only the two uncorrected measures (OPACX and IPACX) were used in the index development.”</w:t>
      </w:r>
    </w:p>
    <w:p w:rsidR="00D7797B" w:rsidRPr="00551B78" w:rsidRDefault="00D7797B" w:rsidP="00D7797B">
      <w:pPr>
        <w:spacing w:after="240"/>
        <w:jc w:val="both"/>
        <w:rPr>
          <w:rFonts w:ascii="Arial" w:hAnsi="Arial" w:cs="Arial"/>
        </w:rPr>
      </w:pPr>
      <w:r>
        <w:rPr>
          <w:rFonts w:ascii="Arial" w:hAnsi="Arial" w:cs="Arial"/>
        </w:rPr>
        <w:t xml:space="preserve">NRAC finally </w:t>
      </w:r>
      <w:r w:rsidR="00302B8B">
        <w:rPr>
          <w:rFonts w:ascii="Arial" w:hAnsi="Arial" w:cs="Arial"/>
        </w:rPr>
        <w:t xml:space="preserve">adopted only </w:t>
      </w:r>
      <w:r w:rsidR="00302B8B" w:rsidRPr="00C63F0D">
        <w:rPr>
          <w:rFonts w:ascii="Arial" w:hAnsi="Arial" w:cs="Arial"/>
        </w:rPr>
        <w:t>IPACX and OPACX</w:t>
      </w:r>
      <w:r w:rsidR="00302B8B">
        <w:rPr>
          <w:rFonts w:ascii="Arial" w:hAnsi="Arial" w:cs="Arial"/>
        </w:rPr>
        <w:t xml:space="preserve"> </w:t>
      </w:r>
      <w:r w:rsidR="00302B8B" w:rsidRPr="00C63F0D">
        <w:rPr>
          <w:rFonts w:ascii="Arial" w:hAnsi="Arial" w:cs="Arial"/>
        </w:rPr>
        <w:t xml:space="preserve">(in addition to the Health Board dummies) </w:t>
      </w:r>
      <w:r w:rsidR="00302B8B">
        <w:rPr>
          <w:rFonts w:ascii="Arial" w:hAnsi="Arial" w:cs="Arial"/>
        </w:rPr>
        <w:t>as the supply model for the formula</w:t>
      </w:r>
      <w:r w:rsidR="00C63F0D" w:rsidRPr="00C63F0D">
        <w:rPr>
          <w:rFonts w:ascii="Arial" w:hAnsi="Arial" w:cs="Arial"/>
        </w:rPr>
        <w:t>.</w:t>
      </w:r>
      <w:r w:rsidR="00092E5E">
        <w:rPr>
          <w:rFonts w:ascii="Arial" w:hAnsi="Arial" w:cs="Arial"/>
        </w:rPr>
        <w:t xml:space="preserve"> </w:t>
      </w:r>
      <w:r w:rsidR="00302B8B">
        <w:rPr>
          <w:rFonts w:ascii="Arial" w:hAnsi="Arial" w:cs="Arial"/>
        </w:rPr>
        <w:t>This supply model is</w:t>
      </w:r>
      <w:r w:rsidR="00092E5E">
        <w:rPr>
          <w:rFonts w:ascii="Arial" w:hAnsi="Arial" w:cs="Arial"/>
        </w:rPr>
        <w:t xml:space="preserve"> used across </w:t>
      </w:r>
      <w:r w:rsidR="00092E5E" w:rsidRPr="00C63F0D">
        <w:rPr>
          <w:rFonts w:ascii="Arial" w:hAnsi="Arial" w:cs="Arial"/>
        </w:rPr>
        <w:t>all care programmes</w:t>
      </w:r>
      <w:r w:rsidR="00092E5E">
        <w:rPr>
          <w:rFonts w:ascii="Arial" w:hAnsi="Arial" w:cs="Arial"/>
        </w:rPr>
        <w:t>.</w:t>
      </w:r>
      <w:r w:rsidR="00502C98">
        <w:rPr>
          <w:rFonts w:ascii="Arial" w:hAnsi="Arial" w:cs="Arial"/>
        </w:rPr>
        <w:t xml:space="preserve"> However</w:t>
      </w:r>
      <w:r>
        <w:rPr>
          <w:rFonts w:ascii="Arial" w:hAnsi="Arial" w:cs="Arial"/>
        </w:rPr>
        <w:t xml:space="preserve">, more recent analyses in </w:t>
      </w:r>
      <w:r w:rsidR="00502C98">
        <w:rPr>
          <w:rFonts w:ascii="Arial" w:hAnsi="Arial" w:cs="Arial"/>
        </w:rPr>
        <w:t xml:space="preserve">the </w:t>
      </w:r>
      <w:r>
        <w:rPr>
          <w:rFonts w:ascii="Arial" w:hAnsi="Arial" w:cs="Arial"/>
        </w:rPr>
        <w:t>G</w:t>
      </w:r>
      <w:r w:rsidR="00502C98">
        <w:rPr>
          <w:rFonts w:ascii="Arial" w:hAnsi="Arial" w:cs="Arial"/>
        </w:rPr>
        <w:t xml:space="preserve">reater </w:t>
      </w:r>
      <w:r>
        <w:rPr>
          <w:rFonts w:ascii="Arial" w:hAnsi="Arial" w:cs="Arial"/>
        </w:rPr>
        <w:t>G</w:t>
      </w:r>
      <w:r w:rsidR="00502C98">
        <w:rPr>
          <w:rFonts w:ascii="Arial" w:hAnsi="Arial" w:cs="Arial"/>
        </w:rPr>
        <w:t xml:space="preserve">lasgow &amp; </w:t>
      </w:r>
      <w:r>
        <w:rPr>
          <w:rFonts w:ascii="Arial" w:hAnsi="Arial" w:cs="Arial"/>
        </w:rPr>
        <w:t>C</w:t>
      </w:r>
      <w:r w:rsidR="00502C98">
        <w:rPr>
          <w:rFonts w:ascii="Arial" w:hAnsi="Arial" w:cs="Arial"/>
        </w:rPr>
        <w:t>lyde NRAC investigation</w:t>
      </w:r>
      <w:r>
        <w:rPr>
          <w:rFonts w:ascii="Arial" w:hAnsi="Arial" w:cs="Arial"/>
        </w:rPr>
        <w:t xml:space="preserve"> by </w:t>
      </w:r>
      <w:r w:rsidR="00502C98">
        <w:rPr>
          <w:rFonts w:ascii="Arial" w:hAnsi="Arial" w:cs="Arial"/>
        </w:rPr>
        <w:t>Sarah Ba</w:t>
      </w:r>
      <w:r>
        <w:rPr>
          <w:rFonts w:ascii="Arial" w:hAnsi="Arial" w:cs="Arial"/>
        </w:rPr>
        <w:t xml:space="preserve">rry </w:t>
      </w:r>
      <w:r w:rsidR="00502C98">
        <w:rPr>
          <w:rFonts w:ascii="Arial" w:hAnsi="Arial" w:cs="Arial"/>
        </w:rPr>
        <w:t xml:space="preserve">and Alex </w:t>
      </w:r>
      <w:proofErr w:type="spellStart"/>
      <w:r w:rsidR="00502C98">
        <w:rPr>
          <w:rFonts w:ascii="Arial" w:hAnsi="Arial" w:cs="Arial"/>
        </w:rPr>
        <w:t>McConnachie</w:t>
      </w:r>
      <w:proofErr w:type="spellEnd"/>
      <w:r w:rsidR="00502C98">
        <w:rPr>
          <w:rFonts w:ascii="Arial" w:hAnsi="Arial" w:cs="Arial"/>
        </w:rPr>
        <w:t xml:space="preserve"> </w:t>
      </w:r>
      <w:r>
        <w:rPr>
          <w:rFonts w:ascii="Arial" w:hAnsi="Arial" w:cs="Arial"/>
        </w:rPr>
        <w:t>have suggested that we should explore the use of all supply variables again</w:t>
      </w:r>
      <w:r w:rsidR="00302B8B">
        <w:rPr>
          <w:rFonts w:ascii="Arial" w:hAnsi="Arial" w:cs="Arial"/>
        </w:rPr>
        <w:t>.</w:t>
      </w:r>
    </w:p>
    <w:p w:rsidR="004B62B2" w:rsidRDefault="008955CA" w:rsidP="008955CA">
      <w:pPr>
        <w:spacing w:after="240"/>
        <w:jc w:val="both"/>
        <w:rPr>
          <w:rFonts w:ascii="Arial" w:hAnsi="Arial" w:cs="Arial"/>
        </w:rPr>
      </w:pPr>
      <w:r>
        <w:rPr>
          <w:rFonts w:ascii="Arial" w:hAnsi="Arial" w:cs="Arial"/>
        </w:rPr>
        <w:t xml:space="preserve">Some analysis has been carried out on the different supply variables (see Annex B for </w:t>
      </w:r>
      <w:r w:rsidR="00C91C02">
        <w:rPr>
          <w:rFonts w:ascii="Arial" w:hAnsi="Arial" w:cs="Arial"/>
        </w:rPr>
        <w:t xml:space="preserve">the </w:t>
      </w:r>
      <w:r>
        <w:rPr>
          <w:rFonts w:ascii="Arial" w:hAnsi="Arial" w:cs="Arial"/>
        </w:rPr>
        <w:t xml:space="preserve">full results). Firstly, </w:t>
      </w:r>
      <w:r w:rsidR="00C91C02">
        <w:rPr>
          <w:rFonts w:ascii="Arial" w:hAnsi="Arial" w:cs="Arial"/>
        </w:rPr>
        <w:t>correlations were examined between the cost ratios and the supply variables. I</w:t>
      </w:r>
      <w:r>
        <w:rPr>
          <w:rFonts w:ascii="Arial" w:hAnsi="Arial" w:cs="Arial"/>
        </w:rPr>
        <w:t xml:space="preserve">t was found that </w:t>
      </w:r>
      <w:r w:rsidR="000F09F4">
        <w:rPr>
          <w:rFonts w:ascii="Arial" w:hAnsi="Arial" w:cs="Arial"/>
        </w:rPr>
        <w:t xml:space="preserve">IPACX and OPACX are correlated </w:t>
      </w:r>
      <w:r>
        <w:rPr>
          <w:rFonts w:ascii="Arial" w:hAnsi="Arial" w:cs="Arial"/>
        </w:rPr>
        <w:t>most strongly with</w:t>
      </w:r>
      <w:r w:rsidR="000F09F4">
        <w:rPr>
          <w:rFonts w:ascii="Arial" w:hAnsi="Arial" w:cs="Arial"/>
        </w:rPr>
        <w:t xml:space="preserve"> the cost ratios</w:t>
      </w:r>
      <w:r>
        <w:rPr>
          <w:rFonts w:ascii="Arial" w:hAnsi="Arial" w:cs="Arial"/>
        </w:rPr>
        <w:t>; s</w:t>
      </w:r>
      <w:r w:rsidR="000F09F4">
        <w:rPr>
          <w:rFonts w:ascii="Arial" w:hAnsi="Arial" w:cs="Arial"/>
        </w:rPr>
        <w:t xml:space="preserve">everal </w:t>
      </w:r>
      <w:r>
        <w:rPr>
          <w:rFonts w:ascii="Arial" w:hAnsi="Arial" w:cs="Arial"/>
        </w:rPr>
        <w:t xml:space="preserve">of the </w:t>
      </w:r>
      <w:r w:rsidR="000F09F4">
        <w:rPr>
          <w:rFonts w:ascii="Arial" w:hAnsi="Arial" w:cs="Arial"/>
        </w:rPr>
        <w:t xml:space="preserve">other supply variables </w:t>
      </w:r>
      <w:r w:rsidR="00C91C02">
        <w:rPr>
          <w:rFonts w:ascii="Arial" w:hAnsi="Arial" w:cs="Arial"/>
        </w:rPr>
        <w:t xml:space="preserve">showed </w:t>
      </w:r>
      <w:r w:rsidR="000F09F4">
        <w:rPr>
          <w:rFonts w:ascii="Arial" w:hAnsi="Arial" w:cs="Arial"/>
        </w:rPr>
        <w:t>counter-intuitive negative correlations.</w:t>
      </w:r>
      <w:r>
        <w:rPr>
          <w:rFonts w:ascii="Arial" w:hAnsi="Arial" w:cs="Arial"/>
        </w:rPr>
        <w:t xml:space="preserve"> Secondly, regression was carried out using individual (or pairs of) supply variables, with and without the needs indicators; and using sensible combinations of supply variables, with and without the needs indicators. </w:t>
      </w:r>
    </w:p>
    <w:p w:rsidR="008955CA" w:rsidRPr="008A2D4D" w:rsidRDefault="008955CA" w:rsidP="008955CA">
      <w:pPr>
        <w:spacing w:after="240"/>
        <w:jc w:val="both"/>
        <w:rPr>
          <w:rFonts w:ascii="Arial" w:hAnsi="Arial" w:cs="Arial"/>
        </w:rPr>
      </w:pPr>
      <w:r>
        <w:rPr>
          <w:rFonts w:ascii="Arial" w:hAnsi="Arial" w:cs="Arial"/>
        </w:rPr>
        <w:t xml:space="preserve">Across these analyses, IPACX and OPACX consistently perform well compared to the other supply variables. </w:t>
      </w:r>
      <w:r w:rsidR="00302B8B">
        <w:rPr>
          <w:rFonts w:ascii="Arial" w:hAnsi="Arial" w:cs="Arial"/>
        </w:rPr>
        <w:t>A supply model consisting of</w:t>
      </w:r>
      <w:r w:rsidR="00A92F55">
        <w:rPr>
          <w:rFonts w:ascii="Arial" w:hAnsi="Arial" w:cs="Arial"/>
        </w:rPr>
        <w:t xml:space="preserve"> IPACX, OPACX and </w:t>
      </w:r>
      <w:proofErr w:type="spellStart"/>
      <w:r>
        <w:rPr>
          <w:rFonts w:ascii="Arial" w:hAnsi="Arial" w:cs="Arial"/>
        </w:rPr>
        <w:t>GPSup</w:t>
      </w:r>
      <w:proofErr w:type="spellEnd"/>
      <w:r>
        <w:rPr>
          <w:rFonts w:ascii="Arial" w:hAnsi="Arial" w:cs="Arial"/>
        </w:rPr>
        <w:t xml:space="preserve"> </w:t>
      </w:r>
      <w:r w:rsidR="00A92F55">
        <w:rPr>
          <w:rFonts w:ascii="Arial" w:hAnsi="Arial" w:cs="Arial"/>
        </w:rPr>
        <w:t xml:space="preserve">(in addition to the Health Board dummies) also produces good results; </w:t>
      </w:r>
      <w:proofErr w:type="spellStart"/>
      <w:r w:rsidR="00A92F55">
        <w:rPr>
          <w:rFonts w:ascii="Arial" w:hAnsi="Arial" w:cs="Arial"/>
        </w:rPr>
        <w:t>GPSup</w:t>
      </w:r>
      <w:proofErr w:type="spellEnd"/>
      <w:r w:rsidR="00A92F55">
        <w:rPr>
          <w:rFonts w:ascii="Arial" w:hAnsi="Arial" w:cs="Arial"/>
        </w:rPr>
        <w:t xml:space="preserve"> </w:t>
      </w:r>
      <w:r>
        <w:rPr>
          <w:rFonts w:ascii="Arial" w:hAnsi="Arial" w:cs="Arial"/>
        </w:rPr>
        <w:t>has close to zero c</w:t>
      </w:r>
      <w:r w:rsidR="00302B8B">
        <w:rPr>
          <w:rFonts w:ascii="Arial" w:hAnsi="Arial" w:cs="Arial"/>
        </w:rPr>
        <w:t>orrelation with IPACX and OPACX</w:t>
      </w:r>
      <w:r w:rsidR="00A92F55">
        <w:rPr>
          <w:rFonts w:ascii="Arial" w:hAnsi="Arial" w:cs="Arial"/>
        </w:rPr>
        <w:t>, meaning that</w:t>
      </w:r>
      <w:r w:rsidR="00302B8B">
        <w:rPr>
          <w:rFonts w:ascii="Arial" w:hAnsi="Arial" w:cs="Arial"/>
        </w:rPr>
        <w:t xml:space="preserve"> it can be considered to represent a separate aspect of supply and does not duplicate the</w:t>
      </w:r>
      <w:r w:rsidR="004B62B2">
        <w:rPr>
          <w:rFonts w:ascii="Arial" w:hAnsi="Arial" w:cs="Arial"/>
        </w:rPr>
        <w:t>ir</w:t>
      </w:r>
      <w:r w:rsidR="00302B8B">
        <w:rPr>
          <w:rFonts w:ascii="Arial" w:hAnsi="Arial" w:cs="Arial"/>
        </w:rPr>
        <w:t xml:space="preserve"> effect.</w:t>
      </w:r>
      <w:r>
        <w:rPr>
          <w:rFonts w:ascii="Arial" w:hAnsi="Arial" w:cs="Arial"/>
        </w:rPr>
        <w:t xml:space="preserve"> However, the original supply model – IPACX &amp; OPACX – </w:t>
      </w:r>
      <w:r w:rsidR="004B62B2">
        <w:rPr>
          <w:rFonts w:ascii="Arial" w:hAnsi="Arial" w:cs="Arial"/>
        </w:rPr>
        <w:t xml:space="preserve">performs just as well in a full regression, and to retain it would keep the Acute model </w:t>
      </w:r>
      <w:r>
        <w:rPr>
          <w:rFonts w:ascii="Arial" w:hAnsi="Arial" w:cs="Arial"/>
        </w:rPr>
        <w:t xml:space="preserve">consistent with what is used in the other care programmes. </w:t>
      </w:r>
      <w:r w:rsidR="004B62B2">
        <w:rPr>
          <w:rFonts w:ascii="Arial" w:hAnsi="Arial" w:cs="Arial"/>
        </w:rPr>
        <w:t>The TAGRA core criteria of practicality and face validity would suggest the latter choice.</w:t>
      </w:r>
    </w:p>
    <w:p w:rsidR="00C63F0D" w:rsidRPr="0031471A" w:rsidRDefault="008A2D4D" w:rsidP="00C63F0D">
      <w:pPr>
        <w:pStyle w:val="ListParagraph"/>
        <w:ind w:left="0"/>
        <w:jc w:val="both"/>
        <w:rPr>
          <w:rFonts w:ascii="Arial" w:hAnsi="Arial" w:cs="Arial"/>
          <w:b/>
        </w:rPr>
      </w:pPr>
      <w:r>
        <w:rPr>
          <w:rFonts w:ascii="Arial" w:hAnsi="Arial" w:cs="Arial"/>
          <w:b/>
        </w:rPr>
        <w:t xml:space="preserve">Q2: </w:t>
      </w:r>
      <w:r w:rsidR="0031471A" w:rsidRPr="0031471A">
        <w:rPr>
          <w:rFonts w:ascii="Arial" w:hAnsi="Arial" w:cs="Arial"/>
          <w:b/>
        </w:rPr>
        <w:t xml:space="preserve">The Subgroup is asked to </w:t>
      </w:r>
      <w:r w:rsidR="004B62B2">
        <w:rPr>
          <w:rFonts w:ascii="Arial" w:hAnsi="Arial" w:cs="Arial"/>
          <w:b/>
        </w:rPr>
        <w:t xml:space="preserve">approve the </w:t>
      </w:r>
      <w:r w:rsidR="00502C98">
        <w:rPr>
          <w:rFonts w:ascii="Arial" w:hAnsi="Arial" w:cs="Arial"/>
          <w:b/>
        </w:rPr>
        <w:t>suggestion to retain</w:t>
      </w:r>
      <w:r w:rsidR="0031471A" w:rsidRPr="0031471A">
        <w:rPr>
          <w:rFonts w:ascii="Arial" w:hAnsi="Arial" w:cs="Arial"/>
          <w:b/>
        </w:rPr>
        <w:t xml:space="preserve"> the existing supply </w:t>
      </w:r>
      <w:r w:rsidR="00502C98">
        <w:rPr>
          <w:rFonts w:ascii="Arial" w:hAnsi="Arial" w:cs="Arial"/>
          <w:b/>
        </w:rPr>
        <w:t>variables</w:t>
      </w:r>
      <w:r w:rsidR="0031471A" w:rsidRPr="0031471A">
        <w:rPr>
          <w:rFonts w:ascii="Arial" w:hAnsi="Arial" w:cs="Arial"/>
          <w:b/>
        </w:rPr>
        <w:t xml:space="preserve"> (IPACX and OPACX</w:t>
      </w:r>
      <w:r w:rsidR="00502C98">
        <w:rPr>
          <w:rFonts w:ascii="Arial" w:hAnsi="Arial" w:cs="Arial"/>
          <w:b/>
        </w:rPr>
        <w:t>, plus health board dummies</w:t>
      </w:r>
      <w:r w:rsidR="0031471A" w:rsidRPr="0031471A">
        <w:rPr>
          <w:rFonts w:ascii="Arial" w:hAnsi="Arial" w:cs="Arial"/>
          <w:b/>
        </w:rPr>
        <w:t>)</w:t>
      </w:r>
      <w:r w:rsidR="00502C98">
        <w:rPr>
          <w:rFonts w:ascii="Arial" w:hAnsi="Arial" w:cs="Arial"/>
          <w:b/>
        </w:rPr>
        <w:t xml:space="preserve"> for the Acute MLC model</w:t>
      </w:r>
      <w:r w:rsidR="0031471A" w:rsidRPr="0031471A">
        <w:rPr>
          <w:rFonts w:ascii="Arial" w:hAnsi="Arial" w:cs="Arial"/>
          <w:b/>
        </w:rPr>
        <w:t>.</w:t>
      </w:r>
      <w:r w:rsidR="00C63F0D" w:rsidRPr="0031471A">
        <w:rPr>
          <w:rFonts w:ascii="Arial" w:hAnsi="Arial" w:cs="Arial"/>
          <w:b/>
        </w:rPr>
        <w:t xml:space="preserve"> </w:t>
      </w:r>
    </w:p>
    <w:p w:rsidR="00AB2DE4" w:rsidRDefault="00AB2DE4" w:rsidP="00A44D23">
      <w:pPr>
        <w:rPr>
          <w:rFonts w:ascii="Arial" w:hAnsi="Arial" w:cs="Arial"/>
        </w:rPr>
      </w:pPr>
    </w:p>
    <w:p w:rsidR="00C63F0D" w:rsidRPr="00C63F0D" w:rsidRDefault="00C63F0D" w:rsidP="00A44D23">
      <w:pPr>
        <w:rPr>
          <w:rFonts w:ascii="Arial" w:hAnsi="Arial" w:cs="Arial"/>
          <w:b/>
        </w:rPr>
      </w:pPr>
      <w:r w:rsidRPr="00C63F0D">
        <w:rPr>
          <w:rFonts w:ascii="Arial" w:hAnsi="Arial" w:cs="Arial"/>
          <w:b/>
        </w:rPr>
        <w:t>4. Methodology for selecting the needs indicators</w:t>
      </w:r>
    </w:p>
    <w:p w:rsidR="00C63F0D" w:rsidRPr="00C63F0D" w:rsidRDefault="00C63F0D" w:rsidP="00C63F0D">
      <w:pPr>
        <w:jc w:val="both"/>
        <w:rPr>
          <w:rFonts w:ascii="Arial" w:hAnsi="Arial" w:cs="Arial"/>
        </w:rPr>
      </w:pPr>
      <w:r w:rsidRPr="00C63F0D">
        <w:rPr>
          <w:rFonts w:ascii="Arial" w:hAnsi="Arial" w:cs="Arial"/>
        </w:rPr>
        <w:t xml:space="preserve">This section </w:t>
      </w:r>
      <w:r>
        <w:rPr>
          <w:rFonts w:ascii="Arial" w:hAnsi="Arial" w:cs="Arial"/>
        </w:rPr>
        <w:t xml:space="preserve">summarises </w:t>
      </w:r>
      <w:r w:rsidRPr="00C63F0D">
        <w:rPr>
          <w:rFonts w:ascii="Arial" w:hAnsi="Arial" w:cs="Arial"/>
        </w:rPr>
        <w:t xml:space="preserve">the </w:t>
      </w:r>
      <w:r>
        <w:rPr>
          <w:rFonts w:ascii="Arial" w:hAnsi="Arial" w:cs="Arial"/>
        </w:rPr>
        <w:t xml:space="preserve">2007 </w:t>
      </w:r>
      <w:r w:rsidRPr="00C63F0D">
        <w:rPr>
          <w:rFonts w:ascii="Arial" w:hAnsi="Arial" w:cs="Arial"/>
        </w:rPr>
        <w:t xml:space="preserve">methodology for </w:t>
      </w:r>
      <w:r>
        <w:rPr>
          <w:rFonts w:ascii="Arial" w:hAnsi="Arial" w:cs="Arial"/>
        </w:rPr>
        <w:t>selecting the needs indicators, from Technical Report D</w:t>
      </w:r>
      <w:r w:rsidRPr="00C63F0D">
        <w:rPr>
          <w:rFonts w:ascii="Arial" w:hAnsi="Arial" w:cs="Arial"/>
        </w:rPr>
        <w:t xml:space="preserve">. </w:t>
      </w:r>
      <w:r>
        <w:rPr>
          <w:rFonts w:ascii="Arial" w:hAnsi="Arial" w:cs="Arial"/>
        </w:rPr>
        <w:t>AST have discussed the methodology and regard it as a good basis for the Acute MLC review.</w:t>
      </w:r>
    </w:p>
    <w:p w:rsidR="00C63F0D" w:rsidRPr="00A8797C" w:rsidRDefault="00C63F0D" w:rsidP="00A4485F">
      <w:pPr>
        <w:spacing w:after="120"/>
        <w:jc w:val="both"/>
        <w:rPr>
          <w:rFonts w:ascii="Arial" w:hAnsi="Arial" w:cs="Arial"/>
          <w:u w:val="single"/>
        </w:rPr>
      </w:pPr>
      <w:r w:rsidRPr="00A8797C">
        <w:rPr>
          <w:rFonts w:ascii="Arial" w:hAnsi="Arial" w:cs="Arial"/>
          <w:u w:val="single"/>
        </w:rPr>
        <w:lastRenderedPageBreak/>
        <w:t>Preliminary selection of the candidate variables and regressions</w:t>
      </w:r>
    </w:p>
    <w:p w:rsidR="00C63F0D" w:rsidRDefault="00C63F0D" w:rsidP="00A4485F">
      <w:pPr>
        <w:pStyle w:val="ListParagraph"/>
        <w:numPr>
          <w:ilvl w:val="0"/>
          <w:numId w:val="21"/>
        </w:numPr>
        <w:spacing w:after="120"/>
        <w:contextualSpacing w:val="0"/>
        <w:jc w:val="both"/>
        <w:rPr>
          <w:rFonts w:ascii="Arial" w:hAnsi="Arial" w:cs="Arial"/>
        </w:rPr>
      </w:pPr>
      <w:r>
        <w:rPr>
          <w:rFonts w:ascii="Arial" w:hAnsi="Arial" w:cs="Arial"/>
        </w:rPr>
        <w:t xml:space="preserve">Allocate the candidate variables to the appropriate topic/category. </w:t>
      </w:r>
    </w:p>
    <w:p w:rsidR="00C63F0D" w:rsidRDefault="00C63F0D" w:rsidP="00A4485F">
      <w:pPr>
        <w:pStyle w:val="ListParagraph"/>
        <w:numPr>
          <w:ilvl w:val="0"/>
          <w:numId w:val="22"/>
        </w:numPr>
        <w:spacing w:after="120"/>
        <w:ind w:left="1434" w:hanging="357"/>
        <w:jc w:val="both"/>
        <w:rPr>
          <w:rFonts w:ascii="Arial" w:hAnsi="Arial" w:cs="Arial"/>
        </w:rPr>
      </w:pPr>
      <w:r>
        <w:rPr>
          <w:rFonts w:ascii="Arial" w:hAnsi="Arial" w:cs="Arial"/>
        </w:rPr>
        <w:t>Births and deaths</w:t>
      </w:r>
    </w:p>
    <w:p w:rsidR="00C63F0D" w:rsidRDefault="00C63F0D" w:rsidP="00A4485F">
      <w:pPr>
        <w:pStyle w:val="ListParagraph"/>
        <w:numPr>
          <w:ilvl w:val="0"/>
          <w:numId w:val="22"/>
        </w:numPr>
        <w:spacing w:after="120"/>
        <w:ind w:left="1434" w:hanging="357"/>
        <w:jc w:val="both"/>
        <w:rPr>
          <w:rFonts w:ascii="Arial" w:hAnsi="Arial" w:cs="Arial"/>
        </w:rPr>
      </w:pPr>
      <w:r>
        <w:rPr>
          <w:rFonts w:ascii="Arial" w:hAnsi="Arial" w:cs="Arial"/>
        </w:rPr>
        <w:t>Income and Employment variables</w:t>
      </w:r>
    </w:p>
    <w:p w:rsidR="00C63F0D" w:rsidRDefault="00C63F0D" w:rsidP="00A4485F">
      <w:pPr>
        <w:pStyle w:val="ListParagraph"/>
        <w:numPr>
          <w:ilvl w:val="0"/>
          <w:numId w:val="22"/>
        </w:numPr>
        <w:spacing w:after="120"/>
        <w:ind w:left="1434" w:hanging="357"/>
        <w:jc w:val="both"/>
        <w:rPr>
          <w:rFonts w:ascii="Arial" w:hAnsi="Arial" w:cs="Arial"/>
        </w:rPr>
      </w:pPr>
      <w:r>
        <w:rPr>
          <w:rFonts w:ascii="Arial" w:hAnsi="Arial" w:cs="Arial"/>
        </w:rPr>
        <w:t>Health/morbidity and providing unpaid care</w:t>
      </w:r>
    </w:p>
    <w:p w:rsidR="00C63F0D" w:rsidRPr="00A4485F" w:rsidRDefault="00C63F0D" w:rsidP="00A4485F">
      <w:pPr>
        <w:pStyle w:val="ListParagraph"/>
        <w:numPr>
          <w:ilvl w:val="0"/>
          <w:numId w:val="22"/>
        </w:numPr>
        <w:spacing w:after="120"/>
        <w:contextualSpacing w:val="0"/>
        <w:jc w:val="both"/>
        <w:rPr>
          <w:rFonts w:ascii="Arial" w:hAnsi="Arial" w:cs="Arial"/>
        </w:rPr>
      </w:pPr>
      <w:r>
        <w:rPr>
          <w:rFonts w:ascii="Arial" w:hAnsi="Arial" w:cs="Arial"/>
        </w:rPr>
        <w:t xml:space="preserve">Deprivation </w:t>
      </w:r>
    </w:p>
    <w:p w:rsidR="00627C62" w:rsidRDefault="00627C62" w:rsidP="00A4485F">
      <w:pPr>
        <w:pStyle w:val="ListParagraph"/>
        <w:numPr>
          <w:ilvl w:val="0"/>
          <w:numId w:val="21"/>
        </w:numPr>
        <w:spacing w:after="120"/>
        <w:contextualSpacing w:val="0"/>
        <w:jc w:val="both"/>
        <w:rPr>
          <w:rFonts w:ascii="Arial" w:hAnsi="Arial" w:cs="Arial"/>
        </w:rPr>
      </w:pPr>
      <w:r>
        <w:rPr>
          <w:rFonts w:ascii="Arial" w:hAnsi="Arial" w:cs="Arial"/>
        </w:rPr>
        <w:t xml:space="preserve">For each topic, compute the inter-correlation. </w:t>
      </w:r>
    </w:p>
    <w:p w:rsidR="00627C62" w:rsidRDefault="00627C62" w:rsidP="00A4485F">
      <w:pPr>
        <w:pStyle w:val="ListParagraph"/>
        <w:numPr>
          <w:ilvl w:val="0"/>
          <w:numId w:val="23"/>
        </w:numPr>
        <w:spacing w:after="120"/>
        <w:ind w:left="1434" w:hanging="357"/>
        <w:jc w:val="both"/>
        <w:rPr>
          <w:rFonts w:ascii="Arial" w:hAnsi="Arial" w:cs="Arial"/>
        </w:rPr>
      </w:pPr>
      <w:r>
        <w:rPr>
          <w:rFonts w:ascii="Arial" w:hAnsi="Arial" w:cs="Arial"/>
        </w:rPr>
        <w:t xml:space="preserve">Retain candidate variables with low inter-correlations </w:t>
      </w:r>
      <w:r w:rsidRPr="00056437">
        <w:rPr>
          <w:rFonts w:ascii="Arial" w:hAnsi="Arial" w:cs="Arial"/>
        </w:rPr>
        <w:sym w:font="Wingdings" w:char="F0E0"/>
      </w:r>
      <w:r>
        <w:rPr>
          <w:rFonts w:ascii="Arial" w:hAnsi="Arial" w:cs="Arial"/>
        </w:rPr>
        <w:t xml:space="preserve"> Go to step 4.</w:t>
      </w:r>
    </w:p>
    <w:p w:rsidR="00627C62" w:rsidRPr="00A4485F" w:rsidRDefault="00627C62" w:rsidP="00A4485F">
      <w:pPr>
        <w:pStyle w:val="ListParagraph"/>
        <w:numPr>
          <w:ilvl w:val="0"/>
          <w:numId w:val="23"/>
        </w:numPr>
        <w:spacing w:after="120"/>
        <w:contextualSpacing w:val="0"/>
        <w:jc w:val="both"/>
        <w:rPr>
          <w:rFonts w:ascii="Arial" w:hAnsi="Arial" w:cs="Arial"/>
        </w:rPr>
      </w:pPr>
      <w:r>
        <w:rPr>
          <w:rFonts w:ascii="Arial" w:hAnsi="Arial" w:cs="Arial"/>
        </w:rPr>
        <w:t xml:space="preserve">Group pairs of candidate variables with very high inter-correlations to form subgroups. </w:t>
      </w:r>
      <w:r w:rsidRPr="004E49A4">
        <w:rPr>
          <w:rFonts w:ascii="Arial" w:hAnsi="Arial" w:cs="Arial"/>
        </w:rPr>
        <w:sym w:font="Wingdings" w:char="F0E0"/>
      </w:r>
      <w:r w:rsidRPr="004E49A4">
        <w:rPr>
          <w:rFonts w:ascii="Arial" w:hAnsi="Arial" w:cs="Arial"/>
        </w:rPr>
        <w:t xml:space="preserve"> </w:t>
      </w:r>
      <w:r>
        <w:rPr>
          <w:rFonts w:ascii="Arial" w:hAnsi="Arial" w:cs="Arial"/>
        </w:rPr>
        <w:t>Go to step 3.</w:t>
      </w:r>
      <w:r w:rsidRPr="00F12761">
        <w:rPr>
          <w:rFonts w:ascii="Arial" w:hAnsi="Arial" w:cs="Arial"/>
        </w:rPr>
        <w:t xml:space="preserve"> </w:t>
      </w:r>
    </w:p>
    <w:p w:rsidR="00627C62" w:rsidRDefault="00627C62" w:rsidP="00A4485F">
      <w:pPr>
        <w:pStyle w:val="ListParagraph"/>
        <w:numPr>
          <w:ilvl w:val="0"/>
          <w:numId w:val="21"/>
        </w:numPr>
        <w:spacing w:after="120"/>
        <w:contextualSpacing w:val="0"/>
        <w:jc w:val="both"/>
        <w:rPr>
          <w:rFonts w:ascii="Arial" w:hAnsi="Arial" w:cs="Arial"/>
        </w:rPr>
      </w:pPr>
      <w:r>
        <w:rPr>
          <w:rFonts w:ascii="Arial" w:hAnsi="Arial" w:cs="Arial"/>
        </w:rPr>
        <w:t xml:space="preserve">For each subgroup, compute the correlation with cost ratios. </w:t>
      </w:r>
    </w:p>
    <w:p w:rsidR="00C63F0D" w:rsidRPr="00A4485F" w:rsidRDefault="00627C62" w:rsidP="00A4485F">
      <w:pPr>
        <w:pStyle w:val="ListParagraph"/>
        <w:numPr>
          <w:ilvl w:val="0"/>
          <w:numId w:val="24"/>
        </w:numPr>
        <w:spacing w:after="120"/>
        <w:contextualSpacing w:val="0"/>
        <w:jc w:val="both"/>
        <w:rPr>
          <w:rFonts w:ascii="Arial" w:hAnsi="Arial" w:cs="Arial"/>
        </w:rPr>
      </w:pPr>
      <w:r>
        <w:rPr>
          <w:rFonts w:ascii="Arial" w:hAnsi="Arial" w:cs="Arial"/>
        </w:rPr>
        <w:t>Eliminate near duplicates for each subgroup – retain candidate variable</w:t>
      </w:r>
      <w:r w:rsidR="00A4485F">
        <w:rPr>
          <w:rFonts w:ascii="Arial" w:hAnsi="Arial" w:cs="Arial"/>
        </w:rPr>
        <w:t>s</w:t>
      </w:r>
      <w:r>
        <w:rPr>
          <w:rFonts w:ascii="Arial" w:hAnsi="Arial" w:cs="Arial"/>
        </w:rPr>
        <w:t xml:space="preserve"> that have the highest correlation with cost ratios for most diagnostic groups.  </w:t>
      </w:r>
    </w:p>
    <w:p w:rsidR="00C63F0D" w:rsidRPr="003C3D4D" w:rsidRDefault="00C63F0D" w:rsidP="00A4485F">
      <w:pPr>
        <w:pStyle w:val="ListParagraph"/>
        <w:numPr>
          <w:ilvl w:val="0"/>
          <w:numId w:val="21"/>
        </w:numPr>
        <w:spacing w:after="120"/>
        <w:contextualSpacing w:val="0"/>
        <w:jc w:val="both"/>
        <w:rPr>
          <w:rFonts w:ascii="Arial" w:hAnsi="Arial" w:cs="Arial"/>
        </w:rPr>
      </w:pPr>
      <w:r>
        <w:rPr>
          <w:rFonts w:ascii="Arial" w:hAnsi="Arial" w:cs="Arial"/>
        </w:rPr>
        <w:t>New candidate variables list</w:t>
      </w:r>
      <w:r w:rsidR="00A4485F">
        <w:rPr>
          <w:rFonts w:ascii="Arial" w:hAnsi="Arial" w:cs="Arial"/>
        </w:rPr>
        <w:t xml:space="preserve"> is</w:t>
      </w:r>
      <w:r>
        <w:rPr>
          <w:rFonts w:ascii="Arial" w:hAnsi="Arial" w:cs="Arial"/>
        </w:rPr>
        <w:t xml:space="preserve"> formed. </w:t>
      </w:r>
    </w:p>
    <w:p w:rsidR="00C63F0D" w:rsidRPr="004A01BA" w:rsidRDefault="00C63F0D" w:rsidP="00A4485F">
      <w:pPr>
        <w:pStyle w:val="ListParagraph"/>
        <w:numPr>
          <w:ilvl w:val="0"/>
          <w:numId w:val="21"/>
        </w:numPr>
        <w:spacing w:after="120"/>
        <w:contextualSpacing w:val="0"/>
        <w:jc w:val="both"/>
        <w:rPr>
          <w:rFonts w:ascii="Arial" w:hAnsi="Arial" w:cs="Arial"/>
        </w:rPr>
      </w:pPr>
      <w:r w:rsidRPr="004A01BA">
        <w:rPr>
          <w:rFonts w:ascii="Arial" w:hAnsi="Arial" w:cs="Arial"/>
        </w:rPr>
        <w:t xml:space="preserve">Regress </w:t>
      </w:r>
      <w:r>
        <w:rPr>
          <w:rFonts w:ascii="Arial" w:hAnsi="Arial" w:cs="Arial"/>
        </w:rPr>
        <w:t xml:space="preserve">(stepwise) </w:t>
      </w:r>
      <w:r w:rsidRPr="004A01BA">
        <w:rPr>
          <w:rFonts w:ascii="Arial" w:hAnsi="Arial" w:cs="Arial"/>
        </w:rPr>
        <w:t>cost ratios against supply model with all the new candidate variables.</w:t>
      </w:r>
    </w:p>
    <w:p w:rsidR="00C63F0D" w:rsidRDefault="00C63F0D" w:rsidP="00A4485F">
      <w:pPr>
        <w:pStyle w:val="ListParagraph"/>
        <w:numPr>
          <w:ilvl w:val="0"/>
          <w:numId w:val="25"/>
        </w:numPr>
        <w:spacing w:after="120"/>
        <w:contextualSpacing w:val="0"/>
        <w:jc w:val="both"/>
        <w:rPr>
          <w:rFonts w:ascii="Arial" w:hAnsi="Arial" w:cs="Arial"/>
        </w:rPr>
      </w:pPr>
      <w:r>
        <w:rPr>
          <w:rFonts w:ascii="Arial" w:hAnsi="Arial" w:cs="Arial"/>
        </w:rPr>
        <w:t xml:space="preserve">Display all the statistically significant candidate variables for each diagnostic group in a table. </w:t>
      </w:r>
    </w:p>
    <w:p w:rsidR="00C63F0D" w:rsidRPr="00A8797C" w:rsidRDefault="00C63F0D" w:rsidP="00A4485F">
      <w:pPr>
        <w:spacing w:after="120"/>
        <w:jc w:val="both"/>
        <w:rPr>
          <w:rFonts w:ascii="Arial" w:hAnsi="Arial" w:cs="Arial"/>
          <w:u w:val="single"/>
        </w:rPr>
      </w:pPr>
      <w:r w:rsidRPr="00A8797C">
        <w:rPr>
          <w:rFonts w:ascii="Arial" w:hAnsi="Arial" w:cs="Arial"/>
          <w:u w:val="single"/>
        </w:rPr>
        <w:t>Developing need indexes for the diagnostic groups cost ratios</w:t>
      </w:r>
    </w:p>
    <w:p w:rsidR="00C63F0D" w:rsidRPr="00C61FEB" w:rsidRDefault="00C63F0D" w:rsidP="00A4485F">
      <w:pPr>
        <w:pStyle w:val="ListParagraph"/>
        <w:numPr>
          <w:ilvl w:val="0"/>
          <w:numId w:val="21"/>
        </w:numPr>
        <w:spacing w:after="120"/>
        <w:contextualSpacing w:val="0"/>
        <w:jc w:val="both"/>
        <w:rPr>
          <w:rFonts w:ascii="Arial" w:hAnsi="Arial" w:cs="Arial"/>
        </w:rPr>
      </w:pPr>
      <w:r w:rsidRPr="00C61FEB">
        <w:rPr>
          <w:rFonts w:ascii="Arial" w:hAnsi="Arial" w:cs="Arial"/>
        </w:rPr>
        <w:t xml:space="preserve">Undertake a factor </w:t>
      </w:r>
      <w:r w:rsidR="00A4485F">
        <w:rPr>
          <w:rFonts w:ascii="Arial" w:hAnsi="Arial" w:cs="Arial"/>
        </w:rPr>
        <w:t>a</w:t>
      </w:r>
      <w:r w:rsidRPr="00C61FEB">
        <w:rPr>
          <w:rFonts w:ascii="Arial" w:hAnsi="Arial" w:cs="Arial"/>
        </w:rPr>
        <w:t xml:space="preserve">nalysis </w:t>
      </w:r>
      <w:r w:rsidR="00A4485F">
        <w:rPr>
          <w:rFonts w:ascii="Arial" w:hAnsi="Arial" w:cs="Arial"/>
        </w:rPr>
        <w:t>–</w:t>
      </w:r>
      <w:r w:rsidRPr="00C61FEB">
        <w:rPr>
          <w:rFonts w:ascii="Arial" w:hAnsi="Arial" w:cs="Arial"/>
        </w:rPr>
        <w:t xml:space="preserve"> using</w:t>
      </w:r>
      <w:r w:rsidR="00A4485F">
        <w:rPr>
          <w:rFonts w:ascii="Arial" w:hAnsi="Arial" w:cs="Arial"/>
        </w:rPr>
        <w:t xml:space="preserve"> </w:t>
      </w:r>
      <w:r w:rsidRPr="00C61FEB">
        <w:rPr>
          <w:rFonts w:ascii="Arial" w:hAnsi="Arial" w:cs="Arial"/>
        </w:rPr>
        <w:t xml:space="preserve">principal components </w:t>
      </w:r>
      <w:r w:rsidR="00A4485F">
        <w:rPr>
          <w:rFonts w:ascii="Arial" w:hAnsi="Arial" w:cs="Arial"/>
        </w:rPr>
        <w:t>–</w:t>
      </w:r>
      <w:r w:rsidRPr="00C61FEB">
        <w:rPr>
          <w:rFonts w:ascii="Arial" w:hAnsi="Arial" w:cs="Arial"/>
        </w:rPr>
        <w:t xml:space="preserve"> of</w:t>
      </w:r>
      <w:r w:rsidR="00A4485F">
        <w:rPr>
          <w:rFonts w:ascii="Arial" w:hAnsi="Arial" w:cs="Arial"/>
        </w:rPr>
        <w:t xml:space="preserve"> </w:t>
      </w:r>
      <w:r w:rsidRPr="00C61FEB">
        <w:rPr>
          <w:rFonts w:ascii="Arial" w:hAnsi="Arial" w:cs="Arial"/>
        </w:rPr>
        <w:t xml:space="preserve">the new candidate variables. </w:t>
      </w:r>
    </w:p>
    <w:p w:rsidR="00C63F0D" w:rsidRDefault="00C63F0D" w:rsidP="00A4485F">
      <w:pPr>
        <w:spacing w:after="120"/>
        <w:jc w:val="both"/>
        <w:rPr>
          <w:rFonts w:ascii="Arial" w:hAnsi="Arial" w:cs="Arial"/>
        </w:rPr>
      </w:pPr>
      <w:r>
        <w:rPr>
          <w:rFonts w:ascii="Arial" w:hAnsi="Arial" w:cs="Arial"/>
        </w:rPr>
        <w:t xml:space="preserve">Selection is based on the extent to which each of the ‘raw’ variables appears to reflect the factors or dimensions that are generated by the factor analysis. </w:t>
      </w:r>
    </w:p>
    <w:p w:rsidR="00C63F0D" w:rsidRDefault="00C63F0D" w:rsidP="00A4485F">
      <w:pPr>
        <w:pStyle w:val="ListParagraph"/>
        <w:numPr>
          <w:ilvl w:val="0"/>
          <w:numId w:val="26"/>
        </w:numPr>
        <w:spacing w:after="120"/>
        <w:ind w:left="1434" w:hanging="357"/>
        <w:jc w:val="both"/>
        <w:rPr>
          <w:rFonts w:ascii="Arial" w:hAnsi="Arial" w:cs="Arial"/>
        </w:rPr>
      </w:pPr>
      <w:r w:rsidRPr="000404C6">
        <w:rPr>
          <w:rFonts w:ascii="Arial" w:hAnsi="Arial" w:cs="Arial"/>
        </w:rPr>
        <w:t>Choos</w:t>
      </w:r>
      <w:r>
        <w:rPr>
          <w:rFonts w:ascii="Arial" w:hAnsi="Arial" w:cs="Arial"/>
        </w:rPr>
        <w:t>e the most effective variables.</w:t>
      </w:r>
    </w:p>
    <w:p w:rsidR="00C63F0D" w:rsidRDefault="00C63F0D" w:rsidP="00A4485F">
      <w:pPr>
        <w:pStyle w:val="ListParagraph"/>
        <w:numPr>
          <w:ilvl w:val="0"/>
          <w:numId w:val="26"/>
        </w:numPr>
        <w:spacing w:after="120"/>
        <w:ind w:left="1434" w:hanging="357"/>
        <w:jc w:val="both"/>
        <w:rPr>
          <w:rFonts w:ascii="Arial" w:hAnsi="Arial" w:cs="Arial"/>
        </w:rPr>
      </w:pPr>
      <w:r>
        <w:rPr>
          <w:rFonts w:ascii="Arial" w:hAnsi="Arial" w:cs="Arial"/>
        </w:rPr>
        <w:t xml:space="preserve">The restricted variable set </w:t>
      </w:r>
      <w:r w:rsidR="00A4485F">
        <w:rPr>
          <w:rFonts w:ascii="Arial" w:hAnsi="Arial" w:cs="Arial"/>
        </w:rPr>
        <w:t xml:space="preserve">is </w:t>
      </w:r>
      <w:r>
        <w:rPr>
          <w:rFonts w:ascii="Arial" w:hAnsi="Arial" w:cs="Arial"/>
        </w:rPr>
        <w:t xml:space="preserve">formed. </w:t>
      </w:r>
    </w:p>
    <w:p w:rsidR="00C63F0D" w:rsidRPr="00A4485F" w:rsidRDefault="00C63F0D" w:rsidP="00A4485F">
      <w:pPr>
        <w:pStyle w:val="ListParagraph"/>
        <w:numPr>
          <w:ilvl w:val="0"/>
          <w:numId w:val="26"/>
        </w:numPr>
        <w:spacing w:after="120"/>
        <w:contextualSpacing w:val="0"/>
        <w:jc w:val="both"/>
        <w:rPr>
          <w:rFonts w:ascii="Arial" w:hAnsi="Arial" w:cs="Arial"/>
        </w:rPr>
      </w:pPr>
      <w:r w:rsidRPr="000404C6">
        <w:rPr>
          <w:rFonts w:ascii="Arial" w:hAnsi="Arial" w:cs="Arial"/>
        </w:rPr>
        <w:t xml:space="preserve">Use table from step 5 to check that most of them had appeared in the full stepwise regressions. </w:t>
      </w:r>
    </w:p>
    <w:p w:rsidR="00C63F0D" w:rsidRPr="000404C6" w:rsidRDefault="00C63F0D" w:rsidP="00A4485F">
      <w:pPr>
        <w:pStyle w:val="ListParagraph"/>
        <w:numPr>
          <w:ilvl w:val="0"/>
          <w:numId w:val="21"/>
        </w:numPr>
        <w:spacing w:after="120"/>
        <w:contextualSpacing w:val="0"/>
        <w:jc w:val="both"/>
        <w:rPr>
          <w:rFonts w:ascii="Arial" w:hAnsi="Arial" w:cs="Arial"/>
        </w:rPr>
      </w:pPr>
      <w:r w:rsidRPr="000404C6">
        <w:rPr>
          <w:rFonts w:ascii="Arial" w:hAnsi="Arial" w:cs="Arial"/>
        </w:rPr>
        <w:t>Regress</w:t>
      </w:r>
      <w:r>
        <w:rPr>
          <w:rFonts w:ascii="Arial" w:hAnsi="Arial" w:cs="Arial"/>
        </w:rPr>
        <w:t xml:space="preserve"> (stepwise)</w:t>
      </w:r>
      <w:r w:rsidRPr="000404C6">
        <w:rPr>
          <w:rFonts w:ascii="Arial" w:hAnsi="Arial" w:cs="Arial"/>
        </w:rPr>
        <w:t xml:space="preserve"> cost ratios against supply model with all the </w:t>
      </w:r>
      <w:r>
        <w:rPr>
          <w:rFonts w:ascii="Arial" w:hAnsi="Arial" w:cs="Arial"/>
        </w:rPr>
        <w:t>restricted</w:t>
      </w:r>
      <w:r w:rsidRPr="000404C6">
        <w:rPr>
          <w:rFonts w:ascii="Arial" w:hAnsi="Arial" w:cs="Arial"/>
        </w:rPr>
        <w:t xml:space="preserve"> candidate variables.</w:t>
      </w:r>
    </w:p>
    <w:p w:rsidR="00C63F0D" w:rsidRDefault="00C63F0D" w:rsidP="00A4485F">
      <w:pPr>
        <w:pStyle w:val="ListParagraph"/>
        <w:numPr>
          <w:ilvl w:val="0"/>
          <w:numId w:val="27"/>
        </w:numPr>
        <w:spacing w:after="120"/>
        <w:ind w:left="1434" w:hanging="357"/>
        <w:jc w:val="both"/>
        <w:rPr>
          <w:rFonts w:ascii="Arial" w:hAnsi="Arial" w:cs="Arial"/>
        </w:rPr>
      </w:pPr>
      <w:r>
        <w:rPr>
          <w:rFonts w:ascii="Arial" w:hAnsi="Arial" w:cs="Arial"/>
        </w:rPr>
        <w:t xml:space="preserve">Compare with the original equations – in terms of goodness of fit and the general specification test. </w:t>
      </w:r>
    </w:p>
    <w:p w:rsidR="00C63F0D" w:rsidRDefault="00C63F0D" w:rsidP="00A4485F">
      <w:pPr>
        <w:pStyle w:val="ListParagraph"/>
        <w:numPr>
          <w:ilvl w:val="0"/>
          <w:numId w:val="27"/>
        </w:numPr>
        <w:spacing w:after="120"/>
        <w:ind w:left="1434" w:hanging="357"/>
        <w:jc w:val="both"/>
        <w:rPr>
          <w:rFonts w:ascii="Arial" w:hAnsi="Arial" w:cs="Arial"/>
        </w:rPr>
      </w:pPr>
      <w:r>
        <w:rPr>
          <w:rFonts w:ascii="Arial" w:hAnsi="Arial" w:cs="Arial"/>
        </w:rPr>
        <w:t xml:space="preserve">Compute the coefficients from regressing these variables against the diagnostic groups cost ratios. </w:t>
      </w:r>
    </w:p>
    <w:p w:rsidR="00C63F0D" w:rsidRDefault="00C63F0D" w:rsidP="00A4485F">
      <w:pPr>
        <w:pStyle w:val="ListParagraph"/>
        <w:numPr>
          <w:ilvl w:val="0"/>
          <w:numId w:val="27"/>
        </w:numPr>
        <w:spacing w:after="120"/>
        <w:ind w:left="1434" w:hanging="357"/>
        <w:jc w:val="both"/>
        <w:rPr>
          <w:rFonts w:ascii="Arial" w:hAnsi="Arial" w:cs="Arial"/>
        </w:rPr>
      </w:pPr>
      <w:r>
        <w:rPr>
          <w:rFonts w:ascii="Arial" w:hAnsi="Arial" w:cs="Arial"/>
        </w:rPr>
        <w:t>Highlight variables with coefficients relatively high within the diagnostic groups.</w:t>
      </w:r>
    </w:p>
    <w:p w:rsidR="00C63F0D" w:rsidRDefault="00C63F0D" w:rsidP="00A4485F">
      <w:pPr>
        <w:pStyle w:val="ListParagraph"/>
        <w:numPr>
          <w:ilvl w:val="0"/>
          <w:numId w:val="27"/>
        </w:numPr>
        <w:spacing w:after="120"/>
        <w:ind w:left="1434" w:hanging="357"/>
        <w:jc w:val="both"/>
        <w:rPr>
          <w:rFonts w:ascii="Arial" w:hAnsi="Arial" w:cs="Arial"/>
        </w:rPr>
      </w:pPr>
      <w:r>
        <w:rPr>
          <w:rFonts w:ascii="Arial" w:hAnsi="Arial" w:cs="Arial"/>
        </w:rPr>
        <w:t xml:space="preserve">Select variables that appear often across the diagnostic groups and have high coefficients. </w:t>
      </w:r>
    </w:p>
    <w:p w:rsidR="00C63F0D" w:rsidRPr="00A4485F" w:rsidRDefault="00C63F0D" w:rsidP="00A4485F">
      <w:pPr>
        <w:pStyle w:val="ListParagraph"/>
        <w:numPr>
          <w:ilvl w:val="0"/>
          <w:numId w:val="27"/>
        </w:numPr>
        <w:spacing w:after="120"/>
        <w:contextualSpacing w:val="0"/>
        <w:jc w:val="both"/>
        <w:rPr>
          <w:rFonts w:ascii="Arial" w:hAnsi="Arial" w:cs="Arial"/>
        </w:rPr>
      </w:pPr>
      <w:r>
        <w:rPr>
          <w:rFonts w:ascii="Arial" w:hAnsi="Arial" w:cs="Arial"/>
        </w:rPr>
        <w:t xml:space="preserve">Compute the sum of z-scores for those selected variables to form an index. </w:t>
      </w:r>
    </w:p>
    <w:p w:rsidR="00C63F0D" w:rsidRPr="006A0B11" w:rsidRDefault="00C63F0D" w:rsidP="00A4485F">
      <w:pPr>
        <w:pStyle w:val="ListParagraph"/>
        <w:numPr>
          <w:ilvl w:val="0"/>
          <w:numId w:val="21"/>
        </w:numPr>
        <w:spacing w:after="120"/>
        <w:contextualSpacing w:val="0"/>
        <w:jc w:val="both"/>
        <w:rPr>
          <w:rFonts w:ascii="Arial" w:hAnsi="Arial" w:cs="Arial"/>
        </w:rPr>
      </w:pPr>
      <w:r>
        <w:rPr>
          <w:rFonts w:ascii="Arial" w:hAnsi="Arial" w:cs="Arial"/>
        </w:rPr>
        <w:t xml:space="preserve">Regress </w:t>
      </w:r>
      <w:r w:rsidRPr="000404C6">
        <w:rPr>
          <w:rFonts w:ascii="Arial" w:hAnsi="Arial" w:cs="Arial"/>
        </w:rPr>
        <w:t>cost ratios against supply model with</w:t>
      </w:r>
      <w:r>
        <w:rPr>
          <w:rFonts w:ascii="Arial" w:hAnsi="Arial" w:cs="Arial"/>
        </w:rPr>
        <w:t xml:space="preserve"> the index. </w:t>
      </w:r>
    </w:p>
    <w:p w:rsidR="00C63F0D" w:rsidRDefault="00C63F0D" w:rsidP="00A4485F">
      <w:pPr>
        <w:pStyle w:val="ListParagraph"/>
        <w:numPr>
          <w:ilvl w:val="0"/>
          <w:numId w:val="28"/>
        </w:numPr>
        <w:spacing w:after="120"/>
        <w:contextualSpacing w:val="0"/>
        <w:jc w:val="both"/>
        <w:rPr>
          <w:rFonts w:ascii="Arial" w:hAnsi="Arial" w:cs="Arial"/>
        </w:rPr>
      </w:pPr>
      <w:r>
        <w:rPr>
          <w:rFonts w:ascii="Arial" w:hAnsi="Arial" w:cs="Arial"/>
        </w:rPr>
        <w:t xml:space="preserve">Compare with the original equations – in terms of goodness of fit and the general specification test. </w:t>
      </w:r>
    </w:p>
    <w:p w:rsidR="00C63F0D" w:rsidRDefault="00A8797C" w:rsidP="005F4345">
      <w:pPr>
        <w:jc w:val="both"/>
        <w:rPr>
          <w:rFonts w:ascii="Arial" w:hAnsi="Arial" w:cs="Arial"/>
        </w:rPr>
      </w:pPr>
      <w:r w:rsidRPr="00A8797C">
        <w:rPr>
          <w:rFonts w:ascii="Arial" w:hAnsi="Arial" w:cs="Arial"/>
        </w:rPr>
        <w:lastRenderedPageBreak/>
        <w:t>Figure 2 shows the above methodology in the form of a flowchart. The numbers correspond to the numbers above.</w:t>
      </w:r>
    </w:p>
    <w:p w:rsidR="00822C05" w:rsidRPr="00822C05" w:rsidRDefault="00627C62" w:rsidP="00822C05">
      <w:pPr>
        <w:jc w:val="both"/>
        <w:rPr>
          <w:rFonts w:ascii="Arial" w:hAnsi="Arial" w:cs="Arial"/>
        </w:rPr>
      </w:pPr>
      <w:r>
        <w:rPr>
          <w:rFonts w:ascii="Arial" w:hAnsi="Arial" w:cs="Arial"/>
        </w:rPr>
        <w:t>It is possible that the Subgroup may decide to allow the possibility of different needs indicators in different diagnostic groups. This was recently argued for in the context of the Health Inequalities Impact Assessment discussion. In this case, the final steps from 7</w:t>
      </w:r>
      <w:proofErr w:type="gramStart"/>
      <w:r>
        <w:rPr>
          <w:rFonts w:ascii="Arial" w:hAnsi="Arial" w:cs="Arial"/>
        </w:rPr>
        <w:t>)iii</w:t>
      </w:r>
      <w:proofErr w:type="gramEnd"/>
      <w:r>
        <w:rPr>
          <w:rFonts w:ascii="Arial" w:hAnsi="Arial" w:cs="Arial"/>
        </w:rPr>
        <w:t xml:space="preserve"> onwards would be revised.</w:t>
      </w:r>
    </w:p>
    <w:p w:rsidR="005F4345" w:rsidRDefault="00FC25E0" w:rsidP="00C63F0D">
      <w:pPr>
        <w:rPr>
          <w:rFonts w:ascii="Arial" w:hAnsi="Arial" w:cs="Arial"/>
          <w:i/>
        </w:rPr>
      </w:pPr>
      <w:r>
        <w:rPr>
          <w:rFonts w:ascii="Arial" w:hAnsi="Arial" w:cs="Arial"/>
          <w:i/>
          <w:noProof/>
        </w:rPr>
        <w:drawing>
          <wp:inline distT="0" distB="0" distL="0" distR="0">
            <wp:extent cx="5731510" cy="6486525"/>
            <wp:effectExtent l="19050" t="0" r="2540" b="0"/>
            <wp:docPr id="2" name="Picture 1" descr="C:\Users\chrism29\Downloads\Flow chart (1) (1)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m29\Downloads\Flow chart (1) (1) (1) (1).png"/>
                    <pic:cNvPicPr>
                      <a:picLocks noChangeAspect="1" noChangeArrowheads="1"/>
                    </pic:cNvPicPr>
                  </pic:nvPicPr>
                  <pic:blipFill>
                    <a:blip r:embed="rId10" cstate="print"/>
                    <a:srcRect/>
                    <a:stretch>
                      <a:fillRect/>
                    </a:stretch>
                  </pic:blipFill>
                  <pic:spPr bwMode="auto">
                    <a:xfrm>
                      <a:off x="0" y="0"/>
                      <a:ext cx="5731510" cy="6486525"/>
                    </a:xfrm>
                    <a:prstGeom prst="rect">
                      <a:avLst/>
                    </a:prstGeom>
                    <a:noFill/>
                    <a:ln w="9525">
                      <a:noFill/>
                      <a:miter lim="800000"/>
                      <a:headEnd/>
                      <a:tailEnd/>
                    </a:ln>
                  </pic:spPr>
                </pic:pic>
              </a:graphicData>
            </a:graphic>
          </wp:inline>
        </w:drawing>
      </w:r>
    </w:p>
    <w:p w:rsidR="00C63F0D" w:rsidRPr="00C63F0D" w:rsidRDefault="00C63F0D" w:rsidP="00C63F0D">
      <w:pPr>
        <w:rPr>
          <w:rFonts w:ascii="Arial" w:hAnsi="Arial" w:cs="Arial"/>
          <w:b/>
        </w:rPr>
      </w:pPr>
      <w:r w:rsidRPr="00C63F0D">
        <w:rPr>
          <w:rFonts w:ascii="Arial" w:hAnsi="Arial" w:cs="Arial"/>
          <w:i/>
        </w:rPr>
        <w:t>Figure 2</w:t>
      </w:r>
      <w:r>
        <w:rPr>
          <w:rFonts w:ascii="Arial" w:hAnsi="Arial" w:cs="Arial"/>
          <w:i/>
        </w:rPr>
        <w:t>:</w:t>
      </w:r>
      <w:r w:rsidRPr="00C63F0D">
        <w:rPr>
          <w:rFonts w:ascii="Arial" w:hAnsi="Arial" w:cs="Arial"/>
          <w:i/>
        </w:rPr>
        <w:t xml:space="preserve"> Flowchart summary of proposed </w:t>
      </w:r>
      <w:r>
        <w:rPr>
          <w:rFonts w:ascii="Arial" w:hAnsi="Arial" w:cs="Arial"/>
          <w:i/>
        </w:rPr>
        <w:t>index</w:t>
      </w:r>
      <w:r w:rsidRPr="00C63F0D">
        <w:rPr>
          <w:rFonts w:ascii="Arial" w:hAnsi="Arial" w:cs="Arial"/>
          <w:i/>
        </w:rPr>
        <w:t xml:space="preserve"> development methodology</w:t>
      </w:r>
    </w:p>
    <w:p w:rsidR="00A4485F" w:rsidRDefault="00A4485F">
      <w:pPr>
        <w:rPr>
          <w:rFonts w:ascii="Arial" w:hAnsi="Arial" w:cs="Arial"/>
          <w:b/>
        </w:rPr>
      </w:pPr>
      <w:r>
        <w:rPr>
          <w:rFonts w:ascii="Arial" w:hAnsi="Arial" w:cs="Arial"/>
          <w:b/>
        </w:rPr>
        <w:br w:type="page"/>
      </w:r>
    </w:p>
    <w:p w:rsidR="003C6ADE" w:rsidRPr="00A4485F" w:rsidRDefault="003C6ADE" w:rsidP="00A44D23">
      <w:pPr>
        <w:rPr>
          <w:rFonts w:ascii="Arial" w:hAnsi="Arial" w:cs="Arial"/>
        </w:rPr>
      </w:pPr>
      <w:r w:rsidRPr="00AB2DE4">
        <w:rPr>
          <w:rFonts w:ascii="Arial" w:hAnsi="Arial" w:cs="Arial"/>
          <w:b/>
        </w:rPr>
        <w:lastRenderedPageBreak/>
        <w:t>Annex</w:t>
      </w:r>
      <w:r w:rsidR="00C63F0D">
        <w:rPr>
          <w:rFonts w:ascii="Arial" w:hAnsi="Arial" w:cs="Arial"/>
          <w:b/>
        </w:rPr>
        <w:t xml:space="preserve"> A</w:t>
      </w:r>
      <w:r w:rsidRPr="00AB2DE4">
        <w:rPr>
          <w:rFonts w:ascii="Arial" w:hAnsi="Arial" w:cs="Arial"/>
          <w:b/>
        </w:rPr>
        <w:t>: Supply variables calculation</w:t>
      </w:r>
    </w:p>
    <w:p w:rsidR="00C63F0D" w:rsidRPr="006E2C11" w:rsidRDefault="00C63F0D" w:rsidP="00C63F0D">
      <w:pPr>
        <w:spacing w:after="240"/>
        <w:jc w:val="both"/>
        <w:rPr>
          <w:rFonts w:ascii="Arial" w:hAnsi="Arial" w:cs="Arial"/>
          <w:b/>
        </w:rPr>
      </w:pPr>
      <w:r w:rsidRPr="006E2C11">
        <w:rPr>
          <w:rFonts w:ascii="Arial" w:hAnsi="Arial" w:cs="Arial"/>
          <w:b/>
        </w:rPr>
        <w:t>A.1 Supply of/access to General Practice</w:t>
      </w:r>
    </w:p>
    <w:p w:rsidR="00C63F0D" w:rsidRDefault="00C63F0D" w:rsidP="00C63F0D">
      <w:pPr>
        <w:pStyle w:val="ListParagraph"/>
        <w:numPr>
          <w:ilvl w:val="0"/>
          <w:numId w:val="9"/>
        </w:numPr>
        <w:spacing w:after="240"/>
        <w:jc w:val="both"/>
        <w:rPr>
          <w:rFonts w:ascii="Arial" w:hAnsi="Arial" w:cs="Arial"/>
        </w:rPr>
      </w:pPr>
      <w:r w:rsidRPr="00E14418">
        <w:rPr>
          <w:rFonts w:ascii="Arial" w:hAnsi="Arial" w:cs="Arial"/>
          <w:i/>
        </w:rPr>
        <w:t>“Number of GPs serving each Data Zone”</w:t>
      </w:r>
      <w:r>
        <w:rPr>
          <w:rFonts w:ascii="Arial" w:hAnsi="Arial" w:cs="Arial"/>
          <w:i/>
        </w:rPr>
        <w:t>.</w:t>
      </w:r>
      <w:r w:rsidRPr="00E14418">
        <w:rPr>
          <w:rFonts w:ascii="Arial" w:hAnsi="Arial" w:cs="Arial"/>
        </w:rPr>
        <w:t xml:space="preserve"> This variable is the sum of the number of practices serving each DZ weighted by the whole time equivalent number of GPs in each practice.</w:t>
      </w:r>
    </w:p>
    <w:p w:rsidR="00C63F0D" w:rsidRDefault="00C63F0D" w:rsidP="00C63F0D">
      <w:pPr>
        <w:pStyle w:val="ListParagraph"/>
        <w:spacing w:after="240"/>
        <w:ind w:left="360"/>
        <w:jc w:val="both"/>
        <w:rPr>
          <w:rFonts w:ascii="Arial" w:hAnsi="Arial" w:cs="Arial"/>
        </w:rPr>
      </w:pPr>
    </w:p>
    <w:p w:rsidR="00C63F0D" w:rsidRPr="00A44D23" w:rsidRDefault="00C63F0D" w:rsidP="00C63F0D">
      <w:pPr>
        <w:pStyle w:val="ListParagraph"/>
        <w:numPr>
          <w:ilvl w:val="0"/>
          <w:numId w:val="9"/>
        </w:numPr>
        <w:spacing w:after="240"/>
        <w:jc w:val="both"/>
        <w:rPr>
          <w:rFonts w:ascii="Arial" w:hAnsi="Arial" w:cs="Arial"/>
        </w:rPr>
      </w:pPr>
      <w:r w:rsidRPr="00A44D23">
        <w:rPr>
          <w:rFonts w:ascii="Arial" w:hAnsi="Arial" w:cs="Arial"/>
          <w:i/>
        </w:rPr>
        <w:t xml:space="preserve">“GP supply, 1km </w:t>
      </w:r>
      <w:proofErr w:type="spellStart"/>
      <w:r w:rsidRPr="00A44D23">
        <w:rPr>
          <w:rFonts w:ascii="Arial" w:hAnsi="Arial" w:cs="Arial"/>
          <w:i/>
        </w:rPr>
        <w:t>intrazonal</w:t>
      </w:r>
      <w:proofErr w:type="spellEnd"/>
      <w:r w:rsidRPr="00A44D23">
        <w:rPr>
          <w:rFonts w:ascii="Arial" w:hAnsi="Arial" w:cs="Arial"/>
          <w:i/>
        </w:rPr>
        <w:t xml:space="preserve"> cost”, “GP supply, 5km </w:t>
      </w:r>
      <w:proofErr w:type="spellStart"/>
      <w:r w:rsidRPr="00A44D23">
        <w:rPr>
          <w:rFonts w:ascii="Arial" w:hAnsi="Arial" w:cs="Arial"/>
          <w:i/>
        </w:rPr>
        <w:t>intrazonal</w:t>
      </w:r>
      <w:proofErr w:type="spellEnd"/>
      <w:r w:rsidRPr="00A44D23">
        <w:rPr>
          <w:rFonts w:ascii="Arial" w:hAnsi="Arial" w:cs="Arial"/>
          <w:i/>
        </w:rPr>
        <w:t xml:space="preserve"> cost” and “GP supply, 10km </w:t>
      </w:r>
      <w:proofErr w:type="spellStart"/>
      <w:r w:rsidRPr="00A44D23">
        <w:rPr>
          <w:rFonts w:ascii="Arial" w:hAnsi="Arial" w:cs="Arial"/>
          <w:i/>
        </w:rPr>
        <w:t>intrazonal</w:t>
      </w:r>
      <w:proofErr w:type="spellEnd"/>
      <w:r w:rsidRPr="00A44D23">
        <w:rPr>
          <w:rFonts w:ascii="Arial" w:hAnsi="Arial" w:cs="Arial"/>
          <w:i/>
        </w:rPr>
        <w:t xml:space="preserve"> cost”. </w:t>
      </w:r>
      <w:r w:rsidRPr="00A44D23">
        <w:rPr>
          <w:rFonts w:ascii="Arial" w:hAnsi="Arial" w:cs="Arial"/>
        </w:rPr>
        <w:t>This can be expressed algebraically as:</w:t>
      </w:r>
    </w:p>
    <w:p w:rsidR="00C63F0D" w:rsidRDefault="00C63F0D" w:rsidP="00C63F0D">
      <w:pPr>
        <w:pStyle w:val="ListParagraph"/>
        <w:spacing w:after="240"/>
        <w:ind w:left="360"/>
        <w:jc w:val="both"/>
        <w:rPr>
          <w:rFonts w:ascii="Arial" w:hAnsi="Arial" w:cs="Arial"/>
        </w:rPr>
      </w:pPr>
    </w:p>
    <w:p w:rsidR="00C63F0D" w:rsidRPr="009C3A89" w:rsidRDefault="00C63F0D" w:rsidP="00C63F0D">
      <w:pPr>
        <w:pStyle w:val="ListParagraph"/>
        <w:spacing w:after="240"/>
        <w:ind w:left="360"/>
        <w:jc w:val="both"/>
        <w:rPr>
          <w:rFonts w:ascii="Arial" w:eastAsiaTheme="minorEastAsia" w:hAnsi="Arial" w:cs="Arial"/>
        </w:rPr>
      </w:pPr>
      <m:oMathPara>
        <m:oMath>
          <m:r>
            <m:rPr>
              <m:nor/>
            </m:rPr>
            <w:rPr>
              <w:rFonts w:ascii="Cambria Math" w:hAnsi="Cambria Math" w:cs="Arial"/>
              <w:sz w:val="24"/>
            </w:rPr>
            <m:t xml:space="preserve">GP supply </m:t>
          </m:r>
          <m:r>
            <w:rPr>
              <w:rFonts w:ascii="Cambria Math" w:hAnsi="Cambria Math" w:cs="Arial"/>
              <w:sz w:val="24"/>
            </w:rPr>
            <m:t xml:space="preserve">n </m:t>
          </m:r>
          <m:r>
            <m:rPr>
              <m:nor/>
            </m:rPr>
            <w:rPr>
              <w:rFonts w:ascii="Cambria Math" w:hAnsi="Cambria Math" w:cs="Arial"/>
              <w:sz w:val="24"/>
            </w:rPr>
            <m:t>km</m:t>
          </m:r>
          <m:r>
            <w:rPr>
              <w:rFonts w:ascii="Cambria Math" w:hAnsi="Cambria Math" w:cs="Arial"/>
              <w:sz w:val="24"/>
            </w:rPr>
            <m:t xml:space="preserve">= </m:t>
          </m:r>
          <m:nary>
            <m:naryPr>
              <m:chr m:val="∑"/>
              <m:limLoc m:val="undOvr"/>
              <m:supHide m:val="on"/>
              <m:ctrlPr>
                <w:rPr>
                  <w:rFonts w:ascii="Cambria Math" w:hAnsi="Cambria Math" w:cs="Arial"/>
                  <w:i/>
                  <w:sz w:val="24"/>
                </w:rPr>
              </m:ctrlPr>
            </m:naryPr>
            <m:sub>
              <m:r>
                <m:rPr>
                  <m:nor/>
                </m:rPr>
                <w:rPr>
                  <w:rFonts w:ascii="Cambria Math" w:hAnsi="Cambria Math" w:cs="Arial"/>
                  <w:sz w:val="24"/>
                </w:rPr>
                <m:t>all practices serving the DZ</m:t>
              </m:r>
            </m:sub>
            <m:sup/>
            <m:e>
              <m:f>
                <m:fPr>
                  <m:ctrlPr>
                    <w:rPr>
                      <w:rFonts w:ascii="Cambria Math" w:hAnsi="Cambria Math" w:cs="Arial"/>
                      <w:i/>
                      <w:sz w:val="24"/>
                    </w:rPr>
                  </m:ctrlPr>
                </m:fPr>
                <m:num>
                  <m:r>
                    <m:rPr>
                      <m:nor/>
                    </m:rPr>
                    <w:rPr>
                      <w:rFonts w:ascii="Cambria Math" w:hAnsi="Cambria Math" w:cs="Arial"/>
                      <w:sz w:val="24"/>
                    </w:rPr>
                    <m:t>number of WTE GPs per practice</m:t>
                  </m:r>
                </m:num>
                <m:den>
                  <m:sSup>
                    <m:sSupPr>
                      <m:ctrlPr>
                        <w:rPr>
                          <w:rFonts w:ascii="Cambria Math" w:hAnsi="Cambria Math" w:cs="Arial"/>
                          <w:i/>
                          <w:sz w:val="24"/>
                        </w:rPr>
                      </m:ctrlPr>
                    </m:sSupPr>
                    <m:e>
                      <m:d>
                        <m:dPr>
                          <m:ctrlPr>
                            <w:rPr>
                              <w:rFonts w:ascii="Cambria Math" w:hAnsi="Cambria Math" w:cs="Arial"/>
                              <w:i/>
                              <w:sz w:val="24"/>
                            </w:rPr>
                          </m:ctrlPr>
                        </m:dPr>
                        <m:e>
                          <m:r>
                            <m:rPr>
                              <m:nor/>
                            </m:rPr>
                            <w:rPr>
                              <w:rFonts w:ascii="Cambria Math" w:hAnsi="Cambria Math" w:cs="Arial"/>
                              <w:sz w:val="24"/>
                            </w:rPr>
                            <m:t>distance to practice</m:t>
                          </m:r>
                          <m:r>
                            <w:rPr>
                              <w:rFonts w:ascii="Cambria Math" w:hAnsi="Cambria Math" w:cs="Arial"/>
                              <w:sz w:val="24"/>
                            </w:rPr>
                            <m:t>+n</m:t>
                          </m:r>
                        </m:e>
                      </m:d>
                    </m:e>
                    <m:sup>
                      <m:r>
                        <w:rPr>
                          <w:rFonts w:ascii="Cambria Math" w:hAnsi="Cambria Math" w:cs="Arial"/>
                          <w:sz w:val="24"/>
                        </w:rPr>
                        <m:t>2</m:t>
                      </m:r>
                    </m:sup>
                  </m:sSup>
                </m:den>
              </m:f>
            </m:e>
          </m:nary>
        </m:oMath>
      </m:oMathPara>
    </w:p>
    <w:p w:rsidR="00C63F0D" w:rsidRPr="009C3A89" w:rsidRDefault="00C63F0D" w:rsidP="00C63F0D">
      <w:pPr>
        <w:pStyle w:val="ListParagraph"/>
        <w:spacing w:after="240"/>
        <w:ind w:left="360"/>
        <w:jc w:val="both"/>
        <w:rPr>
          <w:rFonts w:ascii="Arial" w:eastAsiaTheme="minorEastAsia" w:hAnsi="Arial" w:cs="Arial"/>
        </w:rPr>
      </w:pPr>
    </w:p>
    <w:p w:rsidR="00C63F0D" w:rsidRPr="00AF11AD" w:rsidRDefault="00C63F0D" w:rsidP="00AF11AD">
      <w:pPr>
        <w:pStyle w:val="ListParagraph"/>
        <w:spacing w:after="240"/>
        <w:ind w:left="360"/>
        <w:jc w:val="both"/>
        <w:rPr>
          <w:rFonts w:ascii="Arial" w:hAnsi="Arial" w:cs="Arial"/>
        </w:rPr>
      </w:pPr>
      <w:proofErr w:type="gramStart"/>
      <w:r>
        <w:rPr>
          <w:rFonts w:ascii="Arial" w:hAnsi="Arial" w:cs="Arial"/>
        </w:rPr>
        <w:t>where</w:t>
      </w:r>
      <w:proofErr w:type="gramEnd"/>
      <w:r>
        <w:rPr>
          <w:rFonts w:ascii="Arial" w:hAnsi="Arial" w:cs="Arial"/>
        </w:rPr>
        <w:t xml:space="preserve"> </w:t>
      </w:r>
      <w:r w:rsidRPr="00E14418">
        <w:rPr>
          <w:rFonts w:ascii="Arial" w:hAnsi="Arial" w:cs="Arial"/>
          <w:i/>
        </w:rPr>
        <w:t>n</w:t>
      </w:r>
      <w:r>
        <w:rPr>
          <w:rFonts w:ascii="Arial" w:hAnsi="Arial" w:cs="Arial"/>
        </w:rPr>
        <w:t xml:space="preserve"> </w:t>
      </w:r>
      <w:r w:rsidR="00AF11AD">
        <w:rPr>
          <w:rFonts w:ascii="Arial" w:hAnsi="Arial" w:cs="Arial"/>
        </w:rPr>
        <w:t>(the “</w:t>
      </w:r>
      <w:proofErr w:type="spellStart"/>
      <w:r w:rsidR="00AF11AD">
        <w:rPr>
          <w:rFonts w:ascii="Arial" w:hAnsi="Arial" w:cs="Arial"/>
        </w:rPr>
        <w:t>intrazonal</w:t>
      </w:r>
      <w:proofErr w:type="spellEnd"/>
      <w:r w:rsidR="00AF11AD">
        <w:rPr>
          <w:rFonts w:ascii="Arial" w:hAnsi="Arial" w:cs="Arial"/>
        </w:rPr>
        <w:t xml:space="preserve"> cost”) is 1, 5 or 10 kilometres</w:t>
      </w:r>
      <w:r>
        <w:rPr>
          <w:rFonts w:ascii="Arial" w:hAnsi="Arial" w:cs="Arial"/>
        </w:rPr>
        <w:t xml:space="preserve">. </w:t>
      </w:r>
      <w:r w:rsidR="00AF11AD" w:rsidRPr="00A44D23">
        <w:rPr>
          <w:rFonts w:ascii="Arial" w:hAnsi="Arial" w:cs="Arial"/>
        </w:rPr>
        <w:t xml:space="preserve">The </w:t>
      </w:r>
      <w:proofErr w:type="spellStart"/>
      <w:r w:rsidR="00AF11AD" w:rsidRPr="00A44D23">
        <w:rPr>
          <w:rFonts w:ascii="Arial" w:hAnsi="Arial" w:cs="Arial"/>
        </w:rPr>
        <w:t>intrazonal</w:t>
      </w:r>
      <w:proofErr w:type="spellEnd"/>
      <w:r w:rsidR="00AF11AD" w:rsidRPr="00A44D23">
        <w:rPr>
          <w:rFonts w:ascii="Arial" w:hAnsi="Arial" w:cs="Arial"/>
        </w:rPr>
        <w:t xml:space="preserve"> cost </w:t>
      </w:r>
      <w:r w:rsidR="00AF11AD">
        <w:rPr>
          <w:rFonts w:ascii="Arial" w:hAnsi="Arial" w:cs="Arial"/>
        </w:rPr>
        <w:t xml:space="preserve">is an assumption about the part of the travel </w:t>
      </w:r>
      <w:r w:rsidR="00AF11AD" w:rsidRPr="00AF11AD">
        <w:rPr>
          <w:rFonts w:ascii="Arial" w:hAnsi="Arial" w:cs="Arial"/>
          <w:i/>
        </w:rPr>
        <w:t>within</w:t>
      </w:r>
      <w:r w:rsidR="00AF11AD">
        <w:rPr>
          <w:rFonts w:ascii="Arial" w:hAnsi="Arial" w:cs="Arial"/>
        </w:rPr>
        <w:t xml:space="preserve"> the small area; the distance to practice represents travel </w:t>
      </w:r>
      <w:r w:rsidR="00AF11AD" w:rsidRPr="00AF11AD">
        <w:rPr>
          <w:rFonts w:ascii="Arial" w:hAnsi="Arial" w:cs="Arial"/>
          <w:i/>
        </w:rPr>
        <w:t>between</w:t>
      </w:r>
      <w:r w:rsidR="00AF11AD">
        <w:rPr>
          <w:rFonts w:ascii="Arial" w:hAnsi="Arial" w:cs="Arial"/>
        </w:rPr>
        <w:t xml:space="preserve"> the small area (i.e. its population centroid) and the practice</w:t>
      </w:r>
      <w:r w:rsidR="00AF11AD" w:rsidRPr="00A44D23">
        <w:rPr>
          <w:rFonts w:ascii="Arial" w:hAnsi="Arial" w:cs="Arial"/>
        </w:rPr>
        <w:t>.</w:t>
      </w:r>
    </w:p>
    <w:p w:rsidR="00AF11AD" w:rsidRPr="00AF11AD" w:rsidRDefault="00AF11AD" w:rsidP="00AF11AD">
      <w:pPr>
        <w:spacing w:after="240"/>
        <w:jc w:val="both"/>
        <w:rPr>
          <w:rFonts w:ascii="Arial" w:hAnsi="Arial" w:cs="Arial"/>
        </w:rPr>
      </w:pPr>
      <w:r>
        <w:rPr>
          <w:rFonts w:ascii="Arial" w:hAnsi="Arial" w:cs="Arial"/>
        </w:rPr>
        <w:t>After</w:t>
      </w:r>
      <w:r w:rsidRPr="001F1694">
        <w:rPr>
          <w:rFonts w:ascii="Arial" w:hAnsi="Arial" w:cs="Arial"/>
        </w:rPr>
        <w:t xml:space="preserve"> extensive enquiry, it seems </w:t>
      </w:r>
      <w:r>
        <w:rPr>
          <w:rFonts w:ascii="Arial" w:hAnsi="Arial" w:cs="Arial"/>
        </w:rPr>
        <w:t xml:space="preserve">that </w:t>
      </w:r>
      <w:r w:rsidRPr="001F1694">
        <w:rPr>
          <w:rFonts w:ascii="Arial" w:hAnsi="Arial" w:cs="Arial"/>
        </w:rPr>
        <w:t>whole time equivalent GP numbers are no longer available by GP practice. We have therefore used GP headcount instead.</w:t>
      </w:r>
    </w:p>
    <w:p w:rsidR="00C63F0D" w:rsidRPr="006E2C11" w:rsidRDefault="00C63F0D" w:rsidP="00C63F0D">
      <w:pPr>
        <w:spacing w:after="240"/>
        <w:jc w:val="both"/>
        <w:rPr>
          <w:rFonts w:ascii="Arial" w:hAnsi="Arial" w:cs="Arial"/>
          <w:b/>
        </w:rPr>
      </w:pPr>
      <w:r>
        <w:rPr>
          <w:rFonts w:ascii="Arial" w:hAnsi="Arial" w:cs="Arial"/>
          <w:b/>
        </w:rPr>
        <w:t xml:space="preserve">A.2 </w:t>
      </w:r>
      <w:r w:rsidRPr="006E2C11">
        <w:rPr>
          <w:rFonts w:ascii="Arial" w:hAnsi="Arial" w:cs="Arial"/>
          <w:b/>
        </w:rPr>
        <w:t>Hospital supply</w:t>
      </w:r>
    </w:p>
    <w:p w:rsidR="00C63F0D" w:rsidRPr="000760EF" w:rsidRDefault="00C63F0D" w:rsidP="00C63F0D">
      <w:pPr>
        <w:pStyle w:val="ListParagraph"/>
        <w:numPr>
          <w:ilvl w:val="0"/>
          <w:numId w:val="9"/>
        </w:numPr>
        <w:spacing w:after="240"/>
        <w:jc w:val="both"/>
        <w:rPr>
          <w:rFonts w:ascii="Arial" w:hAnsi="Arial" w:cs="Arial"/>
        </w:rPr>
      </w:pPr>
      <w:r>
        <w:rPr>
          <w:rFonts w:ascii="Arial" w:hAnsi="Arial" w:cs="Arial"/>
          <w:i/>
        </w:rPr>
        <w:t xml:space="preserve">“Inpatient/Outpatient Access – nearest facility”. </w:t>
      </w:r>
      <w:r>
        <w:rPr>
          <w:rFonts w:ascii="Arial" w:hAnsi="Arial" w:cs="Arial"/>
        </w:rPr>
        <w:t xml:space="preserve">Size of the nearest inpatient/outpatient facility, where size is measured as the number of inpatient or outpatient episodes in the last year. Nearest here means closest to the DZ population centroid. </w:t>
      </w:r>
    </w:p>
    <w:p w:rsidR="00C63F0D" w:rsidRPr="000760EF" w:rsidRDefault="00C63F0D" w:rsidP="00C63F0D">
      <w:pPr>
        <w:pStyle w:val="ListParagraph"/>
        <w:spacing w:after="240"/>
        <w:ind w:left="360"/>
        <w:jc w:val="both"/>
        <w:rPr>
          <w:rFonts w:ascii="Arial" w:hAnsi="Arial" w:cs="Arial"/>
        </w:rPr>
      </w:pPr>
    </w:p>
    <w:p w:rsidR="00C63F0D" w:rsidRPr="003C6ADE" w:rsidRDefault="00C63F0D" w:rsidP="00C63F0D">
      <w:pPr>
        <w:pStyle w:val="ListParagraph"/>
        <w:numPr>
          <w:ilvl w:val="0"/>
          <w:numId w:val="9"/>
        </w:numPr>
        <w:spacing w:after="240"/>
        <w:jc w:val="both"/>
        <w:rPr>
          <w:rFonts w:ascii="Arial" w:hAnsi="Arial" w:cs="Arial"/>
        </w:rPr>
      </w:pPr>
      <w:r>
        <w:rPr>
          <w:rFonts w:ascii="Arial" w:hAnsi="Arial" w:cs="Arial"/>
          <w:i/>
        </w:rPr>
        <w:t xml:space="preserve">“IPACX/OPACX”. </w:t>
      </w:r>
      <w:r>
        <w:rPr>
          <w:rFonts w:ascii="Arial" w:hAnsi="Arial" w:cs="Arial"/>
        </w:rPr>
        <w:t>A function of the linear distance from the population grid centroid of the DZ to each inpatient (I) or outpatient (O) facility it is served by.</w:t>
      </w:r>
      <w:r w:rsidRPr="003C6ADE">
        <w:rPr>
          <w:rFonts w:ascii="Arial" w:hAnsi="Arial" w:cs="Arial"/>
        </w:rPr>
        <w:t xml:space="preserve"> </w:t>
      </w:r>
      <w:r>
        <w:rPr>
          <w:rFonts w:ascii="Arial" w:hAnsi="Arial" w:cs="Arial"/>
        </w:rPr>
        <w:t>This can be expressed algebraically as:</w:t>
      </w:r>
    </w:p>
    <w:p w:rsidR="00C63F0D" w:rsidRDefault="00C63F0D" w:rsidP="00C63F0D">
      <w:pPr>
        <w:spacing w:after="240"/>
        <w:jc w:val="both"/>
        <w:rPr>
          <w:rFonts w:ascii="Arial" w:hAnsi="Arial" w:cs="Arial"/>
          <w:i/>
          <w:sz w:val="24"/>
        </w:rPr>
      </w:pPr>
      <m:oMathPara>
        <m:oMath>
          <m:r>
            <m:rPr>
              <m:nor/>
            </m:rPr>
            <w:rPr>
              <w:rFonts w:ascii="Cambria Math" w:hAnsi="Cambria Math" w:cs="Arial"/>
              <w:sz w:val="24"/>
            </w:rPr>
            <m:t>IPACX/OPACX</m:t>
          </m:r>
          <m:r>
            <w:rPr>
              <w:rFonts w:ascii="Cambria Math" w:hAnsi="Cambria Math" w:cs="Arial"/>
              <w:sz w:val="24"/>
            </w:rPr>
            <m:t xml:space="preserve">= </m:t>
          </m:r>
          <m:nary>
            <m:naryPr>
              <m:chr m:val="∑"/>
              <m:limLoc m:val="undOvr"/>
              <m:supHide m:val="on"/>
              <m:ctrlPr>
                <w:rPr>
                  <w:rFonts w:ascii="Cambria Math" w:hAnsi="Cambria Math" w:cs="Arial"/>
                  <w:i/>
                  <w:sz w:val="24"/>
                </w:rPr>
              </m:ctrlPr>
            </m:naryPr>
            <m:sub>
              <m:r>
                <m:rPr>
                  <m:nor/>
                </m:rPr>
                <w:rPr>
                  <w:rFonts w:ascii="Cambria Math" w:hAnsi="Cambria Math" w:cs="Arial"/>
                  <w:sz w:val="24"/>
                </w:rPr>
                <m:t>all facilities serving the DZ</m:t>
              </m:r>
            </m:sub>
            <m:sup/>
            <m:e>
              <m:f>
                <m:fPr>
                  <m:ctrlPr>
                    <w:rPr>
                      <w:rFonts w:ascii="Cambria Math" w:hAnsi="Cambria Math" w:cs="Arial"/>
                      <w:i/>
                      <w:sz w:val="24"/>
                    </w:rPr>
                  </m:ctrlPr>
                </m:fPr>
                <m:num>
                  <m:r>
                    <m:rPr>
                      <m:nor/>
                    </m:rPr>
                    <w:rPr>
                      <w:rFonts w:ascii="Cambria Math" w:hAnsi="Cambria Math" w:cs="Arial"/>
                      <w:sz w:val="24"/>
                    </w:rPr>
                    <m:t>number of episodes per facility</m:t>
                  </m:r>
                </m:num>
                <m:den>
                  <m:sSup>
                    <m:sSupPr>
                      <m:ctrlPr>
                        <w:rPr>
                          <w:rFonts w:ascii="Cambria Math" w:hAnsi="Cambria Math" w:cs="Arial"/>
                          <w:i/>
                          <w:sz w:val="24"/>
                        </w:rPr>
                      </m:ctrlPr>
                    </m:sSupPr>
                    <m:e>
                      <m:d>
                        <m:dPr>
                          <m:ctrlPr>
                            <w:rPr>
                              <w:rFonts w:ascii="Cambria Math" w:hAnsi="Cambria Math" w:cs="Arial"/>
                              <w:i/>
                              <w:sz w:val="24"/>
                            </w:rPr>
                          </m:ctrlPr>
                        </m:dPr>
                        <m:e>
                          <m:r>
                            <m:rPr>
                              <m:nor/>
                            </m:rPr>
                            <w:rPr>
                              <w:rFonts w:ascii="Cambria Math" w:hAnsi="Cambria Math" w:cs="Arial"/>
                              <w:sz w:val="24"/>
                            </w:rPr>
                            <m:t>distance to facility</m:t>
                          </m:r>
                          <m:r>
                            <w:rPr>
                              <w:rFonts w:ascii="Cambria Math" w:hAnsi="Cambria Math" w:cs="Arial"/>
                              <w:sz w:val="24"/>
                            </w:rPr>
                            <m:t>+10</m:t>
                          </m:r>
                        </m:e>
                      </m:d>
                    </m:e>
                    <m:sup>
                      <m:r>
                        <m:rPr>
                          <m:nor/>
                        </m:rPr>
                        <w:rPr>
                          <w:rFonts w:ascii="Cambria Math" w:hAnsi="Cambria Math" w:cs="Arial"/>
                          <w:sz w:val="24"/>
                        </w:rPr>
                        <m:t>2</m:t>
                      </m:r>
                    </m:sup>
                  </m:sSup>
                </m:den>
              </m:f>
            </m:e>
          </m:nary>
        </m:oMath>
      </m:oMathPara>
    </w:p>
    <w:p w:rsidR="00C63F0D" w:rsidRPr="003C6ADE" w:rsidRDefault="00C63F0D" w:rsidP="00C63F0D">
      <w:pPr>
        <w:pStyle w:val="ListParagraph"/>
        <w:numPr>
          <w:ilvl w:val="0"/>
          <w:numId w:val="9"/>
        </w:numPr>
        <w:spacing w:after="240"/>
        <w:jc w:val="both"/>
        <w:rPr>
          <w:rFonts w:ascii="Arial" w:hAnsi="Arial" w:cs="Arial"/>
        </w:rPr>
      </w:pPr>
      <w:r w:rsidRPr="003C6ADE">
        <w:rPr>
          <w:rFonts w:ascii="Arial" w:hAnsi="Arial" w:cs="Arial"/>
          <w:i/>
        </w:rPr>
        <w:t xml:space="preserve">“IPAC/OPAC”. </w:t>
      </w:r>
      <w:r w:rsidRPr="003C6ADE">
        <w:rPr>
          <w:rFonts w:ascii="Arial" w:hAnsi="Arial" w:cs="Arial"/>
        </w:rPr>
        <w:t xml:space="preserve">The same inverse decay function is used </w:t>
      </w:r>
      <w:r>
        <w:rPr>
          <w:rFonts w:ascii="Arial" w:hAnsi="Arial" w:cs="Arial"/>
        </w:rPr>
        <w:t>as for</w:t>
      </w:r>
      <w:r w:rsidRPr="003C6ADE">
        <w:rPr>
          <w:rFonts w:ascii="Arial" w:hAnsi="Arial" w:cs="Arial"/>
        </w:rPr>
        <w:t xml:space="preserve"> IPAXC and OPACX, but the volume of each hospital is “attraction cons</w:t>
      </w:r>
      <w:r>
        <w:rPr>
          <w:rFonts w:ascii="Arial" w:hAnsi="Arial" w:cs="Arial"/>
        </w:rPr>
        <w:t>trained”: t</w:t>
      </w:r>
      <w:r w:rsidRPr="003C6ADE">
        <w:rPr>
          <w:rFonts w:ascii="Arial" w:hAnsi="Arial" w:cs="Arial"/>
        </w:rPr>
        <w:t xml:space="preserve">he number of episodes at each hospital is weighted </w:t>
      </w:r>
      <w:r>
        <w:rPr>
          <w:rFonts w:ascii="Arial" w:hAnsi="Arial" w:cs="Arial"/>
        </w:rPr>
        <w:t>according to</w:t>
      </w:r>
      <w:r w:rsidRPr="003C6ADE">
        <w:rPr>
          <w:rFonts w:ascii="Arial" w:hAnsi="Arial" w:cs="Arial"/>
        </w:rPr>
        <w:t xml:space="preserve"> the size of the population it serves. </w:t>
      </w:r>
      <w:r>
        <w:rPr>
          <w:rFonts w:ascii="Arial" w:hAnsi="Arial" w:cs="Arial"/>
        </w:rPr>
        <w:t>This is</w:t>
      </w:r>
      <w:r w:rsidRPr="003C6ADE">
        <w:rPr>
          <w:rFonts w:ascii="Arial" w:hAnsi="Arial" w:cs="Arial"/>
        </w:rPr>
        <w:t xml:space="preserve"> the number of people in each DZ, weighted by the inverse square of the</w:t>
      </w:r>
      <w:r>
        <w:rPr>
          <w:rFonts w:ascii="Arial" w:hAnsi="Arial" w:cs="Arial"/>
        </w:rPr>
        <w:t xml:space="preserve"> distance from the DZ centroid:</w:t>
      </w:r>
    </w:p>
    <w:p w:rsidR="00C63F0D" w:rsidRPr="008729C8" w:rsidRDefault="00C63F0D" w:rsidP="00C63F0D">
      <w:pPr>
        <w:spacing w:after="240"/>
        <w:jc w:val="both"/>
        <w:rPr>
          <w:rFonts w:ascii="Arial" w:hAnsi="Arial" w:cs="Arial"/>
          <w:i/>
        </w:rPr>
      </w:pPr>
      <m:oMathPara>
        <m:oMath>
          <m:r>
            <m:rPr>
              <m:nor/>
            </m:rPr>
            <w:rPr>
              <w:rFonts w:ascii="Cambria Math" w:hAnsi="Cambria Math" w:cs="Arial"/>
              <w:sz w:val="24"/>
            </w:rPr>
            <m:t xml:space="preserve">IPAC/OPAC </m:t>
          </m:r>
          <m:r>
            <w:rPr>
              <w:rFonts w:ascii="Cambria Math" w:hAnsi="Cambria Math" w:cs="Arial"/>
              <w:sz w:val="24"/>
            </w:rPr>
            <m:t xml:space="preserve">= </m:t>
          </m:r>
          <m:nary>
            <m:naryPr>
              <m:chr m:val="∑"/>
              <m:limLoc m:val="undOvr"/>
              <m:supHide m:val="on"/>
              <m:ctrlPr>
                <w:rPr>
                  <w:rFonts w:ascii="Cambria Math" w:hAnsi="Cambria Math" w:cs="Arial"/>
                  <w:i/>
                  <w:sz w:val="24"/>
                </w:rPr>
              </m:ctrlPr>
            </m:naryPr>
            <m:sub>
              <m:r>
                <m:rPr>
                  <m:nor/>
                </m:rPr>
                <w:rPr>
                  <w:rFonts w:ascii="Cambria Math" w:hAnsi="Cambria Math" w:cs="Arial"/>
                  <w:sz w:val="24"/>
                </w:rPr>
                <m:t>all fac's serving the DZ</m:t>
              </m:r>
            </m:sub>
            <m:sup/>
            <m:e>
              <m:f>
                <m:fPr>
                  <m:ctrlPr>
                    <w:rPr>
                      <w:rFonts w:ascii="Cambria Math" w:hAnsi="Cambria Math" w:cs="Arial"/>
                      <w:i/>
                      <w:sz w:val="24"/>
                    </w:rPr>
                  </m:ctrlPr>
                </m:fPr>
                <m:num>
                  <m:f>
                    <m:fPr>
                      <m:type m:val="lin"/>
                      <m:ctrlPr>
                        <w:rPr>
                          <w:rFonts w:ascii="Cambria Math" w:hAnsi="Cambria Math" w:cs="Arial"/>
                          <w:i/>
                          <w:sz w:val="24"/>
                        </w:rPr>
                      </m:ctrlPr>
                    </m:fPr>
                    <m:num>
                      <m:r>
                        <m:rPr>
                          <m:nor/>
                        </m:rPr>
                        <w:rPr>
                          <w:rFonts w:ascii="Cambria Math" w:hAnsi="Cambria Math" w:cs="Arial"/>
                          <w:sz w:val="24"/>
                        </w:rPr>
                        <m:t>number of episodes per facility</m:t>
                      </m:r>
                    </m:num>
                    <m:den>
                      <m:d>
                        <m:dPr>
                          <m:ctrlPr>
                            <w:rPr>
                              <w:rFonts w:ascii="Cambria Math" w:hAnsi="Cambria Math" w:cs="Arial"/>
                              <w:i/>
                              <w:sz w:val="24"/>
                            </w:rPr>
                          </m:ctrlPr>
                        </m:dPr>
                        <m:e>
                          <m:f>
                            <m:fPr>
                              <m:ctrlPr>
                                <w:rPr>
                                  <w:rFonts w:ascii="Cambria Math" w:hAnsi="Cambria Math" w:cs="Arial"/>
                                  <w:i/>
                                  <w:sz w:val="24"/>
                                </w:rPr>
                              </m:ctrlPr>
                            </m:fPr>
                            <m:num>
                              <m:r>
                                <m:rPr>
                                  <m:nor/>
                                </m:rPr>
                                <w:rPr>
                                  <w:rFonts w:ascii="Cambria Math" w:hAnsi="Cambria Math" w:cs="Arial"/>
                                  <w:sz w:val="24"/>
                                </w:rPr>
                                <m:t>DZ population</m:t>
                              </m:r>
                            </m:num>
                            <m:den>
                              <m:sSup>
                                <m:sSupPr>
                                  <m:ctrlPr>
                                    <w:rPr>
                                      <w:rFonts w:ascii="Cambria Math" w:hAnsi="Cambria Math" w:cs="Arial"/>
                                      <w:i/>
                                      <w:sz w:val="24"/>
                                    </w:rPr>
                                  </m:ctrlPr>
                                </m:sSupPr>
                                <m:e>
                                  <m:r>
                                    <m:rPr>
                                      <m:nor/>
                                    </m:rPr>
                                    <w:rPr>
                                      <w:rFonts w:ascii="Cambria Math" w:hAnsi="Cambria Math" w:cs="Arial"/>
                                      <w:sz w:val="24"/>
                                    </w:rPr>
                                    <m:t>distance to facility</m:t>
                                  </m:r>
                                </m:e>
                                <m:sup>
                                  <m:r>
                                    <w:rPr>
                                      <w:rFonts w:ascii="Cambria Math" w:hAnsi="Cambria Math" w:cs="Arial"/>
                                      <w:sz w:val="24"/>
                                    </w:rPr>
                                    <m:t>2</m:t>
                                  </m:r>
                                </m:sup>
                              </m:sSup>
                            </m:den>
                          </m:f>
                        </m:e>
                      </m:d>
                    </m:den>
                  </m:f>
                </m:num>
                <m:den>
                  <m:sSup>
                    <m:sSupPr>
                      <m:ctrlPr>
                        <w:rPr>
                          <w:rFonts w:ascii="Cambria Math" w:hAnsi="Cambria Math" w:cs="Arial"/>
                          <w:i/>
                          <w:sz w:val="24"/>
                        </w:rPr>
                      </m:ctrlPr>
                    </m:sSupPr>
                    <m:e>
                      <m:d>
                        <m:dPr>
                          <m:ctrlPr>
                            <w:rPr>
                              <w:rFonts w:ascii="Cambria Math" w:hAnsi="Cambria Math" w:cs="Arial"/>
                              <w:i/>
                              <w:sz w:val="24"/>
                            </w:rPr>
                          </m:ctrlPr>
                        </m:dPr>
                        <m:e>
                          <m:r>
                            <m:rPr>
                              <m:nor/>
                            </m:rPr>
                            <w:rPr>
                              <w:rFonts w:ascii="Cambria Math" w:hAnsi="Cambria Math" w:cs="Arial"/>
                              <w:sz w:val="24"/>
                            </w:rPr>
                            <m:t>distance to facility</m:t>
                          </m:r>
                          <m:r>
                            <w:rPr>
                              <w:rFonts w:ascii="Cambria Math" w:hAnsi="Cambria Math" w:cs="Arial"/>
                              <w:sz w:val="24"/>
                            </w:rPr>
                            <m:t>+10</m:t>
                          </m:r>
                        </m:e>
                      </m:d>
                    </m:e>
                    <m:sup>
                      <m:r>
                        <w:rPr>
                          <w:rFonts w:ascii="Cambria Math" w:hAnsi="Cambria Math" w:cs="Arial"/>
                          <w:sz w:val="24"/>
                        </w:rPr>
                        <m:t>2</m:t>
                      </m:r>
                    </m:sup>
                  </m:sSup>
                </m:den>
              </m:f>
            </m:e>
          </m:nary>
        </m:oMath>
      </m:oMathPara>
    </w:p>
    <w:p w:rsidR="00C63F0D" w:rsidRPr="006E2C11" w:rsidRDefault="00C63F0D" w:rsidP="00C63F0D">
      <w:pPr>
        <w:spacing w:after="240"/>
        <w:rPr>
          <w:rFonts w:ascii="Arial" w:hAnsi="Arial" w:cs="Arial"/>
          <w:b/>
        </w:rPr>
      </w:pPr>
      <w:r w:rsidRPr="006E2C11">
        <w:rPr>
          <w:rFonts w:ascii="Arial" w:hAnsi="Arial" w:cs="Arial"/>
          <w:b/>
        </w:rPr>
        <w:t>A.3 Health Board dummy variables</w:t>
      </w:r>
    </w:p>
    <w:p w:rsidR="008A2D4D" w:rsidRDefault="00C63F0D" w:rsidP="008A2D4D">
      <w:pPr>
        <w:spacing w:after="240"/>
        <w:rPr>
          <w:rFonts w:ascii="Arial" w:hAnsi="Arial" w:cs="Arial"/>
        </w:rPr>
      </w:pPr>
      <w:r>
        <w:rPr>
          <w:rFonts w:ascii="Arial" w:hAnsi="Arial" w:cs="Arial"/>
        </w:rPr>
        <w:t>There is one binary variable representing each Health Board; it takes the value ‘1’ for data zones within the Health Board and ‘0’ otherwise.</w:t>
      </w:r>
      <w:r w:rsidR="008A2D4D">
        <w:rPr>
          <w:rFonts w:ascii="Arial" w:hAnsi="Arial" w:cs="Arial"/>
        </w:rPr>
        <w:br w:type="page"/>
      </w:r>
    </w:p>
    <w:p w:rsidR="008A2D4D" w:rsidRPr="008A2D4D" w:rsidRDefault="008A2D4D" w:rsidP="008A2D4D">
      <w:pPr>
        <w:spacing w:after="240"/>
        <w:jc w:val="both"/>
        <w:rPr>
          <w:rFonts w:ascii="Arial" w:hAnsi="Arial" w:cs="Arial"/>
          <w:b/>
        </w:rPr>
      </w:pPr>
      <w:r w:rsidRPr="008A2D4D">
        <w:rPr>
          <w:rFonts w:ascii="Arial" w:hAnsi="Arial" w:cs="Arial"/>
          <w:b/>
        </w:rPr>
        <w:lastRenderedPageBreak/>
        <w:t>Annex B: Supply variables evaluation</w:t>
      </w:r>
    </w:p>
    <w:p w:rsidR="008A2D4D" w:rsidRPr="00C63F0D" w:rsidRDefault="008A2D4D" w:rsidP="008A2D4D">
      <w:pPr>
        <w:spacing w:after="240"/>
        <w:jc w:val="both"/>
        <w:rPr>
          <w:rFonts w:ascii="Arial" w:hAnsi="Arial" w:cs="Arial"/>
        </w:rPr>
      </w:pPr>
      <w:r>
        <w:rPr>
          <w:rFonts w:ascii="Arial" w:hAnsi="Arial" w:cs="Arial"/>
        </w:rPr>
        <w:t>In this Annex we explore the performance of the candidate supply variables, and recommend, based on the results, that the existing supply model (IPACX and OPACX) should be retained.</w:t>
      </w:r>
    </w:p>
    <w:p w:rsidR="008A2D4D" w:rsidRDefault="008A2D4D" w:rsidP="008A2D4D">
      <w:pPr>
        <w:rPr>
          <w:rFonts w:ascii="Arial" w:hAnsi="Arial" w:cs="Arial"/>
          <w:b/>
        </w:rPr>
      </w:pPr>
      <w:r>
        <w:rPr>
          <w:rFonts w:ascii="Arial" w:hAnsi="Arial" w:cs="Arial"/>
          <w:b/>
        </w:rPr>
        <w:t>3</w:t>
      </w:r>
      <w:r w:rsidRPr="00180CFC">
        <w:rPr>
          <w:rFonts w:ascii="Arial" w:hAnsi="Arial" w:cs="Arial"/>
          <w:b/>
        </w:rPr>
        <w:t xml:space="preserve">.1 </w:t>
      </w:r>
      <w:r>
        <w:rPr>
          <w:rFonts w:ascii="Arial" w:hAnsi="Arial" w:cs="Arial"/>
          <w:b/>
        </w:rPr>
        <w:t xml:space="preserve">  </w:t>
      </w:r>
      <w:r w:rsidRPr="00180CFC">
        <w:rPr>
          <w:rFonts w:ascii="Arial" w:hAnsi="Arial" w:cs="Arial"/>
          <w:b/>
        </w:rPr>
        <w:t>Correlations</w:t>
      </w:r>
      <w:r>
        <w:rPr>
          <w:rFonts w:ascii="Arial" w:hAnsi="Arial" w:cs="Arial"/>
          <w:b/>
        </w:rPr>
        <w:t xml:space="preserve"> among supply variables, cost ratios and current acute index</w:t>
      </w:r>
    </w:p>
    <w:p w:rsidR="008A2D4D" w:rsidRDefault="008A2D4D" w:rsidP="008A2D4D">
      <w:pPr>
        <w:jc w:val="both"/>
        <w:rPr>
          <w:rFonts w:ascii="Arial" w:hAnsi="Arial" w:cs="Arial"/>
        </w:rPr>
      </w:pPr>
      <w:r w:rsidRPr="00F01426">
        <w:rPr>
          <w:rFonts w:ascii="Arial" w:hAnsi="Arial" w:cs="Arial"/>
        </w:rPr>
        <w:t xml:space="preserve">The correlations between supply variables and cost ratios </w:t>
      </w:r>
      <w:r>
        <w:rPr>
          <w:rFonts w:ascii="Arial" w:hAnsi="Arial" w:cs="Arial"/>
        </w:rPr>
        <w:t xml:space="preserve">for each diagnostic group </w:t>
      </w:r>
      <w:r w:rsidRPr="00F01426">
        <w:rPr>
          <w:rFonts w:ascii="Arial" w:hAnsi="Arial" w:cs="Arial"/>
        </w:rPr>
        <w:t xml:space="preserve">are </w:t>
      </w:r>
      <w:r>
        <w:rPr>
          <w:rFonts w:ascii="Arial" w:hAnsi="Arial" w:cs="Arial"/>
        </w:rPr>
        <w:t xml:space="preserve">shown in Table </w:t>
      </w:r>
      <w:r w:rsidR="000A156C">
        <w:rPr>
          <w:rFonts w:ascii="Arial" w:hAnsi="Arial" w:cs="Arial"/>
        </w:rPr>
        <w:t>3</w:t>
      </w:r>
      <w:r>
        <w:rPr>
          <w:rFonts w:ascii="Arial" w:hAnsi="Arial" w:cs="Arial"/>
        </w:rPr>
        <w:t xml:space="preserve">. The correlations of ‘Outpatients’ with IPACX, OPACX or </w:t>
      </w:r>
      <w:proofErr w:type="spellStart"/>
      <w:r>
        <w:rPr>
          <w:rFonts w:ascii="Arial" w:hAnsi="Arial" w:cs="Arial"/>
        </w:rPr>
        <w:t>GPCount</w:t>
      </w:r>
      <w:proofErr w:type="spellEnd"/>
      <w:r>
        <w:rPr>
          <w:rFonts w:ascii="Arial" w:hAnsi="Arial" w:cs="Arial"/>
        </w:rPr>
        <w:t xml:space="preserve"> are moderately positive, but weakly negative for the correlation of ‘Outpatients’ with IPAC. The correlations of ‘Digestive’, ‘Other’, ‘Respiratory’ and ‘Current Acute Index’ each with IPACX or OPACX are weakly positive (highlighted in blue; negative correlations are highlighted in red); but none of the remaining correlations are high. </w:t>
      </w:r>
    </w:p>
    <w:p w:rsidR="008A2D4D" w:rsidRPr="00953958" w:rsidRDefault="008A2D4D" w:rsidP="00953958">
      <w:pPr>
        <w:jc w:val="both"/>
        <w:rPr>
          <w:rFonts w:ascii="Arial" w:hAnsi="Arial" w:cs="Arial"/>
        </w:rPr>
      </w:pPr>
      <w:r>
        <w:rPr>
          <w:rFonts w:ascii="Arial" w:hAnsi="Arial" w:cs="Arial"/>
        </w:rPr>
        <w:t xml:space="preserve">Only IPACX, OPACX, IA1, IA2 and </w:t>
      </w:r>
      <w:proofErr w:type="spellStart"/>
      <w:r>
        <w:rPr>
          <w:rFonts w:ascii="Arial" w:hAnsi="Arial" w:cs="Arial"/>
        </w:rPr>
        <w:t>GPCount</w:t>
      </w:r>
      <w:proofErr w:type="spellEnd"/>
      <w:r>
        <w:rPr>
          <w:rFonts w:ascii="Arial" w:hAnsi="Arial" w:cs="Arial"/>
        </w:rPr>
        <w:t xml:space="preserve"> do not have any counter-intuitive negative correlations with the cost ratios. IPACX and OPACX are correlated stronger to the cost ratios than the other supply variables. This suggests that IPACX and OPACX are capturing supply better than the other supply variables.</w:t>
      </w:r>
    </w:p>
    <w:p w:rsidR="008A2D4D" w:rsidRPr="00436F2A" w:rsidRDefault="008A2D4D" w:rsidP="008A2D4D">
      <w:pPr>
        <w:spacing w:after="0"/>
        <w:rPr>
          <w:rFonts w:ascii="Arial" w:hAnsi="Arial" w:cs="Arial"/>
          <w:i/>
        </w:rPr>
      </w:pPr>
      <w:proofErr w:type="gramStart"/>
      <w:r w:rsidRPr="00180CFC">
        <w:rPr>
          <w:rFonts w:ascii="Arial" w:hAnsi="Arial" w:cs="Arial"/>
          <w:i/>
        </w:rPr>
        <w:t xml:space="preserve">Table </w:t>
      </w:r>
      <w:r w:rsidR="000A156C">
        <w:rPr>
          <w:rFonts w:ascii="Arial" w:hAnsi="Arial" w:cs="Arial"/>
          <w:i/>
        </w:rPr>
        <w:t>3</w:t>
      </w:r>
      <w:r w:rsidRPr="00180CFC">
        <w:rPr>
          <w:rFonts w:ascii="Arial" w:hAnsi="Arial" w:cs="Arial"/>
          <w:i/>
        </w:rPr>
        <w:t>.</w:t>
      </w:r>
      <w:proofErr w:type="gramEnd"/>
      <w:r w:rsidRPr="00180CFC">
        <w:rPr>
          <w:rFonts w:ascii="Arial" w:hAnsi="Arial" w:cs="Arial"/>
          <w:i/>
        </w:rPr>
        <w:t xml:space="preserve"> </w:t>
      </w:r>
      <w:proofErr w:type="gramStart"/>
      <w:r>
        <w:rPr>
          <w:rFonts w:ascii="Arial" w:hAnsi="Arial" w:cs="Arial"/>
          <w:i/>
        </w:rPr>
        <w:t>Correlations between supply variables and cost ratios.</w:t>
      </w:r>
      <w:proofErr w:type="gramEnd"/>
    </w:p>
    <w:tbl>
      <w:tblPr>
        <w:tblW w:w="8662" w:type="dxa"/>
        <w:tblInd w:w="93" w:type="dxa"/>
        <w:tblLayout w:type="fixed"/>
        <w:tblLook w:val="04A0"/>
      </w:tblPr>
      <w:tblGrid>
        <w:gridCol w:w="1277"/>
        <w:gridCol w:w="923"/>
        <w:gridCol w:w="923"/>
        <w:gridCol w:w="923"/>
        <w:gridCol w:w="923"/>
        <w:gridCol w:w="923"/>
        <w:gridCol w:w="923"/>
        <w:gridCol w:w="923"/>
        <w:gridCol w:w="924"/>
      </w:tblGrid>
      <w:tr w:rsidR="008A2D4D" w:rsidRPr="00436F2A" w:rsidTr="008A2D4D">
        <w:trPr>
          <w:cantSplit/>
          <w:trHeight w:val="1327"/>
        </w:trPr>
        <w:tc>
          <w:tcPr>
            <w:tcW w:w="1277" w:type="dxa"/>
            <w:tcBorders>
              <w:top w:val="single" w:sz="12" w:space="0" w:color="000000"/>
              <w:left w:val="single" w:sz="12" w:space="0" w:color="000000"/>
              <w:bottom w:val="single" w:sz="12" w:space="0" w:color="000000"/>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 xml:space="preserve">Correlations </w:t>
            </w:r>
          </w:p>
        </w:tc>
        <w:tc>
          <w:tcPr>
            <w:tcW w:w="923" w:type="dxa"/>
            <w:tcBorders>
              <w:top w:val="single" w:sz="12" w:space="0" w:color="000000"/>
              <w:left w:val="single" w:sz="4" w:space="0" w:color="000000"/>
              <w:bottom w:val="single" w:sz="12" w:space="0" w:color="000000"/>
              <w:right w:val="single" w:sz="4" w:space="0" w:color="000000"/>
            </w:tcBorders>
            <w:shd w:val="clear" w:color="auto" w:fill="auto"/>
            <w:textDirection w:val="btLr"/>
            <w:vAlign w:val="center"/>
            <w:hideMark/>
          </w:tcPr>
          <w:p w:rsidR="008A2D4D" w:rsidRPr="009D785C" w:rsidRDefault="008A2D4D" w:rsidP="008A2D4D">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Cancer</w:t>
            </w:r>
            <w:r w:rsidRPr="009D785C">
              <w:rPr>
                <w:rFonts w:ascii="Arial" w:eastAsia="Times New Roman" w:hAnsi="Arial" w:cs="Arial"/>
                <w:b/>
                <w:bCs/>
                <w:color w:val="000000"/>
                <w:sz w:val="18"/>
                <w:szCs w:val="18"/>
              </w:rPr>
              <w:br/>
              <w:t>cost 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8A2D4D" w:rsidRPr="009D785C" w:rsidRDefault="008A2D4D" w:rsidP="008A2D4D">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Heart</w:t>
            </w:r>
            <w:r w:rsidRPr="009D785C">
              <w:rPr>
                <w:rFonts w:ascii="Arial" w:eastAsia="Times New Roman" w:hAnsi="Arial" w:cs="Arial"/>
                <w:b/>
                <w:bCs/>
                <w:color w:val="000000"/>
                <w:sz w:val="18"/>
                <w:szCs w:val="18"/>
              </w:rPr>
              <w:br/>
              <w:t>cost 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8A2D4D" w:rsidRPr="009D785C" w:rsidRDefault="008A2D4D" w:rsidP="008A2D4D">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Digestive</w:t>
            </w:r>
            <w:r w:rsidRPr="009D785C">
              <w:rPr>
                <w:rFonts w:ascii="Arial" w:eastAsia="Times New Roman" w:hAnsi="Arial" w:cs="Arial"/>
                <w:b/>
                <w:bCs/>
                <w:color w:val="000000"/>
                <w:sz w:val="18"/>
                <w:szCs w:val="18"/>
              </w:rPr>
              <w:br/>
              <w:t>cost 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8A2D4D" w:rsidRPr="009D785C" w:rsidRDefault="008A2D4D" w:rsidP="008A2D4D">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 xml:space="preserve">Injury </w:t>
            </w:r>
            <w:r w:rsidRPr="009D785C">
              <w:rPr>
                <w:rFonts w:ascii="Arial" w:eastAsia="Times New Roman" w:hAnsi="Arial" w:cs="Arial"/>
                <w:b/>
                <w:bCs/>
                <w:color w:val="000000"/>
                <w:sz w:val="18"/>
                <w:szCs w:val="18"/>
              </w:rPr>
              <w:br/>
              <w:t xml:space="preserve">cost </w:t>
            </w:r>
            <w:r w:rsidRPr="009D785C">
              <w:rPr>
                <w:rFonts w:ascii="Arial" w:eastAsia="Times New Roman" w:hAnsi="Arial" w:cs="Arial"/>
                <w:b/>
                <w:bCs/>
                <w:color w:val="000000"/>
                <w:sz w:val="18"/>
                <w:szCs w:val="18"/>
              </w:rPr>
              <w:br/>
              <w:t>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8A2D4D" w:rsidRPr="009D785C" w:rsidRDefault="008A2D4D" w:rsidP="008A2D4D">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Other</w:t>
            </w:r>
            <w:r w:rsidRPr="009D785C">
              <w:rPr>
                <w:rFonts w:ascii="Arial" w:eastAsia="Times New Roman" w:hAnsi="Arial" w:cs="Arial"/>
                <w:b/>
                <w:bCs/>
                <w:color w:val="000000"/>
                <w:sz w:val="18"/>
                <w:szCs w:val="18"/>
              </w:rPr>
              <w:br/>
              <w:t>cost 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8A2D4D" w:rsidRPr="009D785C" w:rsidRDefault="008A2D4D" w:rsidP="008A2D4D">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Respiratory</w:t>
            </w:r>
            <w:r w:rsidRPr="009D785C">
              <w:rPr>
                <w:rFonts w:ascii="Arial" w:eastAsia="Times New Roman" w:hAnsi="Arial" w:cs="Arial"/>
                <w:b/>
                <w:bCs/>
                <w:color w:val="000000"/>
                <w:sz w:val="18"/>
                <w:szCs w:val="18"/>
              </w:rPr>
              <w:br/>
              <w:t>cost ratios</w:t>
            </w:r>
          </w:p>
        </w:tc>
        <w:tc>
          <w:tcPr>
            <w:tcW w:w="923" w:type="dxa"/>
            <w:tcBorders>
              <w:top w:val="single" w:sz="12" w:space="0" w:color="000000"/>
              <w:left w:val="nil"/>
              <w:bottom w:val="single" w:sz="12" w:space="0" w:color="000000"/>
              <w:right w:val="single" w:sz="4" w:space="0" w:color="000000"/>
            </w:tcBorders>
            <w:shd w:val="clear" w:color="auto" w:fill="auto"/>
            <w:textDirection w:val="btLr"/>
            <w:vAlign w:val="center"/>
            <w:hideMark/>
          </w:tcPr>
          <w:p w:rsidR="008A2D4D" w:rsidRPr="009D785C" w:rsidRDefault="008A2D4D" w:rsidP="008A2D4D">
            <w:pPr>
              <w:spacing w:after="0" w:line="240" w:lineRule="auto"/>
              <w:ind w:left="113" w:right="113"/>
              <w:jc w:val="center"/>
              <w:rPr>
                <w:rFonts w:ascii="Arial" w:eastAsia="Times New Roman" w:hAnsi="Arial" w:cs="Arial"/>
                <w:b/>
                <w:bCs/>
                <w:color w:val="000000"/>
                <w:sz w:val="18"/>
                <w:szCs w:val="18"/>
              </w:rPr>
            </w:pPr>
            <w:r w:rsidRPr="009D785C">
              <w:rPr>
                <w:rFonts w:ascii="Arial" w:eastAsia="Times New Roman" w:hAnsi="Arial" w:cs="Arial"/>
                <w:b/>
                <w:bCs/>
                <w:color w:val="000000"/>
                <w:sz w:val="18"/>
                <w:szCs w:val="18"/>
              </w:rPr>
              <w:t>Outpatients</w:t>
            </w:r>
            <w:r w:rsidRPr="009D785C">
              <w:rPr>
                <w:rFonts w:ascii="Arial" w:eastAsia="Times New Roman" w:hAnsi="Arial" w:cs="Arial"/>
                <w:b/>
                <w:bCs/>
                <w:color w:val="000000"/>
                <w:sz w:val="18"/>
                <w:szCs w:val="18"/>
              </w:rPr>
              <w:br/>
              <w:t>cost ratios</w:t>
            </w:r>
          </w:p>
        </w:tc>
        <w:tc>
          <w:tcPr>
            <w:tcW w:w="924"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8A2D4D" w:rsidRPr="009D785C" w:rsidRDefault="008A2D4D" w:rsidP="008A2D4D">
            <w:pPr>
              <w:spacing w:after="0" w:line="240" w:lineRule="auto"/>
              <w:ind w:left="113" w:right="113"/>
              <w:jc w:val="center"/>
              <w:rPr>
                <w:rFonts w:ascii="Arial" w:eastAsia="Times New Roman" w:hAnsi="Arial" w:cs="Arial"/>
                <w:b/>
                <w:bCs/>
                <w:color w:val="000000"/>
                <w:sz w:val="18"/>
                <w:szCs w:val="18"/>
              </w:rPr>
            </w:pPr>
            <w:r w:rsidRPr="00E171BE">
              <w:rPr>
                <w:rFonts w:ascii="Arial" w:eastAsia="Times New Roman" w:hAnsi="Arial" w:cs="Arial"/>
                <w:b/>
                <w:bCs/>
                <w:color w:val="000000"/>
                <w:sz w:val="18"/>
                <w:szCs w:val="18"/>
              </w:rPr>
              <w:t>Current Acute Index</w:t>
            </w:r>
          </w:p>
        </w:tc>
      </w:tr>
      <w:tr w:rsidR="008A2D4D" w:rsidRPr="00436F2A" w:rsidTr="008A2D4D">
        <w:trPr>
          <w:trHeight w:val="318"/>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IPACX</w:t>
            </w:r>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0.187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0.140</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0.292</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0.129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0.269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0.299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0.353</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0.290</w:t>
            </w:r>
          </w:p>
        </w:tc>
      </w:tr>
      <w:tr w:rsidR="008A2D4D" w:rsidRPr="00436F2A" w:rsidTr="008A2D4D">
        <w:trPr>
          <w:trHeight w:val="303"/>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OPACX</w:t>
            </w:r>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0.167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0.118</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0.221</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0.121</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0.212</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0.277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0.401</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0.247</w:t>
            </w:r>
          </w:p>
        </w:tc>
      </w:tr>
      <w:tr w:rsidR="008A2D4D" w:rsidRPr="00436F2A" w:rsidTr="008A2D4D">
        <w:trPr>
          <w:trHeight w:val="303"/>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IPAC</w:t>
            </w:r>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-0.040</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-0.046</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-0.011</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-0.056</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0.021</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-0.117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-0.195</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-0.054</w:t>
            </w:r>
          </w:p>
        </w:tc>
      </w:tr>
      <w:tr w:rsidR="008A2D4D" w:rsidRPr="00436F2A" w:rsidTr="008A2D4D">
        <w:trPr>
          <w:trHeight w:val="303"/>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OPAC</w:t>
            </w:r>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-0.058</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-0.098</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-0.074</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-0.097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-0.063</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-0.150</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-0.141</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-0.113</w:t>
            </w:r>
          </w:p>
        </w:tc>
      </w:tr>
      <w:tr w:rsidR="008A2D4D" w:rsidRPr="00436F2A" w:rsidTr="008A2D4D">
        <w:trPr>
          <w:trHeight w:val="303"/>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IA1</w:t>
            </w:r>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0.076</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0.071</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0.170</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0.033</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0.104</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0.126</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0.090</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0.144</w:t>
            </w:r>
          </w:p>
        </w:tc>
      </w:tr>
      <w:tr w:rsidR="008A2D4D" w:rsidRPr="00436F2A" w:rsidTr="008A2D4D">
        <w:trPr>
          <w:trHeight w:val="303"/>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OA1</w:t>
            </w:r>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0.019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-0.026</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-0.021</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-0.013</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-0.009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0.009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0.033</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-0.008</w:t>
            </w:r>
          </w:p>
        </w:tc>
      </w:tr>
      <w:tr w:rsidR="008A2D4D" w:rsidRPr="00436F2A" w:rsidTr="008A2D4D">
        <w:trPr>
          <w:trHeight w:val="303"/>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IA2</w:t>
            </w:r>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0.087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0.075</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0.161</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0.046</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0.088</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0.137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0.134</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0.130</w:t>
            </w:r>
          </w:p>
        </w:tc>
      </w:tr>
      <w:tr w:rsidR="008A2D4D" w:rsidRPr="00436F2A" w:rsidTr="008A2D4D">
        <w:trPr>
          <w:trHeight w:val="303"/>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OA2</w:t>
            </w:r>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0.029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-0.017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0.007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-0.009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0.014</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0.019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0.048</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-0.024</w:t>
            </w:r>
          </w:p>
        </w:tc>
      </w:tr>
      <w:tr w:rsidR="008A2D4D" w:rsidRPr="00436F2A" w:rsidTr="008A2D4D">
        <w:trPr>
          <w:trHeight w:val="303"/>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proofErr w:type="spellStart"/>
            <w:r w:rsidRPr="00436F2A">
              <w:rPr>
                <w:rFonts w:ascii="Arial" w:eastAsia="Times New Roman" w:hAnsi="Arial" w:cs="Arial"/>
                <w:b/>
                <w:bCs/>
                <w:color w:val="000000"/>
                <w:sz w:val="18"/>
                <w:szCs w:val="18"/>
              </w:rPr>
              <w:t>GPCount</w:t>
            </w:r>
            <w:proofErr w:type="spellEnd"/>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0.127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0.109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0.137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0.086</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0.114</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0.193</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70C0"/>
                <w:sz w:val="18"/>
                <w:szCs w:val="18"/>
              </w:rPr>
            </w:pPr>
            <w:r w:rsidRPr="00436F2A">
              <w:rPr>
                <w:rFonts w:ascii="Arial" w:eastAsia="Times New Roman" w:hAnsi="Arial" w:cs="Arial"/>
                <w:color w:val="0070C0"/>
                <w:sz w:val="18"/>
                <w:szCs w:val="18"/>
              </w:rPr>
              <w:t>0.305</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0.148</w:t>
            </w:r>
          </w:p>
        </w:tc>
      </w:tr>
      <w:tr w:rsidR="008A2D4D" w:rsidRPr="00436F2A" w:rsidTr="008A2D4D">
        <w:trPr>
          <w:trHeight w:val="303"/>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proofErr w:type="spellStart"/>
            <w:r w:rsidRPr="00436F2A">
              <w:rPr>
                <w:rFonts w:ascii="Arial" w:eastAsia="Times New Roman" w:hAnsi="Arial" w:cs="Arial"/>
                <w:b/>
                <w:bCs/>
                <w:color w:val="000000"/>
                <w:sz w:val="18"/>
                <w:szCs w:val="18"/>
              </w:rPr>
              <w:t>GPSup</w:t>
            </w:r>
            <w:proofErr w:type="spellEnd"/>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0.034</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0.064</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-0.015</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0.087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0.019</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0.057</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0.043</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0.084</w:t>
            </w:r>
          </w:p>
        </w:tc>
      </w:tr>
      <w:tr w:rsidR="008A2D4D" w:rsidRPr="00436F2A" w:rsidTr="008A2D4D">
        <w:trPr>
          <w:trHeight w:val="303"/>
        </w:trPr>
        <w:tc>
          <w:tcPr>
            <w:tcW w:w="1277" w:type="dxa"/>
            <w:tcBorders>
              <w:top w:val="nil"/>
              <w:left w:val="single" w:sz="12" w:space="0" w:color="000000"/>
              <w:bottom w:val="nil"/>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GPsup5</w:t>
            </w:r>
          </w:p>
        </w:tc>
        <w:tc>
          <w:tcPr>
            <w:tcW w:w="923" w:type="dxa"/>
            <w:tcBorders>
              <w:top w:val="nil"/>
              <w:left w:val="single" w:sz="4" w:space="0" w:color="000000"/>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0.015</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0.043</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-0.041</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0.056</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-0.030</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0.030</w:t>
            </w:r>
          </w:p>
        </w:tc>
        <w:tc>
          <w:tcPr>
            <w:tcW w:w="923" w:type="dxa"/>
            <w:tcBorders>
              <w:top w:val="nil"/>
              <w:left w:val="nil"/>
              <w:bottom w:val="nil"/>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0.011</w:t>
            </w:r>
          </w:p>
        </w:tc>
        <w:tc>
          <w:tcPr>
            <w:tcW w:w="924" w:type="dxa"/>
            <w:tcBorders>
              <w:top w:val="nil"/>
              <w:left w:val="nil"/>
              <w:bottom w:val="nil"/>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0.029</w:t>
            </w:r>
          </w:p>
        </w:tc>
      </w:tr>
      <w:tr w:rsidR="008A2D4D" w:rsidRPr="00436F2A" w:rsidTr="008A2D4D">
        <w:trPr>
          <w:trHeight w:val="318"/>
        </w:trPr>
        <w:tc>
          <w:tcPr>
            <w:tcW w:w="1277" w:type="dxa"/>
            <w:tcBorders>
              <w:top w:val="nil"/>
              <w:left w:val="single" w:sz="12" w:space="0" w:color="000000"/>
              <w:bottom w:val="single" w:sz="12" w:space="0" w:color="000000"/>
              <w:right w:val="nil"/>
            </w:tcBorders>
            <w:shd w:val="clear" w:color="auto" w:fill="auto"/>
            <w:hideMark/>
          </w:tcPr>
          <w:p w:rsidR="008A2D4D" w:rsidRPr="00436F2A" w:rsidRDefault="008A2D4D" w:rsidP="008A2D4D">
            <w:pPr>
              <w:spacing w:after="0" w:line="240" w:lineRule="auto"/>
              <w:rPr>
                <w:rFonts w:ascii="Arial" w:eastAsia="Times New Roman" w:hAnsi="Arial" w:cs="Arial"/>
                <w:b/>
                <w:bCs/>
                <w:color w:val="000000"/>
                <w:sz w:val="18"/>
                <w:szCs w:val="18"/>
              </w:rPr>
            </w:pPr>
            <w:r w:rsidRPr="00436F2A">
              <w:rPr>
                <w:rFonts w:ascii="Arial" w:eastAsia="Times New Roman" w:hAnsi="Arial" w:cs="Arial"/>
                <w:b/>
                <w:bCs/>
                <w:color w:val="000000"/>
                <w:sz w:val="18"/>
                <w:szCs w:val="18"/>
              </w:rPr>
              <w:t>GPSup10</w:t>
            </w:r>
          </w:p>
        </w:tc>
        <w:tc>
          <w:tcPr>
            <w:tcW w:w="923" w:type="dxa"/>
            <w:tcBorders>
              <w:top w:val="nil"/>
              <w:left w:val="single" w:sz="4" w:space="0" w:color="000000"/>
              <w:bottom w:val="single" w:sz="12" w:space="0" w:color="000000"/>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0.004</w:t>
            </w:r>
          </w:p>
        </w:tc>
        <w:tc>
          <w:tcPr>
            <w:tcW w:w="923" w:type="dxa"/>
            <w:tcBorders>
              <w:top w:val="nil"/>
              <w:left w:val="nil"/>
              <w:bottom w:val="single" w:sz="12" w:space="0" w:color="000000"/>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0.030</w:t>
            </w:r>
          </w:p>
        </w:tc>
        <w:tc>
          <w:tcPr>
            <w:tcW w:w="923" w:type="dxa"/>
            <w:tcBorders>
              <w:top w:val="nil"/>
              <w:left w:val="nil"/>
              <w:bottom w:val="single" w:sz="12" w:space="0" w:color="000000"/>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-0.055</w:t>
            </w:r>
          </w:p>
        </w:tc>
        <w:tc>
          <w:tcPr>
            <w:tcW w:w="923" w:type="dxa"/>
            <w:tcBorders>
              <w:top w:val="nil"/>
              <w:left w:val="nil"/>
              <w:bottom w:val="single" w:sz="12" w:space="0" w:color="000000"/>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0.038</w:t>
            </w:r>
          </w:p>
        </w:tc>
        <w:tc>
          <w:tcPr>
            <w:tcW w:w="923" w:type="dxa"/>
            <w:tcBorders>
              <w:top w:val="nil"/>
              <w:left w:val="nil"/>
              <w:bottom w:val="single" w:sz="12" w:space="0" w:color="000000"/>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-0.054</w:t>
            </w:r>
          </w:p>
        </w:tc>
        <w:tc>
          <w:tcPr>
            <w:tcW w:w="923" w:type="dxa"/>
            <w:tcBorders>
              <w:top w:val="nil"/>
              <w:left w:val="nil"/>
              <w:bottom w:val="single" w:sz="12" w:space="0" w:color="000000"/>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000000"/>
                <w:sz w:val="18"/>
                <w:szCs w:val="18"/>
              </w:rPr>
            </w:pPr>
            <w:r w:rsidRPr="00436F2A">
              <w:rPr>
                <w:rFonts w:ascii="Arial" w:eastAsia="Times New Roman" w:hAnsi="Arial" w:cs="Arial"/>
                <w:color w:val="000000"/>
                <w:sz w:val="18"/>
                <w:szCs w:val="18"/>
              </w:rPr>
              <w:t>0.012</w:t>
            </w:r>
          </w:p>
        </w:tc>
        <w:tc>
          <w:tcPr>
            <w:tcW w:w="923" w:type="dxa"/>
            <w:tcBorders>
              <w:top w:val="nil"/>
              <w:left w:val="nil"/>
              <w:bottom w:val="single" w:sz="12" w:space="0" w:color="000000"/>
              <w:right w:val="single" w:sz="4"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-0.011</w:t>
            </w:r>
          </w:p>
        </w:tc>
        <w:tc>
          <w:tcPr>
            <w:tcW w:w="924" w:type="dxa"/>
            <w:tcBorders>
              <w:top w:val="nil"/>
              <w:left w:val="nil"/>
              <w:bottom w:val="single" w:sz="12" w:space="0" w:color="000000"/>
              <w:right w:val="single" w:sz="12" w:space="0" w:color="000000"/>
            </w:tcBorders>
            <w:shd w:val="clear" w:color="auto" w:fill="auto"/>
            <w:noWrap/>
            <w:vAlign w:val="center"/>
            <w:hideMark/>
          </w:tcPr>
          <w:p w:rsidR="008A2D4D" w:rsidRPr="00436F2A" w:rsidRDefault="008A2D4D" w:rsidP="008A2D4D">
            <w:pPr>
              <w:spacing w:after="0" w:line="240" w:lineRule="auto"/>
              <w:jc w:val="right"/>
              <w:rPr>
                <w:rFonts w:ascii="Arial" w:eastAsia="Times New Roman" w:hAnsi="Arial" w:cs="Arial"/>
                <w:color w:val="FF0000"/>
                <w:sz w:val="18"/>
                <w:szCs w:val="18"/>
              </w:rPr>
            </w:pPr>
            <w:r w:rsidRPr="00436F2A">
              <w:rPr>
                <w:rFonts w:ascii="Arial" w:eastAsia="Times New Roman" w:hAnsi="Arial" w:cs="Arial"/>
                <w:color w:val="FF0000"/>
                <w:sz w:val="18"/>
                <w:szCs w:val="18"/>
              </w:rPr>
              <w:t>-0.003</w:t>
            </w:r>
          </w:p>
        </w:tc>
      </w:tr>
    </w:tbl>
    <w:p w:rsidR="008A2D4D" w:rsidRDefault="008A2D4D" w:rsidP="008A2D4D">
      <w:pPr>
        <w:autoSpaceDE w:val="0"/>
        <w:autoSpaceDN w:val="0"/>
        <w:adjustRightInd w:val="0"/>
        <w:rPr>
          <w:rFonts w:ascii="Arial" w:hAnsi="Arial" w:cs="Arial"/>
          <w:b/>
        </w:rPr>
      </w:pPr>
    </w:p>
    <w:p w:rsidR="008A2D4D" w:rsidRDefault="008A2D4D" w:rsidP="008A2D4D">
      <w:pPr>
        <w:jc w:val="both"/>
        <w:rPr>
          <w:rFonts w:ascii="Arial" w:hAnsi="Arial" w:cs="Arial"/>
        </w:rPr>
      </w:pPr>
      <w:r>
        <w:rPr>
          <w:rFonts w:ascii="Arial" w:hAnsi="Arial" w:cs="Arial"/>
        </w:rPr>
        <w:t xml:space="preserve">Tables </w:t>
      </w:r>
      <w:r w:rsidR="000A156C">
        <w:rPr>
          <w:rFonts w:ascii="Arial" w:hAnsi="Arial" w:cs="Arial"/>
        </w:rPr>
        <w:t>4</w:t>
      </w:r>
      <w:r>
        <w:rPr>
          <w:rFonts w:ascii="Arial" w:hAnsi="Arial" w:cs="Arial"/>
        </w:rPr>
        <w:t xml:space="preserve"> and </w:t>
      </w:r>
      <w:r w:rsidR="000A156C">
        <w:rPr>
          <w:rFonts w:ascii="Arial" w:hAnsi="Arial" w:cs="Arial"/>
        </w:rPr>
        <w:t>5</w:t>
      </w:r>
      <w:r>
        <w:rPr>
          <w:rFonts w:ascii="Arial" w:hAnsi="Arial" w:cs="Arial"/>
        </w:rPr>
        <w:t xml:space="preserve"> show the inter-correlations among the hospital supply variables and the General Practice supply variables, respectively. As we would expect, there are strong associations among </w:t>
      </w:r>
      <w:proofErr w:type="spellStart"/>
      <w:r>
        <w:rPr>
          <w:rFonts w:ascii="Arial" w:hAnsi="Arial" w:cs="Arial"/>
        </w:rPr>
        <w:t>GPSup</w:t>
      </w:r>
      <w:proofErr w:type="spellEnd"/>
      <w:r>
        <w:rPr>
          <w:rFonts w:ascii="Arial" w:hAnsi="Arial" w:cs="Arial"/>
        </w:rPr>
        <w:t>, GPSup5 and GPSup10 (highlighted in red). This is not the case for the hospital supply variables.</w:t>
      </w:r>
    </w:p>
    <w:p w:rsidR="00953958" w:rsidRDefault="00953958">
      <w:pPr>
        <w:rPr>
          <w:rFonts w:ascii="Arial" w:hAnsi="Arial" w:cs="Arial"/>
          <w:i/>
        </w:rPr>
      </w:pPr>
      <w:r>
        <w:rPr>
          <w:rFonts w:ascii="Arial" w:hAnsi="Arial" w:cs="Arial"/>
          <w:i/>
        </w:rPr>
        <w:br w:type="page"/>
      </w:r>
    </w:p>
    <w:p w:rsidR="008A2D4D" w:rsidRPr="000C0930" w:rsidRDefault="008A2D4D" w:rsidP="008A2D4D">
      <w:pPr>
        <w:spacing w:after="0"/>
        <w:rPr>
          <w:rFonts w:ascii="Arial" w:hAnsi="Arial" w:cs="Arial"/>
          <w:i/>
        </w:rPr>
      </w:pPr>
      <w:proofErr w:type="gramStart"/>
      <w:r w:rsidRPr="00180CFC">
        <w:rPr>
          <w:rFonts w:ascii="Arial" w:hAnsi="Arial" w:cs="Arial"/>
          <w:i/>
        </w:rPr>
        <w:lastRenderedPageBreak/>
        <w:t xml:space="preserve">Table </w:t>
      </w:r>
      <w:r w:rsidR="000A156C">
        <w:rPr>
          <w:rFonts w:ascii="Arial" w:hAnsi="Arial" w:cs="Arial"/>
          <w:i/>
        </w:rPr>
        <w:t>4</w:t>
      </w:r>
      <w:r w:rsidRPr="00180CFC">
        <w:rPr>
          <w:rFonts w:ascii="Arial" w:hAnsi="Arial" w:cs="Arial"/>
          <w:i/>
        </w:rPr>
        <w:t>.</w:t>
      </w:r>
      <w:proofErr w:type="gramEnd"/>
      <w:r w:rsidRPr="00180CFC">
        <w:rPr>
          <w:rFonts w:ascii="Arial" w:hAnsi="Arial" w:cs="Arial"/>
          <w:i/>
        </w:rPr>
        <w:t xml:space="preserve"> </w:t>
      </w:r>
      <w:r>
        <w:rPr>
          <w:rFonts w:ascii="Arial" w:hAnsi="Arial" w:cs="Arial"/>
          <w:i/>
        </w:rPr>
        <w:t>Correlations among hospital supply variables.</w:t>
      </w:r>
    </w:p>
    <w:tbl>
      <w:tblPr>
        <w:tblW w:w="8923" w:type="dxa"/>
        <w:tblLayout w:type="fixed"/>
        <w:tblLook w:val="04A0"/>
      </w:tblPr>
      <w:tblGrid>
        <w:gridCol w:w="1277"/>
        <w:gridCol w:w="955"/>
        <w:gridCol w:w="956"/>
        <w:gridCol w:w="956"/>
        <w:gridCol w:w="956"/>
        <w:gridCol w:w="955"/>
        <w:gridCol w:w="956"/>
        <w:gridCol w:w="956"/>
        <w:gridCol w:w="956"/>
      </w:tblGrid>
      <w:tr w:rsidR="008A2D4D" w:rsidRPr="00C05F0A" w:rsidTr="008A2D4D">
        <w:trPr>
          <w:trHeight w:val="413"/>
        </w:trPr>
        <w:tc>
          <w:tcPr>
            <w:tcW w:w="1277" w:type="dxa"/>
            <w:tcBorders>
              <w:top w:val="single" w:sz="12" w:space="0" w:color="000000"/>
              <w:left w:val="single" w:sz="12" w:space="0" w:color="000000"/>
              <w:bottom w:val="single" w:sz="12" w:space="0" w:color="000000"/>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Correlations</w:t>
            </w:r>
          </w:p>
        </w:tc>
        <w:tc>
          <w:tcPr>
            <w:tcW w:w="955" w:type="dxa"/>
            <w:tcBorders>
              <w:top w:val="single" w:sz="12" w:space="0" w:color="000000"/>
              <w:left w:val="single" w:sz="12" w:space="0" w:color="000000"/>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IPACX</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OPACX</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IPAC</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OPAC</w:t>
            </w:r>
          </w:p>
        </w:tc>
        <w:tc>
          <w:tcPr>
            <w:tcW w:w="955"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IA1</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OA1</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IA2</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OA2</w:t>
            </w:r>
          </w:p>
        </w:tc>
      </w:tr>
      <w:tr w:rsidR="008A2D4D" w:rsidRPr="00C05F0A" w:rsidTr="008A2D4D">
        <w:trPr>
          <w:trHeight w:val="255"/>
        </w:trPr>
        <w:tc>
          <w:tcPr>
            <w:tcW w:w="1277" w:type="dxa"/>
            <w:tcBorders>
              <w:top w:val="single" w:sz="12" w:space="0" w:color="000000"/>
              <w:left w:val="single" w:sz="12" w:space="0" w:color="000000"/>
              <w:bottom w:val="nil"/>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IPACX</w:t>
            </w:r>
          </w:p>
        </w:tc>
        <w:tc>
          <w:tcPr>
            <w:tcW w:w="955" w:type="dxa"/>
            <w:tcBorders>
              <w:top w:val="single" w:sz="12" w:space="0" w:color="000000"/>
              <w:left w:val="single" w:sz="12" w:space="0" w:color="000000"/>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AC6B8A" w:rsidRDefault="008A2D4D" w:rsidP="008A2D4D">
            <w:pPr>
              <w:spacing w:after="0" w:line="240" w:lineRule="auto"/>
              <w:jc w:val="right"/>
              <w:rPr>
                <w:rFonts w:ascii="Arial" w:eastAsia="Times New Roman" w:hAnsi="Arial" w:cs="Arial"/>
                <w:color w:val="FF0000"/>
                <w:sz w:val="18"/>
                <w:szCs w:val="18"/>
              </w:rPr>
            </w:pPr>
            <w:r w:rsidRPr="00AC6B8A">
              <w:rPr>
                <w:rFonts w:ascii="Arial" w:eastAsia="Times New Roman" w:hAnsi="Arial" w:cs="Arial"/>
                <w:color w:val="FF0000"/>
                <w:sz w:val="18"/>
                <w:szCs w:val="18"/>
              </w:rPr>
              <w:t>0.961</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-0.385</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-0.428</w:t>
            </w:r>
          </w:p>
        </w:tc>
        <w:tc>
          <w:tcPr>
            <w:tcW w:w="955"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0.500</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0.245</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0.460</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0.343</w:t>
            </w:r>
          </w:p>
        </w:tc>
      </w:tr>
      <w:tr w:rsidR="008A2D4D" w:rsidRPr="00C05F0A" w:rsidTr="008A2D4D">
        <w:trPr>
          <w:trHeight w:val="243"/>
        </w:trPr>
        <w:tc>
          <w:tcPr>
            <w:tcW w:w="1277" w:type="dxa"/>
            <w:tcBorders>
              <w:top w:val="nil"/>
              <w:left w:val="single" w:sz="12" w:space="0" w:color="000000"/>
              <w:bottom w:val="nil"/>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OPACX</w:t>
            </w:r>
          </w:p>
        </w:tc>
        <w:tc>
          <w:tcPr>
            <w:tcW w:w="955" w:type="dxa"/>
            <w:tcBorders>
              <w:top w:val="nil"/>
              <w:left w:val="single" w:sz="12" w:space="0" w:color="000000"/>
              <w:bottom w:val="nil"/>
              <w:right w:val="single" w:sz="4" w:space="0" w:color="000000"/>
            </w:tcBorders>
            <w:shd w:val="clear" w:color="auto" w:fill="auto"/>
            <w:noWrap/>
            <w:vAlign w:val="center"/>
            <w:hideMark/>
          </w:tcPr>
          <w:p w:rsidR="008A2D4D" w:rsidRPr="00AC6B8A" w:rsidRDefault="008A2D4D" w:rsidP="008A2D4D">
            <w:pPr>
              <w:spacing w:after="0" w:line="240" w:lineRule="auto"/>
              <w:jc w:val="right"/>
              <w:rPr>
                <w:rFonts w:ascii="Arial" w:eastAsia="Times New Roman" w:hAnsi="Arial" w:cs="Arial"/>
                <w:color w:val="FF0000"/>
                <w:sz w:val="18"/>
                <w:szCs w:val="18"/>
              </w:rPr>
            </w:pPr>
            <w:r w:rsidRPr="00AC6B8A">
              <w:rPr>
                <w:rFonts w:ascii="Arial" w:eastAsia="Times New Roman" w:hAnsi="Arial" w:cs="Arial"/>
                <w:color w:val="FF0000"/>
                <w:sz w:val="18"/>
                <w:szCs w:val="18"/>
              </w:rPr>
              <w:t>0.961</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-0.456</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-0.446</w:t>
            </w:r>
          </w:p>
        </w:tc>
        <w:tc>
          <w:tcPr>
            <w:tcW w:w="955"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0.462</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0.269</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0.421</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0.364</w:t>
            </w:r>
          </w:p>
        </w:tc>
      </w:tr>
      <w:tr w:rsidR="008A2D4D" w:rsidRPr="00C05F0A" w:rsidTr="008A2D4D">
        <w:trPr>
          <w:trHeight w:val="243"/>
        </w:trPr>
        <w:tc>
          <w:tcPr>
            <w:tcW w:w="1277" w:type="dxa"/>
            <w:tcBorders>
              <w:top w:val="nil"/>
              <w:left w:val="single" w:sz="12" w:space="0" w:color="000000"/>
              <w:bottom w:val="nil"/>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IPAC</w:t>
            </w:r>
          </w:p>
        </w:tc>
        <w:tc>
          <w:tcPr>
            <w:tcW w:w="955" w:type="dxa"/>
            <w:tcBorders>
              <w:top w:val="nil"/>
              <w:left w:val="single" w:sz="12" w:space="0" w:color="000000"/>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-0.385</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-0.456</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956" w:type="dxa"/>
            <w:tcBorders>
              <w:top w:val="nil"/>
              <w:left w:val="nil"/>
              <w:bottom w:val="nil"/>
              <w:right w:val="single" w:sz="4" w:space="0" w:color="000000"/>
            </w:tcBorders>
            <w:shd w:val="clear" w:color="auto" w:fill="auto"/>
            <w:noWrap/>
            <w:vAlign w:val="center"/>
            <w:hideMark/>
          </w:tcPr>
          <w:p w:rsidR="008A2D4D" w:rsidRPr="00C87B46" w:rsidRDefault="008A2D4D" w:rsidP="008A2D4D">
            <w:pPr>
              <w:spacing w:after="0" w:line="240" w:lineRule="auto"/>
              <w:jc w:val="right"/>
              <w:rPr>
                <w:rFonts w:ascii="Arial" w:eastAsia="Times New Roman" w:hAnsi="Arial" w:cs="Arial"/>
                <w:color w:val="FF0000"/>
                <w:sz w:val="18"/>
                <w:szCs w:val="18"/>
              </w:rPr>
            </w:pPr>
            <w:r w:rsidRPr="00C87B46">
              <w:rPr>
                <w:rFonts w:ascii="Arial" w:eastAsia="Times New Roman" w:hAnsi="Arial" w:cs="Arial"/>
                <w:color w:val="FF0000"/>
                <w:sz w:val="18"/>
                <w:szCs w:val="18"/>
              </w:rPr>
              <w:t>0.736</w:t>
            </w:r>
          </w:p>
        </w:tc>
        <w:tc>
          <w:tcPr>
            <w:tcW w:w="955"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-0.171</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-0.116</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-0.219</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-0.140</w:t>
            </w:r>
          </w:p>
        </w:tc>
      </w:tr>
      <w:tr w:rsidR="008A2D4D" w:rsidRPr="00C05F0A" w:rsidTr="008A2D4D">
        <w:trPr>
          <w:trHeight w:val="243"/>
        </w:trPr>
        <w:tc>
          <w:tcPr>
            <w:tcW w:w="1277" w:type="dxa"/>
            <w:tcBorders>
              <w:top w:val="nil"/>
              <w:left w:val="single" w:sz="12" w:space="0" w:color="000000"/>
              <w:bottom w:val="nil"/>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OPAC</w:t>
            </w:r>
          </w:p>
        </w:tc>
        <w:tc>
          <w:tcPr>
            <w:tcW w:w="955" w:type="dxa"/>
            <w:tcBorders>
              <w:top w:val="nil"/>
              <w:left w:val="single" w:sz="12" w:space="0" w:color="000000"/>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-0.428</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-0.446</w:t>
            </w:r>
          </w:p>
        </w:tc>
        <w:tc>
          <w:tcPr>
            <w:tcW w:w="956" w:type="dxa"/>
            <w:tcBorders>
              <w:top w:val="nil"/>
              <w:left w:val="nil"/>
              <w:bottom w:val="nil"/>
              <w:right w:val="single" w:sz="4" w:space="0" w:color="000000"/>
            </w:tcBorders>
            <w:shd w:val="clear" w:color="auto" w:fill="auto"/>
            <w:noWrap/>
            <w:vAlign w:val="center"/>
            <w:hideMark/>
          </w:tcPr>
          <w:p w:rsidR="008A2D4D" w:rsidRPr="00C87B46" w:rsidRDefault="008A2D4D" w:rsidP="008A2D4D">
            <w:pPr>
              <w:spacing w:after="0" w:line="240" w:lineRule="auto"/>
              <w:jc w:val="right"/>
              <w:rPr>
                <w:rFonts w:ascii="Arial" w:eastAsia="Times New Roman" w:hAnsi="Arial" w:cs="Arial"/>
                <w:color w:val="FF0000"/>
                <w:sz w:val="18"/>
                <w:szCs w:val="18"/>
              </w:rPr>
            </w:pPr>
            <w:r w:rsidRPr="00C87B46">
              <w:rPr>
                <w:rFonts w:ascii="Arial" w:eastAsia="Times New Roman" w:hAnsi="Arial" w:cs="Arial"/>
                <w:color w:val="FF0000"/>
                <w:sz w:val="18"/>
                <w:szCs w:val="18"/>
              </w:rPr>
              <w:t>0.736</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955"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-0.183</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-0.100</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-0.227</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-0.151</w:t>
            </w:r>
          </w:p>
        </w:tc>
      </w:tr>
      <w:tr w:rsidR="008A2D4D" w:rsidRPr="00C05F0A" w:rsidTr="008A2D4D">
        <w:trPr>
          <w:trHeight w:val="243"/>
        </w:trPr>
        <w:tc>
          <w:tcPr>
            <w:tcW w:w="1277" w:type="dxa"/>
            <w:tcBorders>
              <w:top w:val="nil"/>
              <w:left w:val="single" w:sz="12" w:space="0" w:color="000000"/>
              <w:bottom w:val="nil"/>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IA1</w:t>
            </w:r>
          </w:p>
        </w:tc>
        <w:tc>
          <w:tcPr>
            <w:tcW w:w="955" w:type="dxa"/>
            <w:tcBorders>
              <w:top w:val="nil"/>
              <w:left w:val="single" w:sz="12" w:space="0" w:color="000000"/>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0.500</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0.462</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-0.171</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-0.183</w:t>
            </w:r>
          </w:p>
        </w:tc>
        <w:tc>
          <w:tcPr>
            <w:tcW w:w="955"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0.342</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0.552</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0.406</w:t>
            </w:r>
          </w:p>
        </w:tc>
      </w:tr>
      <w:tr w:rsidR="008A2D4D" w:rsidRPr="00C05F0A" w:rsidTr="008A2D4D">
        <w:trPr>
          <w:trHeight w:val="243"/>
        </w:trPr>
        <w:tc>
          <w:tcPr>
            <w:tcW w:w="1277" w:type="dxa"/>
            <w:tcBorders>
              <w:top w:val="nil"/>
              <w:left w:val="single" w:sz="12" w:space="0" w:color="000000"/>
              <w:bottom w:val="nil"/>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OA1</w:t>
            </w:r>
          </w:p>
        </w:tc>
        <w:tc>
          <w:tcPr>
            <w:tcW w:w="955" w:type="dxa"/>
            <w:tcBorders>
              <w:top w:val="nil"/>
              <w:left w:val="single" w:sz="12" w:space="0" w:color="000000"/>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0.245</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0.269</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-0.116</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-0.100</w:t>
            </w:r>
          </w:p>
        </w:tc>
        <w:tc>
          <w:tcPr>
            <w:tcW w:w="955"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0.342</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0.181</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0.593</w:t>
            </w:r>
          </w:p>
        </w:tc>
      </w:tr>
      <w:tr w:rsidR="008A2D4D" w:rsidRPr="00C05F0A" w:rsidTr="008A2D4D">
        <w:trPr>
          <w:trHeight w:val="243"/>
        </w:trPr>
        <w:tc>
          <w:tcPr>
            <w:tcW w:w="1277" w:type="dxa"/>
            <w:tcBorders>
              <w:top w:val="nil"/>
              <w:left w:val="single" w:sz="12" w:space="0" w:color="000000"/>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IA2</w:t>
            </w:r>
          </w:p>
        </w:tc>
        <w:tc>
          <w:tcPr>
            <w:tcW w:w="955" w:type="dxa"/>
            <w:tcBorders>
              <w:top w:val="nil"/>
              <w:left w:val="single" w:sz="12"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0.460</w:t>
            </w:r>
          </w:p>
        </w:tc>
        <w:tc>
          <w:tcPr>
            <w:tcW w:w="956" w:type="dxa"/>
            <w:tcBorders>
              <w:top w:val="nil"/>
              <w:left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0.421</w:t>
            </w:r>
          </w:p>
        </w:tc>
        <w:tc>
          <w:tcPr>
            <w:tcW w:w="956" w:type="dxa"/>
            <w:tcBorders>
              <w:top w:val="nil"/>
              <w:left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-0.219</w:t>
            </w:r>
          </w:p>
        </w:tc>
        <w:tc>
          <w:tcPr>
            <w:tcW w:w="956" w:type="dxa"/>
            <w:tcBorders>
              <w:top w:val="nil"/>
              <w:left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-0.227</w:t>
            </w:r>
          </w:p>
        </w:tc>
        <w:tc>
          <w:tcPr>
            <w:tcW w:w="955" w:type="dxa"/>
            <w:tcBorders>
              <w:top w:val="nil"/>
              <w:left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0.552</w:t>
            </w:r>
          </w:p>
        </w:tc>
        <w:tc>
          <w:tcPr>
            <w:tcW w:w="956" w:type="dxa"/>
            <w:tcBorders>
              <w:top w:val="nil"/>
              <w:left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0.181</w:t>
            </w:r>
          </w:p>
        </w:tc>
        <w:tc>
          <w:tcPr>
            <w:tcW w:w="956" w:type="dxa"/>
            <w:tcBorders>
              <w:top w:val="nil"/>
              <w:left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956" w:type="dxa"/>
            <w:tcBorders>
              <w:top w:val="nil"/>
              <w:left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0.310</w:t>
            </w:r>
          </w:p>
        </w:tc>
      </w:tr>
      <w:tr w:rsidR="008A2D4D" w:rsidRPr="00C05F0A" w:rsidTr="008A2D4D">
        <w:trPr>
          <w:trHeight w:val="243"/>
        </w:trPr>
        <w:tc>
          <w:tcPr>
            <w:tcW w:w="1277" w:type="dxa"/>
            <w:tcBorders>
              <w:top w:val="nil"/>
              <w:left w:val="single" w:sz="12" w:space="0" w:color="000000"/>
              <w:bottom w:val="single" w:sz="4" w:space="0" w:color="000000"/>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OA2</w:t>
            </w:r>
          </w:p>
        </w:tc>
        <w:tc>
          <w:tcPr>
            <w:tcW w:w="955" w:type="dxa"/>
            <w:tcBorders>
              <w:top w:val="nil"/>
              <w:left w:val="single" w:sz="12" w:space="0" w:color="000000"/>
              <w:bottom w:val="single" w:sz="4"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0.343</w:t>
            </w:r>
          </w:p>
        </w:tc>
        <w:tc>
          <w:tcPr>
            <w:tcW w:w="956" w:type="dxa"/>
            <w:tcBorders>
              <w:top w:val="nil"/>
              <w:left w:val="nil"/>
              <w:bottom w:val="single" w:sz="4"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0.364</w:t>
            </w:r>
          </w:p>
        </w:tc>
        <w:tc>
          <w:tcPr>
            <w:tcW w:w="956" w:type="dxa"/>
            <w:tcBorders>
              <w:top w:val="nil"/>
              <w:left w:val="nil"/>
              <w:bottom w:val="single" w:sz="4"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-0.140</w:t>
            </w:r>
          </w:p>
        </w:tc>
        <w:tc>
          <w:tcPr>
            <w:tcW w:w="956" w:type="dxa"/>
            <w:tcBorders>
              <w:top w:val="nil"/>
              <w:left w:val="nil"/>
              <w:bottom w:val="single" w:sz="4"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-0.151</w:t>
            </w:r>
          </w:p>
        </w:tc>
        <w:tc>
          <w:tcPr>
            <w:tcW w:w="955" w:type="dxa"/>
            <w:tcBorders>
              <w:top w:val="nil"/>
              <w:left w:val="nil"/>
              <w:bottom w:val="single" w:sz="4"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0.406</w:t>
            </w:r>
          </w:p>
        </w:tc>
        <w:tc>
          <w:tcPr>
            <w:tcW w:w="956" w:type="dxa"/>
            <w:tcBorders>
              <w:top w:val="nil"/>
              <w:left w:val="nil"/>
              <w:bottom w:val="single" w:sz="4"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0.593</w:t>
            </w:r>
          </w:p>
        </w:tc>
        <w:tc>
          <w:tcPr>
            <w:tcW w:w="956" w:type="dxa"/>
            <w:tcBorders>
              <w:top w:val="nil"/>
              <w:left w:val="nil"/>
              <w:bottom w:val="single" w:sz="4"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0.310</w:t>
            </w:r>
          </w:p>
        </w:tc>
        <w:tc>
          <w:tcPr>
            <w:tcW w:w="956" w:type="dxa"/>
            <w:tcBorders>
              <w:top w:val="nil"/>
              <w:left w:val="nil"/>
              <w:bottom w:val="single" w:sz="4"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r>
    </w:tbl>
    <w:p w:rsidR="008A2D4D" w:rsidRDefault="008A2D4D" w:rsidP="008A2D4D">
      <w:pPr>
        <w:rPr>
          <w:rFonts w:ascii="Arial" w:hAnsi="Arial" w:cs="Arial"/>
          <w:b/>
        </w:rPr>
      </w:pPr>
    </w:p>
    <w:p w:rsidR="008A2D4D" w:rsidRPr="000C0930" w:rsidRDefault="008A2D4D" w:rsidP="008A2D4D">
      <w:pPr>
        <w:spacing w:after="0"/>
        <w:rPr>
          <w:rFonts w:ascii="Arial" w:hAnsi="Arial" w:cs="Arial"/>
          <w:i/>
        </w:rPr>
      </w:pPr>
      <w:proofErr w:type="gramStart"/>
      <w:r w:rsidRPr="00180CFC">
        <w:rPr>
          <w:rFonts w:ascii="Arial" w:hAnsi="Arial" w:cs="Arial"/>
          <w:i/>
        </w:rPr>
        <w:t xml:space="preserve">Table </w:t>
      </w:r>
      <w:r w:rsidR="000A156C">
        <w:rPr>
          <w:rFonts w:ascii="Arial" w:hAnsi="Arial" w:cs="Arial"/>
          <w:i/>
        </w:rPr>
        <w:t>5</w:t>
      </w:r>
      <w:r w:rsidRPr="00180CFC">
        <w:rPr>
          <w:rFonts w:ascii="Arial" w:hAnsi="Arial" w:cs="Arial"/>
          <w:i/>
        </w:rPr>
        <w:t>.</w:t>
      </w:r>
      <w:proofErr w:type="gramEnd"/>
      <w:r w:rsidRPr="00180CFC">
        <w:rPr>
          <w:rFonts w:ascii="Arial" w:hAnsi="Arial" w:cs="Arial"/>
          <w:i/>
        </w:rPr>
        <w:t xml:space="preserve"> </w:t>
      </w:r>
      <w:r>
        <w:rPr>
          <w:rFonts w:ascii="Arial" w:hAnsi="Arial" w:cs="Arial"/>
          <w:i/>
        </w:rPr>
        <w:t>Correlations among General Practice supply variables.</w:t>
      </w:r>
    </w:p>
    <w:tbl>
      <w:tblPr>
        <w:tblW w:w="8967" w:type="dxa"/>
        <w:tblLayout w:type="fixed"/>
        <w:tblLook w:val="04A0"/>
      </w:tblPr>
      <w:tblGrid>
        <w:gridCol w:w="2099"/>
        <w:gridCol w:w="1717"/>
        <w:gridCol w:w="1717"/>
        <w:gridCol w:w="1717"/>
        <w:gridCol w:w="1717"/>
      </w:tblGrid>
      <w:tr w:rsidR="008A2D4D" w:rsidRPr="00C05F0A" w:rsidTr="008A2D4D">
        <w:trPr>
          <w:trHeight w:val="368"/>
        </w:trPr>
        <w:tc>
          <w:tcPr>
            <w:tcW w:w="2099" w:type="dxa"/>
            <w:tcBorders>
              <w:top w:val="single" w:sz="12" w:space="0" w:color="000000"/>
              <w:left w:val="single" w:sz="12" w:space="0" w:color="000000"/>
              <w:bottom w:val="single" w:sz="12" w:space="0" w:color="000000"/>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Correlations</w:t>
            </w:r>
          </w:p>
        </w:tc>
        <w:tc>
          <w:tcPr>
            <w:tcW w:w="1717" w:type="dxa"/>
            <w:tcBorders>
              <w:top w:val="single" w:sz="12" w:space="0" w:color="000000"/>
              <w:left w:val="single" w:sz="12" w:space="0" w:color="000000"/>
              <w:bottom w:val="single" w:sz="12" w:space="0" w:color="000000"/>
              <w:right w:val="single" w:sz="4" w:space="0" w:color="000000"/>
            </w:tcBorders>
            <w:shd w:val="clear" w:color="auto" w:fill="auto"/>
            <w:hideMark/>
          </w:tcPr>
          <w:p w:rsidR="008A2D4D" w:rsidRPr="00C05F0A" w:rsidRDefault="008A2D4D" w:rsidP="008A2D4D">
            <w:pPr>
              <w:spacing w:after="0" w:line="240" w:lineRule="auto"/>
              <w:jc w:val="center"/>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GPCount</w:t>
            </w:r>
            <w:proofErr w:type="spellEnd"/>
          </w:p>
        </w:tc>
        <w:tc>
          <w:tcPr>
            <w:tcW w:w="1717" w:type="dxa"/>
            <w:tcBorders>
              <w:top w:val="single" w:sz="12" w:space="0" w:color="000000"/>
              <w:left w:val="nil"/>
              <w:bottom w:val="single" w:sz="12" w:space="0" w:color="000000"/>
              <w:right w:val="single" w:sz="4" w:space="0" w:color="000000"/>
            </w:tcBorders>
            <w:shd w:val="clear" w:color="auto" w:fill="auto"/>
            <w:hideMark/>
          </w:tcPr>
          <w:p w:rsidR="008A2D4D" w:rsidRPr="00C05F0A" w:rsidRDefault="008A2D4D" w:rsidP="008A2D4D">
            <w:pPr>
              <w:spacing w:after="0" w:line="240" w:lineRule="auto"/>
              <w:jc w:val="center"/>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GPSup</w:t>
            </w:r>
            <w:proofErr w:type="spellEnd"/>
          </w:p>
        </w:tc>
        <w:tc>
          <w:tcPr>
            <w:tcW w:w="1717" w:type="dxa"/>
            <w:tcBorders>
              <w:top w:val="single" w:sz="12" w:space="0" w:color="000000"/>
              <w:left w:val="nil"/>
              <w:bottom w:val="single" w:sz="12" w:space="0" w:color="000000"/>
              <w:right w:val="single" w:sz="4" w:space="0" w:color="000000"/>
            </w:tcBorders>
            <w:shd w:val="clear" w:color="auto" w:fill="auto"/>
            <w:hideMark/>
          </w:tcPr>
          <w:p w:rsidR="008A2D4D" w:rsidRPr="00C05F0A" w:rsidRDefault="008A2D4D" w:rsidP="008A2D4D">
            <w:pPr>
              <w:spacing w:after="0" w:line="240" w:lineRule="auto"/>
              <w:jc w:val="center"/>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GPSup5</w:t>
            </w:r>
          </w:p>
        </w:tc>
        <w:tc>
          <w:tcPr>
            <w:tcW w:w="1717" w:type="dxa"/>
            <w:tcBorders>
              <w:top w:val="single" w:sz="12" w:space="0" w:color="000000"/>
              <w:left w:val="nil"/>
              <w:bottom w:val="single" w:sz="12" w:space="0" w:color="000000"/>
              <w:right w:val="single" w:sz="12" w:space="0" w:color="000000"/>
            </w:tcBorders>
            <w:shd w:val="clear" w:color="auto" w:fill="auto"/>
            <w:hideMark/>
          </w:tcPr>
          <w:p w:rsidR="008A2D4D" w:rsidRPr="00C05F0A" w:rsidRDefault="008A2D4D" w:rsidP="008A2D4D">
            <w:pPr>
              <w:spacing w:after="0" w:line="240" w:lineRule="auto"/>
              <w:jc w:val="center"/>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GPSup10</w:t>
            </w:r>
          </w:p>
        </w:tc>
      </w:tr>
      <w:tr w:rsidR="008A2D4D" w:rsidRPr="00C05F0A" w:rsidTr="008A2D4D">
        <w:trPr>
          <w:trHeight w:val="227"/>
        </w:trPr>
        <w:tc>
          <w:tcPr>
            <w:tcW w:w="2099" w:type="dxa"/>
            <w:tcBorders>
              <w:top w:val="nil"/>
              <w:left w:val="single" w:sz="12" w:space="0" w:color="000000"/>
              <w:bottom w:val="nil"/>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GPCount</w:t>
            </w:r>
            <w:proofErr w:type="spellEnd"/>
          </w:p>
        </w:tc>
        <w:tc>
          <w:tcPr>
            <w:tcW w:w="1717" w:type="dxa"/>
            <w:tcBorders>
              <w:top w:val="nil"/>
              <w:left w:val="single" w:sz="12" w:space="0" w:color="000000"/>
              <w:bottom w:val="nil"/>
              <w:right w:val="single" w:sz="4" w:space="0" w:color="000000"/>
            </w:tcBorders>
            <w:shd w:val="clear" w:color="auto" w:fill="auto"/>
            <w:noWrap/>
            <w:vAlign w:val="center"/>
            <w:hideMark/>
          </w:tcPr>
          <w:p w:rsidR="008A2D4D" w:rsidRPr="00C05F0A" w:rsidRDefault="008A2D4D" w:rsidP="008A2D4D">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1717"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0.096</w:t>
            </w:r>
          </w:p>
        </w:tc>
        <w:tc>
          <w:tcPr>
            <w:tcW w:w="1717"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0.142</w:t>
            </w:r>
          </w:p>
        </w:tc>
        <w:tc>
          <w:tcPr>
            <w:tcW w:w="1717" w:type="dxa"/>
            <w:tcBorders>
              <w:top w:val="nil"/>
              <w:left w:val="nil"/>
              <w:bottom w:val="nil"/>
              <w:right w:val="single" w:sz="12" w:space="0" w:color="000000"/>
            </w:tcBorders>
            <w:shd w:val="clear" w:color="auto" w:fill="auto"/>
            <w:noWrap/>
            <w:vAlign w:val="center"/>
            <w:hideMark/>
          </w:tcPr>
          <w:p w:rsidR="008A2D4D" w:rsidRPr="00C05F0A" w:rsidRDefault="008A2D4D" w:rsidP="008A2D4D">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0.154</w:t>
            </w:r>
          </w:p>
        </w:tc>
      </w:tr>
      <w:tr w:rsidR="008A2D4D" w:rsidRPr="00C05F0A" w:rsidTr="008A2D4D">
        <w:trPr>
          <w:trHeight w:val="217"/>
        </w:trPr>
        <w:tc>
          <w:tcPr>
            <w:tcW w:w="2099" w:type="dxa"/>
            <w:tcBorders>
              <w:top w:val="nil"/>
              <w:left w:val="single" w:sz="12" w:space="0" w:color="000000"/>
              <w:bottom w:val="nil"/>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GPSup</w:t>
            </w:r>
            <w:proofErr w:type="spellEnd"/>
          </w:p>
        </w:tc>
        <w:tc>
          <w:tcPr>
            <w:tcW w:w="1717" w:type="dxa"/>
            <w:tcBorders>
              <w:top w:val="nil"/>
              <w:left w:val="single" w:sz="12" w:space="0" w:color="000000"/>
              <w:bottom w:val="nil"/>
              <w:right w:val="single" w:sz="4" w:space="0" w:color="000000"/>
            </w:tcBorders>
            <w:shd w:val="clear" w:color="auto" w:fill="auto"/>
            <w:noWrap/>
            <w:vAlign w:val="center"/>
            <w:hideMark/>
          </w:tcPr>
          <w:p w:rsidR="008A2D4D" w:rsidRPr="00C05F0A" w:rsidRDefault="008A2D4D" w:rsidP="008A2D4D">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0.096</w:t>
            </w:r>
          </w:p>
        </w:tc>
        <w:tc>
          <w:tcPr>
            <w:tcW w:w="1717"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1717" w:type="dxa"/>
            <w:tcBorders>
              <w:top w:val="nil"/>
              <w:left w:val="nil"/>
              <w:bottom w:val="nil"/>
              <w:right w:val="single" w:sz="4" w:space="0" w:color="000000"/>
            </w:tcBorders>
            <w:shd w:val="clear" w:color="auto" w:fill="auto"/>
            <w:noWrap/>
            <w:vAlign w:val="center"/>
            <w:hideMark/>
          </w:tcPr>
          <w:p w:rsidR="008A2D4D" w:rsidRPr="00020869" w:rsidRDefault="008A2D4D" w:rsidP="008A2D4D">
            <w:pPr>
              <w:spacing w:after="0" w:line="240" w:lineRule="auto"/>
              <w:jc w:val="center"/>
              <w:rPr>
                <w:rFonts w:ascii="Arial" w:eastAsia="Times New Roman" w:hAnsi="Arial" w:cs="Arial"/>
                <w:color w:val="FF0000"/>
                <w:sz w:val="18"/>
                <w:szCs w:val="18"/>
              </w:rPr>
            </w:pPr>
            <w:r w:rsidRPr="00020869">
              <w:rPr>
                <w:rFonts w:ascii="Arial" w:eastAsia="Times New Roman" w:hAnsi="Arial" w:cs="Arial"/>
                <w:color w:val="FF0000"/>
                <w:sz w:val="18"/>
                <w:szCs w:val="18"/>
              </w:rPr>
              <w:t>0.890</w:t>
            </w:r>
          </w:p>
        </w:tc>
        <w:tc>
          <w:tcPr>
            <w:tcW w:w="1717" w:type="dxa"/>
            <w:tcBorders>
              <w:top w:val="nil"/>
              <w:left w:val="nil"/>
              <w:bottom w:val="nil"/>
              <w:right w:val="single" w:sz="12" w:space="0" w:color="000000"/>
            </w:tcBorders>
            <w:shd w:val="clear" w:color="auto" w:fill="auto"/>
            <w:noWrap/>
            <w:vAlign w:val="center"/>
            <w:hideMark/>
          </w:tcPr>
          <w:p w:rsidR="008A2D4D" w:rsidRPr="00020869" w:rsidRDefault="008A2D4D" w:rsidP="008A2D4D">
            <w:pPr>
              <w:spacing w:after="0" w:line="240" w:lineRule="auto"/>
              <w:jc w:val="center"/>
              <w:rPr>
                <w:rFonts w:ascii="Arial" w:eastAsia="Times New Roman" w:hAnsi="Arial" w:cs="Arial"/>
                <w:color w:val="FF0000"/>
                <w:sz w:val="18"/>
                <w:szCs w:val="18"/>
              </w:rPr>
            </w:pPr>
            <w:r w:rsidRPr="00020869">
              <w:rPr>
                <w:rFonts w:ascii="Arial" w:eastAsia="Times New Roman" w:hAnsi="Arial" w:cs="Arial"/>
                <w:color w:val="FF0000"/>
                <w:sz w:val="18"/>
                <w:szCs w:val="18"/>
              </w:rPr>
              <w:t>0.813</w:t>
            </w:r>
          </w:p>
        </w:tc>
      </w:tr>
      <w:tr w:rsidR="008A2D4D" w:rsidRPr="00C05F0A" w:rsidTr="008A2D4D">
        <w:trPr>
          <w:trHeight w:val="217"/>
        </w:trPr>
        <w:tc>
          <w:tcPr>
            <w:tcW w:w="2099" w:type="dxa"/>
            <w:tcBorders>
              <w:top w:val="nil"/>
              <w:left w:val="single" w:sz="12" w:space="0" w:color="000000"/>
              <w:bottom w:val="nil"/>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GPSup5</w:t>
            </w:r>
          </w:p>
        </w:tc>
        <w:tc>
          <w:tcPr>
            <w:tcW w:w="1717" w:type="dxa"/>
            <w:tcBorders>
              <w:top w:val="nil"/>
              <w:left w:val="single" w:sz="12" w:space="0" w:color="000000"/>
              <w:bottom w:val="nil"/>
              <w:right w:val="single" w:sz="4" w:space="0" w:color="000000"/>
            </w:tcBorders>
            <w:shd w:val="clear" w:color="auto" w:fill="auto"/>
            <w:noWrap/>
            <w:vAlign w:val="center"/>
            <w:hideMark/>
          </w:tcPr>
          <w:p w:rsidR="008A2D4D" w:rsidRPr="00C05F0A" w:rsidRDefault="008A2D4D" w:rsidP="008A2D4D">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0.142</w:t>
            </w:r>
          </w:p>
        </w:tc>
        <w:tc>
          <w:tcPr>
            <w:tcW w:w="1717" w:type="dxa"/>
            <w:tcBorders>
              <w:top w:val="nil"/>
              <w:left w:val="nil"/>
              <w:bottom w:val="nil"/>
              <w:right w:val="single" w:sz="4" w:space="0" w:color="000000"/>
            </w:tcBorders>
            <w:shd w:val="clear" w:color="auto" w:fill="auto"/>
            <w:noWrap/>
            <w:vAlign w:val="center"/>
            <w:hideMark/>
          </w:tcPr>
          <w:p w:rsidR="008A2D4D" w:rsidRPr="00020869" w:rsidRDefault="008A2D4D" w:rsidP="008A2D4D">
            <w:pPr>
              <w:spacing w:after="0" w:line="240" w:lineRule="auto"/>
              <w:jc w:val="center"/>
              <w:rPr>
                <w:rFonts w:ascii="Arial" w:eastAsia="Times New Roman" w:hAnsi="Arial" w:cs="Arial"/>
                <w:color w:val="FF0000"/>
                <w:sz w:val="18"/>
                <w:szCs w:val="18"/>
              </w:rPr>
            </w:pPr>
            <w:r w:rsidRPr="00020869">
              <w:rPr>
                <w:rFonts w:ascii="Arial" w:eastAsia="Times New Roman" w:hAnsi="Arial" w:cs="Arial"/>
                <w:color w:val="FF0000"/>
                <w:sz w:val="18"/>
                <w:szCs w:val="18"/>
              </w:rPr>
              <w:t>0.890</w:t>
            </w:r>
          </w:p>
        </w:tc>
        <w:tc>
          <w:tcPr>
            <w:tcW w:w="1717"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c>
          <w:tcPr>
            <w:tcW w:w="1717" w:type="dxa"/>
            <w:tcBorders>
              <w:top w:val="nil"/>
              <w:left w:val="nil"/>
              <w:bottom w:val="nil"/>
              <w:right w:val="single" w:sz="12" w:space="0" w:color="000000"/>
            </w:tcBorders>
            <w:shd w:val="clear" w:color="auto" w:fill="auto"/>
            <w:noWrap/>
            <w:vAlign w:val="center"/>
            <w:hideMark/>
          </w:tcPr>
          <w:p w:rsidR="008A2D4D" w:rsidRPr="00020869" w:rsidRDefault="008A2D4D" w:rsidP="008A2D4D">
            <w:pPr>
              <w:spacing w:after="0" w:line="240" w:lineRule="auto"/>
              <w:jc w:val="center"/>
              <w:rPr>
                <w:rFonts w:ascii="Arial" w:eastAsia="Times New Roman" w:hAnsi="Arial" w:cs="Arial"/>
                <w:color w:val="FF0000"/>
                <w:sz w:val="18"/>
                <w:szCs w:val="18"/>
              </w:rPr>
            </w:pPr>
            <w:r w:rsidRPr="00020869">
              <w:rPr>
                <w:rFonts w:ascii="Arial" w:eastAsia="Times New Roman" w:hAnsi="Arial" w:cs="Arial"/>
                <w:color w:val="FF0000"/>
                <w:sz w:val="18"/>
                <w:szCs w:val="18"/>
              </w:rPr>
              <w:t>0.985</w:t>
            </w:r>
          </w:p>
        </w:tc>
      </w:tr>
      <w:tr w:rsidR="008A2D4D" w:rsidRPr="00C05F0A" w:rsidTr="008A2D4D">
        <w:trPr>
          <w:trHeight w:val="227"/>
        </w:trPr>
        <w:tc>
          <w:tcPr>
            <w:tcW w:w="2099" w:type="dxa"/>
            <w:tcBorders>
              <w:top w:val="nil"/>
              <w:left w:val="single" w:sz="12" w:space="0" w:color="000000"/>
              <w:bottom w:val="single" w:sz="12" w:space="0" w:color="000000"/>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GPSup10</w:t>
            </w:r>
          </w:p>
        </w:tc>
        <w:tc>
          <w:tcPr>
            <w:tcW w:w="1717" w:type="dxa"/>
            <w:tcBorders>
              <w:top w:val="nil"/>
              <w:left w:val="single" w:sz="12" w:space="0" w:color="000000"/>
              <w:bottom w:val="single" w:sz="12"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0.154</w:t>
            </w:r>
          </w:p>
        </w:tc>
        <w:tc>
          <w:tcPr>
            <w:tcW w:w="1717" w:type="dxa"/>
            <w:tcBorders>
              <w:top w:val="nil"/>
              <w:left w:val="nil"/>
              <w:bottom w:val="single" w:sz="12" w:space="0" w:color="000000"/>
              <w:right w:val="single" w:sz="4" w:space="0" w:color="000000"/>
            </w:tcBorders>
            <w:shd w:val="clear" w:color="auto" w:fill="auto"/>
            <w:noWrap/>
            <w:vAlign w:val="center"/>
            <w:hideMark/>
          </w:tcPr>
          <w:p w:rsidR="008A2D4D" w:rsidRPr="00020869" w:rsidRDefault="008A2D4D" w:rsidP="008A2D4D">
            <w:pPr>
              <w:spacing w:after="0" w:line="240" w:lineRule="auto"/>
              <w:jc w:val="center"/>
              <w:rPr>
                <w:rFonts w:ascii="Arial" w:eastAsia="Times New Roman" w:hAnsi="Arial" w:cs="Arial"/>
                <w:color w:val="FF0000"/>
                <w:sz w:val="18"/>
                <w:szCs w:val="18"/>
              </w:rPr>
            </w:pPr>
            <w:r w:rsidRPr="00020869">
              <w:rPr>
                <w:rFonts w:ascii="Arial" w:eastAsia="Times New Roman" w:hAnsi="Arial" w:cs="Arial"/>
                <w:color w:val="FF0000"/>
                <w:sz w:val="18"/>
                <w:szCs w:val="18"/>
              </w:rPr>
              <w:t>0.813</w:t>
            </w:r>
          </w:p>
        </w:tc>
        <w:tc>
          <w:tcPr>
            <w:tcW w:w="1717" w:type="dxa"/>
            <w:tcBorders>
              <w:top w:val="nil"/>
              <w:left w:val="nil"/>
              <w:bottom w:val="single" w:sz="12" w:space="0" w:color="000000"/>
              <w:right w:val="single" w:sz="4" w:space="0" w:color="000000"/>
            </w:tcBorders>
            <w:shd w:val="clear" w:color="auto" w:fill="auto"/>
            <w:noWrap/>
            <w:vAlign w:val="center"/>
            <w:hideMark/>
          </w:tcPr>
          <w:p w:rsidR="008A2D4D" w:rsidRPr="00AC6B8A" w:rsidRDefault="008A2D4D" w:rsidP="008A2D4D">
            <w:pPr>
              <w:spacing w:after="0" w:line="240" w:lineRule="auto"/>
              <w:jc w:val="center"/>
              <w:rPr>
                <w:rFonts w:ascii="Arial" w:eastAsia="Times New Roman" w:hAnsi="Arial" w:cs="Arial"/>
                <w:color w:val="FF0000"/>
                <w:sz w:val="18"/>
                <w:szCs w:val="18"/>
              </w:rPr>
            </w:pPr>
            <w:r w:rsidRPr="00AC6B8A">
              <w:rPr>
                <w:rFonts w:ascii="Arial" w:eastAsia="Times New Roman" w:hAnsi="Arial" w:cs="Arial"/>
                <w:color w:val="FF0000"/>
                <w:sz w:val="18"/>
                <w:szCs w:val="18"/>
              </w:rPr>
              <w:t>0.985</w:t>
            </w:r>
          </w:p>
        </w:tc>
        <w:tc>
          <w:tcPr>
            <w:tcW w:w="1717" w:type="dxa"/>
            <w:tcBorders>
              <w:top w:val="nil"/>
              <w:left w:val="nil"/>
              <w:bottom w:val="single" w:sz="12" w:space="0" w:color="000000"/>
              <w:right w:val="single" w:sz="12" w:space="0" w:color="000000"/>
            </w:tcBorders>
            <w:shd w:val="clear" w:color="auto" w:fill="auto"/>
            <w:noWrap/>
            <w:vAlign w:val="center"/>
            <w:hideMark/>
          </w:tcPr>
          <w:p w:rsidR="008A2D4D" w:rsidRPr="00C05F0A" w:rsidRDefault="008A2D4D" w:rsidP="008A2D4D">
            <w:pPr>
              <w:spacing w:after="0" w:line="240" w:lineRule="auto"/>
              <w:jc w:val="center"/>
              <w:rPr>
                <w:rFonts w:ascii="Arial" w:eastAsia="Times New Roman" w:hAnsi="Arial" w:cs="Arial"/>
                <w:color w:val="000000"/>
                <w:sz w:val="18"/>
                <w:szCs w:val="18"/>
              </w:rPr>
            </w:pPr>
            <w:r w:rsidRPr="00C05F0A">
              <w:rPr>
                <w:rFonts w:ascii="Arial" w:eastAsia="Times New Roman" w:hAnsi="Arial" w:cs="Arial"/>
                <w:color w:val="000000"/>
                <w:sz w:val="18"/>
                <w:szCs w:val="18"/>
              </w:rPr>
              <w:t>1.000</w:t>
            </w:r>
          </w:p>
        </w:tc>
      </w:tr>
    </w:tbl>
    <w:p w:rsidR="008A2D4D" w:rsidRDefault="008A2D4D" w:rsidP="008A2D4D">
      <w:pPr>
        <w:spacing w:after="0"/>
        <w:rPr>
          <w:rFonts w:ascii="Arial" w:hAnsi="Arial" w:cs="Arial"/>
          <w:b/>
        </w:rPr>
      </w:pPr>
    </w:p>
    <w:p w:rsidR="008A2D4D" w:rsidRPr="0031471A" w:rsidRDefault="008A2D4D" w:rsidP="008A2D4D">
      <w:pPr>
        <w:jc w:val="both"/>
        <w:rPr>
          <w:rFonts w:ascii="Arial" w:hAnsi="Arial" w:cs="Arial"/>
        </w:rPr>
      </w:pPr>
      <w:r>
        <w:rPr>
          <w:rFonts w:ascii="Arial" w:hAnsi="Arial" w:cs="Arial"/>
        </w:rPr>
        <w:t xml:space="preserve">Table </w:t>
      </w:r>
      <w:r w:rsidR="000A156C">
        <w:rPr>
          <w:rFonts w:ascii="Arial" w:hAnsi="Arial" w:cs="Arial"/>
        </w:rPr>
        <w:t>6</w:t>
      </w:r>
      <w:r>
        <w:rPr>
          <w:rFonts w:ascii="Arial" w:hAnsi="Arial" w:cs="Arial"/>
        </w:rPr>
        <w:t xml:space="preserve"> shows the correlations between GP and hospital supply variables. We can see </w:t>
      </w:r>
      <w:proofErr w:type="spellStart"/>
      <w:r>
        <w:rPr>
          <w:rFonts w:ascii="Arial" w:hAnsi="Arial" w:cs="Arial"/>
        </w:rPr>
        <w:t>GPCount</w:t>
      </w:r>
      <w:proofErr w:type="spellEnd"/>
      <w:r>
        <w:rPr>
          <w:rFonts w:ascii="Arial" w:hAnsi="Arial" w:cs="Arial"/>
        </w:rPr>
        <w:t xml:space="preserve"> is quite highly correlated with IPACX and OPACX. </w:t>
      </w:r>
      <w:proofErr w:type="spellStart"/>
      <w:r>
        <w:rPr>
          <w:rFonts w:ascii="Arial" w:hAnsi="Arial" w:cs="Arial"/>
        </w:rPr>
        <w:t>GPSup</w:t>
      </w:r>
      <w:proofErr w:type="spellEnd"/>
      <w:r>
        <w:rPr>
          <w:rFonts w:ascii="Arial" w:hAnsi="Arial" w:cs="Arial"/>
        </w:rPr>
        <w:t>, GPSup5 and GPSup10, on the other hand, all have close to zero correlation with IPACX and OPACX. This means that they might explain supply variations other than the supply variations explained by IPACX and OPACX.</w:t>
      </w:r>
    </w:p>
    <w:p w:rsidR="008A2D4D" w:rsidRPr="000C0930" w:rsidRDefault="008A2D4D" w:rsidP="008A2D4D">
      <w:pPr>
        <w:spacing w:after="0"/>
        <w:rPr>
          <w:rFonts w:ascii="Arial" w:hAnsi="Arial" w:cs="Arial"/>
          <w:i/>
        </w:rPr>
      </w:pPr>
      <w:proofErr w:type="gramStart"/>
      <w:r w:rsidRPr="00180CFC">
        <w:rPr>
          <w:rFonts w:ascii="Arial" w:hAnsi="Arial" w:cs="Arial"/>
          <w:i/>
        </w:rPr>
        <w:t xml:space="preserve">Table </w:t>
      </w:r>
      <w:r w:rsidR="000A156C">
        <w:rPr>
          <w:rFonts w:ascii="Arial" w:hAnsi="Arial" w:cs="Arial"/>
          <w:i/>
        </w:rPr>
        <w:t>6</w:t>
      </w:r>
      <w:r w:rsidRPr="00180CFC">
        <w:rPr>
          <w:rFonts w:ascii="Arial" w:hAnsi="Arial" w:cs="Arial"/>
          <w:i/>
        </w:rPr>
        <w:t>.</w:t>
      </w:r>
      <w:proofErr w:type="gramEnd"/>
      <w:r w:rsidRPr="00180CFC">
        <w:rPr>
          <w:rFonts w:ascii="Arial" w:hAnsi="Arial" w:cs="Arial"/>
          <w:i/>
        </w:rPr>
        <w:t xml:space="preserve"> </w:t>
      </w:r>
      <w:r>
        <w:rPr>
          <w:rFonts w:ascii="Arial" w:hAnsi="Arial" w:cs="Arial"/>
          <w:i/>
        </w:rPr>
        <w:t>Correlations between GP and hospital supply variables.</w:t>
      </w:r>
    </w:p>
    <w:tbl>
      <w:tblPr>
        <w:tblW w:w="8923" w:type="dxa"/>
        <w:tblLayout w:type="fixed"/>
        <w:tblLook w:val="04A0"/>
      </w:tblPr>
      <w:tblGrid>
        <w:gridCol w:w="1277"/>
        <w:gridCol w:w="955"/>
        <w:gridCol w:w="956"/>
        <w:gridCol w:w="956"/>
        <w:gridCol w:w="956"/>
        <w:gridCol w:w="955"/>
        <w:gridCol w:w="956"/>
        <w:gridCol w:w="956"/>
        <w:gridCol w:w="956"/>
      </w:tblGrid>
      <w:tr w:rsidR="008A2D4D" w:rsidRPr="00C05F0A" w:rsidTr="008A2D4D">
        <w:trPr>
          <w:trHeight w:val="413"/>
        </w:trPr>
        <w:tc>
          <w:tcPr>
            <w:tcW w:w="1277" w:type="dxa"/>
            <w:tcBorders>
              <w:top w:val="single" w:sz="12" w:space="0" w:color="000000"/>
              <w:left w:val="single" w:sz="12" w:space="0" w:color="000000"/>
              <w:bottom w:val="single" w:sz="12" w:space="0" w:color="000000"/>
              <w:right w:val="nil"/>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Correlations</w:t>
            </w:r>
          </w:p>
        </w:tc>
        <w:tc>
          <w:tcPr>
            <w:tcW w:w="955" w:type="dxa"/>
            <w:tcBorders>
              <w:top w:val="single" w:sz="12" w:space="0" w:color="000000"/>
              <w:left w:val="single" w:sz="12" w:space="0" w:color="000000"/>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IPACX</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OPACX</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IPAC</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OPAC</w:t>
            </w:r>
          </w:p>
        </w:tc>
        <w:tc>
          <w:tcPr>
            <w:tcW w:w="955"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IA1</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OA1</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IA2</w:t>
            </w:r>
          </w:p>
        </w:tc>
        <w:tc>
          <w:tcPr>
            <w:tcW w:w="956" w:type="dxa"/>
            <w:tcBorders>
              <w:top w:val="single" w:sz="12" w:space="0" w:color="000000"/>
              <w:left w:val="nil"/>
              <w:bottom w:val="single" w:sz="12" w:space="0" w:color="000000"/>
              <w:right w:val="single" w:sz="4" w:space="0" w:color="000000"/>
            </w:tcBorders>
            <w:shd w:val="clear" w:color="auto" w:fill="auto"/>
            <w:hideMark/>
          </w:tcPr>
          <w:p w:rsidR="008A2D4D" w:rsidRDefault="008A2D4D" w:rsidP="008A2D4D">
            <w:pPr>
              <w:jc w:val="center"/>
              <w:rPr>
                <w:rFonts w:ascii="Arial" w:hAnsi="Arial" w:cs="Arial"/>
                <w:b/>
                <w:bCs/>
                <w:color w:val="000000"/>
                <w:sz w:val="18"/>
                <w:szCs w:val="18"/>
              </w:rPr>
            </w:pPr>
            <w:r>
              <w:rPr>
                <w:rFonts w:ascii="Arial" w:hAnsi="Arial" w:cs="Arial"/>
                <w:b/>
                <w:bCs/>
                <w:color w:val="000000"/>
                <w:sz w:val="18"/>
                <w:szCs w:val="18"/>
              </w:rPr>
              <w:t>OA2</w:t>
            </w:r>
          </w:p>
        </w:tc>
      </w:tr>
      <w:tr w:rsidR="008A2D4D" w:rsidRPr="00C05F0A" w:rsidTr="008A2D4D">
        <w:trPr>
          <w:trHeight w:val="243"/>
        </w:trPr>
        <w:tc>
          <w:tcPr>
            <w:tcW w:w="1277" w:type="dxa"/>
            <w:tcBorders>
              <w:top w:val="single" w:sz="12" w:space="0" w:color="000000"/>
              <w:left w:val="single" w:sz="12" w:space="0" w:color="000000"/>
              <w:bottom w:val="nil"/>
              <w:right w:val="single" w:sz="12" w:space="0" w:color="000000"/>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GPCount</w:t>
            </w:r>
            <w:proofErr w:type="spellEnd"/>
          </w:p>
        </w:tc>
        <w:tc>
          <w:tcPr>
            <w:tcW w:w="955" w:type="dxa"/>
            <w:tcBorders>
              <w:top w:val="single" w:sz="12" w:space="0" w:color="000000"/>
              <w:left w:val="nil"/>
              <w:bottom w:val="nil"/>
              <w:right w:val="single" w:sz="4" w:space="0" w:color="000000"/>
            </w:tcBorders>
            <w:shd w:val="clear" w:color="auto" w:fill="auto"/>
            <w:noWrap/>
            <w:vAlign w:val="center"/>
            <w:hideMark/>
          </w:tcPr>
          <w:p w:rsidR="008A2D4D" w:rsidRPr="00C87B46" w:rsidRDefault="008A2D4D" w:rsidP="008A2D4D">
            <w:pPr>
              <w:spacing w:after="0" w:line="240" w:lineRule="auto"/>
              <w:jc w:val="right"/>
              <w:rPr>
                <w:rFonts w:ascii="Arial" w:eastAsia="Times New Roman" w:hAnsi="Arial" w:cs="Arial"/>
                <w:color w:val="FF0000"/>
                <w:sz w:val="18"/>
                <w:szCs w:val="18"/>
              </w:rPr>
            </w:pPr>
            <w:r w:rsidRPr="00C87B46">
              <w:rPr>
                <w:rFonts w:ascii="Arial" w:eastAsia="Times New Roman" w:hAnsi="Arial" w:cs="Arial"/>
                <w:color w:val="FF0000"/>
                <w:sz w:val="18"/>
                <w:szCs w:val="18"/>
              </w:rPr>
              <w:t>0.741</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87B46" w:rsidRDefault="008A2D4D" w:rsidP="008A2D4D">
            <w:pPr>
              <w:spacing w:after="0" w:line="240" w:lineRule="auto"/>
              <w:jc w:val="right"/>
              <w:rPr>
                <w:rFonts w:ascii="Arial" w:eastAsia="Times New Roman" w:hAnsi="Arial" w:cs="Arial"/>
                <w:color w:val="FF0000"/>
                <w:sz w:val="18"/>
                <w:szCs w:val="18"/>
              </w:rPr>
            </w:pPr>
            <w:r w:rsidRPr="00C87B46">
              <w:rPr>
                <w:rFonts w:ascii="Arial" w:eastAsia="Times New Roman" w:hAnsi="Arial" w:cs="Arial"/>
                <w:color w:val="FF0000"/>
                <w:sz w:val="18"/>
                <w:szCs w:val="18"/>
              </w:rPr>
              <w:t>0.782</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-0.519</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-0.547</w:t>
            </w:r>
          </w:p>
        </w:tc>
        <w:tc>
          <w:tcPr>
            <w:tcW w:w="955"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0.301</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0.173</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0.348</w:t>
            </w:r>
          </w:p>
        </w:tc>
        <w:tc>
          <w:tcPr>
            <w:tcW w:w="956" w:type="dxa"/>
            <w:tcBorders>
              <w:top w:val="single" w:sz="12" w:space="0" w:color="000000"/>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0.251</w:t>
            </w:r>
          </w:p>
        </w:tc>
      </w:tr>
      <w:tr w:rsidR="008A2D4D" w:rsidRPr="00C05F0A" w:rsidTr="008A2D4D">
        <w:trPr>
          <w:trHeight w:val="243"/>
        </w:trPr>
        <w:tc>
          <w:tcPr>
            <w:tcW w:w="1277" w:type="dxa"/>
            <w:tcBorders>
              <w:top w:val="nil"/>
              <w:left w:val="single" w:sz="12" w:space="0" w:color="000000"/>
              <w:bottom w:val="nil"/>
              <w:right w:val="single" w:sz="12" w:space="0" w:color="000000"/>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proofErr w:type="spellStart"/>
            <w:r w:rsidRPr="00C05F0A">
              <w:rPr>
                <w:rFonts w:ascii="Arial" w:eastAsia="Times New Roman" w:hAnsi="Arial" w:cs="Arial"/>
                <w:b/>
                <w:bCs/>
                <w:color w:val="000000"/>
                <w:sz w:val="18"/>
                <w:szCs w:val="18"/>
              </w:rPr>
              <w:t>GPSup</w:t>
            </w:r>
            <w:proofErr w:type="spellEnd"/>
          </w:p>
        </w:tc>
        <w:tc>
          <w:tcPr>
            <w:tcW w:w="955"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0.043</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0.111</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-0.210</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-0.217</w:t>
            </w:r>
          </w:p>
        </w:tc>
        <w:tc>
          <w:tcPr>
            <w:tcW w:w="955"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-0.003</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0.014</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-0.028</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0.004</w:t>
            </w:r>
          </w:p>
        </w:tc>
      </w:tr>
      <w:tr w:rsidR="008A2D4D" w:rsidRPr="00C05F0A" w:rsidTr="008A2D4D">
        <w:trPr>
          <w:trHeight w:val="243"/>
        </w:trPr>
        <w:tc>
          <w:tcPr>
            <w:tcW w:w="1277" w:type="dxa"/>
            <w:tcBorders>
              <w:top w:val="nil"/>
              <w:left w:val="single" w:sz="12" w:space="0" w:color="000000"/>
              <w:bottom w:val="nil"/>
              <w:right w:val="single" w:sz="12" w:space="0" w:color="000000"/>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GPSup5</w:t>
            </w:r>
          </w:p>
        </w:tc>
        <w:tc>
          <w:tcPr>
            <w:tcW w:w="955"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0.046</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0.119</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-0.297</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-0.298</w:t>
            </w:r>
          </w:p>
        </w:tc>
        <w:tc>
          <w:tcPr>
            <w:tcW w:w="955"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0.018</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0.033</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0.015</w:t>
            </w:r>
          </w:p>
        </w:tc>
        <w:tc>
          <w:tcPr>
            <w:tcW w:w="956" w:type="dxa"/>
            <w:tcBorders>
              <w:top w:val="nil"/>
              <w:left w:val="nil"/>
              <w:bottom w:val="nil"/>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0.034</w:t>
            </w:r>
          </w:p>
        </w:tc>
      </w:tr>
      <w:tr w:rsidR="008A2D4D" w:rsidRPr="00C05F0A" w:rsidTr="008A2D4D">
        <w:trPr>
          <w:trHeight w:val="255"/>
        </w:trPr>
        <w:tc>
          <w:tcPr>
            <w:tcW w:w="1277" w:type="dxa"/>
            <w:tcBorders>
              <w:top w:val="nil"/>
              <w:left w:val="single" w:sz="12" w:space="0" w:color="000000"/>
              <w:bottom w:val="single" w:sz="12" w:space="0" w:color="000000"/>
              <w:right w:val="single" w:sz="12" w:space="0" w:color="000000"/>
            </w:tcBorders>
            <w:shd w:val="clear" w:color="auto" w:fill="auto"/>
            <w:hideMark/>
          </w:tcPr>
          <w:p w:rsidR="008A2D4D" w:rsidRPr="00C05F0A" w:rsidRDefault="008A2D4D" w:rsidP="008A2D4D">
            <w:pPr>
              <w:spacing w:after="0" w:line="240" w:lineRule="auto"/>
              <w:rPr>
                <w:rFonts w:ascii="Arial" w:eastAsia="Times New Roman" w:hAnsi="Arial" w:cs="Arial"/>
                <w:b/>
                <w:bCs/>
                <w:color w:val="000000"/>
                <w:sz w:val="18"/>
                <w:szCs w:val="18"/>
              </w:rPr>
            </w:pPr>
            <w:r w:rsidRPr="00C05F0A">
              <w:rPr>
                <w:rFonts w:ascii="Arial" w:eastAsia="Times New Roman" w:hAnsi="Arial" w:cs="Arial"/>
                <w:b/>
                <w:bCs/>
                <w:color w:val="000000"/>
                <w:sz w:val="18"/>
                <w:szCs w:val="18"/>
              </w:rPr>
              <w:t>GPSup10</w:t>
            </w:r>
          </w:p>
        </w:tc>
        <w:tc>
          <w:tcPr>
            <w:tcW w:w="955" w:type="dxa"/>
            <w:tcBorders>
              <w:top w:val="nil"/>
              <w:left w:val="nil"/>
              <w:bottom w:val="single" w:sz="12"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0.032</w:t>
            </w:r>
          </w:p>
        </w:tc>
        <w:tc>
          <w:tcPr>
            <w:tcW w:w="956" w:type="dxa"/>
            <w:tcBorders>
              <w:top w:val="nil"/>
              <w:left w:val="nil"/>
              <w:bottom w:val="single" w:sz="12"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0.104</w:t>
            </w:r>
          </w:p>
        </w:tc>
        <w:tc>
          <w:tcPr>
            <w:tcW w:w="956" w:type="dxa"/>
            <w:tcBorders>
              <w:top w:val="nil"/>
              <w:left w:val="nil"/>
              <w:bottom w:val="single" w:sz="12"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-0.318</w:t>
            </w:r>
          </w:p>
        </w:tc>
        <w:tc>
          <w:tcPr>
            <w:tcW w:w="956" w:type="dxa"/>
            <w:tcBorders>
              <w:top w:val="nil"/>
              <w:left w:val="nil"/>
              <w:bottom w:val="single" w:sz="12"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-0.319</w:t>
            </w:r>
          </w:p>
        </w:tc>
        <w:tc>
          <w:tcPr>
            <w:tcW w:w="955" w:type="dxa"/>
            <w:tcBorders>
              <w:top w:val="nil"/>
              <w:left w:val="nil"/>
              <w:bottom w:val="single" w:sz="12"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0.020</w:t>
            </w:r>
          </w:p>
        </w:tc>
        <w:tc>
          <w:tcPr>
            <w:tcW w:w="956" w:type="dxa"/>
            <w:tcBorders>
              <w:top w:val="nil"/>
              <w:left w:val="nil"/>
              <w:bottom w:val="single" w:sz="12"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0.035</w:t>
            </w:r>
          </w:p>
        </w:tc>
        <w:tc>
          <w:tcPr>
            <w:tcW w:w="956" w:type="dxa"/>
            <w:tcBorders>
              <w:top w:val="nil"/>
              <w:left w:val="nil"/>
              <w:bottom w:val="single" w:sz="12"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0.025</w:t>
            </w:r>
          </w:p>
        </w:tc>
        <w:tc>
          <w:tcPr>
            <w:tcW w:w="956" w:type="dxa"/>
            <w:tcBorders>
              <w:top w:val="nil"/>
              <w:left w:val="nil"/>
              <w:bottom w:val="single" w:sz="12" w:space="0" w:color="000000"/>
              <w:right w:val="single" w:sz="4" w:space="0" w:color="000000"/>
            </w:tcBorders>
            <w:shd w:val="clear" w:color="auto" w:fill="auto"/>
            <w:noWrap/>
            <w:vAlign w:val="center"/>
            <w:hideMark/>
          </w:tcPr>
          <w:p w:rsidR="008A2D4D" w:rsidRPr="00C05F0A" w:rsidRDefault="008A2D4D" w:rsidP="008A2D4D">
            <w:pPr>
              <w:spacing w:after="0" w:line="240" w:lineRule="auto"/>
              <w:jc w:val="right"/>
              <w:rPr>
                <w:rFonts w:ascii="Arial" w:eastAsia="Times New Roman" w:hAnsi="Arial" w:cs="Arial"/>
                <w:color w:val="000000"/>
                <w:sz w:val="18"/>
                <w:szCs w:val="18"/>
              </w:rPr>
            </w:pPr>
            <w:r w:rsidRPr="00C05F0A">
              <w:rPr>
                <w:rFonts w:ascii="Arial" w:eastAsia="Times New Roman" w:hAnsi="Arial" w:cs="Arial"/>
                <w:color w:val="000000"/>
                <w:sz w:val="18"/>
                <w:szCs w:val="18"/>
              </w:rPr>
              <w:t>0.041</w:t>
            </w:r>
          </w:p>
        </w:tc>
      </w:tr>
    </w:tbl>
    <w:p w:rsidR="008A2D4D" w:rsidRDefault="008A2D4D" w:rsidP="008A2D4D">
      <w:pPr>
        <w:rPr>
          <w:rFonts w:ascii="Arial" w:hAnsi="Arial" w:cs="Arial"/>
          <w:b/>
        </w:rPr>
      </w:pPr>
    </w:p>
    <w:p w:rsidR="008A2D4D" w:rsidRDefault="008A2D4D" w:rsidP="008A2D4D">
      <w:pPr>
        <w:autoSpaceDE w:val="0"/>
        <w:autoSpaceDN w:val="0"/>
        <w:adjustRightInd w:val="0"/>
        <w:rPr>
          <w:rFonts w:ascii="Arial" w:hAnsi="Arial" w:cs="Arial"/>
          <w:b/>
        </w:rPr>
      </w:pPr>
      <w:r>
        <w:rPr>
          <w:rFonts w:ascii="Arial" w:hAnsi="Arial" w:cs="Arial"/>
          <w:b/>
        </w:rPr>
        <w:t>3</w:t>
      </w:r>
      <w:r w:rsidRPr="00180CFC">
        <w:rPr>
          <w:rFonts w:ascii="Arial" w:hAnsi="Arial" w:cs="Arial"/>
          <w:b/>
        </w:rPr>
        <w:t>.</w:t>
      </w:r>
      <w:r>
        <w:rPr>
          <w:rFonts w:ascii="Arial" w:hAnsi="Arial" w:cs="Arial"/>
          <w:b/>
        </w:rPr>
        <w:t>2</w:t>
      </w:r>
      <w:r w:rsidRPr="00180CFC">
        <w:rPr>
          <w:rFonts w:ascii="Arial" w:hAnsi="Arial" w:cs="Arial"/>
          <w:b/>
        </w:rPr>
        <w:t xml:space="preserve"> </w:t>
      </w:r>
      <w:r>
        <w:rPr>
          <w:rFonts w:ascii="Arial" w:hAnsi="Arial" w:cs="Arial"/>
          <w:b/>
        </w:rPr>
        <w:t xml:space="preserve">  Performance of supply variables </w:t>
      </w:r>
      <w:r w:rsidR="00953958">
        <w:rPr>
          <w:rFonts w:ascii="Arial" w:hAnsi="Arial" w:cs="Arial"/>
          <w:b/>
        </w:rPr>
        <w:t>in regression analysis</w:t>
      </w:r>
    </w:p>
    <w:p w:rsidR="008A2D4D" w:rsidRDefault="008A2D4D" w:rsidP="008A2D4D">
      <w:pPr>
        <w:jc w:val="both"/>
        <w:rPr>
          <w:rFonts w:ascii="Arial" w:hAnsi="Arial" w:cs="Arial"/>
          <w:i/>
        </w:rPr>
      </w:pPr>
      <w:r>
        <w:rPr>
          <w:rFonts w:ascii="Arial" w:hAnsi="Arial" w:cs="Arial"/>
        </w:rPr>
        <w:t xml:space="preserve">Adjusted R-squared values </w:t>
      </w:r>
      <w:r w:rsidRPr="00180CFC">
        <w:rPr>
          <w:rFonts w:ascii="Arial" w:hAnsi="Arial" w:cs="Arial"/>
        </w:rPr>
        <w:t>are</w:t>
      </w:r>
      <w:r>
        <w:rPr>
          <w:rFonts w:ascii="Arial" w:hAnsi="Arial" w:cs="Arial"/>
        </w:rPr>
        <w:t xml:space="preserve"> </w:t>
      </w:r>
      <w:r w:rsidRPr="00180CFC">
        <w:rPr>
          <w:rFonts w:ascii="Arial" w:hAnsi="Arial" w:cs="Arial"/>
        </w:rPr>
        <w:t>used as a goodness of fit measure</w:t>
      </w:r>
      <w:r>
        <w:rPr>
          <w:rFonts w:ascii="Arial" w:hAnsi="Arial" w:cs="Arial"/>
        </w:rPr>
        <w:t>, indicating the amount of variation in the observations that is explained by a model</w:t>
      </w:r>
      <w:r w:rsidRPr="00180CFC">
        <w:rPr>
          <w:rFonts w:ascii="Arial" w:hAnsi="Arial" w:cs="Arial"/>
        </w:rPr>
        <w:t>. The</w:t>
      </w:r>
      <w:r>
        <w:rPr>
          <w:rFonts w:ascii="Arial" w:hAnsi="Arial" w:cs="Arial"/>
        </w:rPr>
        <w:t xml:space="preserve"> performance of</w:t>
      </w:r>
      <w:r w:rsidRPr="00180CFC">
        <w:rPr>
          <w:rFonts w:ascii="Arial" w:hAnsi="Arial" w:cs="Arial"/>
        </w:rPr>
        <w:t xml:space="preserve"> </w:t>
      </w:r>
      <w:r>
        <w:rPr>
          <w:rFonts w:ascii="Arial" w:hAnsi="Arial" w:cs="Arial"/>
        </w:rPr>
        <w:t>the different supply variables (or pairs of variables)</w:t>
      </w:r>
      <w:r w:rsidRPr="00180CFC">
        <w:rPr>
          <w:rFonts w:ascii="Arial" w:hAnsi="Arial" w:cs="Arial"/>
        </w:rPr>
        <w:t xml:space="preserve"> </w:t>
      </w:r>
      <w:r>
        <w:rPr>
          <w:rFonts w:ascii="Arial" w:hAnsi="Arial" w:cs="Arial"/>
        </w:rPr>
        <w:t>when entered alone into the regression model is</w:t>
      </w:r>
      <w:r w:rsidRPr="00180CFC">
        <w:rPr>
          <w:rFonts w:ascii="Arial" w:hAnsi="Arial" w:cs="Arial"/>
        </w:rPr>
        <w:t xml:space="preserve"> shown in Table </w:t>
      </w:r>
      <w:r w:rsidR="000A156C">
        <w:rPr>
          <w:rFonts w:ascii="Arial" w:hAnsi="Arial" w:cs="Arial"/>
        </w:rPr>
        <w:t>7</w:t>
      </w:r>
      <w:r>
        <w:rPr>
          <w:rFonts w:ascii="Arial" w:hAnsi="Arial" w:cs="Arial"/>
        </w:rPr>
        <w:t xml:space="preserve"> below</w:t>
      </w:r>
      <w:r w:rsidRPr="00180CFC">
        <w:rPr>
          <w:rFonts w:ascii="Arial" w:hAnsi="Arial" w:cs="Arial"/>
        </w:rPr>
        <w:t>.</w:t>
      </w:r>
      <w:r>
        <w:rPr>
          <w:rFonts w:ascii="Arial" w:hAnsi="Arial" w:cs="Arial"/>
        </w:rPr>
        <w:t xml:space="preserve"> The first half of the table represents hospital supply variables </w:t>
      </w:r>
      <w:r w:rsidRPr="00E83356">
        <w:rPr>
          <w:rFonts w:ascii="Arial" w:hAnsi="Arial" w:cs="Arial"/>
          <w:shd w:val="clear" w:color="auto" w:fill="FFFFFF" w:themeFill="background1"/>
        </w:rPr>
        <w:t>(highlighted with a light green cell colour)</w:t>
      </w:r>
      <w:r>
        <w:rPr>
          <w:rFonts w:ascii="Arial" w:hAnsi="Arial" w:cs="Arial"/>
        </w:rPr>
        <w:t xml:space="preserve"> and the second half represents supply of General Practice (highlighted with a light orange cell colour). The highest adjusted R-squared values for each diagnostic group in each supply category are highlighted in red. </w:t>
      </w:r>
    </w:p>
    <w:p w:rsidR="00953958" w:rsidRDefault="00953958">
      <w:pPr>
        <w:rPr>
          <w:rFonts w:ascii="Arial" w:hAnsi="Arial" w:cs="Arial"/>
          <w:i/>
        </w:rPr>
      </w:pPr>
      <w:r>
        <w:rPr>
          <w:rFonts w:ascii="Arial" w:hAnsi="Arial" w:cs="Arial"/>
          <w:i/>
        </w:rPr>
        <w:br w:type="page"/>
      </w:r>
    </w:p>
    <w:p w:rsidR="008A2D4D" w:rsidRPr="00180CFC" w:rsidRDefault="008A2D4D" w:rsidP="008A2D4D">
      <w:pPr>
        <w:spacing w:after="0"/>
        <w:rPr>
          <w:rFonts w:ascii="Arial" w:hAnsi="Arial" w:cs="Arial"/>
          <w:b/>
        </w:rPr>
      </w:pPr>
      <w:proofErr w:type="gramStart"/>
      <w:r w:rsidRPr="00180CFC">
        <w:rPr>
          <w:rFonts w:ascii="Arial" w:hAnsi="Arial" w:cs="Arial"/>
          <w:i/>
        </w:rPr>
        <w:lastRenderedPageBreak/>
        <w:t xml:space="preserve">Table </w:t>
      </w:r>
      <w:r w:rsidR="000A156C">
        <w:rPr>
          <w:rFonts w:ascii="Arial" w:hAnsi="Arial" w:cs="Arial"/>
          <w:i/>
        </w:rPr>
        <w:t>7</w:t>
      </w:r>
      <w:r w:rsidRPr="00180CFC">
        <w:rPr>
          <w:rFonts w:ascii="Arial" w:hAnsi="Arial" w:cs="Arial"/>
          <w:i/>
        </w:rPr>
        <w:t>.</w:t>
      </w:r>
      <w:proofErr w:type="gramEnd"/>
      <w:r w:rsidRPr="00180CFC">
        <w:rPr>
          <w:rFonts w:ascii="Arial" w:hAnsi="Arial" w:cs="Arial"/>
          <w:i/>
        </w:rPr>
        <w:t xml:space="preserve"> </w:t>
      </w:r>
      <w:r>
        <w:rPr>
          <w:rFonts w:ascii="Arial" w:hAnsi="Arial" w:cs="Arial"/>
          <w:i/>
        </w:rPr>
        <w:t>Supply variables performances.</w:t>
      </w:r>
    </w:p>
    <w:tbl>
      <w:tblPr>
        <w:tblW w:w="0" w:type="auto"/>
        <w:jc w:val="center"/>
        <w:tblInd w:w="-459" w:type="dxa"/>
        <w:tblLayout w:type="fixed"/>
        <w:tblLook w:val="04A0"/>
      </w:tblPr>
      <w:tblGrid>
        <w:gridCol w:w="1098"/>
        <w:gridCol w:w="2835"/>
        <w:gridCol w:w="708"/>
        <w:gridCol w:w="709"/>
        <w:gridCol w:w="851"/>
        <w:gridCol w:w="708"/>
        <w:gridCol w:w="851"/>
        <w:gridCol w:w="742"/>
        <w:gridCol w:w="733"/>
      </w:tblGrid>
      <w:tr w:rsidR="008A2D4D" w:rsidRPr="00F45667" w:rsidTr="008A2D4D">
        <w:trPr>
          <w:cantSplit/>
          <w:trHeight w:val="1259"/>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D4D" w:rsidRPr="00D27BEC" w:rsidRDefault="008A2D4D" w:rsidP="008A2D4D">
            <w:pPr>
              <w:spacing w:after="0" w:line="240" w:lineRule="auto"/>
              <w:rPr>
                <w:rFonts w:ascii="Arial" w:eastAsia="Times New Roman" w:hAnsi="Arial" w:cs="Arial"/>
                <w:b/>
                <w:bCs/>
                <w:color w:val="000000"/>
                <w:sz w:val="20"/>
                <w:szCs w:val="18"/>
              </w:rPr>
            </w:pPr>
            <w:r w:rsidRPr="00D27BEC">
              <w:rPr>
                <w:rFonts w:ascii="Arial" w:eastAsia="Times New Roman" w:hAnsi="Arial" w:cs="Arial"/>
                <w:b/>
                <w:bCs/>
                <w:color w:val="000000"/>
                <w:sz w:val="20"/>
                <w:szCs w:val="18"/>
              </w:rPr>
              <w:t xml:space="preserve">Adjusted </w:t>
            </w:r>
          </w:p>
          <w:p w:rsidR="008A2D4D" w:rsidRPr="00D27BEC" w:rsidRDefault="008A2D4D" w:rsidP="008A2D4D">
            <w:pPr>
              <w:spacing w:after="0" w:line="240" w:lineRule="auto"/>
              <w:rPr>
                <w:rFonts w:ascii="Arial" w:eastAsia="Times New Roman" w:hAnsi="Arial" w:cs="Arial"/>
                <w:b/>
                <w:bCs/>
                <w:color w:val="000000"/>
                <w:sz w:val="20"/>
                <w:szCs w:val="18"/>
              </w:rPr>
            </w:pPr>
            <w:r w:rsidRPr="00D27BEC">
              <w:rPr>
                <w:rFonts w:ascii="Arial" w:eastAsia="Times New Roman" w:hAnsi="Arial" w:cs="Arial"/>
                <w:b/>
                <w:bCs/>
                <w:color w:val="000000"/>
                <w:sz w:val="20"/>
                <w:szCs w:val="18"/>
              </w:rPr>
              <w:t>R-squared</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A2D4D" w:rsidRPr="00D27BEC" w:rsidRDefault="008A2D4D" w:rsidP="008A2D4D">
            <w:pPr>
              <w:spacing w:after="0" w:line="240" w:lineRule="auto"/>
              <w:rPr>
                <w:rFonts w:ascii="Arial" w:eastAsia="Times New Roman" w:hAnsi="Arial" w:cs="Arial"/>
                <w:color w:val="000000"/>
                <w:sz w:val="20"/>
                <w:szCs w:val="18"/>
              </w:rPr>
            </w:pPr>
            <w:r w:rsidRPr="00D27BEC">
              <w:rPr>
                <w:rFonts w:ascii="Arial" w:eastAsia="Times New Roman" w:hAnsi="Arial" w:cs="Arial"/>
                <w:color w:val="000000"/>
                <w:sz w:val="20"/>
                <w:szCs w:val="18"/>
              </w:rPr>
              <w:t>Predictors</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Cancer</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Heart</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Digestive</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Injury</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Other</w:t>
            </w:r>
          </w:p>
        </w:tc>
        <w:tc>
          <w:tcPr>
            <w:tcW w:w="7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Respiratory</w:t>
            </w:r>
          </w:p>
        </w:tc>
        <w:tc>
          <w:tcPr>
            <w:tcW w:w="7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Outpatients</w:t>
            </w:r>
          </w:p>
        </w:tc>
      </w:tr>
      <w:tr w:rsidR="008A2D4D" w:rsidRPr="00F45667" w:rsidTr="008A2D4D">
        <w:trPr>
          <w:trHeight w:val="298"/>
          <w:jc w:val="center"/>
        </w:trPr>
        <w:tc>
          <w:tcPr>
            <w:tcW w:w="1098" w:type="dxa"/>
            <w:vMerge w:val="restart"/>
            <w:tcBorders>
              <w:top w:val="nil"/>
              <w:left w:val="single" w:sz="4" w:space="0" w:color="auto"/>
              <w:right w:val="single" w:sz="4" w:space="0" w:color="auto"/>
            </w:tcBorders>
            <w:shd w:val="clear" w:color="auto" w:fill="auto"/>
            <w:noWrap/>
            <w:vAlign w:val="center"/>
            <w:hideMark/>
          </w:tcPr>
          <w:p w:rsidR="008A2D4D" w:rsidRPr="00AF437C" w:rsidRDefault="008A2D4D" w:rsidP="008A2D4D">
            <w:pPr>
              <w:spacing w:after="0" w:line="240" w:lineRule="auto"/>
              <w:rPr>
                <w:rFonts w:ascii="Arial" w:eastAsia="Times New Roman" w:hAnsi="Arial" w:cs="Arial"/>
                <w:b/>
                <w:color w:val="000000"/>
                <w:sz w:val="18"/>
                <w:szCs w:val="18"/>
              </w:rPr>
            </w:pPr>
            <w:r w:rsidRPr="00AF437C">
              <w:rPr>
                <w:rFonts w:ascii="Arial" w:eastAsia="Times New Roman" w:hAnsi="Arial" w:cs="Arial"/>
                <w:b/>
                <w:color w:val="000000"/>
                <w:sz w:val="18"/>
                <w:szCs w:val="18"/>
              </w:rPr>
              <w:t>3 years Data Zones 2011</w:t>
            </w: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(IA2 &amp; OA2)</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6.8</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2.7</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9</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5</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14.9</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9.7</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40</w:t>
            </w:r>
            <w:r w:rsidRPr="00D7485C">
              <w:rPr>
                <w:rFonts w:ascii="Arial" w:eastAsia="Times New Roman" w:hAnsi="Arial" w:cs="Arial"/>
                <w:sz w:val="18"/>
                <w:szCs w:val="18"/>
              </w:rPr>
              <w:t>.</w:t>
            </w:r>
            <w:r>
              <w:rPr>
                <w:rFonts w:ascii="Arial" w:eastAsia="Times New Roman" w:hAnsi="Arial" w:cs="Arial"/>
                <w:sz w:val="18"/>
                <w:szCs w:val="18"/>
              </w:rPr>
              <w:t>4</w:t>
            </w:r>
            <w:r w:rsidRPr="00D7485C">
              <w:rPr>
                <w:rFonts w:ascii="Arial" w:eastAsia="Times New Roman" w:hAnsi="Arial" w:cs="Arial"/>
                <w:sz w:val="18"/>
                <w:szCs w:val="18"/>
              </w:rPr>
              <w:t>%</w:t>
            </w:r>
          </w:p>
        </w:tc>
      </w:tr>
      <w:tr w:rsidR="008A2D4D" w:rsidRPr="00F45667" w:rsidTr="008A2D4D">
        <w:trPr>
          <w:trHeight w:val="298"/>
          <w:jc w:val="center"/>
        </w:trPr>
        <w:tc>
          <w:tcPr>
            <w:tcW w:w="1098" w:type="dxa"/>
            <w:vMerge/>
            <w:tcBorders>
              <w:left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(IA1 &amp; OA1)</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6.6</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2.5</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6</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3</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14.8</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9.2</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sidRPr="00D7485C">
              <w:rPr>
                <w:rFonts w:ascii="Arial" w:eastAsia="Times New Roman" w:hAnsi="Arial" w:cs="Arial"/>
                <w:sz w:val="18"/>
                <w:szCs w:val="18"/>
              </w:rPr>
              <w:t>3</w:t>
            </w:r>
            <w:r>
              <w:rPr>
                <w:rFonts w:ascii="Arial" w:eastAsia="Times New Roman" w:hAnsi="Arial" w:cs="Arial"/>
                <w:sz w:val="18"/>
                <w:szCs w:val="18"/>
              </w:rPr>
              <w:t>9</w:t>
            </w:r>
            <w:r w:rsidRPr="00D7485C">
              <w:rPr>
                <w:rFonts w:ascii="Arial" w:eastAsia="Times New Roman" w:hAnsi="Arial" w:cs="Arial"/>
                <w:sz w:val="18"/>
                <w:szCs w:val="18"/>
              </w:rPr>
              <w:t>.</w:t>
            </w:r>
            <w:r>
              <w:rPr>
                <w:rFonts w:ascii="Arial" w:eastAsia="Times New Roman" w:hAnsi="Arial" w:cs="Arial"/>
                <w:sz w:val="18"/>
                <w:szCs w:val="18"/>
              </w:rPr>
              <w:t>8</w:t>
            </w:r>
            <w:r w:rsidRPr="00D7485C">
              <w:rPr>
                <w:rFonts w:ascii="Arial" w:eastAsia="Times New Roman" w:hAnsi="Arial" w:cs="Arial"/>
                <w:sz w:val="18"/>
                <w:szCs w:val="18"/>
              </w:rPr>
              <w:t>%</w:t>
            </w:r>
          </w:p>
        </w:tc>
      </w:tr>
      <w:tr w:rsidR="008A2D4D" w:rsidRPr="00F45667" w:rsidTr="008A2D4D">
        <w:trPr>
          <w:trHeight w:val="298"/>
          <w:jc w:val="center"/>
        </w:trPr>
        <w:tc>
          <w:tcPr>
            <w:tcW w:w="1098" w:type="dxa"/>
            <w:vMerge/>
            <w:tcBorders>
              <w:left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(IPAC &amp; OPAC)</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6.7</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2.7</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7</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4</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15.4</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10.4</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sidRPr="00D7485C">
              <w:rPr>
                <w:rFonts w:ascii="Arial" w:eastAsia="Times New Roman" w:hAnsi="Arial" w:cs="Arial"/>
                <w:sz w:val="18"/>
                <w:szCs w:val="18"/>
              </w:rPr>
              <w:t>3</w:t>
            </w:r>
            <w:r>
              <w:rPr>
                <w:rFonts w:ascii="Arial" w:eastAsia="Times New Roman" w:hAnsi="Arial" w:cs="Arial"/>
                <w:sz w:val="18"/>
                <w:szCs w:val="18"/>
              </w:rPr>
              <w:t>9</w:t>
            </w:r>
            <w:r w:rsidRPr="00D7485C">
              <w:rPr>
                <w:rFonts w:ascii="Arial" w:eastAsia="Times New Roman" w:hAnsi="Arial" w:cs="Arial"/>
                <w:sz w:val="18"/>
                <w:szCs w:val="18"/>
              </w:rPr>
              <w:t>.</w:t>
            </w:r>
            <w:r>
              <w:rPr>
                <w:rFonts w:ascii="Arial" w:eastAsia="Times New Roman" w:hAnsi="Arial" w:cs="Arial"/>
                <w:sz w:val="18"/>
                <w:szCs w:val="18"/>
              </w:rPr>
              <w:t>5</w:t>
            </w:r>
            <w:r w:rsidRPr="00D7485C">
              <w:rPr>
                <w:rFonts w:ascii="Arial" w:eastAsia="Times New Roman" w:hAnsi="Arial" w:cs="Arial"/>
                <w:sz w:val="18"/>
                <w:szCs w:val="18"/>
              </w:rPr>
              <w:t>%</w:t>
            </w:r>
          </w:p>
        </w:tc>
      </w:tr>
      <w:tr w:rsidR="008A2D4D" w:rsidRPr="00F45667" w:rsidTr="008A2D4D">
        <w:trPr>
          <w:trHeight w:val="298"/>
          <w:jc w:val="center"/>
        </w:trPr>
        <w:tc>
          <w:tcPr>
            <w:tcW w:w="1098" w:type="dxa"/>
            <w:vMerge/>
            <w:tcBorders>
              <w:left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(IPACX &amp; OPACX)</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A27C4A" w:rsidRDefault="008A2D4D" w:rsidP="008A2D4D">
            <w:pPr>
              <w:spacing w:after="0" w:line="240" w:lineRule="auto"/>
              <w:jc w:val="right"/>
              <w:rPr>
                <w:rFonts w:ascii="Arial" w:eastAsia="Times New Roman" w:hAnsi="Arial" w:cs="Arial"/>
                <w:color w:val="FF0000"/>
                <w:sz w:val="18"/>
                <w:szCs w:val="18"/>
              </w:rPr>
            </w:pPr>
            <w:r w:rsidRPr="00A27C4A">
              <w:rPr>
                <w:rFonts w:ascii="Arial" w:eastAsia="Times New Roman" w:hAnsi="Arial" w:cs="Arial"/>
                <w:color w:val="FF0000"/>
                <w:sz w:val="18"/>
                <w:szCs w:val="18"/>
              </w:rPr>
              <w:t>6.9%</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A27C4A" w:rsidRDefault="008A2D4D" w:rsidP="008A2D4D">
            <w:pPr>
              <w:spacing w:after="0" w:line="240" w:lineRule="auto"/>
              <w:jc w:val="right"/>
              <w:rPr>
                <w:rFonts w:ascii="Arial" w:eastAsia="Times New Roman" w:hAnsi="Arial" w:cs="Arial"/>
                <w:color w:val="FF0000"/>
                <w:sz w:val="18"/>
                <w:szCs w:val="18"/>
              </w:rPr>
            </w:pPr>
            <w:r w:rsidRPr="00A27C4A">
              <w:rPr>
                <w:rFonts w:ascii="Arial" w:eastAsia="Times New Roman" w:hAnsi="Arial" w:cs="Arial"/>
                <w:color w:val="FF0000"/>
                <w:sz w:val="18"/>
                <w:szCs w:val="18"/>
              </w:rPr>
              <w:t>3.2%</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A27C4A" w:rsidRDefault="008A2D4D" w:rsidP="008A2D4D">
            <w:pPr>
              <w:spacing w:after="0" w:line="240" w:lineRule="auto"/>
              <w:jc w:val="right"/>
              <w:rPr>
                <w:rFonts w:ascii="Arial" w:eastAsia="Times New Roman" w:hAnsi="Arial" w:cs="Arial"/>
                <w:color w:val="FF0000"/>
                <w:sz w:val="18"/>
                <w:szCs w:val="18"/>
              </w:rPr>
            </w:pPr>
            <w:r w:rsidRPr="00A27C4A">
              <w:rPr>
                <w:rFonts w:ascii="Arial" w:eastAsia="Times New Roman" w:hAnsi="Arial" w:cs="Arial"/>
                <w:color w:val="FF0000"/>
                <w:sz w:val="18"/>
                <w:szCs w:val="18"/>
              </w:rPr>
              <w:t>18.2%</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A27C4A" w:rsidRDefault="008A2D4D" w:rsidP="008A2D4D">
            <w:pPr>
              <w:spacing w:after="0" w:line="240" w:lineRule="auto"/>
              <w:jc w:val="right"/>
              <w:rPr>
                <w:rFonts w:ascii="Arial" w:eastAsia="Times New Roman" w:hAnsi="Arial" w:cs="Arial"/>
                <w:color w:val="FF0000"/>
                <w:sz w:val="18"/>
                <w:szCs w:val="18"/>
              </w:rPr>
            </w:pPr>
            <w:r w:rsidRPr="00A27C4A">
              <w:rPr>
                <w:rFonts w:ascii="Arial" w:eastAsia="Times New Roman" w:hAnsi="Arial" w:cs="Arial"/>
                <w:color w:val="FF0000"/>
                <w:sz w:val="18"/>
                <w:szCs w:val="18"/>
              </w:rPr>
              <w:t>4.0%</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A27C4A" w:rsidRDefault="008A2D4D" w:rsidP="008A2D4D">
            <w:pPr>
              <w:spacing w:after="0" w:line="240" w:lineRule="auto"/>
              <w:jc w:val="right"/>
              <w:rPr>
                <w:rFonts w:ascii="Arial" w:eastAsia="Times New Roman" w:hAnsi="Arial" w:cs="Arial"/>
                <w:color w:val="FF0000"/>
                <w:sz w:val="18"/>
                <w:szCs w:val="18"/>
              </w:rPr>
            </w:pPr>
            <w:r w:rsidRPr="00A27C4A">
              <w:rPr>
                <w:rFonts w:ascii="Arial" w:eastAsia="Times New Roman" w:hAnsi="Arial" w:cs="Arial"/>
                <w:color w:val="FF0000"/>
                <w:sz w:val="18"/>
                <w:szCs w:val="18"/>
              </w:rPr>
              <w:t>15.9%</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A27C4A" w:rsidRDefault="008A2D4D" w:rsidP="008A2D4D">
            <w:pPr>
              <w:spacing w:after="0" w:line="240" w:lineRule="auto"/>
              <w:jc w:val="right"/>
              <w:rPr>
                <w:rFonts w:ascii="Arial" w:eastAsia="Times New Roman" w:hAnsi="Arial" w:cs="Arial"/>
                <w:color w:val="FF0000"/>
                <w:sz w:val="18"/>
                <w:szCs w:val="18"/>
              </w:rPr>
            </w:pPr>
            <w:r w:rsidRPr="00A27C4A">
              <w:rPr>
                <w:rFonts w:ascii="Arial" w:eastAsia="Times New Roman" w:hAnsi="Arial" w:cs="Arial"/>
                <w:color w:val="FF0000"/>
                <w:sz w:val="18"/>
                <w:szCs w:val="18"/>
              </w:rPr>
              <w:t>10.9%</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color w:val="FF0000"/>
                <w:sz w:val="18"/>
                <w:szCs w:val="18"/>
              </w:rPr>
            </w:pPr>
            <w:r>
              <w:rPr>
                <w:rFonts w:ascii="Arial" w:eastAsia="Times New Roman" w:hAnsi="Arial" w:cs="Arial"/>
                <w:color w:val="FF0000"/>
                <w:sz w:val="18"/>
                <w:szCs w:val="18"/>
              </w:rPr>
              <w:t>40</w:t>
            </w:r>
            <w:r w:rsidRPr="00D7485C">
              <w:rPr>
                <w:rFonts w:ascii="Arial" w:eastAsia="Times New Roman" w:hAnsi="Arial" w:cs="Arial"/>
                <w:color w:val="FF0000"/>
                <w:sz w:val="18"/>
                <w:szCs w:val="18"/>
              </w:rPr>
              <w:t>.</w:t>
            </w:r>
            <w:r>
              <w:rPr>
                <w:rFonts w:ascii="Arial" w:eastAsia="Times New Roman" w:hAnsi="Arial" w:cs="Arial"/>
                <w:color w:val="FF0000"/>
                <w:sz w:val="18"/>
                <w:szCs w:val="18"/>
              </w:rPr>
              <w:t>3</w:t>
            </w:r>
            <w:r w:rsidRPr="00D7485C">
              <w:rPr>
                <w:rFonts w:ascii="Arial" w:eastAsia="Times New Roman" w:hAnsi="Arial" w:cs="Arial"/>
                <w:color w:val="FF0000"/>
                <w:sz w:val="18"/>
                <w:szCs w:val="18"/>
              </w:rPr>
              <w:t>%</w:t>
            </w:r>
          </w:p>
        </w:tc>
      </w:tr>
      <w:tr w:rsidR="008A2D4D" w:rsidRPr="00F45667" w:rsidTr="008A2D4D">
        <w:trPr>
          <w:trHeight w:val="298"/>
          <w:jc w:val="center"/>
        </w:trPr>
        <w:tc>
          <w:tcPr>
            <w:tcW w:w="1098" w:type="dxa"/>
            <w:vMerge/>
            <w:tcBorders>
              <w:left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GPCount</w:t>
            </w:r>
            <w:proofErr w:type="spellEnd"/>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E83356" w:rsidRDefault="008A2D4D" w:rsidP="008A2D4D">
            <w:pPr>
              <w:spacing w:after="0" w:line="240" w:lineRule="auto"/>
              <w:jc w:val="right"/>
              <w:rPr>
                <w:rFonts w:ascii="Arial" w:eastAsia="Times New Roman" w:hAnsi="Arial" w:cs="Arial"/>
                <w:color w:val="FF0000"/>
                <w:sz w:val="18"/>
                <w:szCs w:val="18"/>
              </w:rPr>
            </w:pPr>
            <w:r w:rsidRPr="00E83356">
              <w:rPr>
                <w:rFonts w:ascii="Arial" w:eastAsia="Times New Roman" w:hAnsi="Arial" w:cs="Arial"/>
                <w:color w:val="FF0000"/>
                <w:sz w:val="18"/>
                <w:szCs w:val="18"/>
              </w:rPr>
              <w:t>6.8%</w:t>
            </w:r>
          </w:p>
        </w:tc>
        <w:tc>
          <w:tcPr>
            <w:tcW w:w="709"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2.5</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4</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0</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14.6</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9.2</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E83356" w:rsidRDefault="008A2D4D" w:rsidP="008A2D4D">
            <w:pPr>
              <w:spacing w:after="0" w:line="240" w:lineRule="auto"/>
              <w:jc w:val="right"/>
              <w:rPr>
                <w:rFonts w:ascii="Arial" w:eastAsia="Times New Roman" w:hAnsi="Arial" w:cs="Arial"/>
                <w:color w:val="FF0000"/>
                <w:sz w:val="18"/>
                <w:szCs w:val="18"/>
              </w:rPr>
            </w:pPr>
            <w:r w:rsidRPr="00E83356">
              <w:rPr>
                <w:rFonts w:ascii="Arial" w:eastAsia="Times New Roman" w:hAnsi="Arial" w:cs="Arial"/>
                <w:color w:val="FF0000"/>
                <w:sz w:val="18"/>
                <w:szCs w:val="18"/>
              </w:rPr>
              <w:t>4</w:t>
            </w:r>
            <w:r>
              <w:rPr>
                <w:rFonts w:ascii="Arial" w:eastAsia="Times New Roman" w:hAnsi="Arial" w:cs="Arial"/>
                <w:color w:val="FF0000"/>
                <w:sz w:val="18"/>
                <w:szCs w:val="18"/>
              </w:rPr>
              <w:t>0</w:t>
            </w:r>
            <w:r w:rsidRPr="00E83356">
              <w:rPr>
                <w:rFonts w:ascii="Arial" w:eastAsia="Times New Roman" w:hAnsi="Arial" w:cs="Arial"/>
                <w:color w:val="FF0000"/>
                <w:sz w:val="18"/>
                <w:szCs w:val="18"/>
              </w:rPr>
              <w:t>.</w:t>
            </w:r>
            <w:r>
              <w:rPr>
                <w:rFonts w:ascii="Arial" w:eastAsia="Times New Roman" w:hAnsi="Arial" w:cs="Arial"/>
                <w:color w:val="FF0000"/>
                <w:sz w:val="18"/>
                <w:szCs w:val="18"/>
              </w:rPr>
              <w:t>3</w:t>
            </w:r>
            <w:r w:rsidRPr="00E83356">
              <w:rPr>
                <w:rFonts w:ascii="Arial" w:eastAsia="Times New Roman" w:hAnsi="Arial" w:cs="Arial"/>
                <w:color w:val="FF0000"/>
                <w:sz w:val="18"/>
                <w:szCs w:val="18"/>
              </w:rPr>
              <w:t>%</w:t>
            </w:r>
          </w:p>
        </w:tc>
      </w:tr>
      <w:tr w:rsidR="008A2D4D" w:rsidRPr="00F45667" w:rsidTr="008A2D4D">
        <w:trPr>
          <w:trHeight w:val="298"/>
          <w:jc w:val="center"/>
        </w:trPr>
        <w:tc>
          <w:tcPr>
            <w:tcW w:w="1098" w:type="dxa"/>
            <w:vMerge/>
            <w:tcBorders>
              <w:left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GPSup</w:t>
            </w:r>
            <w:proofErr w:type="spellEnd"/>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E83356" w:rsidRDefault="008A2D4D" w:rsidP="008A2D4D">
            <w:pPr>
              <w:spacing w:after="0" w:line="240" w:lineRule="auto"/>
              <w:jc w:val="right"/>
              <w:rPr>
                <w:rFonts w:ascii="Arial" w:eastAsia="Times New Roman" w:hAnsi="Arial" w:cs="Arial"/>
                <w:color w:val="FF0000"/>
                <w:sz w:val="18"/>
                <w:szCs w:val="18"/>
              </w:rPr>
            </w:pPr>
            <w:r w:rsidRPr="00E83356">
              <w:rPr>
                <w:rFonts w:ascii="Arial" w:eastAsia="Times New Roman" w:hAnsi="Arial" w:cs="Arial"/>
                <w:color w:val="FF0000"/>
                <w:sz w:val="18"/>
                <w:szCs w:val="18"/>
              </w:rPr>
              <w:t>6.8%</w:t>
            </w:r>
          </w:p>
        </w:tc>
        <w:tc>
          <w:tcPr>
            <w:tcW w:w="709"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E83356" w:rsidRDefault="008A2D4D" w:rsidP="008A2D4D">
            <w:pPr>
              <w:spacing w:after="0" w:line="240" w:lineRule="auto"/>
              <w:jc w:val="right"/>
              <w:rPr>
                <w:rFonts w:ascii="Arial" w:eastAsia="Times New Roman" w:hAnsi="Arial" w:cs="Arial"/>
                <w:color w:val="FF0000"/>
                <w:sz w:val="18"/>
                <w:szCs w:val="18"/>
              </w:rPr>
            </w:pPr>
            <w:r w:rsidRPr="00E83356">
              <w:rPr>
                <w:rFonts w:ascii="Arial" w:eastAsia="Times New Roman" w:hAnsi="Arial" w:cs="Arial"/>
                <w:color w:val="FF0000"/>
                <w:sz w:val="18"/>
                <w:szCs w:val="18"/>
              </w:rPr>
              <w:t>2.8%</w:t>
            </w:r>
          </w:p>
        </w:tc>
        <w:tc>
          <w:tcPr>
            <w:tcW w:w="85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E83356" w:rsidRDefault="008A2D4D" w:rsidP="008A2D4D">
            <w:pPr>
              <w:spacing w:after="0" w:line="240" w:lineRule="auto"/>
              <w:jc w:val="right"/>
              <w:rPr>
                <w:rFonts w:ascii="Arial" w:eastAsia="Times New Roman" w:hAnsi="Arial" w:cs="Arial"/>
                <w:color w:val="FF0000"/>
                <w:sz w:val="18"/>
                <w:szCs w:val="18"/>
              </w:rPr>
            </w:pPr>
            <w:r w:rsidRPr="00E83356">
              <w:rPr>
                <w:rFonts w:ascii="Arial" w:eastAsia="Times New Roman" w:hAnsi="Arial" w:cs="Arial"/>
                <w:color w:val="FF0000"/>
                <w:sz w:val="18"/>
                <w:szCs w:val="18"/>
              </w:rPr>
              <w:t>17.7%</w:t>
            </w:r>
          </w:p>
        </w:tc>
        <w:tc>
          <w:tcPr>
            <w:tcW w:w="708"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E83356" w:rsidRDefault="008A2D4D" w:rsidP="008A2D4D">
            <w:pPr>
              <w:spacing w:after="0" w:line="240" w:lineRule="auto"/>
              <w:jc w:val="right"/>
              <w:rPr>
                <w:rFonts w:ascii="Arial" w:eastAsia="Times New Roman" w:hAnsi="Arial" w:cs="Arial"/>
                <w:color w:val="FF0000"/>
                <w:sz w:val="18"/>
                <w:szCs w:val="18"/>
              </w:rPr>
            </w:pPr>
            <w:r w:rsidRPr="00E83356">
              <w:rPr>
                <w:rFonts w:ascii="Arial" w:eastAsia="Times New Roman" w:hAnsi="Arial" w:cs="Arial"/>
                <w:color w:val="FF0000"/>
                <w:sz w:val="18"/>
                <w:szCs w:val="18"/>
              </w:rPr>
              <w:t>3.4%</w:t>
            </w:r>
          </w:p>
        </w:tc>
        <w:tc>
          <w:tcPr>
            <w:tcW w:w="85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E83356" w:rsidRDefault="008A2D4D" w:rsidP="008A2D4D">
            <w:pPr>
              <w:spacing w:after="0" w:line="240" w:lineRule="auto"/>
              <w:jc w:val="right"/>
              <w:rPr>
                <w:rFonts w:ascii="Arial" w:eastAsia="Times New Roman" w:hAnsi="Arial" w:cs="Arial"/>
                <w:color w:val="FF0000"/>
                <w:sz w:val="18"/>
                <w:szCs w:val="18"/>
              </w:rPr>
            </w:pPr>
            <w:r w:rsidRPr="00E83356">
              <w:rPr>
                <w:rFonts w:ascii="Arial" w:eastAsia="Times New Roman" w:hAnsi="Arial" w:cs="Arial"/>
                <w:color w:val="FF0000"/>
                <w:sz w:val="18"/>
                <w:szCs w:val="18"/>
              </w:rPr>
              <w:t>15.2%</w:t>
            </w:r>
          </w:p>
        </w:tc>
        <w:tc>
          <w:tcPr>
            <w:tcW w:w="74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E83356" w:rsidRDefault="008A2D4D" w:rsidP="008A2D4D">
            <w:pPr>
              <w:spacing w:after="0" w:line="240" w:lineRule="auto"/>
              <w:jc w:val="right"/>
              <w:rPr>
                <w:rFonts w:ascii="Arial" w:eastAsia="Times New Roman" w:hAnsi="Arial" w:cs="Arial"/>
                <w:color w:val="FF0000"/>
                <w:sz w:val="18"/>
                <w:szCs w:val="18"/>
              </w:rPr>
            </w:pPr>
            <w:r w:rsidRPr="00E83356">
              <w:rPr>
                <w:rFonts w:ascii="Arial" w:eastAsia="Times New Roman" w:hAnsi="Arial" w:cs="Arial"/>
                <w:color w:val="FF0000"/>
                <w:sz w:val="18"/>
                <w:szCs w:val="18"/>
              </w:rPr>
              <w:t>9.3%</w:t>
            </w:r>
          </w:p>
        </w:tc>
        <w:tc>
          <w:tcPr>
            <w:tcW w:w="733"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sidRPr="00D7485C">
              <w:rPr>
                <w:rFonts w:ascii="Arial" w:eastAsia="Times New Roman" w:hAnsi="Arial" w:cs="Arial"/>
                <w:sz w:val="18"/>
                <w:szCs w:val="18"/>
              </w:rPr>
              <w:t>3</w:t>
            </w:r>
            <w:r>
              <w:rPr>
                <w:rFonts w:ascii="Arial" w:eastAsia="Times New Roman" w:hAnsi="Arial" w:cs="Arial"/>
                <w:sz w:val="18"/>
                <w:szCs w:val="18"/>
              </w:rPr>
              <w:t>9</w:t>
            </w:r>
            <w:r w:rsidRPr="00D7485C">
              <w:rPr>
                <w:rFonts w:ascii="Arial" w:eastAsia="Times New Roman" w:hAnsi="Arial" w:cs="Arial"/>
                <w:sz w:val="18"/>
                <w:szCs w:val="18"/>
              </w:rPr>
              <w:t>.</w:t>
            </w:r>
            <w:r>
              <w:rPr>
                <w:rFonts w:ascii="Arial" w:eastAsia="Times New Roman" w:hAnsi="Arial" w:cs="Arial"/>
                <w:sz w:val="18"/>
                <w:szCs w:val="18"/>
              </w:rPr>
              <w:t>3</w:t>
            </w:r>
            <w:r w:rsidRPr="00D7485C">
              <w:rPr>
                <w:rFonts w:ascii="Arial" w:eastAsia="Times New Roman" w:hAnsi="Arial" w:cs="Arial"/>
                <w:sz w:val="18"/>
                <w:szCs w:val="18"/>
              </w:rPr>
              <w:t>%</w:t>
            </w:r>
          </w:p>
        </w:tc>
      </w:tr>
      <w:tr w:rsidR="008A2D4D" w:rsidRPr="00F45667" w:rsidTr="008A2D4D">
        <w:trPr>
          <w:trHeight w:val="298"/>
          <w:jc w:val="center"/>
        </w:trPr>
        <w:tc>
          <w:tcPr>
            <w:tcW w:w="1098" w:type="dxa"/>
            <w:vMerge/>
            <w:tcBorders>
              <w:left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(GPSup5)</w:t>
            </w:r>
          </w:p>
        </w:tc>
        <w:tc>
          <w:tcPr>
            <w:tcW w:w="708"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6.7</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2.5</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5</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1</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14.8</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9.1</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sidRPr="00D7485C">
              <w:rPr>
                <w:rFonts w:ascii="Arial" w:eastAsia="Times New Roman" w:hAnsi="Arial" w:cs="Arial"/>
                <w:sz w:val="18"/>
                <w:szCs w:val="18"/>
              </w:rPr>
              <w:t>3</w:t>
            </w:r>
            <w:r>
              <w:rPr>
                <w:rFonts w:ascii="Arial" w:eastAsia="Times New Roman" w:hAnsi="Arial" w:cs="Arial"/>
                <w:sz w:val="18"/>
                <w:szCs w:val="18"/>
              </w:rPr>
              <w:t>9</w:t>
            </w:r>
            <w:r w:rsidRPr="00D7485C">
              <w:rPr>
                <w:rFonts w:ascii="Arial" w:eastAsia="Times New Roman" w:hAnsi="Arial" w:cs="Arial"/>
                <w:sz w:val="18"/>
                <w:szCs w:val="18"/>
              </w:rPr>
              <w:t>.</w:t>
            </w:r>
            <w:r>
              <w:rPr>
                <w:rFonts w:ascii="Arial" w:eastAsia="Times New Roman" w:hAnsi="Arial" w:cs="Arial"/>
                <w:sz w:val="18"/>
                <w:szCs w:val="18"/>
              </w:rPr>
              <w:t>3</w:t>
            </w:r>
            <w:r w:rsidRPr="00D7485C">
              <w:rPr>
                <w:rFonts w:ascii="Arial" w:eastAsia="Times New Roman" w:hAnsi="Arial" w:cs="Arial"/>
                <w:sz w:val="18"/>
                <w:szCs w:val="18"/>
              </w:rPr>
              <w:t>%</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(GPSup10)</w:t>
            </w:r>
          </w:p>
        </w:tc>
        <w:tc>
          <w:tcPr>
            <w:tcW w:w="708"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6.6</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2.3</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5</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0</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14.6</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8.9</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39</w:t>
            </w:r>
            <w:r w:rsidRPr="00D7485C">
              <w:rPr>
                <w:rFonts w:ascii="Arial" w:eastAsia="Times New Roman" w:hAnsi="Arial" w:cs="Arial"/>
                <w:sz w:val="18"/>
                <w:szCs w:val="18"/>
              </w:rPr>
              <w:t>.</w:t>
            </w:r>
            <w:r>
              <w:rPr>
                <w:rFonts w:ascii="Arial" w:eastAsia="Times New Roman" w:hAnsi="Arial" w:cs="Arial"/>
                <w:sz w:val="18"/>
                <w:szCs w:val="18"/>
              </w:rPr>
              <w:t>3</w:t>
            </w:r>
            <w:r w:rsidRPr="00D7485C">
              <w:rPr>
                <w:rFonts w:ascii="Arial" w:eastAsia="Times New Roman" w:hAnsi="Arial" w:cs="Arial"/>
                <w:sz w:val="18"/>
                <w:szCs w:val="18"/>
              </w:rPr>
              <w:t>%</w:t>
            </w:r>
          </w:p>
        </w:tc>
      </w:tr>
    </w:tbl>
    <w:p w:rsidR="008A2D4D" w:rsidRDefault="008A2D4D" w:rsidP="008A2D4D">
      <w:pPr>
        <w:jc w:val="both"/>
        <w:rPr>
          <w:rFonts w:ascii="Arial" w:hAnsi="Arial" w:cs="Arial"/>
        </w:rPr>
      </w:pPr>
    </w:p>
    <w:p w:rsidR="008A2D4D" w:rsidRDefault="008A2D4D" w:rsidP="008A2D4D">
      <w:pPr>
        <w:jc w:val="both"/>
        <w:rPr>
          <w:rFonts w:ascii="Arial" w:hAnsi="Arial" w:cs="Arial"/>
        </w:rPr>
      </w:pPr>
      <w:r>
        <w:rPr>
          <w:rFonts w:ascii="Arial" w:hAnsi="Arial" w:cs="Arial"/>
        </w:rPr>
        <w:t xml:space="preserve">It is very clear that out of all the different supply models from both supply categories, the supply model with IPACX and OPACX produces the highest adjusted R-squared values across all diagnostic groups. This coincides with our initial impression and we can conclude that IPACX and OPACX are probably still the most appropriate supply variables as the basis of a supply model. </w:t>
      </w:r>
    </w:p>
    <w:p w:rsidR="008A2D4D" w:rsidRPr="00A14B8B" w:rsidRDefault="008A2D4D" w:rsidP="008A2D4D">
      <w:pPr>
        <w:spacing w:before="240"/>
        <w:jc w:val="both"/>
        <w:rPr>
          <w:rFonts w:ascii="Arial" w:hAnsi="Arial" w:cs="Arial"/>
        </w:rPr>
      </w:pPr>
      <w:r>
        <w:rPr>
          <w:rFonts w:ascii="Arial" w:hAnsi="Arial" w:cs="Arial"/>
        </w:rPr>
        <w:t xml:space="preserve">For the supply of General Practice category, “GP supply, 1km </w:t>
      </w:r>
      <w:proofErr w:type="spellStart"/>
      <w:r>
        <w:rPr>
          <w:rFonts w:ascii="Arial" w:hAnsi="Arial" w:cs="Arial"/>
        </w:rPr>
        <w:t>intrazonal</w:t>
      </w:r>
      <w:proofErr w:type="spellEnd"/>
      <w:r>
        <w:rPr>
          <w:rFonts w:ascii="Arial" w:hAnsi="Arial" w:cs="Arial"/>
        </w:rPr>
        <w:t xml:space="preserve"> cost” has the highest adjusted R-squared values among all diagnostic groups, except for ‘Outpatients’. Hence, it may be worth looking into a supply model with the combination of IPACX, OPACX and </w:t>
      </w:r>
      <w:proofErr w:type="spellStart"/>
      <w:r>
        <w:rPr>
          <w:rFonts w:ascii="Arial" w:hAnsi="Arial" w:cs="Arial"/>
        </w:rPr>
        <w:t>GPSup</w:t>
      </w:r>
      <w:proofErr w:type="spellEnd"/>
      <w:r>
        <w:rPr>
          <w:rFonts w:ascii="Arial" w:hAnsi="Arial" w:cs="Arial"/>
        </w:rPr>
        <w:t xml:space="preserve">. This is further investigated in sections 3.4 and 3.5.  </w:t>
      </w:r>
    </w:p>
    <w:p w:rsidR="008A2D4D" w:rsidRPr="00507162" w:rsidRDefault="008A2D4D" w:rsidP="008A2D4D">
      <w:pPr>
        <w:jc w:val="both"/>
        <w:rPr>
          <w:rFonts w:ascii="Arial" w:hAnsi="Arial" w:cs="Arial"/>
          <w:b/>
        </w:rPr>
      </w:pPr>
      <w:r>
        <w:rPr>
          <w:rFonts w:ascii="Arial" w:hAnsi="Arial" w:cs="Arial"/>
          <w:b/>
        </w:rPr>
        <w:t>3.3   Performance of supply variables together with needs indicators</w:t>
      </w:r>
    </w:p>
    <w:p w:rsidR="008A2D4D" w:rsidRDefault="008A2D4D" w:rsidP="008A2D4D">
      <w:pPr>
        <w:jc w:val="both"/>
        <w:rPr>
          <w:rFonts w:ascii="Arial" w:hAnsi="Arial" w:cs="Arial"/>
          <w:i/>
        </w:rPr>
      </w:pPr>
      <w:r w:rsidRPr="00180CFC">
        <w:rPr>
          <w:rFonts w:ascii="Arial" w:hAnsi="Arial" w:cs="Arial"/>
        </w:rPr>
        <w:t>The</w:t>
      </w:r>
      <w:r>
        <w:rPr>
          <w:rFonts w:ascii="Arial" w:hAnsi="Arial" w:cs="Arial"/>
        </w:rPr>
        <w:t xml:space="preserve"> performance of</w:t>
      </w:r>
      <w:r w:rsidRPr="00180CFC">
        <w:rPr>
          <w:rFonts w:ascii="Arial" w:hAnsi="Arial" w:cs="Arial"/>
        </w:rPr>
        <w:t xml:space="preserve"> </w:t>
      </w:r>
      <w:r>
        <w:rPr>
          <w:rFonts w:ascii="Arial" w:hAnsi="Arial" w:cs="Arial"/>
        </w:rPr>
        <w:t>the different supply variables (or pairs of variables)</w:t>
      </w:r>
      <w:r w:rsidRPr="00180CFC">
        <w:rPr>
          <w:rFonts w:ascii="Arial" w:hAnsi="Arial" w:cs="Arial"/>
        </w:rPr>
        <w:t xml:space="preserve"> </w:t>
      </w:r>
      <w:r>
        <w:rPr>
          <w:rFonts w:ascii="Arial" w:hAnsi="Arial" w:cs="Arial"/>
        </w:rPr>
        <w:t xml:space="preserve">when entered along with the current needs indicators into the regression model </w:t>
      </w:r>
      <w:r w:rsidR="00953958">
        <w:rPr>
          <w:rFonts w:ascii="Arial" w:hAnsi="Arial" w:cs="Arial"/>
        </w:rPr>
        <w:t>has also been examined</w:t>
      </w:r>
      <w:r w:rsidRPr="00180CFC">
        <w:rPr>
          <w:rFonts w:ascii="Arial" w:hAnsi="Arial" w:cs="Arial"/>
        </w:rPr>
        <w:t>.</w:t>
      </w:r>
      <w:r>
        <w:rPr>
          <w:rFonts w:ascii="Arial" w:hAnsi="Arial" w:cs="Arial"/>
        </w:rPr>
        <w:t xml:space="preserve"> Each supply option </w:t>
      </w:r>
      <w:r w:rsidR="00953958">
        <w:rPr>
          <w:rFonts w:ascii="Arial" w:hAnsi="Arial" w:cs="Arial"/>
        </w:rPr>
        <w:t>was</w:t>
      </w:r>
      <w:r>
        <w:rPr>
          <w:rFonts w:ascii="Arial" w:hAnsi="Arial" w:cs="Arial"/>
        </w:rPr>
        <w:t xml:space="preserve"> combined in turn with (</w:t>
      </w:r>
      <w:proofErr w:type="spellStart"/>
      <w:r>
        <w:rPr>
          <w:rFonts w:ascii="Arial" w:hAnsi="Arial" w:cs="Arial"/>
        </w:rPr>
        <w:t>i</w:t>
      </w:r>
      <w:proofErr w:type="spellEnd"/>
      <w:r>
        <w:rPr>
          <w:rFonts w:ascii="Arial" w:hAnsi="Arial" w:cs="Arial"/>
        </w:rPr>
        <w:t xml:space="preserve">) SMR only, (ii) LLTI only, (iii) SMR + LLTI, and </w:t>
      </w:r>
      <w:proofErr w:type="gramStart"/>
      <w:r>
        <w:rPr>
          <w:rFonts w:ascii="Arial" w:hAnsi="Arial" w:cs="Arial"/>
        </w:rPr>
        <w:t>(iv) the</w:t>
      </w:r>
      <w:proofErr w:type="gramEnd"/>
      <w:r>
        <w:rPr>
          <w:rFonts w:ascii="Arial" w:hAnsi="Arial" w:cs="Arial"/>
        </w:rPr>
        <w:t xml:space="preserve"> current needs index, giving four groups of models. </w:t>
      </w:r>
    </w:p>
    <w:p w:rsidR="008A2D4D" w:rsidRDefault="008A2D4D" w:rsidP="008A2D4D">
      <w:pPr>
        <w:spacing w:before="240"/>
        <w:jc w:val="both"/>
        <w:rPr>
          <w:rFonts w:ascii="Arial" w:hAnsi="Arial" w:cs="Arial"/>
        </w:rPr>
      </w:pPr>
      <w:r>
        <w:rPr>
          <w:rFonts w:ascii="Arial" w:hAnsi="Arial" w:cs="Arial"/>
        </w:rPr>
        <w:t xml:space="preserve">In general, it appears that models with either IPACX &amp; OPACX or IPAC &amp; OPAC perform better than models with the other supply variables; and there is little difference between these two options, when combined with </w:t>
      </w:r>
      <w:r w:rsidR="000A156C">
        <w:rPr>
          <w:rFonts w:ascii="Arial" w:hAnsi="Arial" w:cs="Arial"/>
        </w:rPr>
        <w:t>the indicators. However, Table 3</w:t>
      </w:r>
      <w:r>
        <w:rPr>
          <w:rFonts w:ascii="Arial" w:hAnsi="Arial" w:cs="Arial"/>
        </w:rPr>
        <w:t xml:space="preserve"> showed that IPAC &amp; OPAC are negatively correlated with almost all of the diagnostic groups’ cost ratios, which is counter-intuitive. We therefore conclude that IPACX and OPACX are the most appropriate overall supply variables. (Note also the limitation of IPAC &amp; OPAC mentioned in Technical Report D.) </w:t>
      </w:r>
    </w:p>
    <w:p w:rsidR="008A2D4D" w:rsidRDefault="008A2D4D" w:rsidP="008A2D4D">
      <w:pPr>
        <w:rPr>
          <w:rFonts w:ascii="Arial" w:hAnsi="Arial" w:cs="Arial"/>
          <w:b/>
        </w:rPr>
      </w:pPr>
      <w:r>
        <w:rPr>
          <w:rFonts w:ascii="Arial" w:hAnsi="Arial" w:cs="Arial"/>
          <w:b/>
        </w:rPr>
        <w:t>3</w:t>
      </w:r>
      <w:r w:rsidRPr="00180CFC">
        <w:rPr>
          <w:rFonts w:ascii="Arial" w:hAnsi="Arial" w:cs="Arial"/>
          <w:b/>
        </w:rPr>
        <w:t>.</w:t>
      </w:r>
      <w:r>
        <w:rPr>
          <w:rFonts w:ascii="Arial" w:hAnsi="Arial" w:cs="Arial"/>
          <w:b/>
        </w:rPr>
        <w:t>4</w:t>
      </w:r>
      <w:r w:rsidRPr="00180CFC">
        <w:rPr>
          <w:rFonts w:ascii="Arial" w:hAnsi="Arial" w:cs="Arial"/>
          <w:b/>
        </w:rPr>
        <w:t xml:space="preserve"> </w:t>
      </w:r>
      <w:r>
        <w:rPr>
          <w:rFonts w:ascii="Arial" w:hAnsi="Arial" w:cs="Arial"/>
          <w:b/>
        </w:rPr>
        <w:t xml:space="preserve">  Perform</w:t>
      </w:r>
      <w:r w:rsidR="00953958">
        <w:rPr>
          <w:rFonts w:ascii="Arial" w:hAnsi="Arial" w:cs="Arial"/>
          <w:b/>
        </w:rPr>
        <w:t>ance of combined supply models</w:t>
      </w:r>
    </w:p>
    <w:p w:rsidR="008A2D4D" w:rsidRDefault="008A2D4D" w:rsidP="008A2D4D">
      <w:pPr>
        <w:jc w:val="both"/>
        <w:rPr>
          <w:rFonts w:ascii="Arial" w:hAnsi="Arial" w:cs="Arial"/>
        </w:rPr>
      </w:pPr>
      <w:r>
        <w:rPr>
          <w:rFonts w:ascii="Arial" w:hAnsi="Arial" w:cs="Arial"/>
        </w:rPr>
        <w:t xml:space="preserve">In section 3.2 and section 3.3, we have found that the supply model with IPACX and OPACX performs the ‘best’. Since IPACX and OPACX represent the hospital supply, it would not make sense to combine them with any other pairs of hospital supply variables. However, supply of General Practice represents another supply element. It would be sensible to choose the most effective General Practice supply variable; and combine it with IPACX and </w:t>
      </w:r>
      <w:r>
        <w:rPr>
          <w:rFonts w:ascii="Arial" w:hAnsi="Arial" w:cs="Arial"/>
        </w:rPr>
        <w:lastRenderedPageBreak/>
        <w:t>OPACX. In simple terms, we want</w:t>
      </w:r>
      <w:r w:rsidR="00EC0AE2">
        <w:rPr>
          <w:rFonts w:ascii="Arial" w:hAnsi="Arial" w:cs="Arial"/>
        </w:rPr>
        <w:t xml:space="preserve"> the</w:t>
      </w:r>
      <w:r>
        <w:rPr>
          <w:rFonts w:ascii="Arial" w:hAnsi="Arial" w:cs="Arial"/>
        </w:rPr>
        <w:t xml:space="preserve"> ‘best’ pair of supply variable from </w:t>
      </w:r>
      <w:r w:rsidRPr="009D0553">
        <w:rPr>
          <w:rFonts w:ascii="Arial" w:hAnsi="Arial" w:cs="Arial"/>
        </w:rPr>
        <w:t>hospital supply variables and</w:t>
      </w:r>
      <w:r>
        <w:rPr>
          <w:rFonts w:ascii="Arial" w:hAnsi="Arial" w:cs="Arial"/>
        </w:rPr>
        <w:t xml:space="preserve"> the ‘best’ supply variable from supply of General Practice. </w:t>
      </w:r>
    </w:p>
    <w:p w:rsidR="008A2D4D" w:rsidRPr="00953958" w:rsidRDefault="008A2D4D" w:rsidP="00953958">
      <w:pPr>
        <w:jc w:val="both"/>
        <w:rPr>
          <w:rFonts w:ascii="Arial" w:hAnsi="Arial" w:cs="Arial"/>
        </w:rPr>
      </w:pPr>
      <w:r>
        <w:rPr>
          <w:rFonts w:ascii="Arial" w:hAnsi="Arial" w:cs="Arial"/>
        </w:rPr>
        <w:t xml:space="preserve">From the correlations in Table </w:t>
      </w:r>
      <w:r w:rsidR="000A156C">
        <w:rPr>
          <w:rFonts w:ascii="Arial" w:hAnsi="Arial" w:cs="Arial"/>
        </w:rPr>
        <w:t>6</w:t>
      </w:r>
      <w:r>
        <w:rPr>
          <w:rFonts w:ascii="Arial" w:hAnsi="Arial" w:cs="Arial"/>
        </w:rPr>
        <w:t xml:space="preserve">, we can regard </w:t>
      </w:r>
      <w:proofErr w:type="spellStart"/>
      <w:r>
        <w:rPr>
          <w:rFonts w:ascii="Arial" w:hAnsi="Arial" w:cs="Arial"/>
        </w:rPr>
        <w:t>GPCount</w:t>
      </w:r>
      <w:proofErr w:type="spellEnd"/>
      <w:r>
        <w:rPr>
          <w:rFonts w:ascii="Arial" w:hAnsi="Arial" w:cs="Arial"/>
        </w:rPr>
        <w:t xml:space="preserve"> as inappropriate for combination with IPACX and OPACX. We could, however, combine IPACX, OPACX and (</w:t>
      </w:r>
      <w:proofErr w:type="spellStart"/>
      <w:r>
        <w:rPr>
          <w:rFonts w:ascii="Arial" w:hAnsi="Arial" w:cs="Arial"/>
        </w:rPr>
        <w:t>GPSup</w:t>
      </w:r>
      <w:proofErr w:type="spellEnd"/>
      <w:r>
        <w:rPr>
          <w:rFonts w:ascii="Arial" w:hAnsi="Arial" w:cs="Arial"/>
        </w:rPr>
        <w:t xml:space="preserve"> or GPSup5 or GPSup10) to form a supply model. </w:t>
      </w:r>
      <w:r w:rsidRPr="00180CFC">
        <w:rPr>
          <w:rFonts w:ascii="Arial" w:hAnsi="Arial" w:cs="Arial"/>
        </w:rPr>
        <w:t>The</w:t>
      </w:r>
      <w:r>
        <w:rPr>
          <w:rFonts w:ascii="Arial" w:hAnsi="Arial" w:cs="Arial"/>
        </w:rPr>
        <w:t xml:space="preserve"> performance of</w:t>
      </w:r>
      <w:r w:rsidRPr="00180CFC">
        <w:rPr>
          <w:rFonts w:ascii="Arial" w:hAnsi="Arial" w:cs="Arial"/>
        </w:rPr>
        <w:t xml:space="preserve"> </w:t>
      </w:r>
      <w:r>
        <w:rPr>
          <w:rFonts w:ascii="Arial" w:hAnsi="Arial" w:cs="Arial"/>
        </w:rPr>
        <w:t xml:space="preserve">these combined supply models when entered alone into the regression model </w:t>
      </w:r>
      <w:r w:rsidRPr="00180CFC">
        <w:rPr>
          <w:rFonts w:ascii="Arial" w:hAnsi="Arial" w:cs="Arial"/>
        </w:rPr>
        <w:t xml:space="preserve">are </w:t>
      </w:r>
      <w:r>
        <w:rPr>
          <w:rFonts w:ascii="Arial" w:hAnsi="Arial" w:cs="Arial"/>
        </w:rPr>
        <w:t>displayed</w:t>
      </w:r>
      <w:r w:rsidRPr="00180CFC">
        <w:rPr>
          <w:rFonts w:ascii="Arial" w:hAnsi="Arial" w:cs="Arial"/>
        </w:rPr>
        <w:t xml:space="preserve"> in Table </w:t>
      </w:r>
      <w:r w:rsidR="000A156C">
        <w:rPr>
          <w:rFonts w:ascii="Arial" w:hAnsi="Arial" w:cs="Arial"/>
        </w:rPr>
        <w:t>8</w:t>
      </w:r>
      <w:r>
        <w:rPr>
          <w:rFonts w:ascii="Arial" w:hAnsi="Arial" w:cs="Arial"/>
        </w:rPr>
        <w:t xml:space="preserve"> below</w:t>
      </w:r>
      <w:r w:rsidRPr="00180CFC">
        <w:rPr>
          <w:rFonts w:ascii="Arial" w:hAnsi="Arial" w:cs="Arial"/>
        </w:rPr>
        <w:t>.</w:t>
      </w:r>
      <w:r w:rsidRPr="004E7108">
        <w:rPr>
          <w:rFonts w:ascii="Arial" w:hAnsi="Arial" w:cs="Arial"/>
        </w:rPr>
        <w:t xml:space="preserve"> </w:t>
      </w:r>
      <w:r>
        <w:rPr>
          <w:rFonts w:ascii="Arial" w:hAnsi="Arial" w:cs="Arial"/>
        </w:rPr>
        <w:t xml:space="preserve">The highest adjusted R-squared values for each diagnostic group are highlighted in red.  </w:t>
      </w:r>
    </w:p>
    <w:p w:rsidR="008A2D4D" w:rsidRPr="006A7909" w:rsidRDefault="008A2D4D" w:rsidP="008A2D4D">
      <w:pPr>
        <w:spacing w:after="0"/>
        <w:rPr>
          <w:rFonts w:ascii="Arial" w:hAnsi="Arial" w:cs="Arial"/>
          <w:b/>
        </w:rPr>
      </w:pPr>
      <w:proofErr w:type="gramStart"/>
      <w:r w:rsidRPr="00180CFC">
        <w:rPr>
          <w:rFonts w:ascii="Arial" w:hAnsi="Arial" w:cs="Arial"/>
          <w:i/>
        </w:rPr>
        <w:t xml:space="preserve">Table </w:t>
      </w:r>
      <w:r w:rsidR="000A156C">
        <w:rPr>
          <w:rFonts w:ascii="Arial" w:hAnsi="Arial" w:cs="Arial"/>
          <w:i/>
        </w:rPr>
        <w:t>8</w:t>
      </w:r>
      <w:r w:rsidRPr="00180CFC">
        <w:rPr>
          <w:rFonts w:ascii="Arial" w:hAnsi="Arial" w:cs="Arial"/>
          <w:i/>
        </w:rPr>
        <w:t>.</w:t>
      </w:r>
      <w:proofErr w:type="gramEnd"/>
      <w:r w:rsidRPr="00180CFC">
        <w:rPr>
          <w:rFonts w:ascii="Arial" w:hAnsi="Arial" w:cs="Arial"/>
          <w:i/>
        </w:rPr>
        <w:t xml:space="preserve"> </w:t>
      </w:r>
      <w:r>
        <w:rPr>
          <w:rFonts w:ascii="Arial" w:hAnsi="Arial" w:cs="Arial"/>
          <w:i/>
        </w:rPr>
        <w:t>Supply models performances with different supply variables combinations.</w:t>
      </w:r>
    </w:p>
    <w:tbl>
      <w:tblPr>
        <w:tblW w:w="0" w:type="auto"/>
        <w:jc w:val="center"/>
        <w:tblInd w:w="-459" w:type="dxa"/>
        <w:tblLayout w:type="fixed"/>
        <w:tblLook w:val="04A0"/>
      </w:tblPr>
      <w:tblGrid>
        <w:gridCol w:w="1098"/>
        <w:gridCol w:w="2835"/>
        <w:gridCol w:w="708"/>
        <w:gridCol w:w="709"/>
        <w:gridCol w:w="851"/>
        <w:gridCol w:w="708"/>
        <w:gridCol w:w="851"/>
        <w:gridCol w:w="742"/>
        <w:gridCol w:w="733"/>
      </w:tblGrid>
      <w:tr w:rsidR="008A2D4D" w:rsidRPr="00F45667" w:rsidTr="008A2D4D">
        <w:trPr>
          <w:cantSplit/>
          <w:trHeight w:val="1259"/>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D4D" w:rsidRPr="00D27BEC" w:rsidRDefault="008A2D4D" w:rsidP="008A2D4D">
            <w:pPr>
              <w:spacing w:after="0" w:line="240" w:lineRule="auto"/>
              <w:rPr>
                <w:rFonts w:ascii="Arial" w:eastAsia="Times New Roman" w:hAnsi="Arial" w:cs="Arial"/>
                <w:b/>
                <w:bCs/>
                <w:color w:val="000000"/>
                <w:sz w:val="20"/>
                <w:szCs w:val="18"/>
              </w:rPr>
            </w:pPr>
            <w:r w:rsidRPr="00D27BEC">
              <w:rPr>
                <w:rFonts w:ascii="Arial" w:eastAsia="Times New Roman" w:hAnsi="Arial" w:cs="Arial"/>
                <w:b/>
                <w:bCs/>
                <w:color w:val="000000"/>
                <w:sz w:val="20"/>
                <w:szCs w:val="18"/>
              </w:rPr>
              <w:t xml:space="preserve">Adjusted </w:t>
            </w:r>
          </w:p>
          <w:p w:rsidR="008A2D4D" w:rsidRPr="00D27BEC" w:rsidRDefault="008A2D4D" w:rsidP="008A2D4D">
            <w:pPr>
              <w:spacing w:after="0" w:line="240" w:lineRule="auto"/>
              <w:rPr>
                <w:rFonts w:ascii="Arial" w:eastAsia="Times New Roman" w:hAnsi="Arial" w:cs="Arial"/>
                <w:b/>
                <w:bCs/>
                <w:color w:val="000000"/>
                <w:sz w:val="20"/>
                <w:szCs w:val="18"/>
              </w:rPr>
            </w:pPr>
            <w:r w:rsidRPr="00D27BEC">
              <w:rPr>
                <w:rFonts w:ascii="Arial" w:eastAsia="Times New Roman" w:hAnsi="Arial" w:cs="Arial"/>
                <w:b/>
                <w:bCs/>
                <w:color w:val="000000"/>
                <w:sz w:val="20"/>
                <w:szCs w:val="18"/>
              </w:rPr>
              <w:t>R-squared</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A2D4D" w:rsidRPr="00D27BEC" w:rsidRDefault="008A2D4D" w:rsidP="008A2D4D">
            <w:pPr>
              <w:spacing w:after="0" w:line="240" w:lineRule="auto"/>
              <w:rPr>
                <w:rFonts w:ascii="Arial" w:eastAsia="Times New Roman" w:hAnsi="Arial" w:cs="Arial"/>
                <w:color w:val="000000"/>
                <w:sz w:val="20"/>
                <w:szCs w:val="18"/>
              </w:rPr>
            </w:pPr>
            <w:r w:rsidRPr="00D27BEC">
              <w:rPr>
                <w:rFonts w:ascii="Arial" w:eastAsia="Times New Roman" w:hAnsi="Arial" w:cs="Arial"/>
                <w:color w:val="000000"/>
                <w:sz w:val="20"/>
                <w:szCs w:val="18"/>
              </w:rPr>
              <w:t>Predictors</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Cancer</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Heart</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Digestive</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Injury</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Other</w:t>
            </w:r>
          </w:p>
        </w:tc>
        <w:tc>
          <w:tcPr>
            <w:tcW w:w="7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Respiratory</w:t>
            </w:r>
          </w:p>
        </w:tc>
        <w:tc>
          <w:tcPr>
            <w:tcW w:w="7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Outpatients</w:t>
            </w:r>
          </w:p>
        </w:tc>
      </w:tr>
      <w:tr w:rsidR="008A2D4D" w:rsidRPr="00F45667" w:rsidTr="008A2D4D">
        <w:trPr>
          <w:trHeight w:val="298"/>
          <w:jc w:val="center"/>
        </w:trPr>
        <w:tc>
          <w:tcPr>
            <w:tcW w:w="10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D4D" w:rsidRPr="00AF437C" w:rsidRDefault="008A2D4D" w:rsidP="008A2D4D">
            <w:pPr>
              <w:spacing w:after="0" w:line="240" w:lineRule="auto"/>
              <w:rPr>
                <w:rFonts w:ascii="Arial" w:eastAsia="Times New Roman" w:hAnsi="Arial" w:cs="Arial"/>
                <w:b/>
                <w:color w:val="000000"/>
                <w:sz w:val="18"/>
                <w:szCs w:val="18"/>
              </w:rPr>
            </w:pPr>
            <w:r w:rsidRPr="00AF437C">
              <w:rPr>
                <w:rFonts w:ascii="Arial" w:eastAsia="Times New Roman" w:hAnsi="Arial" w:cs="Arial"/>
                <w:b/>
                <w:color w:val="000000"/>
                <w:sz w:val="18"/>
                <w:szCs w:val="18"/>
              </w:rPr>
              <w:t>3 years Data Zones 2011</w:t>
            </w: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(IPACX &amp; OPACX) </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6.9%</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3.2%</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18.2%</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4.0%</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15.9%</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10.9%</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40.3%</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(IPACX &amp; OPACX + </w:t>
            </w:r>
            <w:proofErr w:type="spellStart"/>
            <w:r w:rsidRPr="002B1A49">
              <w:rPr>
                <w:rFonts w:ascii="Arial" w:hAnsi="Arial" w:cs="Arial"/>
                <w:sz w:val="18"/>
                <w:szCs w:val="18"/>
              </w:rPr>
              <w:t>GPSup</w:t>
            </w:r>
            <w:proofErr w:type="spellEnd"/>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EC0BE8" w:rsidRDefault="008A2D4D" w:rsidP="008A2D4D">
            <w:pPr>
              <w:spacing w:after="0" w:line="240" w:lineRule="auto"/>
              <w:jc w:val="right"/>
              <w:rPr>
                <w:rFonts w:ascii="Arial" w:eastAsia="Times New Roman" w:hAnsi="Arial" w:cs="Arial"/>
                <w:color w:val="FF0000"/>
                <w:sz w:val="18"/>
                <w:szCs w:val="18"/>
              </w:rPr>
            </w:pPr>
            <w:r w:rsidRPr="00EC0BE8">
              <w:rPr>
                <w:rFonts w:ascii="Arial" w:eastAsia="Times New Roman" w:hAnsi="Arial" w:cs="Arial"/>
                <w:color w:val="FF0000"/>
                <w:sz w:val="18"/>
                <w:szCs w:val="18"/>
              </w:rPr>
              <w:t>7.0%</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EC0BE8" w:rsidRDefault="008A2D4D" w:rsidP="008A2D4D">
            <w:pPr>
              <w:spacing w:after="0" w:line="240" w:lineRule="auto"/>
              <w:jc w:val="right"/>
              <w:rPr>
                <w:rFonts w:ascii="Arial" w:eastAsia="Times New Roman" w:hAnsi="Arial" w:cs="Arial"/>
                <w:color w:val="FF0000"/>
                <w:sz w:val="18"/>
                <w:szCs w:val="18"/>
              </w:rPr>
            </w:pPr>
            <w:r w:rsidRPr="00EC0BE8">
              <w:rPr>
                <w:rFonts w:ascii="Arial" w:eastAsia="Times New Roman" w:hAnsi="Arial" w:cs="Arial"/>
                <w:color w:val="FF0000"/>
                <w:sz w:val="18"/>
                <w:szCs w:val="18"/>
              </w:rPr>
              <w:t>3.7%</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EC0BE8" w:rsidRDefault="008A2D4D" w:rsidP="008A2D4D">
            <w:pPr>
              <w:spacing w:after="0" w:line="240" w:lineRule="auto"/>
              <w:jc w:val="right"/>
              <w:rPr>
                <w:rFonts w:ascii="Arial" w:eastAsia="Times New Roman" w:hAnsi="Arial" w:cs="Arial"/>
                <w:color w:val="FF0000"/>
                <w:sz w:val="18"/>
                <w:szCs w:val="18"/>
              </w:rPr>
            </w:pPr>
            <w:r w:rsidRPr="00EC0BE8">
              <w:rPr>
                <w:rFonts w:ascii="Arial" w:eastAsia="Times New Roman" w:hAnsi="Arial" w:cs="Arial"/>
                <w:color w:val="FF0000"/>
                <w:sz w:val="18"/>
                <w:szCs w:val="18"/>
              </w:rPr>
              <w:t>18.5%</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EC0BE8" w:rsidRDefault="008A2D4D" w:rsidP="008A2D4D">
            <w:pPr>
              <w:spacing w:after="0" w:line="240" w:lineRule="auto"/>
              <w:jc w:val="right"/>
              <w:rPr>
                <w:rFonts w:ascii="Arial" w:eastAsia="Times New Roman" w:hAnsi="Arial" w:cs="Arial"/>
                <w:color w:val="FF0000"/>
                <w:sz w:val="18"/>
                <w:szCs w:val="18"/>
              </w:rPr>
            </w:pPr>
            <w:r w:rsidRPr="00EC0BE8">
              <w:rPr>
                <w:rFonts w:ascii="Arial" w:eastAsia="Times New Roman" w:hAnsi="Arial" w:cs="Arial"/>
                <w:color w:val="FF0000"/>
                <w:sz w:val="18"/>
                <w:szCs w:val="18"/>
              </w:rPr>
              <w:t>4.3%</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EC0BE8" w:rsidRDefault="008A2D4D" w:rsidP="008A2D4D">
            <w:pPr>
              <w:spacing w:after="0" w:line="240" w:lineRule="auto"/>
              <w:jc w:val="right"/>
              <w:rPr>
                <w:rFonts w:ascii="Arial" w:eastAsia="Times New Roman" w:hAnsi="Arial" w:cs="Arial"/>
                <w:color w:val="FF0000"/>
                <w:sz w:val="18"/>
                <w:szCs w:val="18"/>
              </w:rPr>
            </w:pPr>
            <w:r w:rsidRPr="00EC0BE8">
              <w:rPr>
                <w:rFonts w:ascii="Arial" w:eastAsia="Times New Roman" w:hAnsi="Arial" w:cs="Arial"/>
                <w:color w:val="FF0000"/>
                <w:sz w:val="18"/>
                <w:szCs w:val="18"/>
              </w:rPr>
              <w:t>16.5%</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EC0BE8" w:rsidRDefault="008A2D4D" w:rsidP="008A2D4D">
            <w:pPr>
              <w:spacing w:after="0" w:line="240" w:lineRule="auto"/>
              <w:jc w:val="right"/>
              <w:rPr>
                <w:rFonts w:ascii="Arial" w:eastAsia="Times New Roman" w:hAnsi="Arial" w:cs="Arial"/>
                <w:color w:val="FF0000"/>
                <w:sz w:val="18"/>
                <w:szCs w:val="18"/>
              </w:rPr>
            </w:pPr>
            <w:r w:rsidRPr="00EC0BE8">
              <w:rPr>
                <w:rFonts w:ascii="Arial" w:eastAsia="Times New Roman" w:hAnsi="Arial" w:cs="Arial"/>
                <w:color w:val="FF0000"/>
                <w:sz w:val="18"/>
                <w:szCs w:val="18"/>
              </w:rPr>
              <w:t>11.3%</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40.3%</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(IPACX &amp; OPACX + </w:t>
            </w:r>
            <w:r w:rsidRPr="002B1A49">
              <w:rPr>
                <w:rFonts w:ascii="Arial" w:hAnsi="Arial" w:cs="Arial"/>
                <w:sz w:val="18"/>
                <w:szCs w:val="18"/>
              </w:rPr>
              <w:t>GPSup</w:t>
            </w:r>
            <w:r>
              <w:rPr>
                <w:rFonts w:ascii="Arial" w:hAnsi="Arial" w:cs="Arial"/>
                <w:sz w:val="18"/>
                <w:szCs w:val="18"/>
              </w:rPr>
              <w:t>5</w:t>
            </w:r>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6.9</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3.4</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18</w:t>
            </w:r>
            <w:r w:rsidRPr="00F45667">
              <w:rPr>
                <w:rFonts w:ascii="Arial" w:eastAsia="Times New Roman" w:hAnsi="Arial" w:cs="Arial"/>
                <w:sz w:val="18"/>
                <w:szCs w:val="18"/>
              </w:rPr>
              <w:t>.</w:t>
            </w:r>
            <w:r>
              <w:rPr>
                <w:rFonts w:ascii="Arial" w:eastAsia="Times New Roman" w:hAnsi="Arial" w:cs="Arial"/>
                <w:sz w:val="18"/>
                <w:szCs w:val="18"/>
              </w:rPr>
              <w:t>3</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4</w:t>
            </w:r>
            <w:r w:rsidRPr="00F45667">
              <w:rPr>
                <w:rFonts w:ascii="Arial" w:eastAsia="Times New Roman" w:hAnsi="Arial" w:cs="Arial"/>
                <w:sz w:val="18"/>
                <w:szCs w:val="18"/>
              </w:rPr>
              <w:t>.</w:t>
            </w:r>
            <w:r>
              <w:rPr>
                <w:rFonts w:ascii="Arial" w:eastAsia="Times New Roman" w:hAnsi="Arial" w:cs="Arial"/>
                <w:sz w:val="18"/>
                <w:szCs w:val="18"/>
              </w:rPr>
              <w:t>0</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16.0</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11.1</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40.3%</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(IPACX &amp; OPACX + </w:t>
            </w:r>
            <w:r w:rsidRPr="002B1A49">
              <w:rPr>
                <w:rFonts w:ascii="Arial" w:hAnsi="Arial" w:cs="Arial"/>
                <w:sz w:val="18"/>
                <w:szCs w:val="18"/>
              </w:rPr>
              <w:t>GPSup</w:t>
            </w:r>
            <w:r>
              <w:rPr>
                <w:rFonts w:ascii="Arial" w:hAnsi="Arial" w:cs="Arial"/>
                <w:sz w:val="18"/>
                <w:szCs w:val="18"/>
              </w:rPr>
              <w:t>10</w:t>
            </w:r>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6.9</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3.3</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18</w:t>
            </w:r>
            <w:r w:rsidRPr="00F45667">
              <w:rPr>
                <w:rFonts w:ascii="Arial" w:eastAsia="Times New Roman" w:hAnsi="Arial" w:cs="Arial"/>
                <w:sz w:val="18"/>
                <w:szCs w:val="18"/>
              </w:rPr>
              <w:t>.</w:t>
            </w:r>
            <w:r>
              <w:rPr>
                <w:rFonts w:ascii="Arial" w:eastAsia="Times New Roman" w:hAnsi="Arial" w:cs="Arial"/>
                <w:sz w:val="18"/>
                <w:szCs w:val="18"/>
              </w:rPr>
              <w:t>2</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9</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15.9</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11.0</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FB0CB9" w:rsidRDefault="008A2D4D" w:rsidP="008A2D4D">
            <w:pPr>
              <w:spacing w:after="0" w:line="240" w:lineRule="auto"/>
              <w:jc w:val="right"/>
              <w:rPr>
                <w:rFonts w:ascii="Arial" w:eastAsia="Times New Roman" w:hAnsi="Arial" w:cs="Arial"/>
                <w:color w:val="FF0000"/>
                <w:sz w:val="18"/>
                <w:szCs w:val="18"/>
              </w:rPr>
            </w:pPr>
            <w:r w:rsidRPr="00FB0CB9">
              <w:rPr>
                <w:rFonts w:ascii="Arial" w:eastAsia="Times New Roman" w:hAnsi="Arial" w:cs="Arial"/>
                <w:color w:val="FF0000"/>
                <w:sz w:val="18"/>
                <w:szCs w:val="18"/>
              </w:rPr>
              <w:t>40.4%</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(IA1 &amp; OA1)</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6.6</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2.5</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6</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3</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14.8</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9.2</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sidRPr="00D7485C">
              <w:rPr>
                <w:rFonts w:ascii="Arial" w:eastAsia="Times New Roman" w:hAnsi="Arial" w:cs="Arial"/>
                <w:sz w:val="18"/>
                <w:szCs w:val="18"/>
              </w:rPr>
              <w:t>3</w:t>
            </w:r>
            <w:r>
              <w:rPr>
                <w:rFonts w:ascii="Arial" w:eastAsia="Times New Roman" w:hAnsi="Arial" w:cs="Arial"/>
                <w:sz w:val="18"/>
                <w:szCs w:val="18"/>
              </w:rPr>
              <w:t>9</w:t>
            </w:r>
            <w:r w:rsidRPr="00D7485C">
              <w:rPr>
                <w:rFonts w:ascii="Arial" w:eastAsia="Times New Roman" w:hAnsi="Arial" w:cs="Arial"/>
                <w:sz w:val="18"/>
                <w:szCs w:val="18"/>
              </w:rPr>
              <w:t>.</w:t>
            </w:r>
            <w:r>
              <w:rPr>
                <w:rFonts w:ascii="Arial" w:eastAsia="Times New Roman" w:hAnsi="Arial" w:cs="Arial"/>
                <w:sz w:val="18"/>
                <w:szCs w:val="18"/>
              </w:rPr>
              <w:t>8</w:t>
            </w:r>
            <w:r w:rsidRPr="00D7485C">
              <w:rPr>
                <w:rFonts w:ascii="Arial" w:eastAsia="Times New Roman" w:hAnsi="Arial" w:cs="Arial"/>
                <w:sz w:val="18"/>
                <w:szCs w:val="18"/>
              </w:rPr>
              <w:t>%</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(IA1 &amp; OA1+ </w:t>
            </w:r>
            <w:proofErr w:type="spellStart"/>
            <w:r w:rsidRPr="002B1A49">
              <w:rPr>
                <w:rFonts w:ascii="Arial" w:hAnsi="Arial" w:cs="Arial"/>
                <w:sz w:val="18"/>
                <w:szCs w:val="18"/>
              </w:rPr>
              <w:t>GPSup</w:t>
            </w:r>
            <w:proofErr w:type="spellEnd"/>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6.8</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3.1</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9</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6</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15.3</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9.7</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39</w:t>
            </w:r>
            <w:r w:rsidRPr="00D7485C">
              <w:rPr>
                <w:rFonts w:ascii="Arial" w:eastAsia="Times New Roman" w:hAnsi="Arial" w:cs="Arial"/>
                <w:sz w:val="18"/>
                <w:szCs w:val="18"/>
              </w:rPr>
              <w:t>.</w:t>
            </w:r>
            <w:r>
              <w:rPr>
                <w:rFonts w:ascii="Arial" w:eastAsia="Times New Roman" w:hAnsi="Arial" w:cs="Arial"/>
                <w:sz w:val="18"/>
                <w:szCs w:val="18"/>
              </w:rPr>
              <w:t>9</w:t>
            </w:r>
            <w:r w:rsidRPr="00D7485C">
              <w:rPr>
                <w:rFonts w:ascii="Arial" w:eastAsia="Times New Roman" w:hAnsi="Arial" w:cs="Arial"/>
                <w:sz w:val="18"/>
                <w:szCs w:val="18"/>
              </w:rPr>
              <w:t>%</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(IA1 &amp; OA1+ </w:t>
            </w:r>
            <w:r w:rsidRPr="002B1A49">
              <w:rPr>
                <w:rFonts w:ascii="Arial" w:hAnsi="Arial" w:cs="Arial"/>
                <w:sz w:val="18"/>
                <w:szCs w:val="18"/>
              </w:rPr>
              <w:t>GPSup</w:t>
            </w:r>
            <w:r>
              <w:rPr>
                <w:rFonts w:ascii="Arial" w:hAnsi="Arial" w:cs="Arial"/>
                <w:sz w:val="18"/>
                <w:szCs w:val="18"/>
              </w:rPr>
              <w:t>5</w:t>
            </w:r>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6.6</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2.8</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7</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3</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14.9</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9.4</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39</w:t>
            </w:r>
            <w:r w:rsidRPr="00D7485C">
              <w:rPr>
                <w:rFonts w:ascii="Arial" w:eastAsia="Times New Roman" w:hAnsi="Arial" w:cs="Arial"/>
                <w:sz w:val="18"/>
                <w:szCs w:val="18"/>
              </w:rPr>
              <w:t>.</w:t>
            </w:r>
            <w:r>
              <w:rPr>
                <w:rFonts w:ascii="Arial" w:eastAsia="Times New Roman" w:hAnsi="Arial" w:cs="Arial"/>
                <w:sz w:val="18"/>
                <w:szCs w:val="18"/>
              </w:rPr>
              <w:t>8</w:t>
            </w:r>
            <w:r w:rsidRPr="00D7485C">
              <w:rPr>
                <w:rFonts w:ascii="Arial" w:eastAsia="Times New Roman" w:hAnsi="Arial" w:cs="Arial"/>
                <w:sz w:val="18"/>
                <w:szCs w:val="18"/>
              </w:rPr>
              <w:t>%</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(IA1 &amp; OA1+ </w:t>
            </w:r>
            <w:r w:rsidRPr="002B1A49">
              <w:rPr>
                <w:rFonts w:ascii="Arial" w:hAnsi="Arial" w:cs="Arial"/>
                <w:sz w:val="18"/>
                <w:szCs w:val="18"/>
              </w:rPr>
              <w:t>GPSup</w:t>
            </w:r>
            <w:r>
              <w:rPr>
                <w:rFonts w:ascii="Arial" w:hAnsi="Arial" w:cs="Arial"/>
                <w:sz w:val="18"/>
                <w:szCs w:val="18"/>
              </w:rPr>
              <w:t>10</w:t>
            </w:r>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6.6</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2.7</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7</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3</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14.8</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9.3</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39</w:t>
            </w:r>
            <w:r w:rsidRPr="00D7485C">
              <w:rPr>
                <w:rFonts w:ascii="Arial" w:eastAsia="Times New Roman" w:hAnsi="Arial" w:cs="Arial"/>
                <w:sz w:val="18"/>
                <w:szCs w:val="18"/>
              </w:rPr>
              <w:t>.</w:t>
            </w:r>
            <w:r>
              <w:rPr>
                <w:rFonts w:ascii="Arial" w:eastAsia="Times New Roman" w:hAnsi="Arial" w:cs="Arial"/>
                <w:sz w:val="18"/>
                <w:szCs w:val="18"/>
              </w:rPr>
              <w:t>8</w:t>
            </w:r>
            <w:r w:rsidRPr="00D7485C">
              <w:rPr>
                <w:rFonts w:ascii="Arial" w:eastAsia="Times New Roman" w:hAnsi="Arial" w:cs="Arial"/>
                <w:sz w:val="18"/>
                <w:szCs w:val="18"/>
              </w:rPr>
              <w:t>%</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(IA2 &amp; OA2)</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6.8</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2.7</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9</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5</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14.9</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9.7</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FB0CB9" w:rsidRDefault="008A2D4D" w:rsidP="008A2D4D">
            <w:pPr>
              <w:spacing w:after="0" w:line="240" w:lineRule="auto"/>
              <w:jc w:val="right"/>
              <w:rPr>
                <w:rFonts w:ascii="Arial" w:eastAsia="Times New Roman" w:hAnsi="Arial" w:cs="Arial"/>
                <w:color w:val="FF0000"/>
                <w:sz w:val="18"/>
                <w:szCs w:val="18"/>
              </w:rPr>
            </w:pPr>
            <w:r w:rsidRPr="00FB0CB9">
              <w:rPr>
                <w:rFonts w:ascii="Arial" w:eastAsia="Times New Roman" w:hAnsi="Arial" w:cs="Arial"/>
                <w:color w:val="FF0000"/>
                <w:sz w:val="18"/>
                <w:szCs w:val="18"/>
              </w:rPr>
              <w:t>40.4%</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(IA2 &amp; OA2+ </w:t>
            </w:r>
            <w:proofErr w:type="spellStart"/>
            <w:r w:rsidRPr="002B1A49">
              <w:rPr>
                <w:rFonts w:ascii="Arial" w:hAnsi="Arial" w:cs="Arial"/>
                <w:sz w:val="18"/>
                <w:szCs w:val="18"/>
              </w:rPr>
              <w:t>GPSup</w:t>
            </w:r>
            <w:proofErr w:type="spellEnd"/>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EC0BE8" w:rsidRDefault="008A2D4D" w:rsidP="008A2D4D">
            <w:pPr>
              <w:spacing w:after="0" w:line="240" w:lineRule="auto"/>
              <w:jc w:val="right"/>
              <w:rPr>
                <w:rFonts w:ascii="Arial" w:eastAsia="Times New Roman" w:hAnsi="Arial" w:cs="Arial"/>
                <w:color w:val="FF0000"/>
                <w:sz w:val="18"/>
                <w:szCs w:val="18"/>
              </w:rPr>
            </w:pPr>
            <w:r w:rsidRPr="00EC0BE8">
              <w:rPr>
                <w:rFonts w:ascii="Arial" w:eastAsia="Times New Roman" w:hAnsi="Arial" w:cs="Arial"/>
                <w:color w:val="FF0000"/>
                <w:sz w:val="18"/>
                <w:szCs w:val="18"/>
              </w:rPr>
              <w:t>7.0%</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3.3</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18</w:t>
            </w:r>
            <w:r w:rsidRPr="00F45667">
              <w:rPr>
                <w:rFonts w:ascii="Arial" w:eastAsia="Times New Roman" w:hAnsi="Arial" w:cs="Arial"/>
                <w:sz w:val="18"/>
                <w:szCs w:val="18"/>
              </w:rPr>
              <w:t>.</w:t>
            </w:r>
            <w:r>
              <w:rPr>
                <w:rFonts w:ascii="Arial" w:eastAsia="Times New Roman" w:hAnsi="Arial" w:cs="Arial"/>
                <w:sz w:val="18"/>
                <w:szCs w:val="18"/>
              </w:rPr>
              <w:t>2</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9</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15.5</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10.2</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color w:val="FF0000"/>
                <w:sz w:val="18"/>
                <w:szCs w:val="18"/>
              </w:rPr>
              <w:t>40.4%</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(IA2 &amp; OA2+ </w:t>
            </w:r>
            <w:r w:rsidRPr="002B1A49">
              <w:rPr>
                <w:rFonts w:ascii="Arial" w:hAnsi="Arial" w:cs="Arial"/>
                <w:sz w:val="18"/>
                <w:szCs w:val="18"/>
              </w:rPr>
              <w:t>GPSup</w:t>
            </w:r>
            <w:r>
              <w:rPr>
                <w:rFonts w:ascii="Arial" w:hAnsi="Arial" w:cs="Arial"/>
                <w:sz w:val="18"/>
                <w:szCs w:val="18"/>
              </w:rPr>
              <w:t>5</w:t>
            </w:r>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6.8</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3.0</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18</w:t>
            </w:r>
            <w:r w:rsidRPr="00F45667">
              <w:rPr>
                <w:rFonts w:ascii="Arial" w:eastAsia="Times New Roman" w:hAnsi="Arial" w:cs="Arial"/>
                <w:sz w:val="18"/>
                <w:szCs w:val="18"/>
              </w:rPr>
              <w:t>.</w:t>
            </w:r>
            <w:r>
              <w:rPr>
                <w:rFonts w:ascii="Arial" w:eastAsia="Times New Roman" w:hAnsi="Arial" w:cs="Arial"/>
                <w:sz w:val="18"/>
                <w:szCs w:val="18"/>
              </w:rPr>
              <w:t>0</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6</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15.1</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9.9</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color w:val="FF0000"/>
                <w:sz w:val="18"/>
                <w:szCs w:val="18"/>
              </w:rPr>
              <w:t>40.4%</w:t>
            </w:r>
          </w:p>
        </w:tc>
      </w:tr>
      <w:tr w:rsidR="008A2D4D" w:rsidRPr="00F45667" w:rsidTr="008A2D4D">
        <w:trPr>
          <w:trHeight w:val="298"/>
          <w:jc w:val="center"/>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835"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(IA2 &amp; OA2+ </w:t>
            </w:r>
            <w:r w:rsidRPr="002B1A49">
              <w:rPr>
                <w:rFonts w:ascii="Arial" w:hAnsi="Arial" w:cs="Arial"/>
                <w:sz w:val="18"/>
                <w:szCs w:val="18"/>
              </w:rPr>
              <w:t>GPSup</w:t>
            </w:r>
            <w:r>
              <w:rPr>
                <w:rFonts w:ascii="Arial" w:hAnsi="Arial" w:cs="Arial"/>
                <w:sz w:val="18"/>
                <w:szCs w:val="18"/>
              </w:rPr>
              <w:t>10</w:t>
            </w:r>
            <w:r>
              <w:rPr>
                <w:rFonts w:ascii="Arial" w:eastAsia="Times New Roman" w:hAnsi="Arial" w:cs="Arial"/>
                <w:color w:val="000000"/>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6.8</w:t>
            </w:r>
            <w:r w:rsidRPr="00F45667">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2.8</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17</w:t>
            </w:r>
            <w:r w:rsidRPr="00F45667">
              <w:rPr>
                <w:rFonts w:ascii="Arial" w:eastAsia="Times New Roman" w:hAnsi="Arial" w:cs="Arial"/>
                <w:sz w:val="18"/>
                <w:szCs w:val="18"/>
              </w:rPr>
              <w:t>.</w:t>
            </w:r>
            <w:r>
              <w:rPr>
                <w:rFonts w:ascii="Arial" w:eastAsia="Times New Roman" w:hAnsi="Arial" w:cs="Arial"/>
                <w:sz w:val="18"/>
                <w:szCs w:val="18"/>
              </w:rPr>
              <w:t>9</w:t>
            </w:r>
            <w:r w:rsidRPr="00F45667">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3</w:t>
            </w:r>
            <w:r w:rsidRPr="00F45667">
              <w:rPr>
                <w:rFonts w:ascii="Arial" w:eastAsia="Times New Roman" w:hAnsi="Arial" w:cs="Arial"/>
                <w:sz w:val="18"/>
                <w:szCs w:val="18"/>
              </w:rPr>
              <w:t>.</w:t>
            </w:r>
            <w:r>
              <w:rPr>
                <w:rFonts w:ascii="Arial" w:eastAsia="Times New Roman" w:hAnsi="Arial" w:cs="Arial"/>
                <w:sz w:val="18"/>
                <w:szCs w:val="18"/>
              </w:rPr>
              <w:t>5</w:t>
            </w:r>
            <w:r w:rsidRPr="00F45667">
              <w:rPr>
                <w:rFonts w:ascii="Arial" w:eastAsia="Times New Roman" w:hAnsi="Arial" w:cs="Arial"/>
                <w:sz w:val="18"/>
                <w:szCs w:val="18"/>
              </w:rPr>
              <w:t>%</w:t>
            </w:r>
          </w:p>
        </w:tc>
        <w:tc>
          <w:tcPr>
            <w:tcW w:w="851"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15.0</w:t>
            </w:r>
            <w:r w:rsidRPr="00F45667">
              <w:rPr>
                <w:rFonts w:ascii="Arial" w:eastAsia="Times New Roman" w:hAnsi="Arial" w:cs="Arial"/>
                <w:sz w:val="18"/>
                <w:szCs w:val="18"/>
              </w:rPr>
              <w:t>%</w:t>
            </w:r>
          </w:p>
        </w:tc>
        <w:tc>
          <w:tcPr>
            <w:tcW w:w="742" w:type="dxa"/>
            <w:tcBorders>
              <w:top w:val="nil"/>
              <w:left w:val="nil"/>
              <w:bottom w:val="single" w:sz="4" w:space="0" w:color="auto"/>
              <w:right w:val="single" w:sz="4" w:space="0" w:color="auto"/>
            </w:tcBorders>
            <w:shd w:val="clear" w:color="000000" w:fill="D7E4BC"/>
            <w:noWrap/>
            <w:vAlign w:val="bottom"/>
            <w:hideMark/>
          </w:tcPr>
          <w:p w:rsidR="008A2D4D" w:rsidRPr="00F45667"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9.8</w:t>
            </w:r>
            <w:r w:rsidRPr="00F45667">
              <w:rPr>
                <w:rFonts w:ascii="Arial" w:eastAsia="Times New Roman" w:hAnsi="Arial" w:cs="Arial"/>
                <w:sz w:val="18"/>
                <w:szCs w:val="18"/>
              </w:rPr>
              <w:t>%</w:t>
            </w:r>
          </w:p>
        </w:tc>
        <w:tc>
          <w:tcPr>
            <w:tcW w:w="733" w:type="dxa"/>
            <w:tcBorders>
              <w:top w:val="nil"/>
              <w:left w:val="nil"/>
              <w:bottom w:val="single" w:sz="4" w:space="0" w:color="auto"/>
              <w:right w:val="single" w:sz="4" w:space="0" w:color="auto"/>
            </w:tcBorders>
            <w:shd w:val="clear" w:color="000000" w:fill="D7E4BC"/>
            <w:noWrap/>
            <w:vAlign w:val="bottom"/>
            <w:hideMark/>
          </w:tcPr>
          <w:p w:rsidR="008A2D4D" w:rsidRPr="00D7485C"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color w:val="FF0000"/>
                <w:sz w:val="18"/>
                <w:szCs w:val="18"/>
              </w:rPr>
              <w:t>40.4%</w:t>
            </w:r>
          </w:p>
        </w:tc>
      </w:tr>
    </w:tbl>
    <w:p w:rsidR="008A2D4D" w:rsidRDefault="008A2D4D" w:rsidP="008A2D4D">
      <w:pPr>
        <w:pStyle w:val="ListParagraph"/>
        <w:ind w:left="426"/>
        <w:jc w:val="both"/>
        <w:rPr>
          <w:rFonts w:ascii="Arial" w:hAnsi="Arial" w:cs="Arial"/>
          <w:b/>
        </w:rPr>
      </w:pPr>
    </w:p>
    <w:p w:rsidR="008A2D4D" w:rsidRDefault="008A2D4D" w:rsidP="008A2D4D">
      <w:pPr>
        <w:pStyle w:val="ListParagraph"/>
        <w:ind w:left="0"/>
        <w:jc w:val="both"/>
        <w:rPr>
          <w:rFonts w:ascii="Arial" w:hAnsi="Arial" w:cs="Arial"/>
        </w:rPr>
      </w:pPr>
      <w:r>
        <w:rPr>
          <w:rFonts w:ascii="Arial" w:hAnsi="Arial" w:cs="Arial"/>
        </w:rPr>
        <w:t xml:space="preserve">From Table </w:t>
      </w:r>
      <w:r w:rsidR="000A156C">
        <w:rPr>
          <w:rFonts w:ascii="Arial" w:hAnsi="Arial" w:cs="Arial"/>
        </w:rPr>
        <w:t>8</w:t>
      </w:r>
      <w:r>
        <w:rPr>
          <w:rFonts w:ascii="Arial" w:hAnsi="Arial" w:cs="Arial"/>
        </w:rPr>
        <w:t xml:space="preserve">, a combined supply model with IPACX, OPACX and </w:t>
      </w:r>
      <w:proofErr w:type="spellStart"/>
      <w:r>
        <w:rPr>
          <w:rFonts w:ascii="Arial" w:hAnsi="Arial" w:cs="Arial"/>
        </w:rPr>
        <w:t>GPSup</w:t>
      </w:r>
      <w:proofErr w:type="spellEnd"/>
      <w:r>
        <w:rPr>
          <w:rFonts w:ascii="Arial" w:hAnsi="Arial" w:cs="Arial"/>
        </w:rPr>
        <w:t xml:space="preserve"> produces the highest adjusted R-squared values across all diagnostic groups. </w:t>
      </w:r>
    </w:p>
    <w:p w:rsidR="008A2D4D" w:rsidRDefault="008A2D4D" w:rsidP="008A2D4D">
      <w:pPr>
        <w:rPr>
          <w:rFonts w:ascii="Arial" w:hAnsi="Arial" w:cs="Arial"/>
          <w:b/>
        </w:rPr>
      </w:pPr>
      <w:r>
        <w:rPr>
          <w:rFonts w:ascii="Arial" w:hAnsi="Arial" w:cs="Arial"/>
          <w:b/>
        </w:rPr>
        <w:t>3</w:t>
      </w:r>
      <w:r w:rsidRPr="00180CFC">
        <w:rPr>
          <w:rFonts w:ascii="Arial" w:hAnsi="Arial" w:cs="Arial"/>
          <w:b/>
        </w:rPr>
        <w:t>.</w:t>
      </w:r>
      <w:r>
        <w:rPr>
          <w:rFonts w:ascii="Arial" w:hAnsi="Arial" w:cs="Arial"/>
          <w:b/>
        </w:rPr>
        <w:t>5</w:t>
      </w:r>
      <w:r w:rsidRPr="00180CFC">
        <w:rPr>
          <w:rFonts w:ascii="Arial" w:hAnsi="Arial" w:cs="Arial"/>
          <w:b/>
        </w:rPr>
        <w:t xml:space="preserve"> </w:t>
      </w:r>
      <w:r>
        <w:rPr>
          <w:rFonts w:ascii="Arial" w:hAnsi="Arial" w:cs="Arial"/>
          <w:b/>
        </w:rPr>
        <w:t xml:space="preserve">  Performance of combined supply model together with needs indicators</w:t>
      </w:r>
    </w:p>
    <w:p w:rsidR="008A2D4D" w:rsidRDefault="000F09F4" w:rsidP="008A2D4D">
      <w:pPr>
        <w:jc w:val="both"/>
        <w:rPr>
          <w:rFonts w:ascii="Arial" w:hAnsi="Arial" w:cs="Arial"/>
          <w:i/>
        </w:rPr>
      </w:pPr>
      <w:r>
        <w:rPr>
          <w:rFonts w:ascii="Arial" w:hAnsi="Arial" w:cs="Arial"/>
        </w:rPr>
        <w:t xml:space="preserve">Table </w:t>
      </w:r>
      <w:r w:rsidR="000A156C">
        <w:rPr>
          <w:rFonts w:ascii="Arial" w:hAnsi="Arial" w:cs="Arial"/>
        </w:rPr>
        <w:t>9</w:t>
      </w:r>
      <w:r>
        <w:rPr>
          <w:rFonts w:ascii="Arial" w:hAnsi="Arial" w:cs="Arial"/>
        </w:rPr>
        <w:t xml:space="preserve"> compares the effect of using (IPACX and OPACX) vs (IPACX, OPACX and </w:t>
      </w:r>
      <w:proofErr w:type="spellStart"/>
      <w:r>
        <w:rPr>
          <w:rFonts w:ascii="Arial" w:hAnsi="Arial" w:cs="Arial"/>
        </w:rPr>
        <w:t>GPSup</w:t>
      </w:r>
      <w:proofErr w:type="spellEnd"/>
      <w:r>
        <w:rPr>
          <w:rFonts w:ascii="Arial" w:hAnsi="Arial" w:cs="Arial"/>
        </w:rPr>
        <w:t>)</w:t>
      </w:r>
      <w:r w:rsidRPr="00180CFC">
        <w:rPr>
          <w:rFonts w:ascii="Arial" w:hAnsi="Arial" w:cs="Arial"/>
        </w:rPr>
        <w:t xml:space="preserve"> </w:t>
      </w:r>
      <w:r>
        <w:rPr>
          <w:rFonts w:ascii="Arial" w:hAnsi="Arial" w:cs="Arial"/>
        </w:rPr>
        <w:t xml:space="preserve">as the supply model in a combined regression with the current needs indicators. </w:t>
      </w:r>
      <w:r w:rsidR="008A2D4D">
        <w:rPr>
          <w:rFonts w:ascii="Arial" w:hAnsi="Arial" w:cs="Arial"/>
        </w:rPr>
        <w:t>The highest adjusted R-squared values across all models are highlighted in red.</w:t>
      </w:r>
    </w:p>
    <w:p w:rsidR="008A2D4D" w:rsidRDefault="008A2D4D" w:rsidP="008A2D4D">
      <w:pPr>
        <w:rPr>
          <w:rFonts w:ascii="Arial" w:hAnsi="Arial" w:cs="Arial"/>
          <w:i/>
        </w:rPr>
      </w:pPr>
      <w:r>
        <w:rPr>
          <w:rFonts w:ascii="Arial" w:hAnsi="Arial" w:cs="Arial"/>
          <w:i/>
        </w:rPr>
        <w:br w:type="page"/>
      </w:r>
    </w:p>
    <w:p w:rsidR="008A2D4D" w:rsidRPr="00180CFC" w:rsidRDefault="008A2D4D" w:rsidP="008A2D4D">
      <w:pPr>
        <w:spacing w:after="0"/>
        <w:rPr>
          <w:rFonts w:ascii="Arial" w:hAnsi="Arial" w:cs="Arial"/>
          <w:b/>
        </w:rPr>
      </w:pPr>
      <w:proofErr w:type="gramStart"/>
      <w:r w:rsidRPr="00180CFC">
        <w:rPr>
          <w:rFonts w:ascii="Arial" w:hAnsi="Arial" w:cs="Arial"/>
          <w:i/>
        </w:rPr>
        <w:lastRenderedPageBreak/>
        <w:t xml:space="preserve">Table </w:t>
      </w:r>
      <w:r w:rsidR="000A156C">
        <w:rPr>
          <w:rFonts w:ascii="Arial" w:hAnsi="Arial" w:cs="Arial"/>
          <w:i/>
        </w:rPr>
        <w:t>9</w:t>
      </w:r>
      <w:r w:rsidRPr="00180CFC">
        <w:rPr>
          <w:rFonts w:ascii="Arial" w:hAnsi="Arial" w:cs="Arial"/>
          <w:i/>
        </w:rPr>
        <w:t>.</w:t>
      </w:r>
      <w:proofErr w:type="gramEnd"/>
      <w:r w:rsidRPr="00180CFC">
        <w:rPr>
          <w:rFonts w:ascii="Arial" w:hAnsi="Arial" w:cs="Arial"/>
          <w:i/>
        </w:rPr>
        <w:t xml:space="preserve"> </w:t>
      </w:r>
      <w:r>
        <w:rPr>
          <w:rFonts w:ascii="Arial" w:hAnsi="Arial" w:cs="Arial"/>
          <w:i/>
        </w:rPr>
        <w:t>Index models performances with different supply models as basis.</w:t>
      </w:r>
    </w:p>
    <w:tbl>
      <w:tblPr>
        <w:tblW w:w="0" w:type="auto"/>
        <w:jc w:val="center"/>
        <w:tblInd w:w="-459" w:type="dxa"/>
        <w:tblLayout w:type="fixed"/>
        <w:tblLook w:val="04A0"/>
      </w:tblPr>
      <w:tblGrid>
        <w:gridCol w:w="1127"/>
        <w:gridCol w:w="2907"/>
        <w:gridCol w:w="731"/>
        <w:gridCol w:w="732"/>
        <w:gridCol w:w="732"/>
        <w:gridCol w:w="731"/>
        <w:gridCol w:w="732"/>
        <w:gridCol w:w="732"/>
        <w:gridCol w:w="732"/>
      </w:tblGrid>
      <w:tr w:rsidR="008A2D4D" w:rsidRPr="00F45667" w:rsidTr="008A2D4D">
        <w:trPr>
          <w:cantSplit/>
          <w:trHeight w:val="1257"/>
          <w:jc w:val="center"/>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D4D" w:rsidRPr="00D27BEC" w:rsidRDefault="008A2D4D" w:rsidP="008A2D4D">
            <w:pPr>
              <w:spacing w:after="0" w:line="240" w:lineRule="auto"/>
              <w:rPr>
                <w:rFonts w:ascii="Arial" w:eastAsia="Times New Roman" w:hAnsi="Arial" w:cs="Arial"/>
                <w:b/>
                <w:bCs/>
                <w:color w:val="000000"/>
                <w:sz w:val="20"/>
                <w:szCs w:val="18"/>
              </w:rPr>
            </w:pPr>
            <w:r w:rsidRPr="00D27BEC">
              <w:rPr>
                <w:rFonts w:ascii="Arial" w:eastAsia="Times New Roman" w:hAnsi="Arial" w:cs="Arial"/>
                <w:b/>
                <w:bCs/>
                <w:color w:val="000000"/>
                <w:sz w:val="20"/>
                <w:szCs w:val="18"/>
              </w:rPr>
              <w:t xml:space="preserve">Adjusted </w:t>
            </w:r>
          </w:p>
          <w:p w:rsidR="008A2D4D" w:rsidRPr="00D27BEC" w:rsidRDefault="008A2D4D" w:rsidP="008A2D4D">
            <w:pPr>
              <w:spacing w:after="0" w:line="240" w:lineRule="auto"/>
              <w:rPr>
                <w:rFonts w:ascii="Arial" w:eastAsia="Times New Roman" w:hAnsi="Arial" w:cs="Arial"/>
                <w:b/>
                <w:bCs/>
                <w:color w:val="000000"/>
                <w:sz w:val="20"/>
                <w:szCs w:val="18"/>
              </w:rPr>
            </w:pPr>
            <w:r w:rsidRPr="00D27BEC">
              <w:rPr>
                <w:rFonts w:ascii="Arial" w:eastAsia="Times New Roman" w:hAnsi="Arial" w:cs="Arial"/>
                <w:b/>
                <w:bCs/>
                <w:color w:val="000000"/>
                <w:sz w:val="20"/>
                <w:szCs w:val="18"/>
              </w:rPr>
              <w:t>R-squared</w:t>
            </w:r>
          </w:p>
        </w:tc>
        <w:tc>
          <w:tcPr>
            <w:tcW w:w="2907" w:type="dxa"/>
            <w:tcBorders>
              <w:top w:val="single" w:sz="4" w:space="0" w:color="auto"/>
              <w:left w:val="nil"/>
              <w:bottom w:val="single" w:sz="4" w:space="0" w:color="auto"/>
              <w:right w:val="single" w:sz="4" w:space="0" w:color="auto"/>
            </w:tcBorders>
            <w:shd w:val="clear" w:color="auto" w:fill="auto"/>
            <w:noWrap/>
            <w:vAlign w:val="center"/>
            <w:hideMark/>
          </w:tcPr>
          <w:p w:rsidR="008A2D4D" w:rsidRPr="00D27BEC" w:rsidRDefault="008A2D4D" w:rsidP="008A2D4D">
            <w:pPr>
              <w:spacing w:after="0" w:line="240" w:lineRule="auto"/>
              <w:rPr>
                <w:rFonts w:ascii="Arial" w:eastAsia="Times New Roman" w:hAnsi="Arial" w:cs="Arial"/>
                <w:color w:val="000000"/>
                <w:sz w:val="20"/>
                <w:szCs w:val="18"/>
              </w:rPr>
            </w:pPr>
            <w:r w:rsidRPr="00D27BEC">
              <w:rPr>
                <w:rFonts w:ascii="Arial" w:eastAsia="Times New Roman" w:hAnsi="Arial" w:cs="Arial"/>
                <w:color w:val="000000"/>
                <w:sz w:val="20"/>
                <w:szCs w:val="18"/>
              </w:rPr>
              <w:t>Predictors</w:t>
            </w:r>
          </w:p>
        </w:tc>
        <w:tc>
          <w:tcPr>
            <w:tcW w:w="73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Cancer</w:t>
            </w:r>
          </w:p>
        </w:tc>
        <w:tc>
          <w:tcPr>
            <w:tcW w:w="73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Heart</w:t>
            </w:r>
          </w:p>
        </w:tc>
        <w:tc>
          <w:tcPr>
            <w:tcW w:w="73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Digestive</w:t>
            </w:r>
          </w:p>
        </w:tc>
        <w:tc>
          <w:tcPr>
            <w:tcW w:w="73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Injury</w:t>
            </w:r>
          </w:p>
        </w:tc>
        <w:tc>
          <w:tcPr>
            <w:tcW w:w="73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Other</w:t>
            </w:r>
          </w:p>
        </w:tc>
        <w:tc>
          <w:tcPr>
            <w:tcW w:w="73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Respiratory</w:t>
            </w:r>
          </w:p>
        </w:tc>
        <w:tc>
          <w:tcPr>
            <w:tcW w:w="73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A2D4D" w:rsidRPr="00D27BEC" w:rsidRDefault="008A2D4D" w:rsidP="008A2D4D">
            <w:pPr>
              <w:spacing w:after="0" w:line="240" w:lineRule="auto"/>
              <w:ind w:left="113" w:right="113"/>
              <w:jc w:val="center"/>
              <w:rPr>
                <w:rFonts w:ascii="Arial" w:eastAsia="Times New Roman" w:hAnsi="Arial" w:cs="Arial"/>
                <w:color w:val="000000"/>
                <w:sz w:val="20"/>
                <w:szCs w:val="18"/>
              </w:rPr>
            </w:pPr>
            <w:r w:rsidRPr="00D27BEC">
              <w:rPr>
                <w:rFonts w:ascii="Arial" w:eastAsia="Times New Roman" w:hAnsi="Arial" w:cs="Arial"/>
                <w:color w:val="000000"/>
                <w:sz w:val="20"/>
                <w:szCs w:val="18"/>
              </w:rPr>
              <w:t>Outpatients</w:t>
            </w:r>
          </w:p>
        </w:tc>
      </w:tr>
      <w:tr w:rsidR="008A2D4D" w:rsidRPr="00F45667" w:rsidTr="008A2D4D">
        <w:trPr>
          <w:trHeight w:val="297"/>
          <w:jc w:val="center"/>
        </w:trPr>
        <w:tc>
          <w:tcPr>
            <w:tcW w:w="1127" w:type="dxa"/>
            <w:vMerge w:val="restart"/>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r w:rsidRPr="00AF437C">
              <w:rPr>
                <w:rFonts w:ascii="Arial" w:eastAsia="Times New Roman" w:hAnsi="Arial" w:cs="Arial"/>
                <w:b/>
                <w:color w:val="000000"/>
                <w:sz w:val="18"/>
                <w:szCs w:val="18"/>
              </w:rPr>
              <w:t>3 years Data Zones 2011</w:t>
            </w:r>
          </w:p>
        </w:tc>
        <w:tc>
          <w:tcPr>
            <w:tcW w:w="2907"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45667" w:rsidRDefault="008A2D4D" w:rsidP="008A2D4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supply model (IPACX &amp; OPACX) </w:t>
            </w:r>
            <w:r w:rsidRPr="00F45667">
              <w:rPr>
                <w:rFonts w:ascii="Arial" w:eastAsia="Times New Roman" w:hAnsi="Arial" w:cs="Arial"/>
                <w:color w:val="000000"/>
                <w:sz w:val="18"/>
                <w:szCs w:val="18"/>
              </w:rPr>
              <w:t>+ SMR</w:t>
            </w:r>
            <w:r>
              <w:rPr>
                <w:rFonts w:ascii="Arial" w:eastAsia="Times New Roman" w:hAnsi="Arial" w:cs="Arial"/>
                <w:color w:val="000000"/>
                <w:sz w:val="18"/>
                <w:szCs w:val="18"/>
              </w:rPr>
              <w:t>75</w:t>
            </w:r>
            <w:r w:rsidRPr="00F45667">
              <w:rPr>
                <w:rFonts w:ascii="Arial" w:eastAsia="Times New Roman" w:hAnsi="Arial" w:cs="Arial"/>
                <w:color w:val="000000"/>
                <w:sz w:val="18"/>
                <w:szCs w:val="18"/>
              </w:rPr>
              <w:t xml:space="preserve"> </w:t>
            </w:r>
          </w:p>
        </w:tc>
        <w:tc>
          <w:tcPr>
            <w:tcW w:w="73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11.1%</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15.9%</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32.9%</w:t>
            </w:r>
          </w:p>
        </w:tc>
        <w:tc>
          <w:tcPr>
            <w:tcW w:w="73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19.8%</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36.4%</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31.2%</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45.5%</w:t>
            </w:r>
          </w:p>
        </w:tc>
      </w:tr>
      <w:tr w:rsidR="008A2D4D" w:rsidRPr="00F45667" w:rsidTr="008A2D4D">
        <w:trPr>
          <w:trHeight w:val="297"/>
          <w:jc w:val="center"/>
        </w:trPr>
        <w:tc>
          <w:tcPr>
            <w:tcW w:w="1127"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907" w:type="dxa"/>
            <w:tcBorders>
              <w:top w:val="nil"/>
              <w:left w:val="nil"/>
              <w:bottom w:val="single" w:sz="4" w:space="0" w:color="auto"/>
              <w:right w:val="single" w:sz="4" w:space="0" w:color="auto"/>
            </w:tcBorders>
            <w:shd w:val="clear" w:color="auto" w:fill="FDE9D9" w:themeFill="accent6" w:themeFillTint="33"/>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(IPACX &amp; OPACX + </w:t>
            </w:r>
            <w:proofErr w:type="spellStart"/>
            <w:r w:rsidRPr="002B1A49">
              <w:rPr>
                <w:rFonts w:ascii="Arial" w:hAnsi="Arial" w:cs="Arial"/>
                <w:sz w:val="18"/>
                <w:szCs w:val="18"/>
              </w:rPr>
              <w:t>GPSup</w:t>
            </w:r>
            <w:proofErr w:type="spellEnd"/>
            <w:r>
              <w:rPr>
                <w:rFonts w:ascii="Arial" w:eastAsia="Times New Roman" w:hAnsi="Arial" w:cs="Arial"/>
                <w:color w:val="000000"/>
                <w:sz w:val="18"/>
                <w:szCs w:val="18"/>
              </w:rPr>
              <w:t xml:space="preserve">) </w:t>
            </w:r>
            <w:r w:rsidRPr="00F45667">
              <w:rPr>
                <w:rFonts w:ascii="Arial" w:eastAsia="Times New Roman" w:hAnsi="Arial" w:cs="Arial"/>
                <w:color w:val="000000"/>
                <w:sz w:val="18"/>
                <w:szCs w:val="18"/>
              </w:rPr>
              <w:t>+ SMR</w:t>
            </w:r>
            <w:r>
              <w:rPr>
                <w:rFonts w:ascii="Arial" w:eastAsia="Times New Roman" w:hAnsi="Arial" w:cs="Arial"/>
                <w:color w:val="000000"/>
                <w:sz w:val="18"/>
                <w:szCs w:val="18"/>
              </w:rPr>
              <w:t>75</w:t>
            </w:r>
          </w:p>
        </w:tc>
        <w:tc>
          <w:tcPr>
            <w:tcW w:w="73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11.1%</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15.9%</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32.9%</w:t>
            </w:r>
          </w:p>
        </w:tc>
        <w:tc>
          <w:tcPr>
            <w:tcW w:w="73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19.8%</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36.4%</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31.2%</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45.5%</w:t>
            </w:r>
          </w:p>
        </w:tc>
      </w:tr>
      <w:tr w:rsidR="008A2D4D" w:rsidRPr="00F45667" w:rsidTr="008A2D4D">
        <w:trPr>
          <w:trHeight w:val="297"/>
          <w:jc w:val="center"/>
        </w:trPr>
        <w:tc>
          <w:tcPr>
            <w:tcW w:w="1127" w:type="dxa"/>
            <w:vMerge/>
            <w:tcBorders>
              <w:left w:val="single" w:sz="4" w:space="0" w:color="auto"/>
              <w:bottom w:val="single" w:sz="4" w:space="0" w:color="auto"/>
              <w:right w:val="single" w:sz="4" w:space="0" w:color="auto"/>
            </w:tcBorders>
            <w:shd w:val="clear" w:color="auto" w:fill="auto"/>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907" w:type="dxa"/>
            <w:tcBorders>
              <w:top w:val="nil"/>
              <w:left w:val="nil"/>
              <w:bottom w:val="single" w:sz="4" w:space="0" w:color="auto"/>
              <w:right w:val="single" w:sz="4" w:space="0" w:color="auto"/>
            </w:tcBorders>
            <w:shd w:val="clear" w:color="auto" w:fill="D6E3BC" w:themeFill="accent3" w:themeFillTint="66"/>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supply model (IPACX &amp; OPACX) </w:t>
            </w:r>
            <w:r w:rsidRPr="00F45667">
              <w:rPr>
                <w:rFonts w:ascii="Arial" w:eastAsia="Times New Roman" w:hAnsi="Arial" w:cs="Arial"/>
                <w:color w:val="000000"/>
                <w:sz w:val="18"/>
                <w:szCs w:val="18"/>
              </w:rPr>
              <w:t>+ LLTI</w:t>
            </w:r>
          </w:p>
        </w:tc>
        <w:tc>
          <w:tcPr>
            <w:tcW w:w="731"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9.5%</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20.2%</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38.2%</w:t>
            </w:r>
          </w:p>
        </w:tc>
        <w:tc>
          <w:tcPr>
            <w:tcW w:w="731"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25.6%</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45.1%</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36.1%</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50.2%</w:t>
            </w:r>
          </w:p>
        </w:tc>
      </w:tr>
      <w:tr w:rsidR="008A2D4D" w:rsidRPr="00F45667" w:rsidTr="008A2D4D">
        <w:trPr>
          <w:trHeight w:val="297"/>
          <w:jc w:val="center"/>
        </w:trPr>
        <w:tc>
          <w:tcPr>
            <w:tcW w:w="1127" w:type="dxa"/>
            <w:vMerge/>
            <w:tcBorders>
              <w:left w:val="single" w:sz="4" w:space="0" w:color="auto"/>
              <w:bottom w:val="single" w:sz="4" w:space="0" w:color="auto"/>
              <w:right w:val="single" w:sz="4" w:space="0" w:color="auto"/>
            </w:tcBorders>
            <w:vAlign w:val="center"/>
            <w:hideMark/>
          </w:tcPr>
          <w:p w:rsidR="008A2D4D" w:rsidRPr="00F45667" w:rsidRDefault="008A2D4D" w:rsidP="008A2D4D">
            <w:pPr>
              <w:spacing w:line="240" w:lineRule="auto"/>
              <w:rPr>
                <w:rFonts w:ascii="Arial" w:eastAsia="Times New Roman" w:hAnsi="Arial" w:cs="Arial"/>
                <w:color w:val="000000"/>
                <w:sz w:val="18"/>
                <w:szCs w:val="18"/>
              </w:rPr>
            </w:pPr>
          </w:p>
        </w:tc>
        <w:tc>
          <w:tcPr>
            <w:tcW w:w="2907" w:type="dxa"/>
            <w:tcBorders>
              <w:top w:val="nil"/>
              <w:left w:val="nil"/>
              <w:bottom w:val="single" w:sz="4" w:space="0" w:color="auto"/>
              <w:right w:val="single" w:sz="4" w:space="0" w:color="auto"/>
            </w:tcBorders>
            <w:shd w:val="clear" w:color="auto" w:fill="D6E3BC" w:themeFill="accent3" w:themeFillTint="66"/>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(IPACX &amp; OPACX + </w:t>
            </w:r>
            <w:proofErr w:type="spellStart"/>
            <w:r w:rsidRPr="002B1A49">
              <w:rPr>
                <w:rFonts w:ascii="Arial" w:hAnsi="Arial" w:cs="Arial"/>
                <w:sz w:val="18"/>
                <w:szCs w:val="18"/>
              </w:rPr>
              <w:t>GPSup</w:t>
            </w:r>
            <w:proofErr w:type="spellEnd"/>
            <w:r>
              <w:rPr>
                <w:rFonts w:ascii="Arial" w:eastAsia="Times New Roman" w:hAnsi="Arial" w:cs="Arial"/>
                <w:color w:val="000000"/>
                <w:sz w:val="18"/>
                <w:szCs w:val="18"/>
              </w:rPr>
              <w:t xml:space="preserve">) </w:t>
            </w:r>
            <w:r w:rsidRPr="00F45667">
              <w:rPr>
                <w:rFonts w:ascii="Arial" w:eastAsia="Times New Roman" w:hAnsi="Arial" w:cs="Arial"/>
                <w:color w:val="000000"/>
                <w:sz w:val="18"/>
                <w:szCs w:val="18"/>
              </w:rPr>
              <w:t>+ LLTI</w:t>
            </w:r>
          </w:p>
        </w:tc>
        <w:tc>
          <w:tcPr>
            <w:tcW w:w="731"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9.5%</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20.2%</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38.2%</w:t>
            </w:r>
          </w:p>
        </w:tc>
        <w:tc>
          <w:tcPr>
            <w:tcW w:w="731"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25.6%</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45.1%</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36.1%</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50.3%</w:t>
            </w:r>
          </w:p>
        </w:tc>
      </w:tr>
      <w:tr w:rsidR="008A2D4D" w:rsidRPr="00F45667" w:rsidTr="008A2D4D">
        <w:trPr>
          <w:trHeight w:val="297"/>
          <w:jc w:val="center"/>
        </w:trPr>
        <w:tc>
          <w:tcPr>
            <w:tcW w:w="1127" w:type="dxa"/>
            <w:vMerge/>
            <w:tcBorders>
              <w:left w:val="single" w:sz="4" w:space="0" w:color="auto"/>
              <w:bottom w:val="single" w:sz="4" w:space="0" w:color="auto"/>
              <w:right w:val="single" w:sz="4" w:space="0" w:color="auto"/>
            </w:tcBorders>
            <w:vAlign w:val="center"/>
            <w:hideMark/>
          </w:tcPr>
          <w:p w:rsidR="008A2D4D" w:rsidRPr="00F45667" w:rsidRDefault="008A2D4D" w:rsidP="008A2D4D">
            <w:pPr>
              <w:spacing w:line="240" w:lineRule="auto"/>
              <w:rPr>
                <w:rFonts w:ascii="Arial" w:eastAsia="Times New Roman" w:hAnsi="Arial" w:cs="Arial"/>
                <w:color w:val="000000"/>
                <w:sz w:val="18"/>
                <w:szCs w:val="18"/>
              </w:rPr>
            </w:pPr>
          </w:p>
        </w:tc>
        <w:tc>
          <w:tcPr>
            <w:tcW w:w="2907" w:type="dxa"/>
            <w:tcBorders>
              <w:top w:val="nil"/>
              <w:left w:val="nil"/>
              <w:bottom w:val="single" w:sz="4" w:space="0" w:color="auto"/>
              <w:right w:val="single" w:sz="4" w:space="0" w:color="auto"/>
            </w:tcBorders>
            <w:shd w:val="clear" w:color="auto" w:fill="FDE9D9" w:themeFill="accent6" w:themeFillTint="33"/>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supply model (IPACX &amp; OPACX) </w:t>
            </w:r>
            <w:r w:rsidRPr="00F45667">
              <w:rPr>
                <w:rFonts w:ascii="Arial" w:eastAsia="Times New Roman" w:hAnsi="Arial" w:cs="Arial"/>
                <w:color w:val="000000"/>
                <w:sz w:val="18"/>
                <w:szCs w:val="18"/>
              </w:rPr>
              <w:t xml:space="preserve">+ </w:t>
            </w:r>
            <w:r>
              <w:rPr>
                <w:rFonts w:ascii="Arial" w:eastAsia="Times New Roman" w:hAnsi="Arial" w:cs="Arial"/>
                <w:color w:val="000000"/>
                <w:sz w:val="18"/>
                <w:szCs w:val="18"/>
              </w:rPr>
              <w:t>SMR + LLTI</w:t>
            </w:r>
          </w:p>
        </w:tc>
        <w:tc>
          <w:tcPr>
            <w:tcW w:w="73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11.1%</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21.1%</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39.1%</w:t>
            </w:r>
          </w:p>
        </w:tc>
        <w:tc>
          <w:tcPr>
            <w:tcW w:w="73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26.6%</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46.1%</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38.0%</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50.2%</w:t>
            </w:r>
          </w:p>
        </w:tc>
      </w:tr>
      <w:tr w:rsidR="008A2D4D" w:rsidRPr="00F45667" w:rsidTr="008A2D4D">
        <w:trPr>
          <w:trHeight w:val="297"/>
          <w:jc w:val="center"/>
        </w:trPr>
        <w:tc>
          <w:tcPr>
            <w:tcW w:w="1127" w:type="dxa"/>
            <w:vMerge/>
            <w:tcBorders>
              <w:left w:val="single" w:sz="4" w:space="0" w:color="auto"/>
              <w:bottom w:val="single" w:sz="4" w:space="0" w:color="auto"/>
              <w:right w:val="single" w:sz="4" w:space="0" w:color="auto"/>
            </w:tcBorders>
            <w:vAlign w:val="center"/>
            <w:hideMark/>
          </w:tcPr>
          <w:p w:rsidR="008A2D4D" w:rsidRPr="00F45667" w:rsidRDefault="008A2D4D" w:rsidP="008A2D4D">
            <w:pPr>
              <w:spacing w:line="240" w:lineRule="auto"/>
              <w:rPr>
                <w:rFonts w:ascii="Arial" w:eastAsia="Times New Roman" w:hAnsi="Arial" w:cs="Arial"/>
                <w:color w:val="000000"/>
                <w:sz w:val="18"/>
                <w:szCs w:val="18"/>
              </w:rPr>
            </w:pPr>
          </w:p>
        </w:tc>
        <w:tc>
          <w:tcPr>
            <w:tcW w:w="2907" w:type="dxa"/>
            <w:tcBorders>
              <w:top w:val="nil"/>
              <w:left w:val="nil"/>
              <w:bottom w:val="single" w:sz="4" w:space="0" w:color="auto"/>
              <w:right w:val="single" w:sz="4" w:space="0" w:color="auto"/>
            </w:tcBorders>
            <w:shd w:val="clear" w:color="auto" w:fill="FDE9D9" w:themeFill="accent6" w:themeFillTint="33"/>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supply model (IPACX &amp; OPACX + </w:t>
            </w:r>
            <w:proofErr w:type="spellStart"/>
            <w:r w:rsidRPr="002B1A49">
              <w:rPr>
                <w:rFonts w:ascii="Arial" w:hAnsi="Arial" w:cs="Arial"/>
                <w:sz w:val="18"/>
                <w:szCs w:val="18"/>
              </w:rPr>
              <w:t>GPSup</w:t>
            </w:r>
            <w:proofErr w:type="spellEnd"/>
            <w:r>
              <w:rPr>
                <w:rFonts w:ascii="Arial" w:eastAsia="Times New Roman" w:hAnsi="Arial" w:cs="Arial"/>
                <w:color w:val="000000"/>
                <w:sz w:val="18"/>
                <w:szCs w:val="18"/>
              </w:rPr>
              <w:t xml:space="preserve">) </w:t>
            </w:r>
            <w:r w:rsidRPr="00F45667">
              <w:rPr>
                <w:rFonts w:ascii="Arial" w:eastAsia="Times New Roman" w:hAnsi="Arial" w:cs="Arial"/>
                <w:color w:val="000000"/>
                <w:sz w:val="18"/>
                <w:szCs w:val="18"/>
              </w:rPr>
              <w:t xml:space="preserve">+ </w:t>
            </w:r>
            <w:r>
              <w:rPr>
                <w:rFonts w:ascii="Arial" w:eastAsia="Times New Roman" w:hAnsi="Arial" w:cs="Arial"/>
                <w:color w:val="000000"/>
                <w:sz w:val="18"/>
                <w:szCs w:val="18"/>
              </w:rPr>
              <w:t>SMR + LLTI</w:t>
            </w:r>
          </w:p>
        </w:tc>
        <w:tc>
          <w:tcPr>
            <w:tcW w:w="73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11.1%</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21.1%</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39.1%</w:t>
            </w:r>
          </w:p>
        </w:tc>
        <w:tc>
          <w:tcPr>
            <w:tcW w:w="731"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26.6%</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46.1%</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38.0%</w:t>
            </w:r>
          </w:p>
        </w:tc>
        <w:tc>
          <w:tcPr>
            <w:tcW w:w="732" w:type="dxa"/>
            <w:tcBorders>
              <w:top w:val="nil"/>
              <w:left w:val="nil"/>
              <w:bottom w:val="single" w:sz="4" w:space="0" w:color="auto"/>
              <w:right w:val="single" w:sz="4" w:space="0" w:color="auto"/>
            </w:tcBorders>
            <w:shd w:val="clear" w:color="auto" w:fill="FDE9D9" w:themeFill="accent6" w:themeFillTint="33"/>
            <w:noWrap/>
            <w:vAlign w:val="bottom"/>
            <w:hideMark/>
          </w:tcPr>
          <w:p w:rsidR="008A2D4D" w:rsidRPr="00D43DF7" w:rsidRDefault="008A2D4D" w:rsidP="008A2D4D">
            <w:pPr>
              <w:spacing w:after="0" w:line="240" w:lineRule="auto"/>
              <w:jc w:val="right"/>
              <w:rPr>
                <w:rFonts w:ascii="Arial" w:eastAsia="Times New Roman" w:hAnsi="Arial" w:cs="Arial"/>
                <w:color w:val="FF0000"/>
                <w:sz w:val="18"/>
                <w:szCs w:val="18"/>
              </w:rPr>
            </w:pPr>
            <w:r w:rsidRPr="00D43DF7">
              <w:rPr>
                <w:rFonts w:ascii="Arial" w:eastAsia="Times New Roman" w:hAnsi="Arial" w:cs="Arial"/>
                <w:color w:val="FF0000"/>
                <w:sz w:val="18"/>
                <w:szCs w:val="18"/>
              </w:rPr>
              <w:t>50.3%</w:t>
            </w:r>
          </w:p>
        </w:tc>
      </w:tr>
      <w:tr w:rsidR="008A2D4D" w:rsidRPr="00F45667" w:rsidTr="008A2D4D">
        <w:trPr>
          <w:trHeight w:val="297"/>
          <w:jc w:val="center"/>
        </w:trPr>
        <w:tc>
          <w:tcPr>
            <w:tcW w:w="1127" w:type="dxa"/>
            <w:vMerge/>
            <w:tcBorders>
              <w:left w:val="single" w:sz="4" w:space="0" w:color="auto"/>
              <w:bottom w:val="single" w:sz="4" w:space="0" w:color="auto"/>
              <w:right w:val="single" w:sz="4" w:space="0" w:color="auto"/>
            </w:tcBorders>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907" w:type="dxa"/>
            <w:tcBorders>
              <w:top w:val="nil"/>
              <w:left w:val="nil"/>
              <w:bottom w:val="single" w:sz="4" w:space="0" w:color="auto"/>
              <w:right w:val="single" w:sz="4" w:space="0" w:color="auto"/>
            </w:tcBorders>
            <w:shd w:val="clear" w:color="auto" w:fill="D6E3BC" w:themeFill="accent3" w:themeFillTint="66"/>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 xml:space="preserve">supply model </w:t>
            </w:r>
            <w:r>
              <w:rPr>
                <w:rFonts w:ascii="Arial" w:eastAsia="Times New Roman" w:hAnsi="Arial" w:cs="Arial"/>
                <w:color w:val="000000"/>
                <w:sz w:val="18"/>
                <w:szCs w:val="18"/>
              </w:rPr>
              <w:t xml:space="preserve">(IPACX &amp; OPACX) </w:t>
            </w:r>
            <w:r w:rsidRPr="00F45667">
              <w:rPr>
                <w:rFonts w:ascii="Arial" w:eastAsia="Times New Roman" w:hAnsi="Arial" w:cs="Arial"/>
                <w:color w:val="000000"/>
                <w:sz w:val="18"/>
                <w:szCs w:val="18"/>
              </w:rPr>
              <w:t xml:space="preserve">+ current </w:t>
            </w:r>
            <w:r>
              <w:rPr>
                <w:rFonts w:ascii="Arial" w:eastAsia="Times New Roman" w:hAnsi="Arial" w:cs="Arial"/>
                <w:color w:val="000000"/>
                <w:sz w:val="18"/>
                <w:szCs w:val="18"/>
              </w:rPr>
              <w:t xml:space="preserve">acute </w:t>
            </w:r>
            <w:r w:rsidRPr="00F45667">
              <w:rPr>
                <w:rFonts w:ascii="Arial" w:eastAsia="Times New Roman" w:hAnsi="Arial" w:cs="Arial"/>
                <w:color w:val="000000"/>
                <w:sz w:val="18"/>
                <w:szCs w:val="18"/>
              </w:rPr>
              <w:t>index</w:t>
            </w:r>
          </w:p>
        </w:tc>
        <w:tc>
          <w:tcPr>
            <w:tcW w:w="731"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10.8%</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20.5%</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38.4%</w:t>
            </w:r>
          </w:p>
        </w:tc>
        <w:tc>
          <w:tcPr>
            <w:tcW w:w="731"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25.8%</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44.8%</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37.5%</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48.9%</w:t>
            </w:r>
          </w:p>
        </w:tc>
      </w:tr>
      <w:tr w:rsidR="008A2D4D" w:rsidRPr="00F45667" w:rsidTr="008A2D4D">
        <w:trPr>
          <w:trHeight w:val="297"/>
          <w:jc w:val="center"/>
        </w:trPr>
        <w:tc>
          <w:tcPr>
            <w:tcW w:w="1127" w:type="dxa"/>
            <w:vMerge/>
            <w:tcBorders>
              <w:left w:val="single" w:sz="4" w:space="0" w:color="auto"/>
              <w:bottom w:val="single" w:sz="4" w:space="0" w:color="auto"/>
              <w:right w:val="single" w:sz="4" w:space="0" w:color="auto"/>
            </w:tcBorders>
            <w:vAlign w:val="center"/>
            <w:hideMark/>
          </w:tcPr>
          <w:p w:rsidR="008A2D4D" w:rsidRPr="00F45667" w:rsidRDefault="008A2D4D" w:rsidP="008A2D4D">
            <w:pPr>
              <w:spacing w:after="0" w:line="240" w:lineRule="auto"/>
              <w:rPr>
                <w:rFonts w:ascii="Arial" w:eastAsia="Times New Roman" w:hAnsi="Arial" w:cs="Arial"/>
                <w:color w:val="000000"/>
                <w:sz w:val="18"/>
                <w:szCs w:val="18"/>
              </w:rPr>
            </w:pPr>
          </w:p>
        </w:tc>
        <w:tc>
          <w:tcPr>
            <w:tcW w:w="2907" w:type="dxa"/>
            <w:tcBorders>
              <w:top w:val="nil"/>
              <w:left w:val="nil"/>
              <w:bottom w:val="single" w:sz="4" w:space="0" w:color="auto"/>
              <w:right w:val="single" w:sz="4" w:space="0" w:color="auto"/>
            </w:tcBorders>
            <w:shd w:val="clear" w:color="auto" w:fill="D6E3BC" w:themeFill="accent3" w:themeFillTint="66"/>
            <w:noWrap/>
            <w:vAlign w:val="center"/>
            <w:hideMark/>
          </w:tcPr>
          <w:p w:rsidR="008A2D4D" w:rsidRPr="00F45667" w:rsidRDefault="008A2D4D" w:rsidP="008A2D4D">
            <w:pPr>
              <w:spacing w:after="0" w:line="240" w:lineRule="auto"/>
              <w:rPr>
                <w:rFonts w:ascii="Arial" w:eastAsia="Times New Roman" w:hAnsi="Arial" w:cs="Arial"/>
                <w:color w:val="000000"/>
                <w:sz w:val="18"/>
                <w:szCs w:val="18"/>
              </w:rPr>
            </w:pPr>
            <w:r w:rsidRPr="00F45667">
              <w:rPr>
                <w:rFonts w:ascii="Arial" w:eastAsia="Times New Roman" w:hAnsi="Arial" w:cs="Arial"/>
                <w:color w:val="000000"/>
                <w:sz w:val="18"/>
                <w:szCs w:val="18"/>
              </w:rPr>
              <w:t>supply model</w:t>
            </w:r>
            <w:r>
              <w:rPr>
                <w:rFonts w:ascii="Arial" w:eastAsia="Times New Roman" w:hAnsi="Arial" w:cs="Arial"/>
                <w:color w:val="000000"/>
                <w:sz w:val="18"/>
                <w:szCs w:val="18"/>
              </w:rPr>
              <w:t xml:space="preserve"> (IPACX &amp; OPACX + </w:t>
            </w:r>
            <w:proofErr w:type="spellStart"/>
            <w:r w:rsidRPr="002B1A49">
              <w:rPr>
                <w:rFonts w:ascii="Arial" w:hAnsi="Arial" w:cs="Arial"/>
                <w:sz w:val="18"/>
                <w:szCs w:val="18"/>
              </w:rPr>
              <w:t>GPSup</w:t>
            </w:r>
            <w:proofErr w:type="spellEnd"/>
            <w:r>
              <w:rPr>
                <w:rFonts w:ascii="Arial" w:eastAsia="Times New Roman" w:hAnsi="Arial" w:cs="Arial"/>
                <w:color w:val="000000"/>
                <w:sz w:val="18"/>
                <w:szCs w:val="18"/>
              </w:rPr>
              <w:t xml:space="preserve">) </w:t>
            </w:r>
            <w:r w:rsidRPr="00F45667">
              <w:rPr>
                <w:rFonts w:ascii="Arial" w:eastAsia="Times New Roman" w:hAnsi="Arial" w:cs="Arial"/>
                <w:color w:val="000000"/>
                <w:sz w:val="18"/>
                <w:szCs w:val="18"/>
              </w:rPr>
              <w:t>+ current</w:t>
            </w:r>
            <w:r>
              <w:rPr>
                <w:rFonts w:ascii="Arial" w:eastAsia="Times New Roman" w:hAnsi="Arial" w:cs="Arial"/>
                <w:color w:val="000000"/>
                <w:sz w:val="18"/>
                <w:szCs w:val="18"/>
              </w:rPr>
              <w:t xml:space="preserve"> acute</w:t>
            </w:r>
            <w:r w:rsidRPr="00F45667">
              <w:rPr>
                <w:rFonts w:ascii="Arial" w:eastAsia="Times New Roman" w:hAnsi="Arial" w:cs="Arial"/>
                <w:color w:val="000000"/>
                <w:sz w:val="18"/>
                <w:szCs w:val="18"/>
              </w:rPr>
              <w:t xml:space="preserve"> index</w:t>
            </w:r>
          </w:p>
        </w:tc>
        <w:tc>
          <w:tcPr>
            <w:tcW w:w="731"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CF0ADE" w:rsidRDefault="008A2D4D" w:rsidP="008A2D4D">
            <w:pPr>
              <w:spacing w:after="0" w:line="240" w:lineRule="auto"/>
              <w:jc w:val="right"/>
              <w:rPr>
                <w:rFonts w:ascii="Arial" w:eastAsia="Times New Roman" w:hAnsi="Arial" w:cs="Arial"/>
                <w:sz w:val="18"/>
                <w:szCs w:val="18"/>
              </w:rPr>
            </w:pPr>
            <w:r w:rsidRPr="00CF0ADE">
              <w:rPr>
                <w:rFonts w:ascii="Arial" w:eastAsia="Times New Roman" w:hAnsi="Arial" w:cs="Arial"/>
                <w:sz w:val="18"/>
                <w:szCs w:val="18"/>
              </w:rPr>
              <w:t>10.</w:t>
            </w:r>
            <w:r>
              <w:rPr>
                <w:rFonts w:ascii="Arial" w:eastAsia="Times New Roman" w:hAnsi="Arial" w:cs="Arial"/>
                <w:sz w:val="18"/>
                <w:szCs w:val="18"/>
              </w:rPr>
              <w:t>8</w:t>
            </w:r>
            <w:r w:rsidRPr="00CF0ADE">
              <w:rPr>
                <w:rFonts w:ascii="Arial" w:eastAsia="Times New Roman" w:hAnsi="Arial" w:cs="Arial"/>
                <w:sz w:val="18"/>
                <w:szCs w:val="18"/>
              </w:rPr>
              <w:t>%</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CF0ADE" w:rsidRDefault="008A2D4D" w:rsidP="008A2D4D">
            <w:pPr>
              <w:spacing w:after="0" w:line="240" w:lineRule="auto"/>
              <w:jc w:val="right"/>
              <w:rPr>
                <w:rFonts w:ascii="Arial" w:eastAsia="Times New Roman" w:hAnsi="Arial" w:cs="Arial"/>
                <w:sz w:val="18"/>
                <w:szCs w:val="18"/>
              </w:rPr>
            </w:pPr>
            <w:r>
              <w:rPr>
                <w:rFonts w:ascii="Arial" w:eastAsia="Times New Roman" w:hAnsi="Arial" w:cs="Arial"/>
                <w:sz w:val="18"/>
                <w:szCs w:val="18"/>
              </w:rPr>
              <w:t>20</w:t>
            </w:r>
            <w:r w:rsidRPr="00CF0ADE">
              <w:rPr>
                <w:rFonts w:ascii="Arial" w:eastAsia="Times New Roman" w:hAnsi="Arial" w:cs="Arial"/>
                <w:sz w:val="18"/>
                <w:szCs w:val="18"/>
              </w:rPr>
              <w:t>.</w:t>
            </w:r>
            <w:r>
              <w:rPr>
                <w:rFonts w:ascii="Arial" w:eastAsia="Times New Roman" w:hAnsi="Arial" w:cs="Arial"/>
                <w:sz w:val="18"/>
                <w:szCs w:val="18"/>
              </w:rPr>
              <w:t>5</w:t>
            </w:r>
            <w:r w:rsidRPr="00CF0ADE">
              <w:rPr>
                <w:rFonts w:ascii="Arial" w:eastAsia="Times New Roman" w:hAnsi="Arial" w:cs="Arial"/>
                <w:sz w:val="18"/>
                <w:szCs w:val="18"/>
              </w:rPr>
              <w:t>%</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CF0ADE" w:rsidRDefault="008A2D4D" w:rsidP="008A2D4D">
            <w:pPr>
              <w:spacing w:after="0" w:line="240" w:lineRule="auto"/>
              <w:jc w:val="right"/>
              <w:rPr>
                <w:rFonts w:ascii="Arial" w:eastAsia="Times New Roman" w:hAnsi="Arial" w:cs="Arial"/>
                <w:sz w:val="18"/>
                <w:szCs w:val="18"/>
              </w:rPr>
            </w:pPr>
            <w:r w:rsidRPr="00CF0ADE">
              <w:rPr>
                <w:rFonts w:ascii="Arial" w:eastAsia="Times New Roman" w:hAnsi="Arial" w:cs="Arial"/>
                <w:sz w:val="18"/>
                <w:szCs w:val="18"/>
              </w:rPr>
              <w:t>38.</w:t>
            </w:r>
            <w:r>
              <w:rPr>
                <w:rFonts w:ascii="Arial" w:eastAsia="Times New Roman" w:hAnsi="Arial" w:cs="Arial"/>
                <w:sz w:val="18"/>
                <w:szCs w:val="18"/>
              </w:rPr>
              <w:t>4</w:t>
            </w:r>
            <w:r w:rsidRPr="00CF0ADE">
              <w:rPr>
                <w:rFonts w:ascii="Arial" w:eastAsia="Times New Roman" w:hAnsi="Arial" w:cs="Arial"/>
                <w:sz w:val="18"/>
                <w:szCs w:val="18"/>
              </w:rPr>
              <w:t>%</w:t>
            </w:r>
          </w:p>
        </w:tc>
        <w:tc>
          <w:tcPr>
            <w:tcW w:w="731"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25.8%</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44.8%</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37.5%</w:t>
            </w:r>
          </w:p>
        </w:tc>
        <w:tc>
          <w:tcPr>
            <w:tcW w:w="732" w:type="dxa"/>
            <w:tcBorders>
              <w:top w:val="nil"/>
              <w:left w:val="nil"/>
              <w:bottom w:val="single" w:sz="4" w:space="0" w:color="auto"/>
              <w:right w:val="single" w:sz="4" w:space="0" w:color="auto"/>
            </w:tcBorders>
            <w:shd w:val="clear" w:color="auto" w:fill="D6E3BC" w:themeFill="accent3" w:themeFillTint="66"/>
            <w:noWrap/>
            <w:vAlign w:val="bottom"/>
            <w:hideMark/>
          </w:tcPr>
          <w:p w:rsidR="008A2D4D" w:rsidRPr="00FB0CB9" w:rsidRDefault="008A2D4D" w:rsidP="008A2D4D">
            <w:pPr>
              <w:spacing w:after="0" w:line="240" w:lineRule="auto"/>
              <w:jc w:val="right"/>
              <w:rPr>
                <w:rFonts w:ascii="Arial" w:eastAsia="Times New Roman" w:hAnsi="Arial" w:cs="Arial"/>
                <w:sz w:val="18"/>
                <w:szCs w:val="18"/>
              </w:rPr>
            </w:pPr>
            <w:r w:rsidRPr="00FB0CB9">
              <w:rPr>
                <w:rFonts w:ascii="Arial" w:eastAsia="Times New Roman" w:hAnsi="Arial" w:cs="Arial"/>
                <w:sz w:val="18"/>
                <w:szCs w:val="18"/>
              </w:rPr>
              <w:t>4</w:t>
            </w:r>
            <w:r>
              <w:rPr>
                <w:rFonts w:ascii="Arial" w:eastAsia="Times New Roman" w:hAnsi="Arial" w:cs="Arial"/>
                <w:sz w:val="18"/>
                <w:szCs w:val="18"/>
              </w:rPr>
              <w:t>9</w:t>
            </w:r>
            <w:r w:rsidRPr="00FB0CB9">
              <w:rPr>
                <w:rFonts w:ascii="Arial" w:eastAsia="Times New Roman" w:hAnsi="Arial" w:cs="Arial"/>
                <w:sz w:val="18"/>
                <w:szCs w:val="18"/>
              </w:rPr>
              <w:t>.</w:t>
            </w:r>
            <w:r>
              <w:rPr>
                <w:rFonts w:ascii="Arial" w:eastAsia="Times New Roman" w:hAnsi="Arial" w:cs="Arial"/>
                <w:sz w:val="18"/>
                <w:szCs w:val="18"/>
              </w:rPr>
              <w:t>0</w:t>
            </w:r>
            <w:r w:rsidRPr="00FB0CB9">
              <w:rPr>
                <w:rFonts w:ascii="Arial" w:eastAsia="Times New Roman" w:hAnsi="Arial" w:cs="Arial"/>
                <w:sz w:val="18"/>
                <w:szCs w:val="18"/>
              </w:rPr>
              <w:t>%</w:t>
            </w:r>
          </w:p>
        </w:tc>
      </w:tr>
    </w:tbl>
    <w:p w:rsidR="008A2D4D" w:rsidRDefault="008A2D4D" w:rsidP="008A2D4D">
      <w:pPr>
        <w:pStyle w:val="ListParagraph"/>
        <w:ind w:left="0"/>
        <w:jc w:val="both"/>
        <w:rPr>
          <w:rFonts w:ascii="Arial" w:hAnsi="Arial" w:cs="Arial"/>
        </w:rPr>
      </w:pPr>
    </w:p>
    <w:p w:rsidR="008A2D4D" w:rsidRDefault="000F09F4" w:rsidP="008A2D4D">
      <w:pPr>
        <w:pStyle w:val="ListParagraph"/>
        <w:ind w:left="0"/>
        <w:jc w:val="both"/>
        <w:rPr>
          <w:rFonts w:ascii="Arial" w:hAnsi="Arial" w:cs="Arial"/>
        </w:rPr>
      </w:pPr>
      <w:r>
        <w:rPr>
          <w:rFonts w:ascii="Arial" w:hAnsi="Arial" w:cs="Arial"/>
        </w:rPr>
        <w:t>Although</w:t>
      </w:r>
      <w:r w:rsidR="008A2D4D">
        <w:rPr>
          <w:rFonts w:ascii="Arial" w:hAnsi="Arial" w:cs="Arial"/>
        </w:rPr>
        <w:t xml:space="preserve"> it </w:t>
      </w:r>
      <w:r>
        <w:rPr>
          <w:rFonts w:ascii="Arial" w:hAnsi="Arial" w:cs="Arial"/>
        </w:rPr>
        <w:t>wa</w:t>
      </w:r>
      <w:r w:rsidR="008A2D4D">
        <w:rPr>
          <w:rFonts w:ascii="Arial" w:hAnsi="Arial" w:cs="Arial"/>
        </w:rPr>
        <w:t xml:space="preserve">s clear </w:t>
      </w:r>
      <w:r>
        <w:rPr>
          <w:rFonts w:ascii="Arial" w:hAnsi="Arial" w:cs="Arial"/>
        </w:rPr>
        <w:t xml:space="preserve">from Table </w:t>
      </w:r>
      <w:r w:rsidR="000A156C">
        <w:rPr>
          <w:rFonts w:ascii="Arial" w:hAnsi="Arial" w:cs="Arial"/>
        </w:rPr>
        <w:t>8</w:t>
      </w:r>
      <w:r>
        <w:rPr>
          <w:rFonts w:ascii="Arial" w:hAnsi="Arial" w:cs="Arial"/>
        </w:rPr>
        <w:t xml:space="preserve"> </w:t>
      </w:r>
      <w:r w:rsidR="008A2D4D">
        <w:rPr>
          <w:rFonts w:ascii="Arial" w:hAnsi="Arial" w:cs="Arial"/>
        </w:rPr>
        <w:t xml:space="preserve">that the combined supply model </w:t>
      </w:r>
      <w:r>
        <w:rPr>
          <w:rFonts w:ascii="Arial" w:hAnsi="Arial" w:cs="Arial"/>
        </w:rPr>
        <w:t xml:space="preserve">(IPACX, OPACX and </w:t>
      </w:r>
      <w:proofErr w:type="spellStart"/>
      <w:r>
        <w:rPr>
          <w:rFonts w:ascii="Arial" w:hAnsi="Arial" w:cs="Arial"/>
        </w:rPr>
        <w:t>GPSup</w:t>
      </w:r>
      <w:proofErr w:type="spellEnd"/>
      <w:r>
        <w:rPr>
          <w:rFonts w:ascii="Arial" w:hAnsi="Arial" w:cs="Arial"/>
        </w:rPr>
        <w:t>)</w:t>
      </w:r>
      <w:r w:rsidRPr="00180CFC">
        <w:rPr>
          <w:rFonts w:ascii="Arial" w:hAnsi="Arial" w:cs="Arial"/>
        </w:rPr>
        <w:t xml:space="preserve"> </w:t>
      </w:r>
      <w:r w:rsidR="008A2D4D">
        <w:rPr>
          <w:rFonts w:ascii="Arial" w:hAnsi="Arial" w:cs="Arial"/>
        </w:rPr>
        <w:t xml:space="preserve">explains more of the cost ratios’ variation than the existing supply model (IPACX and OPACX only), when </w:t>
      </w:r>
      <w:r>
        <w:rPr>
          <w:rFonts w:ascii="Arial" w:hAnsi="Arial" w:cs="Arial"/>
        </w:rPr>
        <w:t xml:space="preserve">these are </w:t>
      </w:r>
      <w:r w:rsidR="008A2D4D">
        <w:rPr>
          <w:rFonts w:ascii="Arial" w:hAnsi="Arial" w:cs="Arial"/>
        </w:rPr>
        <w:t>combined with the current indicators</w:t>
      </w:r>
      <w:r>
        <w:rPr>
          <w:rFonts w:ascii="Arial" w:hAnsi="Arial" w:cs="Arial"/>
        </w:rPr>
        <w:t xml:space="preserve"> as in Table </w:t>
      </w:r>
      <w:r w:rsidR="000A156C">
        <w:rPr>
          <w:rFonts w:ascii="Arial" w:hAnsi="Arial" w:cs="Arial"/>
        </w:rPr>
        <w:t>9</w:t>
      </w:r>
      <w:r w:rsidR="008A2D4D">
        <w:rPr>
          <w:rFonts w:ascii="Arial" w:hAnsi="Arial" w:cs="Arial"/>
        </w:rPr>
        <w:t xml:space="preserve">, there are almost no </w:t>
      </w:r>
      <w:r>
        <w:rPr>
          <w:rFonts w:ascii="Arial" w:hAnsi="Arial" w:cs="Arial"/>
        </w:rPr>
        <w:t>differences in</w:t>
      </w:r>
      <w:r w:rsidR="008A2D4D">
        <w:rPr>
          <w:rFonts w:ascii="Arial" w:hAnsi="Arial" w:cs="Arial"/>
        </w:rPr>
        <w:t xml:space="preserve"> the adjusted R-squared value. </w:t>
      </w:r>
    </w:p>
    <w:p w:rsidR="008A2D4D" w:rsidRDefault="008A2D4D" w:rsidP="008A2D4D">
      <w:pPr>
        <w:pStyle w:val="ListParagraph"/>
        <w:ind w:left="0"/>
        <w:jc w:val="both"/>
        <w:rPr>
          <w:rFonts w:ascii="Arial" w:hAnsi="Arial" w:cs="Arial"/>
        </w:rPr>
      </w:pPr>
    </w:p>
    <w:p w:rsidR="008A2D4D" w:rsidRPr="008A2D4D" w:rsidRDefault="008A2D4D" w:rsidP="008A2D4D">
      <w:pPr>
        <w:pStyle w:val="ListParagraph"/>
        <w:ind w:left="0"/>
        <w:jc w:val="both"/>
        <w:rPr>
          <w:rFonts w:ascii="Arial" w:hAnsi="Arial" w:cs="Arial"/>
        </w:rPr>
      </w:pPr>
      <w:r>
        <w:rPr>
          <w:rFonts w:ascii="Arial" w:hAnsi="Arial" w:cs="Arial"/>
        </w:rPr>
        <w:t xml:space="preserve">The original supply model – IPACX &amp; OPACX – </w:t>
      </w:r>
      <w:r w:rsidR="002F7294">
        <w:rPr>
          <w:rFonts w:ascii="Arial" w:hAnsi="Arial" w:cs="Arial"/>
        </w:rPr>
        <w:t>is</w:t>
      </w:r>
      <w:r>
        <w:rPr>
          <w:rFonts w:ascii="Arial" w:hAnsi="Arial" w:cs="Arial"/>
        </w:rPr>
        <w:t xml:space="preserve"> therefore preferable for the sake of simplicity and to be consistent with what is used in the other care programmes. </w:t>
      </w:r>
    </w:p>
    <w:sectPr w:rsidR="008A2D4D" w:rsidRPr="008A2D4D" w:rsidSect="00A44D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02B" w:rsidRDefault="000A302B" w:rsidP="00D77872">
      <w:pPr>
        <w:spacing w:after="0" w:line="240" w:lineRule="auto"/>
      </w:pPr>
      <w:r>
        <w:separator/>
      </w:r>
    </w:p>
  </w:endnote>
  <w:endnote w:type="continuationSeparator" w:id="0">
    <w:p w:rsidR="000A302B" w:rsidRDefault="000A302B" w:rsidP="00D77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44438"/>
      <w:docPartObj>
        <w:docPartGallery w:val="Page Numbers (Bottom of Page)"/>
        <w:docPartUnique/>
      </w:docPartObj>
    </w:sdtPr>
    <w:sdtContent>
      <w:p w:rsidR="008A6E51" w:rsidRDefault="0033185A">
        <w:pPr>
          <w:pStyle w:val="Footer"/>
          <w:jc w:val="center"/>
        </w:pPr>
        <w:fldSimple w:instr=" PAGE   \* MERGEFORMAT ">
          <w:r w:rsidR="000A156C">
            <w:rPr>
              <w:noProof/>
            </w:rPr>
            <w:t>1</w:t>
          </w:r>
        </w:fldSimple>
      </w:p>
    </w:sdtContent>
  </w:sdt>
  <w:p w:rsidR="008A6E51" w:rsidRDefault="008A6E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02B" w:rsidRDefault="000A302B" w:rsidP="00D77872">
      <w:pPr>
        <w:spacing w:after="0" w:line="240" w:lineRule="auto"/>
      </w:pPr>
      <w:r>
        <w:separator/>
      </w:r>
    </w:p>
  </w:footnote>
  <w:footnote w:type="continuationSeparator" w:id="0">
    <w:p w:rsidR="000A302B" w:rsidRDefault="000A302B" w:rsidP="00D77872">
      <w:pPr>
        <w:spacing w:after="0" w:line="240" w:lineRule="auto"/>
      </w:pPr>
      <w:r>
        <w:continuationSeparator/>
      </w:r>
    </w:p>
  </w:footnote>
  <w:footnote w:id="1">
    <w:p w:rsidR="008A6E51" w:rsidRDefault="008A6E51">
      <w:pPr>
        <w:pStyle w:val="FootnoteText"/>
      </w:pPr>
      <w:r>
        <w:rPr>
          <w:rStyle w:val="FootnoteReference"/>
        </w:rPr>
        <w:footnoteRef/>
      </w:r>
      <w:r>
        <w:t xml:space="preserve"> Available from </w:t>
      </w:r>
      <w:hyperlink r:id="rId1" w:history="1">
        <w:r w:rsidRPr="00DD1B43">
          <w:rPr>
            <w:rStyle w:val="Hyperlink"/>
          </w:rPr>
          <w:t>http://www.gov.scot/Publications/2015/08/7995/downloads</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51" w:rsidRDefault="00B63CA7" w:rsidP="007135AA">
    <w:pPr>
      <w:pStyle w:val="Header"/>
      <w:jc w:val="right"/>
      <w:rPr>
        <w:rFonts w:ascii="Arial" w:hAnsi="Arial" w:cs="Arial"/>
        <w:i/>
      </w:rPr>
    </w:pPr>
    <w:r>
      <w:rPr>
        <w:rFonts w:ascii="Arial" w:hAnsi="Arial" w:cs="Arial"/>
        <w:i/>
      </w:rPr>
      <w:t>TAMLC36 (by email)</w:t>
    </w:r>
  </w:p>
  <w:p w:rsidR="008A6E51" w:rsidRDefault="008A6E51" w:rsidP="009E7921">
    <w:pPr>
      <w:pStyle w:val="Header"/>
      <w:jc w:val="center"/>
      <w:rPr>
        <w:rFonts w:ascii="Arial" w:hAnsi="Arial" w:cs="Arial"/>
        <w:i/>
      </w:rPr>
    </w:pPr>
  </w:p>
  <w:p w:rsidR="008A6E51" w:rsidRPr="00D77872" w:rsidRDefault="008A6E51" w:rsidP="00D77872">
    <w:pPr>
      <w:pStyle w:val="Header"/>
      <w:jc w:val="right"/>
      <w:rPr>
        <w:rFonts w:ascii="Arial" w:hAnsi="Arial" w:cs="Arial"/>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D24"/>
    <w:multiLevelType w:val="multilevel"/>
    <w:tmpl w:val="C7EC3CE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7CE1DFC"/>
    <w:multiLevelType w:val="multilevel"/>
    <w:tmpl w:val="3EA2423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D6B06A3"/>
    <w:multiLevelType w:val="hybridMultilevel"/>
    <w:tmpl w:val="9F1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5F13BB"/>
    <w:multiLevelType w:val="hybridMultilevel"/>
    <w:tmpl w:val="0A26B2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EBE11A9"/>
    <w:multiLevelType w:val="hybridMultilevel"/>
    <w:tmpl w:val="8D0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58375C"/>
    <w:multiLevelType w:val="hybridMultilevel"/>
    <w:tmpl w:val="274628C8"/>
    <w:lvl w:ilvl="0" w:tplc="AE90383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DD03DC"/>
    <w:multiLevelType w:val="hybridMultilevel"/>
    <w:tmpl w:val="699CD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527192"/>
    <w:multiLevelType w:val="hybridMultilevel"/>
    <w:tmpl w:val="69BA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4F6FDC"/>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F4462EF"/>
    <w:multiLevelType w:val="hybridMultilevel"/>
    <w:tmpl w:val="8662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CE410F"/>
    <w:multiLevelType w:val="hybridMultilevel"/>
    <w:tmpl w:val="91642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F06611"/>
    <w:multiLevelType w:val="hybridMultilevel"/>
    <w:tmpl w:val="D55E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CE69B6"/>
    <w:multiLevelType w:val="hybridMultilevel"/>
    <w:tmpl w:val="46A456EA"/>
    <w:lvl w:ilvl="0" w:tplc="C88C23E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4A3E88"/>
    <w:multiLevelType w:val="hybridMultilevel"/>
    <w:tmpl w:val="4B0A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2E1BC0"/>
    <w:multiLevelType w:val="hybridMultilevel"/>
    <w:tmpl w:val="C5D86326"/>
    <w:lvl w:ilvl="0" w:tplc="A8D6B3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560A84"/>
    <w:multiLevelType w:val="multilevel"/>
    <w:tmpl w:val="829C311E"/>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1A56C37"/>
    <w:multiLevelType w:val="hybridMultilevel"/>
    <w:tmpl w:val="AFAA82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87576C"/>
    <w:multiLevelType w:val="hybridMultilevel"/>
    <w:tmpl w:val="35E4FE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599217F"/>
    <w:multiLevelType w:val="hybridMultilevel"/>
    <w:tmpl w:val="47D28F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4D6289B"/>
    <w:multiLevelType w:val="hybridMultilevel"/>
    <w:tmpl w:val="DFF694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64EE50C7"/>
    <w:multiLevelType w:val="hybridMultilevel"/>
    <w:tmpl w:val="3D10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820637B"/>
    <w:multiLevelType w:val="hybridMultilevel"/>
    <w:tmpl w:val="9A983B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7031664B"/>
    <w:multiLevelType w:val="hybridMultilevel"/>
    <w:tmpl w:val="14788D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3595DB1"/>
    <w:multiLevelType w:val="hybridMultilevel"/>
    <w:tmpl w:val="7D6AF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75B61382"/>
    <w:multiLevelType w:val="hybridMultilevel"/>
    <w:tmpl w:val="2F7E81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C1E62A3"/>
    <w:multiLevelType w:val="hybridMultilevel"/>
    <w:tmpl w:val="8110ADB4"/>
    <w:lvl w:ilvl="0" w:tplc="3DDC8D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A92842"/>
    <w:multiLevelType w:val="hybridMultilevel"/>
    <w:tmpl w:val="6C0C8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401443"/>
    <w:multiLevelType w:val="hybridMultilevel"/>
    <w:tmpl w:val="12CEE8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6"/>
  </w:num>
  <w:num w:numId="2">
    <w:abstractNumId w:val="0"/>
  </w:num>
  <w:num w:numId="3">
    <w:abstractNumId w:val="21"/>
  </w:num>
  <w:num w:numId="4">
    <w:abstractNumId w:val="7"/>
  </w:num>
  <w:num w:numId="5">
    <w:abstractNumId w:val="3"/>
  </w:num>
  <w:num w:numId="6">
    <w:abstractNumId w:val="19"/>
  </w:num>
  <w:num w:numId="7">
    <w:abstractNumId w:val="9"/>
  </w:num>
  <w:num w:numId="8">
    <w:abstractNumId w:val="13"/>
  </w:num>
  <w:num w:numId="9">
    <w:abstractNumId w:val="25"/>
  </w:num>
  <w:num w:numId="10">
    <w:abstractNumId w:val="12"/>
  </w:num>
  <w:num w:numId="11">
    <w:abstractNumId w:val="5"/>
  </w:num>
  <w:num w:numId="12">
    <w:abstractNumId w:val="1"/>
  </w:num>
  <w:num w:numId="13">
    <w:abstractNumId w:val="6"/>
  </w:num>
  <w:num w:numId="14">
    <w:abstractNumId w:val="20"/>
  </w:num>
  <w:num w:numId="15">
    <w:abstractNumId w:val="10"/>
  </w:num>
  <w:num w:numId="16">
    <w:abstractNumId w:val="4"/>
  </w:num>
  <w:num w:numId="17">
    <w:abstractNumId w:val="2"/>
  </w:num>
  <w:num w:numId="18">
    <w:abstractNumId w:val="14"/>
  </w:num>
  <w:num w:numId="19">
    <w:abstractNumId w:val="15"/>
  </w:num>
  <w:num w:numId="20">
    <w:abstractNumId w:val="11"/>
  </w:num>
  <w:num w:numId="21">
    <w:abstractNumId w:val="16"/>
  </w:num>
  <w:num w:numId="22">
    <w:abstractNumId w:val="17"/>
  </w:num>
  <w:num w:numId="23">
    <w:abstractNumId w:val="24"/>
  </w:num>
  <w:num w:numId="24">
    <w:abstractNumId w:val="18"/>
  </w:num>
  <w:num w:numId="25">
    <w:abstractNumId w:val="8"/>
  </w:num>
  <w:num w:numId="26">
    <w:abstractNumId w:val="23"/>
  </w:num>
  <w:num w:numId="27">
    <w:abstractNumId w:val="2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31654"/>
    <w:rsid w:val="00040FD3"/>
    <w:rsid w:val="0004172D"/>
    <w:rsid w:val="00050679"/>
    <w:rsid w:val="00061E6F"/>
    <w:rsid w:val="00072072"/>
    <w:rsid w:val="000760EF"/>
    <w:rsid w:val="00086066"/>
    <w:rsid w:val="000872BB"/>
    <w:rsid w:val="00092E5E"/>
    <w:rsid w:val="00097102"/>
    <w:rsid w:val="000A156C"/>
    <w:rsid w:val="000A302B"/>
    <w:rsid w:val="000A561E"/>
    <w:rsid w:val="000C588C"/>
    <w:rsid w:val="000D124D"/>
    <w:rsid w:val="000F09F4"/>
    <w:rsid w:val="000F677E"/>
    <w:rsid w:val="0010549D"/>
    <w:rsid w:val="0011561D"/>
    <w:rsid w:val="00117FBC"/>
    <w:rsid w:val="001311D7"/>
    <w:rsid w:val="00132A36"/>
    <w:rsid w:val="001378DA"/>
    <w:rsid w:val="00153F32"/>
    <w:rsid w:val="00156FB6"/>
    <w:rsid w:val="00166F39"/>
    <w:rsid w:val="001670E8"/>
    <w:rsid w:val="00170AAA"/>
    <w:rsid w:val="001762CF"/>
    <w:rsid w:val="00176826"/>
    <w:rsid w:val="0019555B"/>
    <w:rsid w:val="001C0160"/>
    <w:rsid w:val="001C2CA0"/>
    <w:rsid w:val="001D0ED9"/>
    <w:rsid w:val="001D66AE"/>
    <w:rsid w:val="001E603F"/>
    <w:rsid w:val="00213174"/>
    <w:rsid w:val="00216CEB"/>
    <w:rsid w:val="0023771E"/>
    <w:rsid w:val="00245850"/>
    <w:rsid w:val="002472CC"/>
    <w:rsid w:val="00257AC2"/>
    <w:rsid w:val="00257E08"/>
    <w:rsid w:val="002677D2"/>
    <w:rsid w:val="00280225"/>
    <w:rsid w:val="002828DA"/>
    <w:rsid w:val="002B56D3"/>
    <w:rsid w:val="002E5502"/>
    <w:rsid w:val="002F7294"/>
    <w:rsid w:val="00302B8B"/>
    <w:rsid w:val="003031B6"/>
    <w:rsid w:val="0031471A"/>
    <w:rsid w:val="0031666B"/>
    <w:rsid w:val="00317C2E"/>
    <w:rsid w:val="00326BC2"/>
    <w:rsid w:val="0033185A"/>
    <w:rsid w:val="003542B3"/>
    <w:rsid w:val="003759EE"/>
    <w:rsid w:val="003C634E"/>
    <w:rsid w:val="003C6ADE"/>
    <w:rsid w:val="003C6CE4"/>
    <w:rsid w:val="003D0A89"/>
    <w:rsid w:val="003E2A65"/>
    <w:rsid w:val="00481244"/>
    <w:rsid w:val="0048731A"/>
    <w:rsid w:val="004877A4"/>
    <w:rsid w:val="00493483"/>
    <w:rsid w:val="004A5AB5"/>
    <w:rsid w:val="004B1D3D"/>
    <w:rsid w:val="004B62B2"/>
    <w:rsid w:val="004B6679"/>
    <w:rsid w:val="004C3A6D"/>
    <w:rsid w:val="004C6B4C"/>
    <w:rsid w:val="004D3AD5"/>
    <w:rsid w:val="004F22D0"/>
    <w:rsid w:val="004F23A9"/>
    <w:rsid w:val="00502C98"/>
    <w:rsid w:val="005119FF"/>
    <w:rsid w:val="00522E66"/>
    <w:rsid w:val="0052602C"/>
    <w:rsid w:val="005270B1"/>
    <w:rsid w:val="00542015"/>
    <w:rsid w:val="0056746B"/>
    <w:rsid w:val="005818BD"/>
    <w:rsid w:val="00584B57"/>
    <w:rsid w:val="00586271"/>
    <w:rsid w:val="005A72B5"/>
    <w:rsid w:val="005C52A5"/>
    <w:rsid w:val="005C7219"/>
    <w:rsid w:val="005D006E"/>
    <w:rsid w:val="005F4345"/>
    <w:rsid w:val="005F6499"/>
    <w:rsid w:val="00600068"/>
    <w:rsid w:val="00621EDD"/>
    <w:rsid w:val="00627C62"/>
    <w:rsid w:val="006455D9"/>
    <w:rsid w:val="0064743F"/>
    <w:rsid w:val="00675792"/>
    <w:rsid w:val="00682F24"/>
    <w:rsid w:val="0069633A"/>
    <w:rsid w:val="006A17E3"/>
    <w:rsid w:val="006A1866"/>
    <w:rsid w:val="006B78A7"/>
    <w:rsid w:val="006D1B12"/>
    <w:rsid w:val="006D6470"/>
    <w:rsid w:val="006D7AFF"/>
    <w:rsid w:val="006E095F"/>
    <w:rsid w:val="006F4E05"/>
    <w:rsid w:val="007118DA"/>
    <w:rsid w:val="007135AA"/>
    <w:rsid w:val="00731654"/>
    <w:rsid w:val="007348D4"/>
    <w:rsid w:val="00742DB5"/>
    <w:rsid w:val="007543FE"/>
    <w:rsid w:val="007A14AD"/>
    <w:rsid w:val="007B7EE1"/>
    <w:rsid w:val="007E20AF"/>
    <w:rsid w:val="007F12B9"/>
    <w:rsid w:val="007F5D3C"/>
    <w:rsid w:val="0080008A"/>
    <w:rsid w:val="00800735"/>
    <w:rsid w:val="0080489C"/>
    <w:rsid w:val="00814A31"/>
    <w:rsid w:val="00822C05"/>
    <w:rsid w:val="008324DA"/>
    <w:rsid w:val="00841436"/>
    <w:rsid w:val="00851CCE"/>
    <w:rsid w:val="00853E5C"/>
    <w:rsid w:val="008729C8"/>
    <w:rsid w:val="00880877"/>
    <w:rsid w:val="00881055"/>
    <w:rsid w:val="00892B0D"/>
    <w:rsid w:val="008955CA"/>
    <w:rsid w:val="008A2D4D"/>
    <w:rsid w:val="008A6E51"/>
    <w:rsid w:val="008D2979"/>
    <w:rsid w:val="008D4B30"/>
    <w:rsid w:val="008E2DD5"/>
    <w:rsid w:val="008F3B32"/>
    <w:rsid w:val="009031BD"/>
    <w:rsid w:val="00903AE9"/>
    <w:rsid w:val="009208ED"/>
    <w:rsid w:val="00935BAA"/>
    <w:rsid w:val="00937E05"/>
    <w:rsid w:val="00952970"/>
    <w:rsid w:val="00953958"/>
    <w:rsid w:val="00970BDB"/>
    <w:rsid w:val="00975976"/>
    <w:rsid w:val="00982875"/>
    <w:rsid w:val="009932F2"/>
    <w:rsid w:val="009A1758"/>
    <w:rsid w:val="009A7537"/>
    <w:rsid w:val="009C1BCC"/>
    <w:rsid w:val="009C3A89"/>
    <w:rsid w:val="009E3751"/>
    <w:rsid w:val="009E7921"/>
    <w:rsid w:val="00A103F7"/>
    <w:rsid w:val="00A4485F"/>
    <w:rsid w:val="00A44D23"/>
    <w:rsid w:val="00A54735"/>
    <w:rsid w:val="00A675EE"/>
    <w:rsid w:val="00A8797C"/>
    <w:rsid w:val="00A91164"/>
    <w:rsid w:val="00A92F55"/>
    <w:rsid w:val="00AA6A5B"/>
    <w:rsid w:val="00AB2DE4"/>
    <w:rsid w:val="00AB4C18"/>
    <w:rsid w:val="00AC246A"/>
    <w:rsid w:val="00AC6B8A"/>
    <w:rsid w:val="00AE228D"/>
    <w:rsid w:val="00AF11AD"/>
    <w:rsid w:val="00AF6BB3"/>
    <w:rsid w:val="00B01869"/>
    <w:rsid w:val="00B20D68"/>
    <w:rsid w:val="00B63CA7"/>
    <w:rsid w:val="00B674EA"/>
    <w:rsid w:val="00B77831"/>
    <w:rsid w:val="00BA716A"/>
    <w:rsid w:val="00BB003D"/>
    <w:rsid w:val="00BC04E6"/>
    <w:rsid w:val="00BE21DA"/>
    <w:rsid w:val="00C00526"/>
    <w:rsid w:val="00C138B0"/>
    <w:rsid w:val="00C3670C"/>
    <w:rsid w:val="00C424F1"/>
    <w:rsid w:val="00C63F0D"/>
    <w:rsid w:val="00C704C3"/>
    <w:rsid w:val="00C714ED"/>
    <w:rsid w:val="00C87B46"/>
    <w:rsid w:val="00C91161"/>
    <w:rsid w:val="00C91C02"/>
    <w:rsid w:val="00C96562"/>
    <w:rsid w:val="00C966F3"/>
    <w:rsid w:val="00CA1428"/>
    <w:rsid w:val="00CA55D1"/>
    <w:rsid w:val="00CB3813"/>
    <w:rsid w:val="00CC35CF"/>
    <w:rsid w:val="00CC5F5A"/>
    <w:rsid w:val="00CE5A7C"/>
    <w:rsid w:val="00CE7F34"/>
    <w:rsid w:val="00CF409A"/>
    <w:rsid w:val="00CF53A1"/>
    <w:rsid w:val="00D03CCB"/>
    <w:rsid w:val="00D11461"/>
    <w:rsid w:val="00D12EE9"/>
    <w:rsid w:val="00D30805"/>
    <w:rsid w:val="00D71886"/>
    <w:rsid w:val="00D77872"/>
    <w:rsid w:val="00D7797B"/>
    <w:rsid w:val="00D8677F"/>
    <w:rsid w:val="00D878FC"/>
    <w:rsid w:val="00DA20F7"/>
    <w:rsid w:val="00DE21CB"/>
    <w:rsid w:val="00DF56C4"/>
    <w:rsid w:val="00E00930"/>
    <w:rsid w:val="00E06428"/>
    <w:rsid w:val="00E1091C"/>
    <w:rsid w:val="00E11BB5"/>
    <w:rsid w:val="00E14418"/>
    <w:rsid w:val="00E221C9"/>
    <w:rsid w:val="00E56E16"/>
    <w:rsid w:val="00E819B6"/>
    <w:rsid w:val="00E97682"/>
    <w:rsid w:val="00EA27EA"/>
    <w:rsid w:val="00EB54A1"/>
    <w:rsid w:val="00EC0AE2"/>
    <w:rsid w:val="00ED16EE"/>
    <w:rsid w:val="00ED7F53"/>
    <w:rsid w:val="00EF6165"/>
    <w:rsid w:val="00F007C0"/>
    <w:rsid w:val="00F741C1"/>
    <w:rsid w:val="00FB52AA"/>
    <w:rsid w:val="00FC25E0"/>
    <w:rsid w:val="00FD02A6"/>
    <w:rsid w:val="00FD5311"/>
    <w:rsid w:val="00FE63EE"/>
    <w:rsid w:val="00FF7E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78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7872"/>
    <w:rPr>
      <w:rFonts w:eastAsiaTheme="minorEastAsia"/>
      <w:lang w:eastAsia="en-GB"/>
    </w:rPr>
  </w:style>
  <w:style w:type="paragraph" w:styleId="Footer">
    <w:name w:val="footer"/>
    <w:basedOn w:val="Normal"/>
    <w:link w:val="FooterChar"/>
    <w:uiPriority w:val="99"/>
    <w:unhideWhenUsed/>
    <w:rsid w:val="00D7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72"/>
    <w:rPr>
      <w:rFonts w:eastAsiaTheme="minorEastAsia"/>
      <w:lang w:eastAsia="en-GB"/>
    </w:rPr>
  </w:style>
  <w:style w:type="character" w:styleId="CommentReference">
    <w:name w:val="annotation reference"/>
    <w:basedOn w:val="DefaultParagraphFont"/>
    <w:uiPriority w:val="99"/>
    <w:semiHidden/>
    <w:unhideWhenUsed/>
    <w:rsid w:val="00AF6BB3"/>
    <w:rPr>
      <w:sz w:val="16"/>
      <w:szCs w:val="16"/>
    </w:rPr>
  </w:style>
  <w:style w:type="paragraph" w:styleId="CommentText">
    <w:name w:val="annotation text"/>
    <w:basedOn w:val="Normal"/>
    <w:link w:val="CommentTextChar"/>
    <w:uiPriority w:val="99"/>
    <w:unhideWhenUsed/>
    <w:rsid w:val="00AF6BB3"/>
    <w:pPr>
      <w:spacing w:line="240" w:lineRule="auto"/>
    </w:pPr>
    <w:rPr>
      <w:sz w:val="20"/>
      <w:szCs w:val="20"/>
    </w:rPr>
  </w:style>
  <w:style w:type="character" w:customStyle="1" w:styleId="CommentTextChar">
    <w:name w:val="Comment Text Char"/>
    <w:basedOn w:val="DefaultParagraphFont"/>
    <w:link w:val="CommentText"/>
    <w:uiPriority w:val="99"/>
    <w:rsid w:val="00AF6BB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F6BB3"/>
    <w:rPr>
      <w:b/>
      <w:bCs/>
    </w:rPr>
  </w:style>
  <w:style w:type="character" w:customStyle="1" w:styleId="CommentSubjectChar">
    <w:name w:val="Comment Subject Char"/>
    <w:basedOn w:val="CommentTextChar"/>
    <w:link w:val="CommentSubject"/>
    <w:uiPriority w:val="99"/>
    <w:semiHidden/>
    <w:rsid w:val="00AF6BB3"/>
    <w:rPr>
      <w:rFonts w:eastAsiaTheme="minorEastAsia"/>
      <w:b/>
      <w:bCs/>
      <w:sz w:val="20"/>
      <w:szCs w:val="20"/>
      <w:lang w:eastAsia="en-GB"/>
    </w:rPr>
  </w:style>
  <w:style w:type="paragraph" w:styleId="BalloonText">
    <w:name w:val="Balloon Text"/>
    <w:basedOn w:val="Normal"/>
    <w:link w:val="BalloonTextChar"/>
    <w:uiPriority w:val="99"/>
    <w:semiHidden/>
    <w:unhideWhenUsed/>
    <w:rsid w:val="00AF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B3"/>
    <w:rPr>
      <w:rFonts w:ascii="Tahoma" w:eastAsiaTheme="minorEastAsia" w:hAnsi="Tahoma" w:cs="Tahoma"/>
      <w:sz w:val="16"/>
      <w:szCs w:val="16"/>
      <w:lang w:eastAsia="en-GB"/>
    </w:rPr>
  </w:style>
  <w:style w:type="paragraph" w:styleId="ListParagraph">
    <w:name w:val="List Paragraph"/>
    <w:basedOn w:val="Normal"/>
    <w:uiPriority w:val="34"/>
    <w:qFormat/>
    <w:rsid w:val="00086066"/>
    <w:pPr>
      <w:ind w:left="720"/>
      <w:contextualSpacing/>
    </w:pPr>
    <w:rPr>
      <w:rFonts w:eastAsiaTheme="minorHAnsi"/>
      <w:lang w:eastAsia="en-US"/>
    </w:rPr>
  </w:style>
  <w:style w:type="paragraph" w:customStyle="1" w:styleId="Default">
    <w:name w:val="Default"/>
    <w:rsid w:val="0084143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03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1B6"/>
    <w:rPr>
      <w:rFonts w:eastAsiaTheme="minorEastAsia"/>
      <w:sz w:val="20"/>
      <w:szCs w:val="20"/>
      <w:lang w:eastAsia="en-GB"/>
    </w:rPr>
  </w:style>
  <w:style w:type="character" w:styleId="FootnoteReference">
    <w:name w:val="footnote reference"/>
    <w:basedOn w:val="DefaultParagraphFont"/>
    <w:uiPriority w:val="99"/>
    <w:semiHidden/>
    <w:unhideWhenUsed/>
    <w:rsid w:val="003031B6"/>
    <w:rPr>
      <w:vertAlign w:val="superscript"/>
    </w:rPr>
  </w:style>
  <w:style w:type="character" w:styleId="PlaceholderText">
    <w:name w:val="Placeholder Text"/>
    <w:basedOn w:val="DefaultParagraphFont"/>
    <w:uiPriority w:val="99"/>
    <w:semiHidden/>
    <w:rsid w:val="009C3A89"/>
    <w:rPr>
      <w:color w:val="808080"/>
    </w:rPr>
  </w:style>
  <w:style w:type="character" w:styleId="Hyperlink">
    <w:name w:val="Hyperlink"/>
    <w:basedOn w:val="DefaultParagraphFont"/>
    <w:uiPriority w:val="99"/>
    <w:unhideWhenUsed/>
    <w:rsid w:val="00F007C0"/>
    <w:rPr>
      <w:color w:val="0000FF" w:themeColor="hyperlink"/>
      <w:u w:val="single"/>
    </w:rPr>
  </w:style>
  <w:style w:type="character" w:customStyle="1" w:styleId="bibref">
    <w:name w:val="bibref"/>
    <w:basedOn w:val="DefaultParagraphFont"/>
    <w:rsid w:val="00BB003D"/>
  </w:style>
  <w:style w:type="character" w:customStyle="1" w:styleId="apple-converted-space">
    <w:name w:val="apple-converted-space"/>
    <w:basedOn w:val="DefaultParagraphFont"/>
    <w:rsid w:val="00BB003D"/>
  </w:style>
  <w:style w:type="character" w:styleId="FollowedHyperlink">
    <w:name w:val="FollowedHyperlink"/>
    <w:basedOn w:val="DefaultParagraphFont"/>
    <w:uiPriority w:val="99"/>
    <w:semiHidden/>
    <w:unhideWhenUsed/>
    <w:rsid w:val="00BC04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78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7872"/>
    <w:rPr>
      <w:rFonts w:eastAsiaTheme="minorEastAsia"/>
      <w:lang w:eastAsia="en-GB"/>
    </w:rPr>
  </w:style>
  <w:style w:type="paragraph" w:styleId="Footer">
    <w:name w:val="footer"/>
    <w:basedOn w:val="Normal"/>
    <w:link w:val="FooterChar"/>
    <w:uiPriority w:val="99"/>
    <w:unhideWhenUsed/>
    <w:rsid w:val="00D7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72"/>
    <w:rPr>
      <w:rFonts w:eastAsiaTheme="minorEastAsia"/>
      <w:lang w:eastAsia="en-GB"/>
    </w:rPr>
  </w:style>
  <w:style w:type="character" w:styleId="CommentReference">
    <w:name w:val="annotation reference"/>
    <w:basedOn w:val="DefaultParagraphFont"/>
    <w:uiPriority w:val="99"/>
    <w:semiHidden/>
    <w:unhideWhenUsed/>
    <w:rsid w:val="00AF6BB3"/>
    <w:rPr>
      <w:sz w:val="16"/>
      <w:szCs w:val="16"/>
    </w:rPr>
  </w:style>
  <w:style w:type="paragraph" w:styleId="CommentText">
    <w:name w:val="annotation text"/>
    <w:basedOn w:val="Normal"/>
    <w:link w:val="CommentTextChar"/>
    <w:uiPriority w:val="99"/>
    <w:unhideWhenUsed/>
    <w:rsid w:val="00AF6BB3"/>
    <w:pPr>
      <w:spacing w:line="240" w:lineRule="auto"/>
    </w:pPr>
    <w:rPr>
      <w:sz w:val="20"/>
      <w:szCs w:val="20"/>
    </w:rPr>
  </w:style>
  <w:style w:type="character" w:customStyle="1" w:styleId="CommentTextChar">
    <w:name w:val="Comment Text Char"/>
    <w:basedOn w:val="DefaultParagraphFont"/>
    <w:link w:val="CommentText"/>
    <w:uiPriority w:val="99"/>
    <w:rsid w:val="00AF6BB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F6BB3"/>
    <w:rPr>
      <w:b/>
      <w:bCs/>
    </w:rPr>
  </w:style>
  <w:style w:type="character" w:customStyle="1" w:styleId="CommentSubjectChar">
    <w:name w:val="Comment Subject Char"/>
    <w:basedOn w:val="CommentTextChar"/>
    <w:link w:val="CommentSubject"/>
    <w:uiPriority w:val="99"/>
    <w:semiHidden/>
    <w:rsid w:val="00AF6BB3"/>
    <w:rPr>
      <w:rFonts w:eastAsiaTheme="minorEastAsia"/>
      <w:b/>
      <w:bCs/>
      <w:sz w:val="20"/>
      <w:szCs w:val="20"/>
      <w:lang w:eastAsia="en-GB"/>
    </w:rPr>
  </w:style>
  <w:style w:type="paragraph" w:styleId="BalloonText">
    <w:name w:val="Balloon Text"/>
    <w:basedOn w:val="Normal"/>
    <w:link w:val="BalloonTextChar"/>
    <w:uiPriority w:val="99"/>
    <w:semiHidden/>
    <w:unhideWhenUsed/>
    <w:rsid w:val="00AF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B3"/>
    <w:rPr>
      <w:rFonts w:ascii="Tahoma" w:eastAsiaTheme="minorEastAsia" w:hAnsi="Tahoma" w:cs="Tahoma"/>
      <w:sz w:val="16"/>
      <w:szCs w:val="16"/>
      <w:lang w:eastAsia="en-GB"/>
    </w:rPr>
  </w:style>
  <w:style w:type="paragraph" w:styleId="ListParagraph">
    <w:name w:val="List Paragraph"/>
    <w:basedOn w:val="Normal"/>
    <w:uiPriority w:val="34"/>
    <w:qFormat/>
    <w:rsid w:val="00086066"/>
    <w:pPr>
      <w:ind w:left="720"/>
      <w:contextualSpacing/>
    </w:pPr>
    <w:rPr>
      <w:rFonts w:eastAsiaTheme="minorHAnsi"/>
      <w:lang w:eastAsia="en-US"/>
    </w:rPr>
  </w:style>
  <w:style w:type="paragraph" w:customStyle="1" w:styleId="Default">
    <w:name w:val="Default"/>
    <w:rsid w:val="0084143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03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1B6"/>
    <w:rPr>
      <w:rFonts w:eastAsiaTheme="minorEastAsia"/>
      <w:sz w:val="20"/>
      <w:szCs w:val="20"/>
      <w:lang w:eastAsia="en-GB"/>
    </w:rPr>
  </w:style>
  <w:style w:type="character" w:styleId="FootnoteReference">
    <w:name w:val="footnote reference"/>
    <w:basedOn w:val="DefaultParagraphFont"/>
    <w:uiPriority w:val="99"/>
    <w:semiHidden/>
    <w:unhideWhenUsed/>
    <w:rsid w:val="003031B6"/>
    <w:rPr>
      <w:vertAlign w:val="superscript"/>
    </w:rPr>
  </w:style>
  <w:style w:type="character" w:styleId="PlaceholderText">
    <w:name w:val="Placeholder Text"/>
    <w:basedOn w:val="DefaultParagraphFont"/>
    <w:uiPriority w:val="99"/>
    <w:semiHidden/>
    <w:rsid w:val="009C3A89"/>
    <w:rPr>
      <w:color w:val="808080"/>
    </w:rPr>
  </w:style>
  <w:style w:type="character" w:styleId="Hyperlink">
    <w:name w:val="Hyperlink"/>
    <w:basedOn w:val="DefaultParagraphFont"/>
    <w:uiPriority w:val="99"/>
    <w:unhideWhenUsed/>
    <w:rsid w:val="00F007C0"/>
    <w:rPr>
      <w:color w:val="0000FF" w:themeColor="hyperlink"/>
      <w:u w:val="single"/>
    </w:rPr>
  </w:style>
  <w:style w:type="character" w:customStyle="1" w:styleId="bibref">
    <w:name w:val="bibref"/>
    <w:basedOn w:val="DefaultParagraphFont"/>
    <w:rsid w:val="00BB003D"/>
  </w:style>
  <w:style w:type="character" w:customStyle="1" w:styleId="apple-converted-space">
    <w:name w:val="apple-converted-space"/>
    <w:basedOn w:val="DefaultParagraphFont"/>
    <w:rsid w:val="00BB003D"/>
  </w:style>
  <w:style w:type="character" w:styleId="FollowedHyperlink">
    <w:name w:val="FollowedHyperlink"/>
    <w:basedOn w:val="DefaultParagraphFont"/>
    <w:uiPriority w:val="99"/>
    <w:semiHidden/>
    <w:unhideWhenUsed/>
    <w:rsid w:val="00BC04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7563714">
      <w:bodyDiv w:val="1"/>
      <w:marLeft w:val="0"/>
      <w:marRight w:val="0"/>
      <w:marTop w:val="0"/>
      <w:marBottom w:val="0"/>
      <w:divBdr>
        <w:top w:val="none" w:sz="0" w:space="0" w:color="auto"/>
        <w:left w:val="none" w:sz="0" w:space="0" w:color="auto"/>
        <w:bottom w:val="none" w:sz="0" w:space="0" w:color="auto"/>
        <w:right w:val="none" w:sz="0" w:space="0" w:color="auto"/>
      </w:divBdr>
    </w:div>
    <w:div w:id="16278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ov.scot/Publications/2015/08/7995/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507E3-01AC-4587-AD95-2D2472F9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4450</Words>
  <Characters>25367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Petya Kindalova</dc:creator>
  <cp:lastModifiedBy>Sarah Touati</cp:lastModifiedBy>
  <cp:revision>11</cp:revision>
  <dcterms:created xsi:type="dcterms:W3CDTF">2015-11-03T16:42:00Z</dcterms:created>
  <dcterms:modified xsi:type="dcterms:W3CDTF">2015-11-04T10:06:00Z</dcterms:modified>
</cp:coreProperties>
</file>