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5" w:rsidRDefault="00EF36F5" w:rsidP="00EF36F5">
      <w:pPr>
        <w:rPr>
          <w:rFonts w:ascii="Arial" w:hAnsi="Arial" w:cs="Arial"/>
          <w:b/>
        </w:rPr>
      </w:pPr>
      <w:r w:rsidRPr="00180CFC">
        <w:rPr>
          <w:rFonts w:ascii="Arial" w:hAnsi="Arial" w:cs="Arial"/>
          <w:b/>
        </w:rPr>
        <w:t>TAGRA ACUTE MLC SUBGROUP</w:t>
      </w:r>
      <w:r>
        <w:rPr>
          <w:rFonts w:ascii="Arial" w:hAnsi="Arial" w:cs="Arial"/>
          <w:b/>
        </w:rPr>
        <w:t xml:space="preserve">                                      </w:t>
      </w:r>
      <w:r w:rsidR="00BF58F2">
        <w:rPr>
          <w:rFonts w:ascii="Arial" w:hAnsi="Arial" w:cs="Arial"/>
          <w:b/>
        </w:rPr>
        <w:t xml:space="preserve">                     </w:t>
      </w:r>
      <w:r>
        <w:rPr>
          <w:rFonts w:ascii="Arial" w:hAnsi="Arial" w:cs="Arial"/>
          <w:b/>
        </w:rPr>
        <w:t xml:space="preserve">     </w:t>
      </w:r>
      <w:r w:rsidR="0062496E">
        <w:rPr>
          <w:rFonts w:ascii="Arial" w:hAnsi="Arial" w:cs="Arial"/>
          <w:b/>
        </w:rPr>
        <w:t xml:space="preserve">      </w:t>
      </w:r>
      <w:r>
        <w:rPr>
          <w:rFonts w:ascii="Arial" w:hAnsi="Arial" w:cs="Arial"/>
          <w:b/>
        </w:rPr>
        <w:t xml:space="preserve"> </w:t>
      </w:r>
      <w:r w:rsidR="00BF58F2">
        <w:rPr>
          <w:rFonts w:ascii="Arial" w:hAnsi="Arial" w:cs="Arial"/>
          <w:b/>
        </w:rPr>
        <w:t xml:space="preserve"> </w:t>
      </w:r>
      <w:r>
        <w:rPr>
          <w:rFonts w:ascii="Arial" w:hAnsi="Arial" w:cs="Arial"/>
          <w:b/>
        </w:rPr>
        <w:t xml:space="preserve">   </w:t>
      </w:r>
      <w:r w:rsidR="00BF58F2">
        <w:rPr>
          <w:rFonts w:ascii="Arial" w:hAnsi="Arial" w:cs="Arial"/>
          <w:b/>
        </w:rPr>
        <w:t>By email</w:t>
      </w:r>
    </w:p>
    <w:p w:rsidR="00EF36F5" w:rsidRDefault="00EF36F5" w:rsidP="00EF36F5">
      <w:pPr>
        <w:rPr>
          <w:rFonts w:ascii="Arial" w:hAnsi="Arial" w:cs="Arial"/>
          <w:b/>
        </w:rPr>
      </w:pPr>
      <w:r>
        <w:rPr>
          <w:rFonts w:ascii="Arial" w:hAnsi="Arial" w:cs="Arial"/>
          <w:b/>
        </w:rPr>
        <w:t>INDI</w:t>
      </w:r>
      <w:r w:rsidR="00BF58F2">
        <w:rPr>
          <w:rFonts w:ascii="Arial" w:hAnsi="Arial" w:cs="Arial"/>
          <w:b/>
        </w:rPr>
        <w:t>CATOR SELECTION RESULTS – PART 4</w:t>
      </w:r>
    </w:p>
    <w:p w:rsidR="00EF36F5" w:rsidRDefault="00EF36F5" w:rsidP="00E852D0">
      <w:pPr>
        <w:spacing w:after="240" w:line="276" w:lineRule="auto"/>
        <w:jc w:val="both"/>
        <w:rPr>
          <w:rFonts w:ascii="Arial" w:hAnsi="Arial" w:cs="Arial"/>
          <w:b/>
        </w:rPr>
      </w:pPr>
    </w:p>
    <w:p w:rsidR="001A3452" w:rsidRPr="00A1466E" w:rsidRDefault="00A1466E" w:rsidP="00A1466E">
      <w:pPr>
        <w:spacing w:after="240" w:line="276" w:lineRule="auto"/>
        <w:jc w:val="both"/>
        <w:rPr>
          <w:rFonts w:ascii="Arial" w:hAnsi="Arial" w:cs="Arial"/>
          <w:b/>
        </w:rPr>
      </w:pPr>
      <w:r w:rsidRPr="00A1466E">
        <w:rPr>
          <w:rFonts w:ascii="Arial" w:hAnsi="Arial" w:cs="Arial"/>
          <w:b/>
        </w:rPr>
        <w:t>1.</w:t>
      </w:r>
      <w:r>
        <w:rPr>
          <w:rFonts w:ascii="Arial" w:hAnsi="Arial" w:cs="Arial"/>
          <w:b/>
        </w:rPr>
        <w:t xml:space="preserve"> </w:t>
      </w:r>
      <w:r w:rsidR="00EF36F5" w:rsidRPr="00A1466E">
        <w:rPr>
          <w:rFonts w:ascii="Arial" w:hAnsi="Arial" w:cs="Arial"/>
          <w:b/>
        </w:rPr>
        <w:t>Background</w:t>
      </w:r>
      <w:r>
        <w:rPr>
          <w:rFonts w:ascii="Arial" w:hAnsi="Arial" w:cs="Arial"/>
          <w:b/>
        </w:rPr>
        <w:t xml:space="preserve"> and Summary</w:t>
      </w:r>
    </w:p>
    <w:p w:rsidR="0011522A" w:rsidRDefault="0062496E" w:rsidP="00EF0E73">
      <w:pPr>
        <w:spacing w:after="120" w:line="276" w:lineRule="auto"/>
        <w:jc w:val="both"/>
        <w:rPr>
          <w:rFonts w:ascii="Arial" w:hAnsi="Arial" w:cs="Arial"/>
        </w:rPr>
      </w:pPr>
      <w:r>
        <w:rPr>
          <w:rFonts w:ascii="Arial" w:hAnsi="Arial" w:cs="Arial"/>
        </w:rPr>
        <w:t>At the 1</w:t>
      </w:r>
      <w:r w:rsidR="00BF58F2">
        <w:rPr>
          <w:rFonts w:ascii="Arial" w:hAnsi="Arial" w:cs="Arial"/>
        </w:rPr>
        <w:t>3</w:t>
      </w:r>
      <w:r w:rsidRPr="0062496E">
        <w:rPr>
          <w:rFonts w:ascii="Arial" w:hAnsi="Arial" w:cs="Arial"/>
          <w:vertAlign w:val="superscript"/>
        </w:rPr>
        <w:t>th</w:t>
      </w:r>
      <w:r>
        <w:rPr>
          <w:rFonts w:ascii="Arial" w:hAnsi="Arial" w:cs="Arial"/>
        </w:rPr>
        <w:t xml:space="preserve"> meeting of the Subgroup in </w:t>
      </w:r>
      <w:r w:rsidR="00BF58F2">
        <w:rPr>
          <w:rFonts w:ascii="Arial" w:hAnsi="Arial" w:cs="Arial"/>
        </w:rPr>
        <w:t>April</w:t>
      </w:r>
      <w:r>
        <w:rPr>
          <w:rFonts w:ascii="Arial" w:hAnsi="Arial" w:cs="Arial"/>
        </w:rPr>
        <w:t xml:space="preserve"> 2016, results from the indicator selection process were discussed. </w:t>
      </w:r>
      <w:r w:rsidR="00BF58F2">
        <w:rPr>
          <w:rFonts w:ascii="Arial" w:hAnsi="Arial" w:cs="Arial"/>
        </w:rPr>
        <w:t>Two</w:t>
      </w:r>
      <w:r w:rsidR="00EF0E73">
        <w:rPr>
          <w:rFonts w:ascii="Arial" w:hAnsi="Arial" w:cs="Arial"/>
        </w:rPr>
        <w:t xml:space="preserve"> decisions were made</w:t>
      </w:r>
      <w:r>
        <w:rPr>
          <w:rFonts w:ascii="Arial" w:hAnsi="Arial" w:cs="Arial"/>
        </w:rPr>
        <w:t>:</w:t>
      </w:r>
    </w:p>
    <w:p w:rsidR="00EF0E73" w:rsidRDefault="00BF58F2" w:rsidP="00525EDB">
      <w:pPr>
        <w:pStyle w:val="ListParagraph"/>
        <w:numPr>
          <w:ilvl w:val="0"/>
          <w:numId w:val="13"/>
        </w:numPr>
        <w:spacing w:after="200" w:line="276" w:lineRule="auto"/>
        <w:jc w:val="both"/>
        <w:rPr>
          <w:rFonts w:ascii="Arial" w:hAnsi="Arial" w:cs="Arial"/>
        </w:rPr>
      </w:pPr>
      <w:r>
        <w:rPr>
          <w:rFonts w:ascii="Arial" w:hAnsi="Arial" w:cs="Arial"/>
        </w:rPr>
        <w:t>To retain the diagnostic groups.</w:t>
      </w:r>
    </w:p>
    <w:p w:rsidR="00BF58F2" w:rsidRPr="00EF0E73" w:rsidRDefault="00BF58F2" w:rsidP="00525EDB">
      <w:pPr>
        <w:pStyle w:val="ListParagraph"/>
        <w:numPr>
          <w:ilvl w:val="0"/>
          <w:numId w:val="13"/>
        </w:numPr>
        <w:spacing w:after="200" w:line="276" w:lineRule="auto"/>
        <w:jc w:val="both"/>
        <w:rPr>
          <w:rFonts w:ascii="Arial" w:hAnsi="Arial" w:cs="Arial"/>
        </w:rPr>
      </w:pPr>
      <w:r>
        <w:rPr>
          <w:rFonts w:ascii="Arial" w:hAnsi="Arial" w:cs="Arial"/>
        </w:rPr>
        <w:t>To use a common index across all diagnostic groups.</w:t>
      </w:r>
    </w:p>
    <w:p w:rsidR="00923CC2" w:rsidRDefault="00C207B7" w:rsidP="00525EDB">
      <w:pPr>
        <w:spacing w:after="240" w:line="276" w:lineRule="auto"/>
        <w:jc w:val="both"/>
        <w:rPr>
          <w:rFonts w:ascii="Arial" w:hAnsi="Arial" w:cs="Arial"/>
        </w:rPr>
      </w:pPr>
      <w:r>
        <w:rPr>
          <w:rFonts w:ascii="Arial" w:hAnsi="Arial" w:cs="Arial"/>
        </w:rPr>
        <w:t xml:space="preserve">In terms of the index options, it was decided that LLTI alone would lack face validity as compared to an index that also accounted for other factors such as premature mortality and ethnicity. The best-performing index options were the 4-variable models; however, concerns were raised over the DNA variable, which appeared in both of the 4-variable models considered in paper TAMLC47. It </w:t>
      </w:r>
      <w:r w:rsidR="007D2275">
        <w:rPr>
          <w:rFonts w:ascii="Arial" w:hAnsi="Arial" w:cs="Arial"/>
        </w:rPr>
        <w:t>was decided that, due to the possibility of a perverse incentive to maintain high DNA rates if these were included in the model, the DNA variable should be excluded.</w:t>
      </w:r>
    </w:p>
    <w:p w:rsidR="007D2275" w:rsidRDefault="007D2275" w:rsidP="00525EDB">
      <w:pPr>
        <w:spacing w:after="240" w:line="276" w:lineRule="auto"/>
        <w:jc w:val="both"/>
        <w:rPr>
          <w:rFonts w:ascii="Arial" w:hAnsi="Arial" w:cs="Arial"/>
        </w:rPr>
      </w:pPr>
      <w:r>
        <w:rPr>
          <w:rFonts w:ascii="Arial" w:hAnsi="Arial" w:cs="Arial"/>
        </w:rPr>
        <w:t>The analysts were asked to explore a further 4-variable model, consisting of LLTI, All-cause SMR</w:t>
      </w:r>
      <w:r w:rsidR="006A6371">
        <w:rPr>
          <w:rFonts w:ascii="Arial" w:hAnsi="Arial" w:cs="Arial"/>
        </w:rPr>
        <w:t xml:space="preserve"> &lt;75</w:t>
      </w:r>
      <w:r>
        <w:rPr>
          <w:rFonts w:ascii="Arial" w:hAnsi="Arial" w:cs="Arial"/>
        </w:rPr>
        <w:t>, Ethnicity and Unpaid care, and to compare its performance with that of the remaining common index options – excluding LLTI alone and all options containing DNA.</w:t>
      </w:r>
    </w:p>
    <w:p w:rsidR="00525EDB" w:rsidRDefault="00525EDB" w:rsidP="00923CC2">
      <w:pPr>
        <w:spacing w:after="240" w:line="276" w:lineRule="auto"/>
        <w:jc w:val="both"/>
        <w:rPr>
          <w:rFonts w:ascii="Arial" w:hAnsi="Arial" w:cs="Arial"/>
        </w:rPr>
      </w:pPr>
      <w:r>
        <w:rPr>
          <w:rFonts w:ascii="Arial" w:hAnsi="Arial" w:cs="Arial"/>
        </w:rPr>
        <w:t xml:space="preserve">In this paper, the </w:t>
      </w:r>
      <w:r w:rsidR="00923CC2">
        <w:rPr>
          <w:rFonts w:ascii="Arial" w:hAnsi="Arial" w:cs="Arial"/>
        </w:rPr>
        <w:t xml:space="preserve">final </w:t>
      </w:r>
      <w:r w:rsidR="007D2275">
        <w:rPr>
          <w:rFonts w:ascii="Arial" w:hAnsi="Arial" w:cs="Arial"/>
        </w:rPr>
        <w:t xml:space="preserve">set of </w:t>
      </w:r>
      <w:r>
        <w:rPr>
          <w:rFonts w:ascii="Arial" w:hAnsi="Arial" w:cs="Arial"/>
        </w:rPr>
        <w:t xml:space="preserve">options for the </w:t>
      </w:r>
      <w:r w:rsidR="00923CC2">
        <w:rPr>
          <w:rFonts w:ascii="Arial" w:hAnsi="Arial" w:cs="Arial"/>
        </w:rPr>
        <w:t xml:space="preserve">needs </w:t>
      </w:r>
      <w:r>
        <w:rPr>
          <w:rFonts w:ascii="Arial" w:hAnsi="Arial" w:cs="Arial"/>
        </w:rPr>
        <w:t>index are analysed</w:t>
      </w:r>
      <w:r w:rsidR="00923CC2">
        <w:rPr>
          <w:rFonts w:ascii="Arial" w:hAnsi="Arial" w:cs="Arial"/>
        </w:rPr>
        <w:t xml:space="preserve"> and compared</w:t>
      </w:r>
      <w:r>
        <w:rPr>
          <w:rFonts w:ascii="Arial" w:hAnsi="Arial" w:cs="Arial"/>
        </w:rPr>
        <w:t xml:space="preserve"> in terms of ex</w:t>
      </w:r>
      <w:r w:rsidR="00923CC2">
        <w:rPr>
          <w:rFonts w:ascii="Arial" w:hAnsi="Arial" w:cs="Arial"/>
        </w:rPr>
        <w:t>planatory and predictive power</w:t>
      </w:r>
      <w:r w:rsidR="00465641">
        <w:rPr>
          <w:rFonts w:ascii="Arial" w:hAnsi="Arial" w:cs="Arial"/>
        </w:rPr>
        <w:t>, and the Subgroup is asked to decide on the index to be adopted</w:t>
      </w:r>
      <w:r w:rsidR="00923CC2">
        <w:rPr>
          <w:rFonts w:ascii="Arial" w:hAnsi="Arial" w:cs="Arial"/>
        </w:rPr>
        <w:t xml:space="preserve">. </w:t>
      </w:r>
    </w:p>
    <w:p w:rsidR="009E0EF9" w:rsidRPr="0062496E" w:rsidRDefault="009E0EF9" w:rsidP="0062496E">
      <w:pPr>
        <w:spacing w:after="200" w:line="276" w:lineRule="auto"/>
        <w:rPr>
          <w:rFonts w:ascii="Arial" w:hAnsi="Arial" w:cs="Arial"/>
        </w:rPr>
      </w:pPr>
    </w:p>
    <w:p w:rsidR="001A3452" w:rsidRDefault="0062496E" w:rsidP="00E852D0">
      <w:pPr>
        <w:spacing w:after="240" w:line="276" w:lineRule="auto"/>
        <w:jc w:val="both"/>
        <w:rPr>
          <w:rFonts w:ascii="Arial" w:hAnsi="Arial" w:cs="Arial"/>
          <w:b/>
        </w:rPr>
      </w:pPr>
      <w:r>
        <w:rPr>
          <w:rFonts w:ascii="Arial" w:hAnsi="Arial" w:cs="Arial"/>
          <w:b/>
        </w:rPr>
        <w:t>2</w:t>
      </w:r>
      <w:r w:rsidR="001A3452" w:rsidRPr="00DF215E">
        <w:rPr>
          <w:rFonts w:ascii="Arial" w:hAnsi="Arial" w:cs="Arial"/>
          <w:b/>
        </w:rPr>
        <w:t xml:space="preserve">. </w:t>
      </w:r>
      <w:r w:rsidR="00BF58F2">
        <w:rPr>
          <w:rFonts w:ascii="Arial" w:hAnsi="Arial" w:cs="Arial"/>
          <w:b/>
        </w:rPr>
        <w:t>Comparison of final</w:t>
      </w:r>
      <w:r w:rsidR="00C12526">
        <w:rPr>
          <w:rFonts w:ascii="Arial" w:hAnsi="Arial" w:cs="Arial"/>
          <w:b/>
        </w:rPr>
        <w:t xml:space="preserve"> needs i</w:t>
      </w:r>
      <w:r>
        <w:rPr>
          <w:rFonts w:ascii="Arial" w:hAnsi="Arial" w:cs="Arial"/>
          <w:b/>
        </w:rPr>
        <w:t>ndex options</w:t>
      </w:r>
    </w:p>
    <w:p w:rsidR="001D00F6" w:rsidRPr="001D00F6" w:rsidRDefault="009E0EF9" w:rsidP="00CD4FD4">
      <w:pPr>
        <w:spacing w:after="240" w:line="276" w:lineRule="auto"/>
        <w:jc w:val="both"/>
        <w:rPr>
          <w:rFonts w:ascii="Arial" w:hAnsi="Arial" w:cs="Arial"/>
        </w:rPr>
      </w:pPr>
      <w:r>
        <w:rPr>
          <w:rFonts w:ascii="Arial" w:hAnsi="Arial" w:cs="Arial"/>
        </w:rPr>
        <w:t>I</w:t>
      </w:r>
      <w:r w:rsidR="001D00F6">
        <w:rPr>
          <w:rFonts w:ascii="Arial" w:hAnsi="Arial" w:cs="Arial"/>
        </w:rPr>
        <w:t xml:space="preserve">n this section the performance of the different index options is examined. Section </w:t>
      </w:r>
      <w:r w:rsidR="00BF58F2">
        <w:rPr>
          <w:rFonts w:ascii="Arial" w:hAnsi="Arial" w:cs="Arial"/>
        </w:rPr>
        <w:t>2</w:t>
      </w:r>
      <w:r w:rsidR="001D00F6">
        <w:rPr>
          <w:rFonts w:ascii="Arial" w:hAnsi="Arial" w:cs="Arial"/>
        </w:rPr>
        <w:t xml:space="preserve">.1 looks at how well the different options explain variation in the 3-year cost ratios, and section </w:t>
      </w:r>
      <w:r w:rsidR="00BF58F2">
        <w:rPr>
          <w:rFonts w:ascii="Arial" w:hAnsi="Arial" w:cs="Arial"/>
        </w:rPr>
        <w:t>2</w:t>
      </w:r>
      <w:r w:rsidR="001D00F6">
        <w:rPr>
          <w:rFonts w:ascii="Arial" w:hAnsi="Arial" w:cs="Arial"/>
        </w:rPr>
        <w:t xml:space="preserve">.2 looks at how well the different options predict the future costs. </w:t>
      </w:r>
    </w:p>
    <w:p w:rsidR="00B70E4C" w:rsidRPr="00B70E4C" w:rsidRDefault="00BF58F2" w:rsidP="00CD4FD4">
      <w:pPr>
        <w:spacing w:after="240" w:line="276" w:lineRule="auto"/>
        <w:jc w:val="both"/>
        <w:rPr>
          <w:rFonts w:ascii="Arial" w:hAnsi="Arial" w:cs="Arial"/>
          <w:b/>
        </w:rPr>
      </w:pPr>
      <w:r>
        <w:rPr>
          <w:rFonts w:ascii="Arial" w:hAnsi="Arial" w:cs="Arial"/>
          <w:b/>
        </w:rPr>
        <w:t>2</w:t>
      </w:r>
      <w:r w:rsidR="00B70E4C">
        <w:rPr>
          <w:rFonts w:ascii="Arial" w:hAnsi="Arial" w:cs="Arial"/>
          <w:b/>
        </w:rPr>
        <w:t>.1</w:t>
      </w:r>
      <w:r w:rsidR="00B70E4C" w:rsidRPr="00B70E4C">
        <w:rPr>
          <w:rFonts w:ascii="Arial" w:hAnsi="Arial" w:cs="Arial"/>
          <w:b/>
        </w:rPr>
        <w:t xml:space="preserve"> Explanatory power: adjusted R</w:t>
      </w:r>
      <w:r w:rsidR="00B70E4C" w:rsidRPr="00B70E4C">
        <w:rPr>
          <w:rFonts w:ascii="Arial" w:hAnsi="Arial" w:cs="Arial"/>
          <w:b/>
          <w:vertAlign w:val="superscript"/>
        </w:rPr>
        <w:t>2</w:t>
      </w:r>
    </w:p>
    <w:p w:rsidR="002D23C6" w:rsidRPr="000A6310" w:rsidRDefault="00CD4FD4" w:rsidP="000A6310">
      <w:pPr>
        <w:spacing w:after="240" w:line="276" w:lineRule="auto"/>
        <w:jc w:val="both"/>
        <w:rPr>
          <w:rFonts w:ascii="Arial" w:hAnsi="Arial" w:cs="Arial"/>
        </w:rPr>
      </w:pPr>
      <w:r>
        <w:rPr>
          <w:rFonts w:ascii="Arial" w:hAnsi="Arial" w:cs="Arial"/>
        </w:rPr>
        <w:t xml:space="preserve">Table </w:t>
      </w:r>
      <w:r w:rsidR="00BF58F2">
        <w:rPr>
          <w:rFonts w:ascii="Arial" w:hAnsi="Arial" w:cs="Arial"/>
        </w:rPr>
        <w:t>1</w:t>
      </w:r>
      <w:r>
        <w:rPr>
          <w:rFonts w:ascii="Arial" w:hAnsi="Arial" w:cs="Arial"/>
        </w:rPr>
        <w:t xml:space="preserve"> shows the adjusted R</w:t>
      </w:r>
      <w:r w:rsidRPr="008F6D1A">
        <w:rPr>
          <w:rFonts w:ascii="Arial" w:hAnsi="Arial" w:cs="Arial"/>
          <w:vertAlign w:val="superscript"/>
        </w:rPr>
        <w:t>2</w:t>
      </w:r>
      <w:r>
        <w:rPr>
          <w:rFonts w:ascii="Arial" w:hAnsi="Arial" w:cs="Arial"/>
        </w:rPr>
        <w:t xml:space="preserve"> values from the regressions</w:t>
      </w:r>
      <w:r w:rsidR="002D23C6">
        <w:rPr>
          <w:rFonts w:ascii="Arial" w:hAnsi="Arial" w:cs="Arial"/>
        </w:rPr>
        <w:t xml:space="preserve"> using each of the index options</w:t>
      </w:r>
      <w:r>
        <w:rPr>
          <w:rFonts w:ascii="Arial" w:hAnsi="Arial" w:cs="Arial"/>
        </w:rPr>
        <w:t xml:space="preserve">. </w:t>
      </w:r>
      <w:r w:rsidR="00465641">
        <w:rPr>
          <w:rFonts w:ascii="Arial" w:hAnsi="Arial" w:cs="Arial"/>
        </w:rPr>
        <w:t>Values for LLTI alone are also shown, for reference.</w:t>
      </w:r>
    </w:p>
    <w:p w:rsidR="00F45124" w:rsidRDefault="00F45124">
      <w:pPr>
        <w:rPr>
          <w:rFonts w:ascii="Arial" w:hAnsi="Arial" w:cs="Arial"/>
          <w:i/>
        </w:rPr>
      </w:pPr>
      <w:r>
        <w:rPr>
          <w:rFonts w:ascii="Arial" w:hAnsi="Arial" w:cs="Arial"/>
          <w:i/>
        </w:rPr>
        <w:br w:type="page"/>
      </w:r>
    </w:p>
    <w:p w:rsidR="00CD4FD4" w:rsidRPr="00357D70" w:rsidRDefault="00CD4FD4" w:rsidP="004B3637">
      <w:pPr>
        <w:spacing w:after="0" w:line="240" w:lineRule="auto"/>
        <w:rPr>
          <w:rFonts w:ascii="Arial" w:hAnsi="Arial" w:cs="Arial"/>
          <w:i/>
        </w:rPr>
      </w:pPr>
      <w:r w:rsidRPr="00357D70">
        <w:rPr>
          <w:rFonts w:ascii="Arial" w:hAnsi="Arial" w:cs="Arial"/>
          <w:i/>
        </w:rPr>
        <w:lastRenderedPageBreak/>
        <w:t>Table</w:t>
      </w:r>
      <w:r>
        <w:rPr>
          <w:rFonts w:ascii="Arial" w:hAnsi="Arial" w:cs="Arial"/>
          <w:i/>
        </w:rPr>
        <w:t xml:space="preserve"> </w:t>
      </w:r>
      <w:r w:rsidR="00BF58F2">
        <w:rPr>
          <w:rFonts w:ascii="Arial" w:hAnsi="Arial" w:cs="Arial"/>
          <w:i/>
        </w:rPr>
        <w:t>1</w:t>
      </w:r>
      <w:r w:rsidRPr="00357D70">
        <w:rPr>
          <w:rFonts w:ascii="Arial" w:hAnsi="Arial" w:cs="Arial"/>
          <w:i/>
        </w:rPr>
        <w:t xml:space="preserve">: </w:t>
      </w:r>
      <w:r>
        <w:rPr>
          <w:rFonts w:ascii="Arial" w:hAnsi="Arial" w:cs="Arial"/>
          <w:i/>
        </w:rPr>
        <w:t xml:space="preserve">Adjusted </w:t>
      </w:r>
      <w:r w:rsidRPr="00357D70">
        <w:rPr>
          <w:rFonts w:ascii="Arial" w:hAnsi="Arial" w:cs="Arial"/>
          <w:i/>
        </w:rPr>
        <w:t>R</w:t>
      </w:r>
      <w:r w:rsidRPr="00357D70">
        <w:rPr>
          <w:rFonts w:ascii="Arial" w:hAnsi="Arial" w:cs="Arial"/>
          <w:i/>
          <w:vertAlign w:val="superscript"/>
        </w:rPr>
        <w:t>2</w:t>
      </w:r>
      <w:r w:rsidRPr="00357D70">
        <w:rPr>
          <w:rFonts w:ascii="Arial" w:hAnsi="Arial" w:cs="Arial"/>
          <w:i/>
        </w:rPr>
        <w:t xml:space="preserve"> for </w:t>
      </w:r>
      <w:r w:rsidR="00FF610C">
        <w:rPr>
          <w:rFonts w:ascii="Arial" w:hAnsi="Arial" w:cs="Arial"/>
          <w:i/>
        </w:rPr>
        <w:t>various index options</w:t>
      </w:r>
      <w:r w:rsidR="004B3637">
        <w:rPr>
          <w:rFonts w:ascii="Arial" w:hAnsi="Arial" w:cs="Arial"/>
          <w:i/>
        </w:rPr>
        <w:t>. The highest value(s) for each diagnostic group are highlighted in bold and italics.</w:t>
      </w:r>
      <w:r w:rsidR="002753D8" w:rsidRPr="002753D8">
        <w:rPr>
          <w:rFonts w:ascii="Arial" w:hAnsi="Arial" w:cs="Arial"/>
          <w:i/>
        </w:rPr>
        <w:t xml:space="preserve"> </w:t>
      </w:r>
      <w:r w:rsidR="002753D8">
        <w:rPr>
          <w:rFonts w:ascii="Arial" w:hAnsi="Arial" w:cs="Arial"/>
          <w:i/>
        </w:rPr>
        <w:t>LLTI-alone values are shown in red for reference.</w:t>
      </w:r>
    </w:p>
    <w:tbl>
      <w:tblPr>
        <w:tblStyle w:val="TableGrid"/>
        <w:tblW w:w="9499" w:type="dxa"/>
        <w:tblInd w:w="-34" w:type="dxa"/>
        <w:tblLayout w:type="fixed"/>
        <w:tblLook w:val="04A0"/>
      </w:tblPr>
      <w:tblGrid>
        <w:gridCol w:w="3119"/>
        <w:gridCol w:w="797"/>
        <w:gridCol w:w="798"/>
        <w:gridCol w:w="797"/>
        <w:gridCol w:w="797"/>
        <w:gridCol w:w="798"/>
        <w:gridCol w:w="797"/>
        <w:gridCol w:w="798"/>
        <w:gridCol w:w="798"/>
      </w:tblGrid>
      <w:tr w:rsidR="006E7FD9" w:rsidTr="00EE2A83">
        <w:trPr>
          <w:trHeight w:val="1451"/>
        </w:trPr>
        <w:tc>
          <w:tcPr>
            <w:tcW w:w="3119" w:type="dxa"/>
            <w:vAlign w:val="center"/>
          </w:tcPr>
          <w:p w:rsidR="006E7FD9" w:rsidRPr="00523024" w:rsidRDefault="006E7FD9" w:rsidP="00523024">
            <w:pPr>
              <w:jc w:val="center"/>
              <w:rPr>
                <w:rFonts w:ascii="Arial" w:hAnsi="Arial" w:cs="Arial"/>
                <w:b/>
                <w:sz w:val="20"/>
                <w:szCs w:val="20"/>
              </w:rPr>
            </w:pPr>
            <w:r w:rsidRPr="00523024">
              <w:rPr>
                <w:rFonts w:ascii="Arial" w:hAnsi="Arial" w:cs="Arial"/>
                <w:b/>
                <w:sz w:val="20"/>
                <w:szCs w:val="20"/>
              </w:rPr>
              <w:t>Model</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798"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798"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797" w:type="dxa"/>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798" w:type="dxa"/>
            <w:tcBorders>
              <w:right w:val="single" w:sz="12" w:space="0" w:color="auto"/>
            </w:tcBorders>
            <w:textDirection w:val="btLr"/>
            <w:vAlign w:val="center"/>
          </w:tcPr>
          <w:p w:rsidR="006E7FD9" w:rsidRPr="00357D70" w:rsidRDefault="006E7FD9"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c>
          <w:tcPr>
            <w:tcW w:w="798" w:type="dxa"/>
            <w:tcBorders>
              <w:top w:val="single" w:sz="12" w:space="0" w:color="auto"/>
              <w:left w:val="single" w:sz="12" w:space="0" w:color="auto"/>
              <w:right w:val="single" w:sz="12" w:space="0" w:color="auto"/>
            </w:tcBorders>
            <w:textDirection w:val="btLr"/>
            <w:vAlign w:val="center"/>
          </w:tcPr>
          <w:p w:rsidR="006E7FD9" w:rsidRDefault="006E7FD9" w:rsidP="00EE2A83">
            <w:pPr>
              <w:ind w:left="113" w:right="113"/>
              <w:jc w:val="center"/>
              <w:rPr>
                <w:rFonts w:ascii="Arial" w:eastAsia="Times New Roman" w:hAnsi="Arial" w:cs="Arial"/>
                <w:b/>
                <w:color w:val="000000"/>
                <w:sz w:val="20"/>
                <w:szCs w:val="20"/>
              </w:rPr>
            </w:pPr>
            <w:r>
              <w:rPr>
                <w:rFonts w:ascii="Arial" w:eastAsia="Times New Roman" w:hAnsi="Arial" w:cs="Arial"/>
                <w:b/>
                <w:color w:val="000000"/>
                <w:sz w:val="20"/>
                <w:szCs w:val="20"/>
              </w:rPr>
              <w:t>Weighted</w:t>
            </w:r>
          </w:p>
          <w:p w:rsidR="006E7FD9" w:rsidRPr="00357D70" w:rsidRDefault="006E7FD9" w:rsidP="00EE2A83">
            <w:pPr>
              <w:ind w:left="113" w:right="113"/>
              <w:jc w:val="center"/>
              <w:rPr>
                <w:rFonts w:ascii="Arial" w:eastAsia="Times New Roman" w:hAnsi="Arial" w:cs="Arial"/>
                <w:b/>
                <w:color w:val="000000"/>
                <w:sz w:val="20"/>
                <w:szCs w:val="20"/>
              </w:rPr>
            </w:pPr>
            <w:r>
              <w:rPr>
                <w:rFonts w:ascii="Arial" w:eastAsia="Times New Roman" w:hAnsi="Arial" w:cs="Arial"/>
                <w:b/>
                <w:color w:val="000000"/>
                <w:sz w:val="20"/>
                <w:szCs w:val="20"/>
              </w:rPr>
              <w:t>average</w:t>
            </w:r>
          </w:p>
        </w:tc>
      </w:tr>
      <w:tr w:rsidR="006E7FD9" w:rsidRPr="002753D8" w:rsidTr="00EE2A83">
        <w:trPr>
          <w:trHeight w:val="397"/>
        </w:trPr>
        <w:tc>
          <w:tcPr>
            <w:tcW w:w="3119" w:type="dxa"/>
            <w:shd w:val="clear" w:color="auto" w:fill="E7E6E6" w:themeFill="background2"/>
            <w:vAlign w:val="center"/>
          </w:tcPr>
          <w:p w:rsidR="006E7FD9" w:rsidRPr="005935CC" w:rsidRDefault="006E7FD9" w:rsidP="007E510C">
            <w:pPr>
              <w:rPr>
                <w:rFonts w:ascii="Arial" w:hAnsi="Arial" w:cs="Arial"/>
                <w:color w:val="FF0000"/>
                <w:sz w:val="20"/>
                <w:szCs w:val="20"/>
              </w:rPr>
            </w:pPr>
            <w:r w:rsidRPr="005935CC">
              <w:rPr>
                <w:rFonts w:ascii="Arial" w:hAnsi="Arial" w:cs="Arial"/>
                <w:color w:val="FF0000"/>
                <w:sz w:val="20"/>
                <w:szCs w:val="20"/>
              </w:rPr>
              <w:t>[LLTI]</w:t>
            </w:r>
          </w:p>
        </w:tc>
        <w:tc>
          <w:tcPr>
            <w:tcW w:w="797"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9.7%</w:t>
            </w:r>
          </w:p>
        </w:tc>
        <w:tc>
          <w:tcPr>
            <w:tcW w:w="798"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21.6%</w:t>
            </w:r>
          </w:p>
        </w:tc>
        <w:tc>
          <w:tcPr>
            <w:tcW w:w="797"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39.3%</w:t>
            </w:r>
          </w:p>
        </w:tc>
        <w:tc>
          <w:tcPr>
            <w:tcW w:w="797"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26.8%</w:t>
            </w:r>
          </w:p>
        </w:tc>
        <w:tc>
          <w:tcPr>
            <w:tcW w:w="798"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46.7%</w:t>
            </w:r>
          </w:p>
        </w:tc>
        <w:tc>
          <w:tcPr>
            <w:tcW w:w="797" w:type="dxa"/>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38.2%</w:t>
            </w:r>
          </w:p>
        </w:tc>
        <w:tc>
          <w:tcPr>
            <w:tcW w:w="798" w:type="dxa"/>
            <w:tcBorders>
              <w:right w:val="single" w:sz="12" w:space="0" w:color="auto"/>
            </w:tcBorders>
            <w:shd w:val="clear" w:color="auto" w:fill="E7E6E6" w:themeFill="background2"/>
            <w:vAlign w:val="center"/>
          </w:tcPr>
          <w:p w:rsidR="006E7FD9" w:rsidRPr="002753D8" w:rsidRDefault="006E7FD9" w:rsidP="00C72758">
            <w:pPr>
              <w:contextualSpacing/>
              <w:jc w:val="center"/>
              <w:rPr>
                <w:rFonts w:ascii="Arial" w:hAnsi="Arial" w:cs="Arial"/>
                <w:color w:val="FF0000"/>
                <w:sz w:val="20"/>
                <w:szCs w:val="20"/>
              </w:rPr>
            </w:pPr>
            <w:r w:rsidRPr="002753D8">
              <w:rPr>
                <w:rFonts w:ascii="Arial" w:hAnsi="Arial" w:cs="Arial"/>
                <w:color w:val="FF0000"/>
                <w:sz w:val="20"/>
                <w:szCs w:val="20"/>
              </w:rPr>
              <w:t>51.1%</w:t>
            </w:r>
          </w:p>
        </w:tc>
        <w:tc>
          <w:tcPr>
            <w:tcW w:w="798" w:type="dxa"/>
            <w:tcBorders>
              <w:left w:val="single" w:sz="12" w:space="0" w:color="auto"/>
              <w:right w:val="single" w:sz="12" w:space="0" w:color="auto"/>
            </w:tcBorders>
            <w:shd w:val="clear" w:color="auto" w:fill="E7E6E6" w:themeFill="background2"/>
            <w:vAlign w:val="center"/>
          </w:tcPr>
          <w:p w:rsidR="006E7FD9" w:rsidRPr="002753D8" w:rsidRDefault="006E7FD9" w:rsidP="00761086">
            <w:pPr>
              <w:contextualSpacing/>
              <w:jc w:val="center"/>
              <w:rPr>
                <w:rFonts w:ascii="Arial" w:hAnsi="Arial" w:cs="Arial"/>
                <w:color w:val="FF0000"/>
                <w:sz w:val="20"/>
                <w:szCs w:val="20"/>
              </w:rPr>
            </w:pPr>
            <w:r>
              <w:rPr>
                <w:rFonts w:ascii="Arial" w:hAnsi="Arial" w:cs="Arial"/>
                <w:color w:val="FF0000"/>
                <w:sz w:val="20"/>
                <w:szCs w:val="20"/>
              </w:rPr>
              <w:t>37.9</w:t>
            </w:r>
            <w:r w:rsidRPr="002753D8">
              <w:rPr>
                <w:rFonts w:ascii="Arial" w:hAnsi="Arial" w:cs="Arial"/>
                <w:color w:val="FF0000"/>
                <w:sz w:val="20"/>
                <w:szCs w:val="20"/>
              </w:rPr>
              <w:t>%</w:t>
            </w:r>
          </w:p>
        </w:tc>
      </w:tr>
      <w:tr w:rsidR="006E7FD9" w:rsidTr="00EE2A83">
        <w:trPr>
          <w:trHeight w:val="397"/>
        </w:trPr>
        <w:tc>
          <w:tcPr>
            <w:tcW w:w="3119" w:type="dxa"/>
            <w:vAlign w:val="center"/>
          </w:tcPr>
          <w:p w:rsidR="006E7FD9" w:rsidRPr="005935CC" w:rsidRDefault="006E7FD9" w:rsidP="005935CC">
            <w:pPr>
              <w:rPr>
                <w:rFonts w:ascii="Arial" w:hAnsi="Arial" w:cs="Arial"/>
                <w:sz w:val="20"/>
                <w:szCs w:val="20"/>
              </w:rPr>
            </w:pPr>
            <w:r w:rsidRPr="005935CC">
              <w:rPr>
                <w:rFonts w:ascii="Arial" w:hAnsi="Arial" w:cs="Arial"/>
                <w:sz w:val="20"/>
                <w:szCs w:val="20"/>
              </w:rPr>
              <w:t>[LLTI, All-cause SMR &lt;75]</w:t>
            </w:r>
          </w:p>
        </w:tc>
        <w:tc>
          <w:tcPr>
            <w:tcW w:w="797" w:type="dxa"/>
            <w:vAlign w:val="center"/>
          </w:tcPr>
          <w:p w:rsidR="006E7FD9" w:rsidRPr="004B3637" w:rsidRDefault="006E7FD9" w:rsidP="007F3397">
            <w:pPr>
              <w:contextualSpacing/>
              <w:jc w:val="center"/>
              <w:rPr>
                <w:rFonts w:ascii="Arial" w:hAnsi="Arial" w:cs="Arial"/>
                <w:b/>
                <w:i/>
                <w:sz w:val="20"/>
                <w:szCs w:val="20"/>
              </w:rPr>
            </w:pPr>
            <w:r w:rsidRPr="004B3637">
              <w:rPr>
                <w:rFonts w:ascii="Arial" w:hAnsi="Arial" w:cs="Arial"/>
                <w:b/>
                <w:i/>
                <w:sz w:val="20"/>
                <w:szCs w:val="20"/>
              </w:rPr>
              <w:t>10.9%</w:t>
            </w:r>
          </w:p>
        </w:tc>
        <w:tc>
          <w:tcPr>
            <w:tcW w:w="798" w:type="dxa"/>
            <w:vAlign w:val="center"/>
          </w:tcPr>
          <w:p w:rsidR="006E7FD9" w:rsidRPr="004B3637" w:rsidRDefault="006E7FD9" w:rsidP="007E510C">
            <w:pPr>
              <w:contextualSpacing/>
              <w:jc w:val="center"/>
              <w:rPr>
                <w:rFonts w:ascii="Arial" w:hAnsi="Arial" w:cs="Arial"/>
                <w:b/>
                <w:i/>
                <w:sz w:val="20"/>
                <w:szCs w:val="20"/>
              </w:rPr>
            </w:pPr>
            <w:r w:rsidRPr="004B3637">
              <w:rPr>
                <w:rFonts w:ascii="Arial" w:hAnsi="Arial" w:cs="Arial"/>
                <w:b/>
                <w:i/>
                <w:sz w:val="20"/>
                <w:szCs w:val="20"/>
              </w:rPr>
              <w:t>21.0%</w:t>
            </w:r>
          </w:p>
        </w:tc>
        <w:tc>
          <w:tcPr>
            <w:tcW w:w="797" w:type="dxa"/>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38.6</w:t>
            </w:r>
            <w:r w:rsidRPr="006135C0">
              <w:rPr>
                <w:rFonts w:ascii="Arial" w:hAnsi="Arial" w:cs="Arial"/>
                <w:sz w:val="20"/>
                <w:szCs w:val="20"/>
              </w:rPr>
              <w:t>%</w:t>
            </w:r>
          </w:p>
        </w:tc>
        <w:tc>
          <w:tcPr>
            <w:tcW w:w="797" w:type="dxa"/>
            <w:vAlign w:val="center"/>
          </w:tcPr>
          <w:p w:rsidR="006E7FD9" w:rsidRPr="004B3637" w:rsidRDefault="006E7FD9" w:rsidP="007E510C">
            <w:pPr>
              <w:contextualSpacing/>
              <w:jc w:val="center"/>
              <w:rPr>
                <w:rFonts w:ascii="Arial" w:hAnsi="Arial" w:cs="Arial"/>
                <w:b/>
                <w:i/>
                <w:sz w:val="20"/>
                <w:szCs w:val="20"/>
              </w:rPr>
            </w:pPr>
            <w:r w:rsidRPr="004B3637">
              <w:rPr>
                <w:rFonts w:ascii="Arial" w:hAnsi="Arial" w:cs="Arial"/>
                <w:b/>
                <w:i/>
                <w:sz w:val="20"/>
                <w:szCs w:val="20"/>
              </w:rPr>
              <w:t>26.0%</w:t>
            </w:r>
          </w:p>
        </w:tc>
        <w:tc>
          <w:tcPr>
            <w:tcW w:w="798" w:type="dxa"/>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45.1</w:t>
            </w:r>
            <w:r w:rsidRPr="006135C0">
              <w:rPr>
                <w:rFonts w:ascii="Arial" w:hAnsi="Arial" w:cs="Arial"/>
                <w:sz w:val="20"/>
                <w:szCs w:val="20"/>
              </w:rPr>
              <w:t>%</w:t>
            </w:r>
          </w:p>
        </w:tc>
        <w:tc>
          <w:tcPr>
            <w:tcW w:w="797" w:type="dxa"/>
            <w:vAlign w:val="center"/>
          </w:tcPr>
          <w:p w:rsidR="006E7FD9" w:rsidRPr="006135C0" w:rsidRDefault="006E7FD9" w:rsidP="007E510C">
            <w:pPr>
              <w:contextualSpacing/>
              <w:jc w:val="center"/>
              <w:rPr>
                <w:rFonts w:ascii="Arial" w:hAnsi="Arial" w:cs="Arial"/>
                <w:sz w:val="20"/>
                <w:szCs w:val="20"/>
              </w:rPr>
            </w:pPr>
            <w:r w:rsidRPr="006135C0">
              <w:rPr>
                <w:rFonts w:ascii="Arial" w:hAnsi="Arial" w:cs="Arial"/>
                <w:sz w:val="20"/>
                <w:szCs w:val="20"/>
              </w:rPr>
              <w:t>38.</w:t>
            </w:r>
            <w:r>
              <w:rPr>
                <w:rFonts w:ascii="Arial" w:hAnsi="Arial" w:cs="Arial"/>
                <w:sz w:val="20"/>
                <w:szCs w:val="20"/>
              </w:rPr>
              <w:t>2</w:t>
            </w:r>
            <w:r w:rsidRPr="006135C0">
              <w:rPr>
                <w:rFonts w:ascii="Arial" w:hAnsi="Arial" w:cs="Arial"/>
                <w:sz w:val="20"/>
                <w:szCs w:val="20"/>
              </w:rPr>
              <w:t>%</w:t>
            </w:r>
          </w:p>
        </w:tc>
        <w:tc>
          <w:tcPr>
            <w:tcW w:w="798" w:type="dxa"/>
            <w:tcBorders>
              <w:right w:val="single" w:sz="12" w:space="0" w:color="auto"/>
            </w:tcBorders>
            <w:vAlign w:val="center"/>
          </w:tcPr>
          <w:p w:rsidR="006E7FD9" w:rsidRPr="006135C0" w:rsidRDefault="006E7FD9" w:rsidP="007F3397">
            <w:pPr>
              <w:contextualSpacing/>
              <w:jc w:val="center"/>
              <w:rPr>
                <w:rFonts w:ascii="Arial" w:hAnsi="Arial" w:cs="Arial"/>
                <w:sz w:val="20"/>
                <w:szCs w:val="20"/>
              </w:rPr>
            </w:pPr>
            <w:r>
              <w:rPr>
                <w:rFonts w:ascii="Arial" w:hAnsi="Arial" w:cs="Arial"/>
                <w:sz w:val="20"/>
                <w:szCs w:val="20"/>
              </w:rPr>
              <w:t>49.3</w:t>
            </w:r>
            <w:r w:rsidRPr="006135C0">
              <w:rPr>
                <w:rFonts w:ascii="Arial" w:hAnsi="Arial" w:cs="Arial"/>
                <w:sz w:val="20"/>
                <w:szCs w:val="20"/>
              </w:rPr>
              <w:t>%</w:t>
            </w:r>
          </w:p>
        </w:tc>
        <w:tc>
          <w:tcPr>
            <w:tcW w:w="798" w:type="dxa"/>
            <w:tcBorders>
              <w:left w:val="single" w:sz="12" w:space="0" w:color="auto"/>
              <w:right w:val="single" w:sz="12" w:space="0" w:color="auto"/>
            </w:tcBorders>
            <w:vAlign w:val="center"/>
          </w:tcPr>
          <w:p w:rsidR="006E7FD9" w:rsidRPr="006135C0" w:rsidRDefault="006E7FD9" w:rsidP="00761086">
            <w:pPr>
              <w:contextualSpacing/>
              <w:jc w:val="center"/>
              <w:rPr>
                <w:rFonts w:ascii="Arial" w:hAnsi="Arial" w:cs="Arial"/>
                <w:sz w:val="20"/>
                <w:szCs w:val="20"/>
              </w:rPr>
            </w:pPr>
            <w:r>
              <w:rPr>
                <w:rFonts w:ascii="Arial" w:hAnsi="Arial" w:cs="Arial"/>
                <w:sz w:val="20"/>
                <w:szCs w:val="20"/>
              </w:rPr>
              <w:t>36.9</w:t>
            </w:r>
            <w:r w:rsidRPr="006135C0">
              <w:rPr>
                <w:rFonts w:ascii="Arial" w:hAnsi="Arial" w:cs="Arial"/>
                <w:sz w:val="20"/>
                <w:szCs w:val="20"/>
              </w:rPr>
              <w:t>%</w:t>
            </w:r>
          </w:p>
        </w:tc>
      </w:tr>
      <w:tr w:rsidR="006E7FD9" w:rsidTr="00EE2A83">
        <w:trPr>
          <w:trHeight w:val="397"/>
        </w:trPr>
        <w:tc>
          <w:tcPr>
            <w:tcW w:w="3119" w:type="dxa"/>
            <w:shd w:val="clear" w:color="auto" w:fill="E7E6E6" w:themeFill="background2"/>
            <w:vAlign w:val="center"/>
          </w:tcPr>
          <w:p w:rsidR="006E7FD9" w:rsidRPr="005935CC" w:rsidRDefault="006E7FD9" w:rsidP="007E510C">
            <w:pPr>
              <w:rPr>
                <w:rFonts w:ascii="Arial" w:hAnsi="Arial" w:cs="Arial"/>
                <w:sz w:val="20"/>
                <w:szCs w:val="20"/>
              </w:rPr>
            </w:pPr>
            <w:r w:rsidRPr="005935CC">
              <w:rPr>
                <w:rFonts w:ascii="Arial" w:hAnsi="Arial" w:cs="Arial"/>
                <w:sz w:val="20"/>
                <w:szCs w:val="20"/>
              </w:rPr>
              <w:t>[LLTI, All-cause SMR &lt;75, Ethnicity]</w:t>
            </w:r>
          </w:p>
        </w:tc>
        <w:tc>
          <w:tcPr>
            <w:tcW w:w="797" w:type="dxa"/>
            <w:shd w:val="clear" w:color="auto" w:fill="E7E6E6" w:themeFill="background2"/>
            <w:vAlign w:val="center"/>
          </w:tcPr>
          <w:p w:rsidR="006E7FD9" w:rsidRPr="006135C0" w:rsidRDefault="006E7FD9" w:rsidP="00A3007A">
            <w:pPr>
              <w:contextualSpacing/>
              <w:jc w:val="center"/>
              <w:rPr>
                <w:rFonts w:ascii="Arial" w:hAnsi="Arial" w:cs="Arial"/>
                <w:sz w:val="20"/>
                <w:szCs w:val="20"/>
              </w:rPr>
            </w:pPr>
            <w:r>
              <w:rPr>
                <w:rFonts w:ascii="Arial" w:hAnsi="Arial" w:cs="Arial"/>
                <w:sz w:val="20"/>
                <w:szCs w:val="20"/>
              </w:rPr>
              <w:t>10.7</w:t>
            </w:r>
            <w:r w:rsidRPr="006135C0">
              <w:rPr>
                <w:rFonts w:ascii="Arial" w:hAnsi="Arial" w:cs="Arial"/>
                <w:sz w:val="20"/>
                <w:szCs w:val="20"/>
              </w:rPr>
              <w:t>%</w:t>
            </w:r>
          </w:p>
        </w:tc>
        <w:tc>
          <w:tcPr>
            <w:tcW w:w="798" w:type="dxa"/>
            <w:shd w:val="clear" w:color="auto" w:fill="E7E6E6" w:themeFill="background2"/>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19.5</w:t>
            </w:r>
            <w:r w:rsidRPr="006135C0">
              <w:rPr>
                <w:rFonts w:ascii="Arial" w:hAnsi="Arial" w:cs="Arial"/>
                <w:sz w:val="20"/>
                <w:szCs w:val="20"/>
              </w:rPr>
              <w:t>%</w:t>
            </w:r>
          </w:p>
        </w:tc>
        <w:tc>
          <w:tcPr>
            <w:tcW w:w="797" w:type="dxa"/>
            <w:shd w:val="clear" w:color="auto" w:fill="E7E6E6" w:themeFill="background2"/>
            <w:vAlign w:val="center"/>
          </w:tcPr>
          <w:p w:rsidR="006E7FD9" w:rsidRPr="006135C0" w:rsidRDefault="006E7FD9" w:rsidP="00235E23">
            <w:pPr>
              <w:contextualSpacing/>
              <w:jc w:val="center"/>
              <w:rPr>
                <w:rFonts w:ascii="Arial" w:hAnsi="Arial" w:cs="Arial"/>
                <w:sz w:val="20"/>
                <w:szCs w:val="20"/>
              </w:rPr>
            </w:pPr>
            <w:r>
              <w:rPr>
                <w:rFonts w:ascii="Arial" w:hAnsi="Arial" w:cs="Arial"/>
                <w:sz w:val="20"/>
                <w:szCs w:val="20"/>
              </w:rPr>
              <w:t>39.3</w:t>
            </w:r>
            <w:r w:rsidRPr="006135C0">
              <w:rPr>
                <w:rFonts w:ascii="Arial" w:hAnsi="Arial" w:cs="Arial"/>
                <w:sz w:val="20"/>
                <w:szCs w:val="20"/>
              </w:rPr>
              <w:t>%</w:t>
            </w:r>
          </w:p>
        </w:tc>
        <w:tc>
          <w:tcPr>
            <w:tcW w:w="797" w:type="dxa"/>
            <w:shd w:val="clear" w:color="auto" w:fill="E7E6E6" w:themeFill="background2"/>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23.9</w:t>
            </w:r>
            <w:r w:rsidRPr="006135C0">
              <w:rPr>
                <w:rFonts w:ascii="Arial" w:hAnsi="Arial" w:cs="Arial"/>
                <w:sz w:val="20"/>
                <w:szCs w:val="20"/>
              </w:rPr>
              <w:t>%</w:t>
            </w:r>
          </w:p>
        </w:tc>
        <w:tc>
          <w:tcPr>
            <w:tcW w:w="798" w:type="dxa"/>
            <w:shd w:val="clear" w:color="auto" w:fill="E7E6E6" w:themeFill="background2"/>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46.3</w:t>
            </w:r>
            <w:r w:rsidRPr="006135C0">
              <w:rPr>
                <w:rFonts w:ascii="Arial" w:hAnsi="Arial" w:cs="Arial"/>
                <w:sz w:val="20"/>
                <w:szCs w:val="20"/>
              </w:rPr>
              <w:t>%</w:t>
            </w:r>
          </w:p>
        </w:tc>
        <w:tc>
          <w:tcPr>
            <w:tcW w:w="797" w:type="dxa"/>
            <w:shd w:val="clear" w:color="auto" w:fill="E7E6E6" w:themeFill="background2"/>
            <w:vAlign w:val="center"/>
          </w:tcPr>
          <w:p w:rsidR="006E7FD9" w:rsidRPr="006135C0" w:rsidRDefault="006E7FD9" w:rsidP="007E510C">
            <w:pPr>
              <w:contextualSpacing/>
              <w:jc w:val="center"/>
              <w:rPr>
                <w:rFonts w:ascii="Arial" w:hAnsi="Arial" w:cs="Arial"/>
                <w:sz w:val="20"/>
                <w:szCs w:val="20"/>
              </w:rPr>
            </w:pPr>
            <w:r>
              <w:rPr>
                <w:rFonts w:ascii="Arial" w:hAnsi="Arial" w:cs="Arial"/>
                <w:sz w:val="20"/>
                <w:szCs w:val="20"/>
              </w:rPr>
              <w:t>37.3</w:t>
            </w:r>
            <w:r w:rsidRPr="006135C0">
              <w:rPr>
                <w:rFonts w:ascii="Arial" w:hAnsi="Arial" w:cs="Arial"/>
                <w:sz w:val="20"/>
                <w:szCs w:val="20"/>
              </w:rPr>
              <w:t>%</w:t>
            </w:r>
          </w:p>
        </w:tc>
        <w:tc>
          <w:tcPr>
            <w:tcW w:w="798" w:type="dxa"/>
            <w:tcBorders>
              <w:right w:val="single" w:sz="12" w:space="0" w:color="auto"/>
            </w:tcBorders>
            <w:shd w:val="clear" w:color="auto" w:fill="E7E6E6" w:themeFill="background2"/>
            <w:vAlign w:val="center"/>
          </w:tcPr>
          <w:p w:rsidR="006E7FD9" w:rsidRPr="006135C0" w:rsidRDefault="006E7FD9" w:rsidP="00235E23">
            <w:pPr>
              <w:contextualSpacing/>
              <w:jc w:val="center"/>
              <w:rPr>
                <w:rFonts w:ascii="Arial" w:hAnsi="Arial" w:cs="Arial"/>
                <w:sz w:val="20"/>
                <w:szCs w:val="20"/>
              </w:rPr>
            </w:pPr>
            <w:r>
              <w:rPr>
                <w:rFonts w:ascii="Arial" w:hAnsi="Arial" w:cs="Arial"/>
                <w:sz w:val="20"/>
                <w:szCs w:val="20"/>
              </w:rPr>
              <w:t>51.5</w:t>
            </w:r>
            <w:r w:rsidRPr="006135C0">
              <w:rPr>
                <w:rFonts w:ascii="Arial" w:hAnsi="Arial" w:cs="Arial"/>
                <w:sz w:val="20"/>
                <w:szCs w:val="20"/>
              </w:rPr>
              <w:t>%</w:t>
            </w:r>
          </w:p>
        </w:tc>
        <w:tc>
          <w:tcPr>
            <w:tcW w:w="798" w:type="dxa"/>
            <w:tcBorders>
              <w:left w:val="single" w:sz="12" w:space="0" w:color="auto"/>
              <w:right w:val="single" w:sz="12" w:space="0" w:color="auto"/>
            </w:tcBorders>
            <w:shd w:val="clear" w:color="auto" w:fill="E7E6E6" w:themeFill="background2"/>
            <w:vAlign w:val="center"/>
          </w:tcPr>
          <w:p w:rsidR="006E7FD9" w:rsidRPr="006135C0" w:rsidRDefault="006E7FD9" w:rsidP="00761086">
            <w:pPr>
              <w:contextualSpacing/>
              <w:jc w:val="center"/>
              <w:rPr>
                <w:rFonts w:ascii="Arial" w:hAnsi="Arial" w:cs="Arial"/>
                <w:sz w:val="20"/>
                <w:szCs w:val="20"/>
              </w:rPr>
            </w:pPr>
            <w:r>
              <w:rPr>
                <w:rFonts w:ascii="Arial" w:hAnsi="Arial" w:cs="Arial"/>
                <w:sz w:val="20"/>
                <w:szCs w:val="20"/>
              </w:rPr>
              <w:t>37.4</w:t>
            </w:r>
            <w:r w:rsidRPr="006135C0">
              <w:rPr>
                <w:rFonts w:ascii="Arial" w:hAnsi="Arial" w:cs="Arial"/>
                <w:sz w:val="20"/>
                <w:szCs w:val="20"/>
              </w:rPr>
              <w:t>%</w:t>
            </w:r>
          </w:p>
        </w:tc>
      </w:tr>
      <w:tr w:rsidR="006E7FD9" w:rsidTr="00EE2A83">
        <w:trPr>
          <w:trHeight w:val="397"/>
        </w:trPr>
        <w:tc>
          <w:tcPr>
            <w:tcW w:w="3119" w:type="dxa"/>
            <w:shd w:val="clear" w:color="auto" w:fill="E7E6E6" w:themeFill="background2"/>
            <w:vAlign w:val="center"/>
          </w:tcPr>
          <w:p w:rsidR="006E7FD9" w:rsidRPr="005935CC" w:rsidRDefault="006E7FD9" w:rsidP="007E510C">
            <w:pPr>
              <w:rPr>
                <w:rFonts w:ascii="Arial" w:hAnsi="Arial" w:cs="Arial"/>
                <w:sz w:val="20"/>
                <w:szCs w:val="20"/>
              </w:rPr>
            </w:pPr>
            <w:r w:rsidRPr="005935CC">
              <w:rPr>
                <w:rFonts w:ascii="Arial" w:hAnsi="Arial" w:cs="Arial"/>
                <w:sz w:val="20"/>
                <w:szCs w:val="20"/>
              </w:rPr>
              <w:t>[LLTI, All-cause SMR &lt;75, Unpaid care]</w:t>
            </w:r>
          </w:p>
        </w:tc>
        <w:tc>
          <w:tcPr>
            <w:tcW w:w="797" w:type="dxa"/>
            <w:shd w:val="clear" w:color="auto" w:fill="E7E6E6" w:themeFill="background2"/>
            <w:vAlign w:val="center"/>
          </w:tcPr>
          <w:p w:rsidR="006E7FD9" w:rsidRPr="00EC5211" w:rsidRDefault="006E7FD9" w:rsidP="007F3397">
            <w:pPr>
              <w:jc w:val="center"/>
              <w:rPr>
                <w:rFonts w:ascii="Arial" w:hAnsi="Arial" w:cs="Arial"/>
                <w:sz w:val="20"/>
                <w:szCs w:val="20"/>
              </w:rPr>
            </w:pPr>
            <w:r>
              <w:rPr>
                <w:rFonts w:ascii="Arial" w:hAnsi="Arial" w:cs="Arial"/>
                <w:sz w:val="20"/>
                <w:szCs w:val="20"/>
              </w:rPr>
              <w:t>10.6%</w:t>
            </w:r>
          </w:p>
        </w:tc>
        <w:tc>
          <w:tcPr>
            <w:tcW w:w="798" w:type="dxa"/>
            <w:shd w:val="clear" w:color="auto" w:fill="E7E6E6" w:themeFill="background2"/>
            <w:vAlign w:val="center"/>
          </w:tcPr>
          <w:p w:rsidR="006E7FD9" w:rsidRPr="004B3637" w:rsidRDefault="006E7FD9" w:rsidP="007F3397">
            <w:pPr>
              <w:jc w:val="center"/>
              <w:rPr>
                <w:rFonts w:ascii="Arial" w:hAnsi="Arial" w:cs="Arial"/>
                <w:b/>
                <w:i/>
                <w:sz w:val="20"/>
                <w:szCs w:val="20"/>
              </w:rPr>
            </w:pPr>
            <w:r w:rsidRPr="004B3637">
              <w:rPr>
                <w:rFonts w:ascii="Arial" w:hAnsi="Arial" w:cs="Arial"/>
                <w:b/>
                <w:i/>
                <w:sz w:val="20"/>
                <w:szCs w:val="20"/>
              </w:rPr>
              <w:t>21.0%</w:t>
            </w:r>
          </w:p>
        </w:tc>
        <w:tc>
          <w:tcPr>
            <w:tcW w:w="797" w:type="dxa"/>
            <w:shd w:val="clear" w:color="auto" w:fill="E7E6E6" w:themeFill="background2"/>
            <w:vAlign w:val="center"/>
          </w:tcPr>
          <w:p w:rsidR="006E7FD9" w:rsidRPr="004B3637" w:rsidRDefault="006E7FD9" w:rsidP="00235E23">
            <w:pPr>
              <w:jc w:val="center"/>
              <w:rPr>
                <w:rFonts w:ascii="Arial" w:hAnsi="Arial" w:cs="Arial"/>
                <w:b/>
                <w:i/>
                <w:sz w:val="20"/>
                <w:szCs w:val="20"/>
              </w:rPr>
            </w:pPr>
            <w:r w:rsidRPr="004B3637">
              <w:rPr>
                <w:rFonts w:ascii="Arial" w:hAnsi="Arial" w:cs="Arial"/>
                <w:b/>
                <w:i/>
                <w:sz w:val="20"/>
                <w:szCs w:val="20"/>
              </w:rPr>
              <w:t>39.5%</w:t>
            </w:r>
          </w:p>
        </w:tc>
        <w:tc>
          <w:tcPr>
            <w:tcW w:w="797" w:type="dxa"/>
            <w:shd w:val="clear" w:color="auto" w:fill="E7E6E6" w:themeFill="background2"/>
            <w:vAlign w:val="center"/>
          </w:tcPr>
          <w:p w:rsidR="006E7FD9" w:rsidRPr="0048449B" w:rsidRDefault="006E7FD9" w:rsidP="007F3397">
            <w:pPr>
              <w:jc w:val="center"/>
              <w:rPr>
                <w:rFonts w:ascii="Arial" w:hAnsi="Arial" w:cs="Arial"/>
                <w:sz w:val="20"/>
                <w:szCs w:val="20"/>
              </w:rPr>
            </w:pPr>
            <w:r>
              <w:rPr>
                <w:rFonts w:ascii="Arial" w:hAnsi="Arial" w:cs="Arial"/>
                <w:sz w:val="20"/>
                <w:szCs w:val="20"/>
              </w:rPr>
              <w:t>24.8%</w:t>
            </w:r>
          </w:p>
        </w:tc>
        <w:tc>
          <w:tcPr>
            <w:tcW w:w="798" w:type="dxa"/>
            <w:shd w:val="clear" w:color="auto" w:fill="E7E6E6" w:themeFill="background2"/>
            <w:vAlign w:val="center"/>
          </w:tcPr>
          <w:p w:rsidR="006E7FD9" w:rsidRPr="0048449B" w:rsidRDefault="006E7FD9" w:rsidP="007F3397">
            <w:pPr>
              <w:jc w:val="center"/>
              <w:rPr>
                <w:rFonts w:ascii="Arial" w:hAnsi="Arial" w:cs="Arial"/>
                <w:sz w:val="20"/>
                <w:szCs w:val="20"/>
              </w:rPr>
            </w:pPr>
            <w:r>
              <w:rPr>
                <w:rFonts w:ascii="Arial" w:hAnsi="Arial" w:cs="Arial"/>
                <w:sz w:val="20"/>
                <w:szCs w:val="20"/>
              </w:rPr>
              <w:t>46.7%</w:t>
            </w:r>
          </w:p>
        </w:tc>
        <w:tc>
          <w:tcPr>
            <w:tcW w:w="797" w:type="dxa"/>
            <w:shd w:val="clear" w:color="auto" w:fill="E7E6E6" w:themeFill="background2"/>
            <w:vAlign w:val="center"/>
          </w:tcPr>
          <w:p w:rsidR="006E7FD9" w:rsidRPr="004B3637" w:rsidRDefault="006E7FD9" w:rsidP="007F3397">
            <w:pPr>
              <w:jc w:val="center"/>
              <w:rPr>
                <w:rFonts w:ascii="Arial" w:hAnsi="Arial" w:cs="Arial"/>
                <w:b/>
                <w:i/>
                <w:sz w:val="20"/>
                <w:szCs w:val="20"/>
              </w:rPr>
            </w:pPr>
            <w:r w:rsidRPr="004B3637">
              <w:rPr>
                <w:rFonts w:ascii="Arial" w:hAnsi="Arial" w:cs="Arial"/>
                <w:b/>
                <w:i/>
                <w:sz w:val="20"/>
                <w:szCs w:val="20"/>
              </w:rPr>
              <w:t>38.7%</w:t>
            </w:r>
          </w:p>
        </w:tc>
        <w:tc>
          <w:tcPr>
            <w:tcW w:w="798" w:type="dxa"/>
            <w:tcBorders>
              <w:right w:val="single" w:sz="12" w:space="0" w:color="auto"/>
            </w:tcBorders>
            <w:shd w:val="clear" w:color="auto" w:fill="E7E6E6" w:themeFill="background2"/>
            <w:vAlign w:val="center"/>
          </w:tcPr>
          <w:p w:rsidR="006E7FD9" w:rsidRPr="0048449B" w:rsidRDefault="006E7FD9" w:rsidP="007F3397">
            <w:pPr>
              <w:jc w:val="center"/>
              <w:rPr>
                <w:rFonts w:ascii="Arial" w:hAnsi="Arial" w:cs="Arial"/>
                <w:sz w:val="20"/>
                <w:szCs w:val="20"/>
              </w:rPr>
            </w:pPr>
            <w:r>
              <w:rPr>
                <w:rFonts w:ascii="Arial" w:hAnsi="Arial" w:cs="Arial"/>
                <w:sz w:val="20"/>
                <w:szCs w:val="20"/>
              </w:rPr>
              <w:t>52.0%</w:t>
            </w:r>
          </w:p>
        </w:tc>
        <w:tc>
          <w:tcPr>
            <w:tcW w:w="798" w:type="dxa"/>
            <w:tcBorders>
              <w:left w:val="single" w:sz="12" w:space="0" w:color="auto"/>
              <w:right w:val="single" w:sz="12" w:space="0" w:color="auto"/>
            </w:tcBorders>
            <w:shd w:val="clear" w:color="auto" w:fill="E7E6E6" w:themeFill="background2"/>
            <w:vAlign w:val="center"/>
          </w:tcPr>
          <w:p w:rsidR="006E7FD9" w:rsidRPr="006E7FD9" w:rsidRDefault="006E7FD9" w:rsidP="00761086">
            <w:pPr>
              <w:jc w:val="center"/>
              <w:rPr>
                <w:rFonts w:ascii="Arial" w:hAnsi="Arial" w:cs="Arial"/>
                <w:b/>
                <w:i/>
                <w:sz w:val="20"/>
                <w:szCs w:val="20"/>
              </w:rPr>
            </w:pPr>
            <w:r w:rsidRPr="006E7FD9">
              <w:rPr>
                <w:rFonts w:ascii="Arial" w:hAnsi="Arial" w:cs="Arial"/>
                <w:b/>
                <w:i/>
                <w:sz w:val="20"/>
                <w:szCs w:val="20"/>
              </w:rPr>
              <w:t>37.9%</w:t>
            </w:r>
          </w:p>
        </w:tc>
      </w:tr>
      <w:tr w:rsidR="006E7FD9" w:rsidTr="00EE2A83">
        <w:trPr>
          <w:trHeight w:val="397"/>
        </w:trPr>
        <w:tc>
          <w:tcPr>
            <w:tcW w:w="3119" w:type="dxa"/>
            <w:vAlign w:val="center"/>
          </w:tcPr>
          <w:p w:rsidR="006E7FD9" w:rsidRPr="005935CC" w:rsidRDefault="006E7FD9" w:rsidP="00BF58F2">
            <w:pPr>
              <w:rPr>
                <w:rFonts w:ascii="Arial" w:hAnsi="Arial" w:cs="Arial"/>
                <w:sz w:val="20"/>
                <w:szCs w:val="20"/>
              </w:rPr>
            </w:pPr>
            <w:r w:rsidRPr="005935CC">
              <w:rPr>
                <w:rFonts w:ascii="Arial" w:hAnsi="Arial" w:cs="Arial"/>
                <w:sz w:val="20"/>
                <w:szCs w:val="20"/>
              </w:rPr>
              <w:t>[LLTI, All-cause SMR &lt;75, Ethnicity, Unpaid care]</w:t>
            </w:r>
          </w:p>
        </w:tc>
        <w:tc>
          <w:tcPr>
            <w:tcW w:w="797" w:type="dxa"/>
            <w:vAlign w:val="center"/>
          </w:tcPr>
          <w:p w:rsidR="006E7FD9" w:rsidRPr="006135C0" w:rsidRDefault="006E7FD9" w:rsidP="005C5693">
            <w:pPr>
              <w:contextualSpacing/>
              <w:jc w:val="center"/>
              <w:rPr>
                <w:rFonts w:ascii="Arial" w:hAnsi="Arial" w:cs="Arial"/>
                <w:sz w:val="20"/>
                <w:szCs w:val="20"/>
              </w:rPr>
            </w:pPr>
            <w:r>
              <w:rPr>
                <w:rFonts w:ascii="Arial" w:hAnsi="Arial" w:cs="Arial"/>
                <w:sz w:val="20"/>
                <w:szCs w:val="20"/>
              </w:rPr>
              <w:t>10.4%</w:t>
            </w:r>
          </w:p>
        </w:tc>
        <w:tc>
          <w:tcPr>
            <w:tcW w:w="798" w:type="dxa"/>
            <w:vAlign w:val="center"/>
          </w:tcPr>
          <w:p w:rsidR="006E7FD9" w:rsidRPr="00EC5211" w:rsidRDefault="006E7FD9" w:rsidP="00A3007A">
            <w:pPr>
              <w:jc w:val="center"/>
              <w:rPr>
                <w:rFonts w:ascii="Arial" w:hAnsi="Arial" w:cs="Arial"/>
                <w:sz w:val="20"/>
                <w:szCs w:val="20"/>
              </w:rPr>
            </w:pPr>
            <w:r>
              <w:rPr>
                <w:rFonts w:ascii="Arial" w:hAnsi="Arial" w:cs="Arial"/>
                <w:sz w:val="20"/>
                <w:szCs w:val="20"/>
              </w:rPr>
              <w:t>19.5%</w:t>
            </w:r>
          </w:p>
        </w:tc>
        <w:tc>
          <w:tcPr>
            <w:tcW w:w="797" w:type="dxa"/>
            <w:vAlign w:val="center"/>
          </w:tcPr>
          <w:p w:rsidR="006E7FD9" w:rsidRPr="004B3637" w:rsidRDefault="006E7FD9" w:rsidP="00A3007A">
            <w:pPr>
              <w:jc w:val="center"/>
              <w:rPr>
                <w:rFonts w:ascii="Arial" w:hAnsi="Arial" w:cs="Arial"/>
                <w:b/>
                <w:i/>
                <w:sz w:val="20"/>
                <w:szCs w:val="20"/>
              </w:rPr>
            </w:pPr>
            <w:r w:rsidRPr="004B3637">
              <w:rPr>
                <w:rFonts w:ascii="Arial" w:hAnsi="Arial" w:cs="Arial"/>
                <w:b/>
                <w:i/>
                <w:sz w:val="20"/>
                <w:szCs w:val="20"/>
              </w:rPr>
              <w:t>39.5%</w:t>
            </w:r>
          </w:p>
        </w:tc>
        <w:tc>
          <w:tcPr>
            <w:tcW w:w="797" w:type="dxa"/>
            <w:vAlign w:val="center"/>
          </w:tcPr>
          <w:p w:rsidR="006E7FD9" w:rsidRPr="0048449B" w:rsidRDefault="006E7FD9" w:rsidP="00A3007A">
            <w:pPr>
              <w:jc w:val="center"/>
              <w:rPr>
                <w:rFonts w:ascii="Arial" w:hAnsi="Arial" w:cs="Arial"/>
                <w:sz w:val="20"/>
                <w:szCs w:val="20"/>
              </w:rPr>
            </w:pPr>
            <w:r>
              <w:rPr>
                <w:rFonts w:ascii="Arial" w:hAnsi="Arial" w:cs="Arial"/>
                <w:sz w:val="20"/>
                <w:szCs w:val="20"/>
              </w:rPr>
              <w:t>23.0%</w:t>
            </w:r>
          </w:p>
        </w:tc>
        <w:tc>
          <w:tcPr>
            <w:tcW w:w="798" w:type="dxa"/>
            <w:vAlign w:val="center"/>
          </w:tcPr>
          <w:p w:rsidR="006E7FD9" w:rsidRPr="004B3637" w:rsidRDefault="006E7FD9" w:rsidP="00A3007A">
            <w:pPr>
              <w:jc w:val="center"/>
              <w:rPr>
                <w:rFonts w:ascii="Arial" w:hAnsi="Arial" w:cs="Arial"/>
                <w:b/>
                <w:i/>
                <w:sz w:val="20"/>
                <w:szCs w:val="20"/>
              </w:rPr>
            </w:pPr>
            <w:r w:rsidRPr="004B3637">
              <w:rPr>
                <w:rFonts w:ascii="Arial" w:hAnsi="Arial" w:cs="Arial"/>
                <w:b/>
                <w:i/>
                <w:sz w:val="20"/>
                <w:szCs w:val="20"/>
              </w:rPr>
              <w:t>46.8%</w:t>
            </w:r>
          </w:p>
        </w:tc>
        <w:tc>
          <w:tcPr>
            <w:tcW w:w="797" w:type="dxa"/>
            <w:vAlign w:val="center"/>
          </w:tcPr>
          <w:p w:rsidR="006E7FD9" w:rsidRPr="0048449B" w:rsidRDefault="006E7FD9" w:rsidP="00A3007A">
            <w:pPr>
              <w:jc w:val="center"/>
              <w:rPr>
                <w:rFonts w:ascii="Arial" w:hAnsi="Arial" w:cs="Arial"/>
                <w:sz w:val="20"/>
                <w:szCs w:val="20"/>
              </w:rPr>
            </w:pPr>
            <w:r>
              <w:rPr>
                <w:rFonts w:ascii="Arial" w:hAnsi="Arial" w:cs="Arial"/>
                <w:sz w:val="20"/>
                <w:szCs w:val="20"/>
              </w:rPr>
              <w:t>37.4%</w:t>
            </w:r>
          </w:p>
        </w:tc>
        <w:tc>
          <w:tcPr>
            <w:tcW w:w="798" w:type="dxa"/>
            <w:tcBorders>
              <w:right w:val="single" w:sz="12" w:space="0" w:color="auto"/>
            </w:tcBorders>
            <w:vAlign w:val="center"/>
          </w:tcPr>
          <w:p w:rsidR="006E7FD9" w:rsidRPr="004B3637" w:rsidRDefault="006E7FD9" w:rsidP="00A3007A">
            <w:pPr>
              <w:jc w:val="center"/>
              <w:rPr>
                <w:rFonts w:ascii="Arial" w:hAnsi="Arial" w:cs="Arial"/>
                <w:b/>
                <w:i/>
                <w:sz w:val="20"/>
                <w:szCs w:val="20"/>
              </w:rPr>
            </w:pPr>
            <w:r w:rsidRPr="004B3637">
              <w:rPr>
                <w:rFonts w:ascii="Arial" w:hAnsi="Arial" w:cs="Arial"/>
                <w:b/>
                <w:i/>
                <w:sz w:val="20"/>
                <w:szCs w:val="20"/>
              </w:rPr>
              <w:t>53.2%</w:t>
            </w:r>
          </w:p>
        </w:tc>
        <w:tc>
          <w:tcPr>
            <w:tcW w:w="798" w:type="dxa"/>
            <w:tcBorders>
              <w:left w:val="single" w:sz="12" w:space="0" w:color="auto"/>
              <w:bottom w:val="single" w:sz="12" w:space="0" w:color="auto"/>
              <w:right w:val="single" w:sz="12" w:space="0" w:color="auto"/>
            </w:tcBorders>
            <w:vAlign w:val="center"/>
          </w:tcPr>
          <w:p w:rsidR="006E7FD9" w:rsidRPr="006E7FD9" w:rsidRDefault="006E7FD9" w:rsidP="00761086">
            <w:pPr>
              <w:jc w:val="center"/>
              <w:rPr>
                <w:rFonts w:ascii="Arial" w:hAnsi="Arial" w:cs="Arial"/>
                <w:sz w:val="20"/>
                <w:szCs w:val="20"/>
              </w:rPr>
            </w:pPr>
            <w:r w:rsidRPr="006E7FD9">
              <w:rPr>
                <w:rFonts w:ascii="Arial" w:hAnsi="Arial" w:cs="Arial"/>
                <w:sz w:val="20"/>
                <w:szCs w:val="20"/>
              </w:rPr>
              <w:t>37.8%</w:t>
            </w:r>
          </w:p>
        </w:tc>
      </w:tr>
    </w:tbl>
    <w:p w:rsidR="00BF58F2" w:rsidRPr="007C2DE5" w:rsidRDefault="00BF58F2" w:rsidP="007C2DE5">
      <w:pPr>
        <w:spacing w:after="200" w:line="276" w:lineRule="auto"/>
        <w:jc w:val="both"/>
        <w:rPr>
          <w:rFonts w:ascii="Arial" w:hAnsi="Arial" w:cs="Arial"/>
        </w:rPr>
      </w:pPr>
    </w:p>
    <w:p w:rsidR="00EE2A83" w:rsidRDefault="00D0093A" w:rsidP="007C2DE5">
      <w:pPr>
        <w:spacing w:after="200" w:line="276" w:lineRule="auto"/>
        <w:jc w:val="both"/>
        <w:rPr>
          <w:rFonts w:ascii="Arial" w:hAnsi="Arial" w:cs="Arial"/>
        </w:rPr>
      </w:pPr>
      <w:r w:rsidRPr="007C2DE5">
        <w:rPr>
          <w:rFonts w:ascii="Arial" w:hAnsi="Arial" w:cs="Arial"/>
        </w:rPr>
        <w:t>There is no clear best option in terms of R</w:t>
      </w:r>
      <w:r w:rsidRPr="007C2DE5">
        <w:rPr>
          <w:rFonts w:ascii="Arial" w:hAnsi="Arial" w:cs="Arial"/>
          <w:vertAlign w:val="superscript"/>
        </w:rPr>
        <w:t>2</w:t>
      </w:r>
      <w:r w:rsidRPr="007C2DE5">
        <w:rPr>
          <w:rFonts w:ascii="Arial" w:hAnsi="Arial" w:cs="Arial"/>
        </w:rPr>
        <w:t>; three models, [LLTI, All-cause SMR</w:t>
      </w:r>
      <w:r w:rsidR="006A6371" w:rsidRPr="007C2DE5">
        <w:rPr>
          <w:rFonts w:ascii="Arial" w:hAnsi="Arial" w:cs="Arial"/>
        </w:rPr>
        <w:t xml:space="preserve"> &lt;75</w:t>
      </w:r>
      <w:r w:rsidRPr="007C2DE5">
        <w:rPr>
          <w:rFonts w:ascii="Arial" w:hAnsi="Arial" w:cs="Arial"/>
        </w:rPr>
        <w:t>], [LLTI, All-cause SMR</w:t>
      </w:r>
      <w:r w:rsidR="006A6371" w:rsidRPr="007C2DE5">
        <w:rPr>
          <w:rFonts w:ascii="Arial" w:hAnsi="Arial" w:cs="Arial"/>
        </w:rPr>
        <w:t xml:space="preserve"> &lt;75</w:t>
      </w:r>
      <w:r w:rsidRPr="007C2DE5">
        <w:rPr>
          <w:rFonts w:ascii="Arial" w:hAnsi="Arial" w:cs="Arial"/>
        </w:rPr>
        <w:t>, Unpaid care] and [LLTI, All-cause SMR</w:t>
      </w:r>
      <w:r w:rsidR="006A6371" w:rsidRPr="007C2DE5">
        <w:rPr>
          <w:rFonts w:ascii="Arial" w:hAnsi="Arial" w:cs="Arial"/>
        </w:rPr>
        <w:t xml:space="preserve"> &lt;75</w:t>
      </w:r>
      <w:r w:rsidRPr="007C2DE5">
        <w:rPr>
          <w:rFonts w:ascii="Arial" w:hAnsi="Arial" w:cs="Arial"/>
        </w:rPr>
        <w:t>, Ethn</w:t>
      </w:r>
      <w:r w:rsidR="00C72758" w:rsidRPr="007C2DE5">
        <w:rPr>
          <w:rFonts w:ascii="Arial" w:hAnsi="Arial" w:cs="Arial"/>
        </w:rPr>
        <w:t>i</w:t>
      </w:r>
      <w:r w:rsidRPr="007C2DE5">
        <w:rPr>
          <w:rFonts w:ascii="Arial" w:hAnsi="Arial" w:cs="Arial"/>
        </w:rPr>
        <w:t>city, Unpaid care], produce the highest R</w:t>
      </w:r>
      <w:r w:rsidRPr="007C2DE5">
        <w:rPr>
          <w:rFonts w:ascii="Arial" w:hAnsi="Arial" w:cs="Arial"/>
          <w:vertAlign w:val="superscript"/>
        </w:rPr>
        <w:t>2</w:t>
      </w:r>
      <w:r w:rsidRPr="007C2DE5">
        <w:rPr>
          <w:rFonts w:ascii="Arial" w:hAnsi="Arial" w:cs="Arial"/>
        </w:rPr>
        <w:t xml:space="preserve"> for three diagnostic groups each. The remaining model, [LLTI, All-cause SMR</w:t>
      </w:r>
      <w:r w:rsidR="006A6371" w:rsidRPr="007C2DE5">
        <w:rPr>
          <w:rFonts w:ascii="Arial" w:hAnsi="Arial" w:cs="Arial"/>
        </w:rPr>
        <w:t xml:space="preserve"> &lt;75</w:t>
      </w:r>
      <w:r w:rsidRPr="007C2DE5">
        <w:rPr>
          <w:rFonts w:ascii="Arial" w:hAnsi="Arial" w:cs="Arial"/>
        </w:rPr>
        <w:t>, Ethnicity], never has the highest R</w:t>
      </w:r>
      <w:r w:rsidRPr="00BF5F02">
        <w:rPr>
          <w:rFonts w:ascii="Arial" w:hAnsi="Arial" w:cs="Arial"/>
          <w:vertAlign w:val="superscript"/>
        </w:rPr>
        <w:t>2</w:t>
      </w:r>
      <w:r w:rsidRPr="007C2DE5">
        <w:rPr>
          <w:rFonts w:ascii="Arial" w:hAnsi="Arial" w:cs="Arial"/>
        </w:rPr>
        <w:t xml:space="preserve"> value, but there is not much difference between the results.</w:t>
      </w:r>
    </w:p>
    <w:p w:rsidR="00D0093A" w:rsidRPr="007C2DE5" w:rsidRDefault="007C2DE5" w:rsidP="007C2DE5">
      <w:pPr>
        <w:spacing w:after="200" w:line="276" w:lineRule="auto"/>
        <w:jc w:val="both"/>
        <w:rPr>
          <w:rFonts w:ascii="Arial" w:hAnsi="Arial" w:cs="Arial"/>
        </w:rPr>
      </w:pPr>
      <w:r>
        <w:rPr>
          <w:rFonts w:ascii="Arial" w:hAnsi="Arial" w:cs="Arial"/>
        </w:rPr>
        <w:t>The final column of the table shows an average R</w:t>
      </w:r>
      <w:r w:rsidRPr="007C2DE5">
        <w:rPr>
          <w:rFonts w:ascii="Arial" w:hAnsi="Arial" w:cs="Arial"/>
          <w:vertAlign w:val="superscript"/>
        </w:rPr>
        <w:t>2</w:t>
      </w:r>
      <w:r>
        <w:rPr>
          <w:rFonts w:ascii="Arial" w:hAnsi="Arial" w:cs="Arial"/>
        </w:rPr>
        <w:t xml:space="preserve">, using </w:t>
      </w:r>
      <w:proofErr w:type="gramStart"/>
      <w:r>
        <w:rPr>
          <w:rFonts w:ascii="Arial" w:hAnsi="Arial" w:cs="Arial"/>
        </w:rPr>
        <w:t>the spend</w:t>
      </w:r>
      <w:proofErr w:type="gramEnd"/>
      <w:r>
        <w:rPr>
          <w:rFonts w:ascii="Arial" w:hAnsi="Arial" w:cs="Arial"/>
        </w:rPr>
        <w:t xml:space="preserve"> within the diagnostic groups to weight the average; the highest weighted average is found to be for </w:t>
      </w:r>
      <w:r w:rsidRPr="007C2DE5">
        <w:rPr>
          <w:rFonts w:ascii="Arial" w:hAnsi="Arial" w:cs="Arial"/>
        </w:rPr>
        <w:t>[LLTI, All-cause SMR &lt;75, Unpaid care]</w:t>
      </w:r>
      <w:r>
        <w:rPr>
          <w:rFonts w:ascii="Arial" w:hAnsi="Arial" w:cs="Arial"/>
        </w:rPr>
        <w:t>.</w:t>
      </w:r>
      <w:r w:rsidR="00EE2A83">
        <w:rPr>
          <w:rFonts w:ascii="Arial" w:hAnsi="Arial" w:cs="Arial"/>
        </w:rPr>
        <w:t xml:space="preserve"> It is worth noting that all 3- and 4-variable models appear to be better than the current reference model [LLTI, All-cause SMR &lt;75] when looking at the weighted average R</w:t>
      </w:r>
      <w:r w:rsidR="00EE2A83" w:rsidRPr="00EE2A83">
        <w:rPr>
          <w:rFonts w:ascii="Arial" w:hAnsi="Arial" w:cs="Arial"/>
          <w:vertAlign w:val="superscript"/>
        </w:rPr>
        <w:t>2</w:t>
      </w:r>
      <w:r w:rsidR="00EE2A83">
        <w:rPr>
          <w:rFonts w:ascii="Arial" w:hAnsi="Arial" w:cs="Arial"/>
        </w:rPr>
        <w:t>.</w:t>
      </w:r>
    </w:p>
    <w:p w:rsidR="00D0093A" w:rsidRPr="007C2DE5" w:rsidRDefault="00D0093A" w:rsidP="007C2DE5">
      <w:pPr>
        <w:spacing w:after="200" w:line="276" w:lineRule="auto"/>
        <w:jc w:val="both"/>
        <w:rPr>
          <w:rFonts w:ascii="Arial" w:hAnsi="Arial" w:cs="Arial"/>
        </w:rPr>
      </w:pPr>
    </w:p>
    <w:p w:rsidR="00B70E4C" w:rsidRPr="00B70E4C" w:rsidRDefault="00923CC2" w:rsidP="00DE1FE2">
      <w:pPr>
        <w:spacing w:after="240" w:line="276" w:lineRule="auto"/>
        <w:jc w:val="both"/>
        <w:rPr>
          <w:rFonts w:ascii="Arial" w:hAnsi="Arial" w:cs="Arial"/>
          <w:b/>
        </w:rPr>
      </w:pPr>
      <w:r>
        <w:rPr>
          <w:rFonts w:ascii="Arial" w:hAnsi="Arial" w:cs="Arial"/>
          <w:b/>
        </w:rPr>
        <w:t>2</w:t>
      </w:r>
      <w:r w:rsidR="008308C8">
        <w:rPr>
          <w:rFonts w:ascii="Arial" w:hAnsi="Arial" w:cs="Arial"/>
          <w:b/>
        </w:rPr>
        <w:t>.2</w:t>
      </w:r>
      <w:r w:rsidR="00B70E4C" w:rsidRPr="00B70E4C">
        <w:rPr>
          <w:rFonts w:ascii="Arial" w:hAnsi="Arial" w:cs="Arial"/>
          <w:b/>
        </w:rPr>
        <w:t xml:space="preserve"> Predictive power: RSS</w:t>
      </w:r>
    </w:p>
    <w:p w:rsidR="00B70E4C" w:rsidRDefault="00B70E4C" w:rsidP="00B70E4C">
      <w:pPr>
        <w:spacing w:after="240" w:line="276" w:lineRule="auto"/>
        <w:jc w:val="both"/>
        <w:rPr>
          <w:rFonts w:ascii="Arial" w:hAnsi="Arial" w:cs="Arial"/>
        </w:rPr>
      </w:pPr>
      <w:r w:rsidRPr="005E5F93">
        <w:rPr>
          <w:rFonts w:ascii="Arial" w:hAnsi="Arial" w:cs="Arial"/>
          <w:i/>
        </w:rPr>
        <w:t>Predictive</w:t>
      </w:r>
      <w:r>
        <w:rPr>
          <w:rFonts w:ascii="Arial" w:hAnsi="Arial" w:cs="Arial"/>
        </w:rPr>
        <w:t xml:space="preserve"> power is arguably more important than </w:t>
      </w:r>
      <w:r w:rsidRPr="005E5F93">
        <w:rPr>
          <w:rFonts w:ascii="Arial" w:hAnsi="Arial" w:cs="Arial"/>
          <w:i/>
        </w:rPr>
        <w:t>explanatory</w:t>
      </w:r>
      <w:r>
        <w:rPr>
          <w:rFonts w:ascii="Arial" w:hAnsi="Arial" w:cs="Arial"/>
        </w:rPr>
        <w:t xml:space="preserve"> power, since the MLC adjustment is used to predict cost ratios in the year of allocation. To evaluate the models in predictive mode, predicted cost ratios are generated. These predictions are then compared with a 1-year cost ratio based on 2014/15 data. The 2014/15 cost ratio represents the ‘future’ observation which the model would be trying to predict.</w:t>
      </w:r>
    </w:p>
    <w:p w:rsidR="00B70E4C" w:rsidRDefault="00B70E4C" w:rsidP="00B70E4C">
      <w:pPr>
        <w:spacing w:after="240" w:line="276" w:lineRule="auto"/>
        <w:jc w:val="both"/>
        <w:rPr>
          <w:rFonts w:ascii="Arial" w:hAnsi="Arial" w:cs="Arial"/>
        </w:rPr>
      </w:pPr>
      <w:r>
        <w:rPr>
          <w:rFonts w:ascii="Arial" w:hAnsi="Arial" w:cs="Arial"/>
        </w:rPr>
        <w:t xml:space="preserve">Predicted cost ratios are calculated in the same way as in the NRAC formula: </w:t>
      </w:r>
      <w:r w:rsidR="009E0EF9">
        <w:rPr>
          <w:rFonts w:ascii="Arial" w:hAnsi="Arial" w:cs="Arial"/>
        </w:rPr>
        <w:t>the</w:t>
      </w:r>
      <w:r>
        <w:rPr>
          <w:rFonts w:ascii="Arial" w:hAnsi="Arial" w:cs="Arial"/>
        </w:rPr>
        <w:t xml:space="preserve"> coefficient of the needs index is obtained through a regression including the supply model, but the supply variables are not used in the prediction. In the case of Outpatients, the prison dummy </w:t>
      </w:r>
      <w:r w:rsidR="001537F0">
        <w:rPr>
          <w:rFonts w:ascii="Arial" w:hAnsi="Arial" w:cs="Arial"/>
        </w:rPr>
        <w:t>variable</w:t>
      </w:r>
      <w:r w:rsidR="0039101E">
        <w:rPr>
          <w:rFonts w:ascii="Arial" w:hAnsi="Arial" w:cs="Arial"/>
        </w:rPr>
        <w:t xml:space="preserve"> (introduced in paper TAMLC43)</w:t>
      </w:r>
      <w:r w:rsidR="001537F0">
        <w:rPr>
          <w:rFonts w:ascii="Arial" w:hAnsi="Arial" w:cs="Arial"/>
        </w:rPr>
        <w:t xml:space="preserve"> </w:t>
      </w:r>
      <w:r>
        <w:rPr>
          <w:rFonts w:ascii="Arial" w:hAnsi="Arial" w:cs="Arial"/>
        </w:rPr>
        <w:t xml:space="preserve">is included in both the regression and the prediction. </w:t>
      </w:r>
    </w:p>
    <w:p w:rsidR="00B70E4C" w:rsidRDefault="004D13FA" w:rsidP="00B70E4C">
      <w:pPr>
        <w:spacing w:after="240" w:line="276" w:lineRule="auto"/>
        <w:jc w:val="both"/>
        <w:rPr>
          <w:rFonts w:ascii="Arial" w:hAnsi="Arial" w:cs="Arial"/>
        </w:rPr>
      </w:pPr>
      <w:r>
        <w:rPr>
          <w:rFonts w:ascii="Arial" w:hAnsi="Arial" w:cs="Arial"/>
        </w:rPr>
        <w:t>As before,</w:t>
      </w:r>
      <w:r w:rsidR="00B70E4C">
        <w:rPr>
          <w:rFonts w:ascii="Arial" w:hAnsi="Arial" w:cs="Arial"/>
        </w:rPr>
        <w:t xml:space="preserve"> comparison of predictions with observations is </w:t>
      </w:r>
      <w:r>
        <w:rPr>
          <w:rFonts w:ascii="Arial" w:hAnsi="Arial" w:cs="Arial"/>
        </w:rPr>
        <w:t xml:space="preserve">done using </w:t>
      </w:r>
      <w:r w:rsidR="00B70E4C">
        <w:rPr>
          <w:rFonts w:ascii="Arial" w:hAnsi="Arial" w:cs="Arial"/>
        </w:rPr>
        <w:t>the residual sum of squares (RSS): this is the sum of the squared differences between the predictions and the observations. Low RSS values indicate that the observations are relatively close to the predictions.</w:t>
      </w:r>
    </w:p>
    <w:p w:rsidR="00B70E4C" w:rsidRDefault="00B70E4C" w:rsidP="00B70E4C">
      <w:pPr>
        <w:spacing w:after="240" w:line="276" w:lineRule="auto"/>
        <w:jc w:val="both"/>
        <w:rPr>
          <w:rFonts w:ascii="Arial" w:hAnsi="Arial" w:cs="Arial"/>
        </w:rPr>
      </w:pPr>
      <w:r>
        <w:rPr>
          <w:rFonts w:ascii="Arial" w:hAnsi="Arial" w:cs="Arial"/>
        </w:rPr>
        <w:lastRenderedPageBreak/>
        <w:t xml:space="preserve">The RSS values are given in Table </w:t>
      </w:r>
      <w:r w:rsidR="00923CC2">
        <w:rPr>
          <w:rFonts w:ascii="Arial" w:hAnsi="Arial" w:cs="Arial"/>
        </w:rPr>
        <w:t>2</w:t>
      </w:r>
      <w:r>
        <w:rPr>
          <w:rFonts w:ascii="Arial" w:hAnsi="Arial" w:cs="Arial"/>
        </w:rPr>
        <w:t xml:space="preserve">. </w:t>
      </w:r>
    </w:p>
    <w:p w:rsidR="00B70E4C" w:rsidRPr="00357D70" w:rsidRDefault="00B70E4C" w:rsidP="004063AA">
      <w:pPr>
        <w:spacing w:after="0" w:line="240" w:lineRule="auto"/>
        <w:rPr>
          <w:rFonts w:ascii="Arial" w:hAnsi="Arial" w:cs="Arial"/>
          <w:i/>
        </w:rPr>
      </w:pPr>
      <w:r w:rsidRPr="00357D70">
        <w:rPr>
          <w:rFonts w:ascii="Arial" w:hAnsi="Arial" w:cs="Arial"/>
          <w:i/>
        </w:rPr>
        <w:t xml:space="preserve">Table </w:t>
      </w:r>
      <w:r w:rsidR="00923CC2">
        <w:rPr>
          <w:rFonts w:ascii="Arial" w:hAnsi="Arial" w:cs="Arial"/>
          <w:i/>
        </w:rPr>
        <w:t>2</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w:t>
      </w:r>
      <w:r w:rsidR="009E0EF9">
        <w:rPr>
          <w:rFonts w:ascii="Arial" w:hAnsi="Arial" w:cs="Arial"/>
          <w:i/>
        </w:rPr>
        <w:t>index options</w:t>
      </w:r>
      <w:r w:rsidRPr="00357D70">
        <w:rPr>
          <w:rFonts w:ascii="Arial" w:hAnsi="Arial" w:cs="Arial"/>
          <w:i/>
        </w:rPr>
        <w:t xml:space="preserve"> with the 2014/15 cost ratios</w:t>
      </w:r>
      <w:r>
        <w:rPr>
          <w:rFonts w:ascii="Arial" w:hAnsi="Arial" w:cs="Arial"/>
          <w:i/>
        </w:rPr>
        <w:t>. Lower values indicate the predictions ar</w:t>
      </w:r>
      <w:r w:rsidR="004B3637">
        <w:rPr>
          <w:rFonts w:ascii="Arial" w:hAnsi="Arial" w:cs="Arial"/>
          <w:i/>
        </w:rPr>
        <w:t>e closer to the observed value; the lowest value(s) for each diagnostic group are highlighted in bold and italics.</w:t>
      </w:r>
      <w:r w:rsidR="002753D8">
        <w:rPr>
          <w:rFonts w:ascii="Arial" w:hAnsi="Arial" w:cs="Arial"/>
          <w:i/>
        </w:rPr>
        <w:t xml:space="preserve"> LLTI-alone values are shown in red for reference.</w:t>
      </w:r>
    </w:p>
    <w:tbl>
      <w:tblPr>
        <w:tblStyle w:val="TableGrid"/>
        <w:tblW w:w="0" w:type="auto"/>
        <w:tblLook w:val="04A0"/>
      </w:tblPr>
      <w:tblGrid>
        <w:gridCol w:w="3652"/>
        <w:gridCol w:w="699"/>
        <w:gridCol w:w="699"/>
        <w:gridCol w:w="699"/>
        <w:gridCol w:w="698"/>
        <w:gridCol w:w="699"/>
        <w:gridCol w:w="699"/>
        <w:gridCol w:w="699"/>
      </w:tblGrid>
      <w:tr w:rsidR="007178BA" w:rsidTr="005279F8">
        <w:trPr>
          <w:trHeight w:val="1451"/>
        </w:trPr>
        <w:tc>
          <w:tcPr>
            <w:tcW w:w="3652" w:type="dxa"/>
            <w:vAlign w:val="center"/>
          </w:tcPr>
          <w:p w:rsidR="007178BA" w:rsidRPr="00523024" w:rsidRDefault="007178BA" w:rsidP="00523024">
            <w:pPr>
              <w:jc w:val="center"/>
              <w:rPr>
                <w:rFonts w:ascii="Arial" w:hAnsi="Arial" w:cs="Arial"/>
                <w:b/>
                <w:sz w:val="20"/>
                <w:szCs w:val="20"/>
              </w:rPr>
            </w:pPr>
            <w:r w:rsidRPr="00523024">
              <w:rPr>
                <w:rFonts w:ascii="Arial" w:hAnsi="Arial" w:cs="Arial"/>
                <w:b/>
                <w:sz w:val="20"/>
                <w:szCs w:val="20"/>
              </w:rPr>
              <w:t>Model</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Cancer</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Heart</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Digestive</w:t>
            </w:r>
          </w:p>
        </w:tc>
        <w:tc>
          <w:tcPr>
            <w:tcW w:w="698"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Injury</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Other</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Respiratory</w:t>
            </w:r>
          </w:p>
        </w:tc>
        <w:tc>
          <w:tcPr>
            <w:tcW w:w="699" w:type="dxa"/>
            <w:textDirection w:val="btLr"/>
            <w:vAlign w:val="center"/>
          </w:tcPr>
          <w:p w:rsidR="007178BA" w:rsidRPr="00357D70" w:rsidRDefault="007178BA" w:rsidP="004D104C">
            <w:pPr>
              <w:ind w:left="113" w:right="113"/>
              <w:jc w:val="center"/>
              <w:rPr>
                <w:rFonts w:ascii="Arial" w:eastAsia="Times New Roman" w:hAnsi="Arial" w:cs="Arial"/>
                <w:b/>
                <w:color w:val="000000"/>
                <w:sz w:val="20"/>
                <w:szCs w:val="20"/>
              </w:rPr>
            </w:pPr>
            <w:r w:rsidRPr="00357D70">
              <w:rPr>
                <w:rFonts w:ascii="Arial" w:eastAsia="Times New Roman" w:hAnsi="Arial" w:cs="Arial"/>
                <w:b/>
                <w:color w:val="000000"/>
                <w:sz w:val="20"/>
                <w:szCs w:val="20"/>
              </w:rPr>
              <w:t>Outpatients</w:t>
            </w:r>
          </w:p>
        </w:tc>
      </w:tr>
      <w:tr w:rsidR="007C2DE5" w:rsidRPr="002753D8" w:rsidTr="007C2DE5">
        <w:trPr>
          <w:trHeight w:val="397"/>
        </w:trPr>
        <w:tc>
          <w:tcPr>
            <w:tcW w:w="3652" w:type="dxa"/>
            <w:shd w:val="clear" w:color="auto" w:fill="E7E6E6" w:themeFill="background2"/>
            <w:vAlign w:val="center"/>
          </w:tcPr>
          <w:p w:rsidR="007C2DE5" w:rsidRPr="002753D8" w:rsidRDefault="007C2DE5" w:rsidP="007E510C">
            <w:pPr>
              <w:rPr>
                <w:rFonts w:ascii="Arial" w:hAnsi="Arial" w:cs="Arial"/>
                <w:color w:val="FF0000"/>
                <w:sz w:val="20"/>
                <w:szCs w:val="20"/>
              </w:rPr>
            </w:pPr>
            <w:r w:rsidRPr="002753D8">
              <w:rPr>
                <w:rFonts w:ascii="Arial" w:hAnsi="Arial" w:cs="Arial"/>
                <w:color w:val="FF0000"/>
                <w:sz w:val="20"/>
                <w:szCs w:val="20"/>
              </w:rPr>
              <w:t>[LLTI]</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3262</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3601</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2156</w:t>
            </w:r>
          </w:p>
        </w:tc>
        <w:tc>
          <w:tcPr>
            <w:tcW w:w="698"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2842</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807</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3520</w:t>
            </w:r>
          </w:p>
        </w:tc>
        <w:tc>
          <w:tcPr>
            <w:tcW w:w="699" w:type="dxa"/>
            <w:shd w:val="clear" w:color="auto" w:fill="E7E6E6" w:themeFill="background2"/>
            <w:vAlign w:val="center"/>
          </w:tcPr>
          <w:p w:rsidR="007C2DE5" w:rsidRPr="007C2DE5" w:rsidRDefault="007C2DE5" w:rsidP="007C2DE5">
            <w:pPr>
              <w:jc w:val="center"/>
              <w:rPr>
                <w:rFonts w:ascii="Arial" w:hAnsi="Arial" w:cs="Arial"/>
                <w:color w:val="FF0000"/>
                <w:sz w:val="20"/>
                <w:szCs w:val="20"/>
              </w:rPr>
            </w:pPr>
            <w:r w:rsidRPr="007C2DE5">
              <w:rPr>
                <w:rFonts w:ascii="Arial" w:hAnsi="Arial" w:cs="Arial"/>
                <w:color w:val="FF0000"/>
                <w:sz w:val="20"/>
                <w:szCs w:val="20"/>
              </w:rPr>
              <w:t>389</w:t>
            </w:r>
          </w:p>
        </w:tc>
      </w:tr>
      <w:tr w:rsidR="007C2DE5" w:rsidTr="007C2DE5">
        <w:trPr>
          <w:trHeight w:val="397"/>
        </w:trPr>
        <w:tc>
          <w:tcPr>
            <w:tcW w:w="3652" w:type="dxa"/>
            <w:vAlign w:val="center"/>
          </w:tcPr>
          <w:p w:rsidR="007C2DE5" w:rsidRPr="005935CC" w:rsidRDefault="007C2DE5" w:rsidP="007E510C">
            <w:pPr>
              <w:rPr>
                <w:rFonts w:ascii="Arial" w:hAnsi="Arial" w:cs="Arial"/>
                <w:sz w:val="20"/>
                <w:szCs w:val="20"/>
              </w:rPr>
            </w:pPr>
            <w:r w:rsidRPr="005935CC">
              <w:rPr>
                <w:rFonts w:ascii="Arial" w:hAnsi="Arial" w:cs="Arial"/>
                <w:sz w:val="20"/>
                <w:szCs w:val="20"/>
              </w:rPr>
              <w:t>[LLTI, All-cause SMR &lt;75]</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3264</w:t>
            </w:r>
          </w:p>
        </w:tc>
        <w:tc>
          <w:tcPr>
            <w:tcW w:w="699" w:type="dxa"/>
            <w:vAlign w:val="center"/>
          </w:tcPr>
          <w:p w:rsidR="007C2DE5" w:rsidRPr="00317312" w:rsidRDefault="007C2DE5" w:rsidP="007C2DE5">
            <w:pPr>
              <w:jc w:val="center"/>
              <w:rPr>
                <w:rFonts w:ascii="Arial" w:hAnsi="Arial" w:cs="Arial"/>
                <w:b/>
                <w:i/>
                <w:sz w:val="20"/>
                <w:szCs w:val="20"/>
              </w:rPr>
            </w:pPr>
            <w:r w:rsidRPr="00317312">
              <w:rPr>
                <w:rFonts w:ascii="Arial" w:hAnsi="Arial" w:cs="Arial"/>
                <w:b/>
                <w:i/>
                <w:sz w:val="20"/>
                <w:szCs w:val="20"/>
              </w:rPr>
              <w:t>3618</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2200</w:t>
            </w:r>
          </w:p>
        </w:tc>
        <w:tc>
          <w:tcPr>
            <w:tcW w:w="698" w:type="dxa"/>
            <w:vAlign w:val="center"/>
          </w:tcPr>
          <w:p w:rsidR="007C2DE5" w:rsidRPr="00317312" w:rsidRDefault="007C2DE5" w:rsidP="007C2DE5">
            <w:pPr>
              <w:jc w:val="center"/>
              <w:rPr>
                <w:rFonts w:ascii="Arial" w:hAnsi="Arial" w:cs="Arial"/>
                <w:b/>
                <w:sz w:val="20"/>
                <w:szCs w:val="20"/>
              </w:rPr>
            </w:pPr>
            <w:r w:rsidRPr="00317312">
              <w:rPr>
                <w:rFonts w:ascii="Arial" w:hAnsi="Arial" w:cs="Arial"/>
                <w:b/>
                <w:sz w:val="20"/>
                <w:szCs w:val="20"/>
              </w:rPr>
              <w:t>2852</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828</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3569</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396</w:t>
            </w:r>
          </w:p>
        </w:tc>
      </w:tr>
      <w:tr w:rsidR="007C2DE5" w:rsidTr="007C2DE5">
        <w:trPr>
          <w:trHeight w:val="397"/>
        </w:trPr>
        <w:tc>
          <w:tcPr>
            <w:tcW w:w="3652" w:type="dxa"/>
            <w:shd w:val="clear" w:color="auto" w:fill="E7E6E6" w:themeFill="background2"/>
            <w:vAlign w:val="center"/>
          </w:tcPr>
          <w:p w:rsidR="007C2DE5" w:rsidRPr="005935CC" w:rsidRDefault="007C2DE5" w:rsidP="007E510C">
            <w:pPr>
              <w:rPr>
                <w:rFonts w:ascii="Arial" w:hAnsi="Arial" w:cs="Arial"/>
                <w:sz w:val="20"/>
                <w:szCs w:val="20"/>
              </w:rPr>
            </w:pPr>
            <w:r w:rsidRPr="005935CC">
              <w:rPr>
                <w:rFonts w:ascii="Arial" w:hAnsi="Arial" w:cs="Arial"/>
                <w:sz w:val="20"/>
                <w:szCs w:val="20"/>
              </w:rPr>
              <w:t>[LLTI, All-cause SMR &lt;75, Ethnicity]</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3271</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3656</w:t>
            </w:r>
          </w:p>
        </w:tc>
        <w:tc>
          <w:tcPr>
            <w:tcW w:w="699" w:type="dxa"/>
            <w:shd w:val="clear" w:color="auto" w:fill="E7E6E6" w:themeFill="background2"/>
            <w:vAlign w:val="center"/>
          </w:tcPr>
          <w:p w:rsidR="007C2DE5" w:rsidRPr="00317312" w:rsidRDefault="007C2DE5" w:rsidP="007C2DE5">
            <w:pPr>
              <w:jc w:val="center"/>
              <w:rPr>
                <w:rFonts w:ascii="Arial" w:hAnsi="Arial" w:cs="Arial"/>
                <w:sz w:val="20"/>
                <w:szCs w:val="20"/>
              </w:rPr>
            </w:pPr>
            <w:r w:rsidRPr="00317312">
              <w:rPr>
                <w:rFonts w:ascii="Arial" w:hAnsi="Arial" w:cs="Arial"/>
                <w:sz w:val="20"/>
                <w:szCs w:val="20"/>
              </w:rPr>
              <w:t>2143</w:t>
            </w:r>
          </w:p>
        </w:tc>
        <w:tc>
          <w:tcPr>
            <w:tcW w:w="698"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2916</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820</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3626</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395</w:t>
            </w:r>
          </w:p>
        </w:tc>
      </w:tr>
      <w:tr w:rsidR="007C2DE5" w:rsidTr="007C2DE5">
        <w:trPr>
          <w:trHeight w:val="397"/>
        </w:trPr>
        <w:tc>
          <w:tcPr>
            <w:tcW w:w="3652" w:type="dxa"/>
            <w:shd w:val="clear" w:color="auto" w:fill="E7E6E6" w:themeFill="background2"/>
            <w:vAlign w:val="center"/>
          </w:tcPr>
          <w:p w:rsidR="007C2DE5" w:rsidRPr="005935CC" w:rsidRDefault="007C2DE5" w:rsidP="007E510C">
            <w:pPr>
              <w:rPr>
                <w:rFonts w:ascii="Arial" w:hAnsi="Arial" w:cs="Arial"/>
                <w:sz w:val="20"/>
                <w:szCs w:val="20"/>
              </w:rPr>
            </w:pPr>
            <w:r w:rsidRPr="005935CC">
              <w:rPr>
                <w:rFonts w:ascii="Arial" w:hAnsi="Arial" w:cs="Arial"/>
                <w:sz w:val="20"/>
                <w:szCs w:val="20"/>
              </w:rPr>
              <w:t>[LLTI, All-cause SMR &lt;75, Unpaid care]</w:t>
            </w:r>
          </w:p>
        </w:tc>
        <w:tc>
          <w:tcPr>
            <w:tcW w:w="699" w:type="dxa"/>
            <w:shd w:val="clear" w:color="auto" w:fill="E7E6E6" w:themeFill="background2"/>
            <w:vAlign w:val="center"/>
          </w:tcPr>
          <w:p w:rsidR="007C2DE5" w:rsidRPr="00317312" w:rsidRDefault="007C2DE5" w:rsidP="007C2DE5">
            <w:pPr>
              <w:jc w:val="center"/>
              <w:rPr>
                <w:rFonts w:ascii="Arial" w:hAnsi="Arial" w:cs="Arial"/>
                <w:b/>
                <w:i/>
                <w:sz w:val="20"/>
                <w:szCs w:val="20"/>
              </w:rPr>
            </w:pPr>
            <w:r w:rsidRPr="00317312">
              <w:rPr>
                <w:rFonts w:ascii="Arial" w:hAnsi="Arial" w:cs="Arial"/>
                <w:b/>
                <w:i/>
                <w:sz w:val="20"/>
                <w:szCs w:val="20"/>
              </w:rPr>
              <w:t>3262</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3620</w:t>
            </w:r>
          </w:p>
        </w:tc>
        <w:tc>
          <w:tcPr>
            <w:tcW w:w="699"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2157</w:t>
            </w:r>
          </w:p>
        </w:tc>
        <w:tc>
          <w:tcPr>
            <w:tcW w:w="698" w:type="dxa"/>
            <w:shd w:val="clear" w:color="auto" w:fill="E7E6E6" w:themeFill="background2"/>
            <w:vAlign w:val="center"/>
          </w:tcPr>
          <w:p w:rsidR="007C2DE5" w:rsidRDefault="007C2DE5" w:rsidP="007C2DE5">
            <w:pPr>
              <w:jc w:val="center"/>
              <w:rPr>
                <w:rFonts w:ascii="Arial" w:hAnsi="Arial" w:cs="Arial"/>
                <w:sz w:val="20"/>
                <w:szCs w:val="20"/>
              </w:rPr>
            </w:pPr>
            <w:r>
              <w:rPr>
                <w:rFonts w:ascii="Arial" w:hAnsi="Arial" w:cs="Arial"/>
                <w:sz w:val="20"/>
                <w:szCs w:val="20"/>
              </w:rPr>
              <w:t>2866</w:t>
            </w:r>
          </w:p>
        </w:tc>
        <w:tc>
          <w:tcPr>
            <w:tcW w:w="699" w:type="dxa"/>
            <w:shd w:val="clear" w:color="auto" w:fill="E7E6E6" w:themeFill="background2"/>
            <w:vAlign w:val="center"/>
          </w:tcPr>
          <w:p w:rsidR="007C2DE5" w:rsidRPr="00317312" w:rsidRDefault="007C2DE5" w:rsidP="007C2DE5">
            <w:pPr>
              <w:jc w:val="center"/>
              <w:rPr>
                <w:rFonts w:ascii="Arial" w:hAnsi="Arial" w:cs="Arial"/>
                <w:b/>
                <w:sz w:val="20"/>
                <w:szCs w:val="20"/>
              </w:rPr>
            </w:pPr>
            <w:r w:rsidRPr="00317312">
              <w:rPr>
                <w:rFonts w:ascii="Arial" w:hAnsi="Arial" w:cs="Arial"/>
                <w:b/>
                <w:sz w:val="20"/>
                <w:szCs w:val="20"/>
              </w:rPr>
              <w:t>808</w:t>
            </w:r>
          </w:p>
        </w:tc>
        <w:tc>
          <w:tcPr>
            <w:tcW w:w="699" w:type="dxa"/>
            <w:shd w:val="clear" w:color="auto" w:fill="E7E6E6" w:themeFill="background2"/>
            <w:vAlign w:val="center"/>
          </w:tcPr>
          <w:p w:rsidR="007C2DE5" w:rsidRPr="00317312" w:rsidRDefault="007C2DE5" w:rsidP="007C2DE5">
            <w:pPr>
              <w:jc w:val="center"/>
              <w:rPr>
                <w:rFonts w:ascii="Arial" w:hAnsi="Arial" w:cs="Arial"/>
                <w:b/>
                <w:sz w:val="20"/>
                <w:szCs w:val="20"/>
              </w:rPr>
            </w:pPr>
            <w:r w:rsidRPr="00317312">
              <w:rPr>
                <w:rFonts w:ascii="Arial" w:hAnsi="Arial" w:cs="Arial"/>
                <w:b/>
                <w:sz w:val="20"/>
                <w:szCs w:val="20"/>
              </w:rPr>
              <w:t>3545</w:t>
            </w:r>
          </w:p>
        </w:tc>
        <w:tc>
          <w:tcPr>
            <w:tcW w:w="699" w:type="dxa"/>
            <w:shd w:val="clear" w:color="auto" w:fill="E7E6E6" w:themeFill="background2"/>
            <w:vAlign w:val="center"/>
          </w:tcPr>
          <w:p w:rsidR="007C2DE5" w:rsidRPr="00317312" w:rsidRDefault="007C2DE5" w:rsidP="007C2DE5">
            <w:pPr>
              <w:jc w:val="center"/>
              <w:rPr>
                <w:rFonts w:ascii="Arial" w:hAnsi="Arial" w:cs="Arial"/>
                <w:b/>
                <w:sz w:val="20"/>
                <w:szCs w:val="20"/>
              </w:rPr>
            </w:pPr>
            <w:r w:rsidRPr="00317312">
              <w:rPr>
                <w:rFonts w:ascii="Arial" w:hAnsi="Arial" w:cs="Arial"/>
                <w:b/>
                <w:sz w:val="20"/>
                <w:szCs w:val="20"/>
              </w:rPr>
              <w:t>388</w:t>
            </w:r>
          </w:p>
        </w:tc>
      </w:tr>
      <w:tr w:rsidR="007C2DE5" w:rsidTr="007C2DE5">
        <w:trPr>
          <w:trHeight w:val="397"/>
        </w:trPr>
        <w:tc>
          <w:tcPr>
            <w:tcW w:w="3652" w:type="dxa"/>
            <w:vAlign w:val="center"/>
          </w:tcPr>
          <w:p w:rsidR="007C2DE5" w:rsidRPr="005935CC" w:rsidRDefault="007C2DE5" w:rsidP="00923CC2">
            <w:pPr>
              <w:rPr>
                <w:rFonts w:ascii="Arial" w:hAnsi="Arial" w:cs="Arial"/>
                <w:sz w:val="20"/>
                <w:szCs w:val="20"/>
              </w:rPr>
            </w:pPr>
            <w:r w:rsidRPr="005935CC">
              <w:rPr>
                <w:rFonts w:ascii="Arial" w:hAnsi="Arial" w:cs="Arial"/>
                <w:sz w:val="20"/>
                <w:szCs w:val="20"/>
              </w:rPr>
              <w:t>[LLTI, All-cause SMR &lt;75, Ethnicity, Unpaid care]</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3270</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3658</w:t>
            </w:r>
          </w:p>
        </w:tc>
        <w:tc>
          <w:tcPr>
            <w:tcW w:w="699" w:type="dxa"/>
            <w:vAlign w:val="center"/>
          </w:tcPr>
          <w:p w:rsidR="007C2DE5" w:rsidRPr="00317312" w:rsidRDefault="007C2DE5" w:rsidP="007C2DE5">
            <w:pPr>
              <w:jc w:val="center"/>
              <w:rPr>
                <w:rFonts w:ascii="Arial" w:hAnsi="Arial" w:cs="Arial"/>
                <w:b/>
                <w:i/>
                <w:sz w:val="20"/>
                <w:szCs w:val="20"/>
              </w:rPr>
            </w:pPr>
            <w:r w:rsidRPr="00317312">
              <w:rPr>
                <w:rFonts w:ascii="Arial" w:hAnsi="Arial" w:cs="Arial"/>
                <w:b/>
                <w:i/>
                <w:sz w:val="20"/>
                <w:szCs w:val="20"/>
              </w:rPr>
              <w:t>2134</w:t>
            </w:r>
          </w:p>
        </w:tc>
        <w:tc>
          <w:tcPr>
            <w:tcW w:w="698" w:type="dxa"/>
            <w:vAlign w:val="center"/>
          </w:tcPr>
          <w:p w:rsidR="007C2DE5" w:rsidRDefault="007C2DE5" w:rsidP="007C2DE5">
            <w:pPr>
              <w:jc w:val="center"/>
              <w:rPr>
                <w:rFonts w:ascii="Arial" w:hAnsi="Arial" w:cs="Arial"/>
                <w:sz w:val="20"/>
                <w:szCs w:val="20"/>
              </w:rPr>
            </w:pPr>
            <w:r>
              <w:rPr>
                <w:rFonts w:ascii="Arial" w:hAnsi="Arial" w:cs="Arial"/>
                <w:sz w:val="20"/>
                <w:szCs w:val="20"/>
              </w:rPr>
              <w:t>2921</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816</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3621</w:t>
            </w:r>
          </w:p>
        </w:tc>
        <w:tc>
          <w:tcPr>
            <w:tcW w:w="699" w:type="dxa"/>
            <w:vAlign w:val="center"/>
          </w:tcPr>
          <w:p w:rsidR="007C2DE5" w:rsidRDefault="007C2DE5" w:rsidP="007C2DE5">
            <w:pPr>
              <w:jc w:val="center"/>
              <w:rPr>
                <w:rFonts w:ascii="Arial" w:hAnsi="Arial" w:cs="Arial"/>
                <w:sz w:val="20"/>
                <w:szCs w:val="20"/>
              </w:rPr>
            </w:pPr>
            <w:r>
              <w:rPr>
                <w:rFonts w:ascii="Arial" w:hAnsi="Arial" w:cs="Arial"/>
                <w:sz w:val="20"/>
                <w:szCs w:val="20"/>
              </w:rPr>
              <w:t>391</w:t>
            </w:r>
          </w:p>
        </w:tc>
      </w:tr>
    </w:tbl>
    <w:p w:rsidR="00923CC2" w:rsidRDefault="00923CC2" w:rsidP="00935AC0">
      <w:pPr>
        <w:spacing w:after="240" w:line="276" w:lineRule="auto"/>
        <w:jc w:val="both"/>
        <w:rPr>
          <w:rFonts w:ascii="Arial" w:hAnsi="Arial" w:cs="Arial"/>
        </w:rPr>
      </w:pPr>
    </w:p>
    <w:p w:rsidR="00465641" w:rsidRPr="00D0093A" w:rsidRDefault="007C2DE5" w:rsidP="00465641">
      <w:pPr>
        <w:jc w:val="both"/>
        <w:rPr>
          <w:rFonts w:ascii="Arial" w:hAnsi="Arial" w:cs="Arial"/>
        </w:rPr>
      </w:pPr>
      <w:r>
        <w:rPr>
          <w:rFonts w:ascii="Arial" w:hAnsi="Arial" w:cs="Arial"/>
        </w:rPr>
        <w:t>One of the 3-variable models,</w:t>
      </w:r>
      <w:r w:rsidR="00465641">
        <w:rPr>
          <w:rFonts w:ascii="Arial" w:hAnsi="Arial" w:cs="Arial"/>
        </w:rPr>
        <w:t xml:space="preserve"> </w:t>
      </w:r>
      <w:r w:rsidR="00465641" w:rsidRPr="00D0093A">
        <w:rPr>
          <w:rFonts w:ascii="Arial" w:hAnsi="Arial" w:cs="Arial"/>
        </w:rPr>
        <w:t>[LLTI, All-cause SMR</w:t>
      </w:r>
      <w:r w:rsidR="006A6371">
        <w:rPr>
          <w:rFonts w:ascii="Arial" w:hAnsi="Arial" w:cs="Arial"/>
        </w:rPr>
        <w:t xml:space="preserve"> &lt;75</w:t>
      </w:r>
      <w:r w:rsidR="00465641" w:rsidRPr="00D0093A">
        <w:rPr>
          <w:rFonts w:ascii="Arial" w:hAnsi="Arial" w:cs="Arial"/>
        </w:rPr>
        <w:t>, Unpaid care]</w:t>
      </w:r>
      <w:r w:rsidR="00465641">
        <w:rPr>
          <w:rFonts w:ascii="Arial" w:hAnsi="Arial" w:cs="Arial"/>
        </w:rPr>
        <w:t>, produce</w:t>
      </w:r>
      <w:r>
        <w:rPr>
          <w:rFonts w:ascii="Arial" w:hAnsi="Arial" w:cs="Arial"/>
        </w:rPr>
        <w:t>s</w:t>
      </w:r>
      <w:r w:rsidR="00465641">
        <w:rPr>
          <w:rFonts w:ascii="Arial" w:hAnsi="Arial" w:cs="Arial"/>
        </w:rPr>
        <w:t xml:space="preserve"> the lowest RSS </w:t>
      </w:r>
      <w:r>
        <w:rPr>
          <w:rFonts w:ascii="Arial" w:hAnsi="Arial" w:cs="Arial"/>
        </w:rPr>
        <w:t xml:space="preserve">(not including the LLTI-alone values) </w:t>
      </w:r>
      <w:r w:rsidR="00465641">
        <w:rPr>
          <w:rFonts w:ascii="Arial" w:hAnsi="Arial" w:cs="Arial"/>
        </w:rPr>
        <w:t xml:space="preserve">for </w:t>
      </w:r>
      <w:r>
        <w:rPr>
          <w:rFonts w:ascii="Arial" w:hAnsi="Arial" w:cs="Arial"/>
        </w:rPr>
        <w:t>four</w:t>
      </w:r>
      <w:r w:rsidR="00465641">
        <w:rPr>
          <w:rFonts w:ascii="Arial" w:hAnsi="Arial" w:cs="Arial"/>
        </w:rPr>
        <w:t xml:space="preserve"> diagnostic groups.</w:t>
      </w:r>
    </w:p>
    <w:p w:rsidR="00465641" w:rsidRDefault="00465641" w:rsidP="00465641">
      <w:pPr>
        <w:spacing w:after="240" w:line="276" w:lineRule="auto"/>
        <w:jc w:val="both"/>
        <w:rPr>
          <w:rFonts w:ascii="Arial" w:hAnsi="Arial" w:cs="Arial"/>
        </w:rPr>
      </w:pPr>
      <w:r>
        <w:rPr>
          <w:rFonts w:ascii="Arial" w:hAnsi="Arial" w:cs="Arial"/>
        </w:rPr>
        <w:t xml:space="preserve">Since the diagnostic groups are not equally weighted, it is also useful to aggregate the predictions of the diagnostic groups, as will be done when the adjustment is implemented in the Formula, and compare those Acute-level predictions with an overall Acute-level cost ratio. Table 3 shows the results of doing this. In this analysis, </w:t>
      </w:r>
      <w:r w:rsidRPr="00D0093A">
        <w:rPr>
          <w:rFonts w:ascii="Arial" w:hAnsi="Arial" w:cs="Arial"/>
        </w:rPr>
        <w:t>[LLTI, All-cause SMR</w:t>
      </w:r>
      <w:r w:rsidR="006A6371">
        <w:rPr>
          <w:rFonts w:ascii="Arial" w:hAnsi="Arial" w:cs="Arial"/>
        </w:rPr>
        <w:t xml:space="preserve"> &lt;75</w:t>
      </w:r>
      <w:r w:rsidRPr="00D0093A">
        <w:rPr>
          <w:rFonts w:ascii="Arial" w:hAnsi="Arial" w:cs="Arial"/>
        </w:rPr>
        <w:t>, Unpaid care]</w:t>
      </w:r>
      <w:r>
        <w:rPr>
          <w:rFonts w:ascii="Arial" w:hAnsi="Arial" w:cs="Arial"/>
        </w:rPr>
        <w:t xml:space="preserve"> appears to make the most accurate predictions overall</w:t>
      </w:r>
      <w:r w:rsidR="007C2DE5">
        <w:rPr>
          <w:rFonts w:ascii="Arial" w:hAnsi="Arial" w:cs="Arial"/>
        </w:rPr>
        <w:t xml:space="preserve"> (again, excluding LLTI alone)</w:t>
      </w:r>
      <w:r>
        <w:rPr>
          <w:rFonts w:ascii="Arial" w:hAnsi="Arial" w:cs="Arial"/>
        </w:rPr>
        <w:t>, followed by [LLTI, All-cause SMR</w:t>
      </w:r>
      <w:r w:rsidRPr="00D0093A">
        <w:rPr>
          <w:rFonts w:ascii="Arial" w:hAnsi="Arial" w:cs="Arial"/>
        </w:rPr>
        <w:t>]</w:t>
      </w:r>
      <w:r>
        <w:rPr>
          <w:rFonts w:ascii="Arial" w:hAnsi="Arial" w:cs="Arial"/>
        </w:rPr>
        <w:t>.</w:t>
      </w:r>
    </w:p>
    <w:p w:rsidR="004521D1" w:rsidRPr="00357D70" w:rsidRDefault="004521D1" w:rsidP="004521D1">
      <w:pPr>
        <w:spacing w:after="0" w:line="240" w:lineRule="auto"/>
        <w:rPr>
          <w:rFonts w:ascii="Arial" w:hAnsi="Arial" w:cs="Arial"/>
          <w:i/>
        </w:rPr>
      </w:pPr>
      <w:r w:rsidRPr="00357D70">
        <w:rPr>
          <w:rFonts w:ascii="Arial" w:hAnsi="Arial" w:cs="Arial"/>
          <w:i/>
        </w:rPr>
        <w:t xml:space="preserve">Table </w:t>
      </w:r>
      <w:r>
        <w:rPr>
          <w:rFonts w:ascii="Arial" w:hAnsi="Arial" w:cs="Arial"/>
          <w:i/>
        </w:rPr>
        <w:t>3:</w:t>
      </w:r>
      <w:r w:rsidRPr="00357D70">
        <w:rPr>
          <w:rFonts w:ascii="Arial" w:hAnsi="Arial" w:cs="Arial"/>
          <w:i/>
        </w:rPr>
        <w:t xml:space="preserve"> RSS obtained </w:t>
      </w:r>
      <w:r>
        <w:rPr>
          <w:rFonts w:ascii="Arial" w:hAnsi="Arial" w:cs="Arial"/>
          <w:i/>
        </w:rPr>
        <w:t>from comparing predictions derived from</w:t>
      </w:r>
      <w:r w:rsidRPr="00357D70">
        <w:rPr>
          <w:rFonts w:ascii="Arial" w:hAnsi="Arial" w:cs="Arial"/>
          <w:i/>
        </w:rPr>
        <w:t xml:space="preserve"> the </w:t>
      </w:r>
      <w:r>
        <w:rPr>
          <w:rFonts w:ascii="Arial" w:hAnsi="Arial" w:cs="Arial"/>
          <w:i/>
        </w:rPr>
        <w:t>index options</w:t>
      </w:r>
      <w:r w:rsidRPr="00357D70">
        <w:rPr>
          <w:rFonts w:ascii="Arial" w:hAnsi="Arial" w:cs="Arial"/>
          <w:i/>
        </w:rPr>
        <w:t xml:space="preserve"> </w:t>
      </w:r>
      <w:r>
        <w:rPr>
          <w:rFonts w:ascii="Arial" w:hAnsi="Arial" w:cs="Arial"/>
          <w:i/>
        </w:rPr>
        <w:t xml:space="preserve">– aggregated to </w:t>
      </w:r>
      <w:proofErr w:type="gramStart"/>
      <w:r>
        <w:rPr>
          <w:rFonts w:ascii="Arial" w:hAnsi="Arial" w:cs="Arial"/>
          <w:i/>
        </w:rPr>
        <w:t>Acute</w:t>
      </w:r>
      <w:proofErr w:type="gramEnd"/>
      <w:r>
        <w:rPr>
          <w:rFonts w:ascii="Arial" w:hAnsi="Arial" w:cs="Arial"/>
          <w:i/>
        </w:rPr>
        <w:t xml:space="preserve"> level – </w:t>
      </w:r>
      <w:r w:rsidRPr="00357D70">
        <w:rPr>
          <w:rFonts w:ascii="Arial" w:hAnsi="Arial" w:cs="Arial"/>
          <w:i/>
        </w:rPr>
        <w:t>with</w:t>
      </w:r>
      <w:r>
        <w:rPr>
          <w:rFonts w:ascii="Arial" w:hAnsi="Arial" w:cs="Arial"/>
          <w:i/>
        </w:rPr>
        <w:t xml:space="preserve"> </w:t>
      </w:r>
      <w:r w:rsidRPr="00357D70">
        <w:rPr>
          <w:rFonts w:ascii="Arial" w:hAnsi="Arial" w:cs="Arial"/>
          <w:i/>
        </w:rPr>
        <w:t xml:space="preserve">the 2014/15 </w:t>
      </w:r>
      <w:r>
        <w:rPr>
          <w:rFonts w:ascii="Arial" w:hAnsi="Arial" w:cs="Arial"/>
          <w:i/>
        </w:rPr>
        <w:t xml:space="preserve">overall Acute </w:t>
      </w:r>
      <w:r w:rsidRPr="00357D70">
        <w:rPr>
          <w:rFonts w:ascii="Arial" w:hAnsi="Arial" w:cs="Arial"/>
          <w:i/>
        </w:rPr>
        <w:t>cost ratios</w:t>
      </w:r>
      <w:r>
        <w:rPr>
          <w:rFonts w:ascii="Arial" w:hAnsi="Arial" w:cs="Arial"/>
          <w:i/>
        </w:rPr>
        <w:t xml:space="preserve">. </w:t>
      </w:r>
      <w:r w:rsidR="002753D8">
        <w:rPr>
          <w:rFonts w:ascii="Arial" w:hAnsi="Arial" w:cs="Arial"/>
          <w:i/>
        </w:rPr>
        <w:t>LLTI-alone values are shown in red for reference.</w:t>
      </w:r>
    </w:p>
    <w:tbl>
      <w:tblPr>
        <w:tblStyle w:val="TableGrid"/>
        <w:tblW w:w="0" w:type="auto"/>
        <w:tblLook w:val="04A0"/>
      </w:tblPr>
      <w:tblGrid>
        <w:gridCol w:w="3652"/>
        <w:gridCol w:w="1418"/>
      </w:tblGrid>
      <w:tr w:rsidR="004521D1" w:rsidTr="004521D1">
        <w:trPr>
          <w:trHeight w:val="1451"/>
        </w:trPr>
        <w:tc>
          <w:tcPr>
            <w:tcW w:w="3652" w:type="dxa"/>
            <w:vAlign w:val="center"/>
          </w:tcPr>
          <w:p w:rsidR="004521D1" w:rsidRPr="00523024" w:rsidRDefault="004521D1" w:rsidP="00C72758">
            <w:pPr>
              <w:jc w:val="center"/>
              <w:rPr>
                <w:rFonts w:ascii="Arial" w:hAnsi="Arial" w:cs="Arial"/>
                <w:b/>
                <w:sz w:val="20"/>
                <w:szCs w:val="20"/>
              </w:rPr>
            </w:pPr>
            <w:r w:rsidRPr="00523024">
              <w:rPr>
                <w:rFonts w:ascii="Arial" w:hAnsi="Arial" w:cs="Arial"/>
                <w:b/>
                <w:sz w:val="20"/>
                <w:szCs w:val="20"/>
              </w:rPr>
              <w:t>Model</w:t>
            </w:r>
          </w:p>
        </w:tc>
        <w:tc>
          <w:tcPr>
            <w:tcW w:w="1418" w:type="dxa"/>
            <w:vAlign w:val="center"/>
          </w:tcPr>
          <w:p w:rsidR="004521D1" w:rsidRPr="00357D70" w:rsidRDefault="004521D1" w:rsidP="004521D1">
            <w:pPr>
              <w:jc w:val="center"/>
              <w:rPr>
                <w:rFonts w:ascii="Arial" w:eastAsia="Times New Roman" w:hAnsi="Arial" w:cs="Arial"/>
                <w:b/>
                <w:color w:val="000000"/>
                <w:sz w:val="20"/>
                <w:szCs w:val="20"/>
              </w:rPr>
            </w:pPr>
            <w:r>
              <w:rPr>
                <w:rFonts w:ascii="Arial" w:eastAsia="Times New Roman" w:hAnsi="Arial" w:cs="Arial"/>
                <w:b/>
                <w:color w:val="000000"/>
                <w:sz w:val="20"/>
                <w:szCs w:val="20"/>
              </w:rPr>
              <w:t>Aggregated diagnostic groups</w:t>
            </w:r>
          </w:p>
        </w:tc>
      </w:tr>
      <w:tr w:rsidR="007C2DE5" w:rsidRPr="002753D8" w:rsidTr="007C2DE5">
        <w:trPr>
          <w:trHeight w:val="397"/>
        </w:trPr>
        <w:tc>
          <w:tcPr>
            <w:tcW w:w="3652" w:type="dxa"/>
            <w:shd w:val="clear" w:color="auto" w:fill="E7E6E6" w:themeFill="background2"/>
            <w:vAlign w:val="center"/>
          </w:tcPr>
          <w:p w:rsidR="007C2DE5" w:rsidRPr="002753D8" w:rsidRDefault="007C2DE5" w:rsidP="00C72758">
            <w:pPr>
              <w:rPr>
                <w:rFonts w:ascii="Arial" w:hAnsi="Arial" w:cs="Arial"/>
                <w:color w:val="FF0000"/>
                <w:sz w:val="20"/>
                <w:szCs w:val="20"/>
              </w:rPr>
            </w:pPr>
            <w:r w:rsidRPr="002753D8">
              <w:rPr>
                <w:rFonts w:ascii="Arial" w:hAnsi="Arial" w:cs="Arial"/>
                <w:color w:val="FF0000"/>
                <w:sz w:val="20"/>
                <w:szCs w:val="20"/>
              </w:rPr>
              <w:t>[LLTI]</w:t>
            </w:r>
          </w:p>
        </w:tc>
        <w:tc>
          <w:tcPr>
            <w:tcW w:w="1418" w:type="dxa"/>
            <w:shd w:val="clear" w:color="auto" w:fill="E7E6E6" w:themeFill="background2"/>
            <w:vAlign w:val="center"/>
          </w:tcPr>
          <w:p w:rsidR="007C2DE5" w:rsidRPr="00317312" w:rsidRDefault="007C2DE5" w:rsidP="007C2DE5">
            <w:pPr>
              <w:jc w:val="center"/>
              <w:rPr>
                <w:rFonts w:ascii="Arial" w:hAnsi="Arial" w:cs="Arial"/>
                <w:color w:val="FF0000"/>
                <w:sz w:val="20"/>
                <w:szCs w:val="20"/>
              </w:rPr>
            </w:pPr>
            <w:r w:rsidRPr="00317312">
              <w:rPr>
                <w:rFonts w:ascii="Arial" w:hAnsi="Arial" w:cs="Arial"/>
                <w:color w:val="FF0000"/>
                <w:sz w:val="20"/>
                <w:szCs w:val="20"/>
              </w:rPr>
              <w:t>451</w:t>
            </w:r>
          </w:p>
        </w:tc>
      </w:tr>
      <w:tr w:rsidR="007C2DE5" w:rsidTr="007C2DE5">
        <w:trPr>
          <w:trHeight w:val="397"/>
        </w:trPr>
        <w:tc>
          <w:tcPr>
            <w:tcW w:w="3652" w:type="dxa"/>
            <w:vAlign w:val="center"/>
          </w:tcPr>
          <w:p w:rsidR="007C2DE5" w:rsidRPr="005935CC" w:rsidRDefault="007C2DE5" w:rsidP="00C72758">
            <w:pPr>
              <w:rPr>
                <w:rFonts w:ascii="Arial" w:hAnsi="Arial" w:cs="Arial"/>
                <w:sz w:val="20"/>
                <w:szCs w:val="20"/>
              </w:rPr>
            </w:pPr>
            <w:r w:rsidRPr="005935CC">
              <w:rPr>
                <w:rFonts w:ascii="Arial" w:hAnsi="Arial" w:cs="Arial"/>
                <w:sz w:val="20"/>
                <w:szCs w:val="20"/>
              </w:rPr>
              <w:t>[LLTI, All-cause SMR</w:t>
            </w:r>
            <w:r w:rsidRPr="005935CC">
              <w:rPr>
                <w:sz w:val="20"/>
                <w:szCs w:val="20"/>
              </w:rPr>
              <w:t xml:space="preserve"> </w:t>
            </w:r>
            <w:r w:rsidRPr="005935CC">
              <w:rPr>
                <w:rFonts w:ascii="Arial" w:hAnsi="Arial" w:cs="Arial"/>
                <w:sz w:val="20"/>
                <w:szCs w:val="20"/>
              </w:rPr>
              <w:t>&lt;75]</w:t>
            </w:r>
          </w:p>
        </w:tc>
        <w:tc>
          <w:tcPr>
            <w:tcW w:w="1418" w:type="dxa"/>
            <w:vAlign w:val="center"/>
          </w:tcPr>
          <w:p w:rsidR="007C2DE5" w:rsidRPr="00AA049D" w:rsidRDefault="007C2DE5" w:rsidP="007C2DE5">
            <w:pPr>
              <w:jc w:val="center"/>
              <w:rPr>
                <w:rFonts w:ascii="Arial" w:hAnsi="Arial" w:cs="Arial"/>
                <w:sz w:val="20"/>
                <w:szCs w:val="20"/>
              </w:rPr>
            </w:pPr>
            <w:r>
              <w:rPr>
                <w:rFonts w:ascii="Arial" w:hAnsi="Arial" w:cs="Arial"/>
                <w:sz w:val="20"/>
                <w:szCs w:val="20"/>
              </w:rPr>
              <w:t>461</w:t>
            </w:r>
          </w:p>
        </w:tc>
      </w:tr>
      <w:tr w:rsidR="007C2DE5" w:rsidTr="007C2DE5">
        <w:trPr>
          <w:trHeight w:val="397"/>
        </w:trPr>
        <w:tc>
          <w:tcPr>
            <w:tcW w:w="3652" w:type="dxa"/>
            <w:shd w:val="clear" w:color="auto" w:fill="E7E6E6" w:themeFill="background2"/>
            <w:vAlign w:val="center"/>
          </w:tcPr>
          <w:p w:rsidR="007C2DE5" w:rsidRPr="005935CC" w:rsidRDefault="007C2DE5" w:rsidP="00C72758">
            <w:pPr>
              <w:rPr>
                <w:rFonts w:ascii="Arial" w:hAnsi="Arial" w:cs="Arial"/>
                <w:sz w:val="20"/>
                <w:szCs w:val="20"/>
              </w:rPr>
            </w:pPr>
            <w:r w:rsidRPr="005935CC">
              <w:rPr>
                <w:rFonts w:ascii="Arial" w:hAnsi="Arial" w:cs="Arial"/>
                <w:sz w:val="20"/>
                <w:szCs w:val="20"/>
              </w:rPr>
              <w:t>[LLTI, All-cause SMR &lt;75, Ethnicity]</w:t>
            </w:r>
          </w:p>
        </w:tc>
        <w:tc>
          <w:tcPr>
            <w:tcW w:w="1418" w:type="dxa"/>
            <w:shd w:val="clear" w:color="auto" w:fill="E7E6E6" w:themeFill="background2"/>
            <w:vAlign w:val="center"/>
          </w:tcPr>
          <w:p w:rsidR="007C2DE5" w:rsidRPr="00AA049D" w:rsidRDefault="007C2DE5" w:rsidP="007C2DE5">
            <w:pPr>
              <w:jc w:val="center"/>
              <w:rPr>
                <w:rFonts w:ascii="Arial" w:hAnsi="Arial" w:cs="Arial"/>
                <w:sz w:val="20"/>
                <w:szCs w:val="20"/>
              </w:rPr>
            </w:pPr>
            <w:r>
              <w:rPr>
                <w:rFonts w:ascii="Arial" w:hAnsi="Arial" w:cs="Arial"/>
                <w:sz w:val="20"/>
                <w:szCs w:val="20"/>
              </w:rPr>
              <w:t>471</w:t>
            </w:r>
          </w:p>
        </w:tc>
      </w:tr>
      <w:tr w:rsidR="007C2DE5" w:rsidTr="007C2DE5">
        <w:trPr>
          <w:trHeight w:val="397"/>
        </w:trPr>
        <w:tc>
          <w:tcPr>
            <w:tcW w:w="3652" w:type="dxa"/>
            <w:shd w:val="clear" w:color="auto" w:fill="E7E6E6" w:themeFill="background2"/>
            <w:vAlign w:val="center"/>
          </w:tcPr>
          <w:p w:rsidR="007C2DE5" w:rsidRPr="005935CC" w:rsidRDefault="007C2DE5" w:rsidP="00C72758">
            <w:pPr>
              <w:rPr>
                <w:rFonts w:ascii="Arial" w:hAnsi="Arial" w:cs="Arial"/>
                <w:sz w:val="20"/>
                <w:szCs w:val="20"/>
              </w:rPr>
            </w:pPr>
            <w:r w:rsidRPr="005935CC">
              <w:rPr>
                <w:rFonts w:ascii="Arial" w:hAnsi="Arial" w:cs="Arial"/>
                <w:sz w:val="20"/>
                <w:szCs w:val="20"/>
              </w:rPr>
              <w:t>[LLTI, All-cause SMR &lt;75, Unpaid care]</w:t>
            </w:r>
          </w:p>
        </w:tc>
        <w:tc>
          <w:tcPr>
            <w:tcW w:w="1418" w:type="dxa"/>
            <w:shd w:val="clear" w:color="auto" w:fill="E7E6E6" w:themeFill="background2"/>
            <w:vAlign w:val="center"/>
          </w:tcPr>
          <w:p w:rsidR="007C2DE5" w:rsidRPr="00317312" w:rsidRDefault="007C2DE5" w:rsidP="007C2DE5">
            <w:pPr>
              <w:jc w:val="center"/>
              <w:rPr>
                <w:rFonts w:ascii="Arial" w:hAnsi="Arial" w:cs="Arial"/>
                <w:b/>
                <w:i/>
                <w:sz w:val="20"/>
                <w:szCs w:val="20"/>
              </w:rPr>
            </w:pPr>
            <w:r w:rsidRPr="00317312">
              <w:rPr>
                <w:rFonts w:ascii="Arial" w:hAnsi="Arial" w:cs="Arial"/>
                <w:b/>
                <w:i/>
                <w:sz w:val="20"/>
                <w:szCs w:val="20"/>
              </w:rPr>
              <w:t>452</w:t>
            </w:r>
          </w:p>
        </w:tc>
      </w:tr>
      <w:tr w:rsidR="007C2DE5" w:rsidTr="007C2DE5">
        <w:trPr>
          <w:trHeight w:val="397"/>
        </w:trPr>
        <w:tc>
          <w:tcPr>
            <w:tcW w:w="3652" w:type="dxa"/>
            <w:vAlign w:val="center"/>
          </w:tcPr>
          <w:p w:rsidR="007C2DE5" w:rsidRPr="005935CC" w:rsidRDefault="007C2DE5" w:rsidP="00C72758">
            <w:pPr>
              <w:rPr>
                <w:rFonts w:ascii="Arial" w:hAnsi="Arial" w:cs="Arial"/>
                <w:sz w:val="20"/>
                <w:szCs w:val="20"/>
              </w:rPr>
            </w:pPr>
            <w:r w:rsidRPr="005935CC">
              <w:rPr>
                <w:rFonts w:ascii="Arial" w:hAnsi="Arial" w:cs="Arial"/>
                <w:sz w:val="20"/>
                <w:szCs w:val="20"/>
              </w:rPr>
              <w:t>[LLTI, All-cause SMR &lt;75, Ethnicity, Unpaid care]</w:t>
            </w:r>
          </w:p>
        </w:tc>
        <w:tc>
          <w:tcPr>
            <w:tcW w:w="1418" w:type="dxa"/>
            <w:vAlign w:val="center"/>
          </w:tcPr>
          <w:p w:rsidR="007C2DE5" w:rsidRPr="00AA049D" w:rsidRDefault="007C2DE5" w:rsidP="007C2DE5">
            <w:pPr>
              <w:jc w:val="center"/>
              <w:rPr>
                <w:rFonts w:ascii="Arial" w:hAnsi="Arial" w:cs="Arial"/>
                <w:sz w:val="20"/>
                <w:szCs w:val="20"/>
              </w:rPr>
            </w:pPr>
            <w:r>
              <w:rPr>
                <w:rFonts w:ascii="Arial" w:hAnsi="Arial" w:cs="Arial"/>
                <w:sz w:val="20"/>
                <w:szCs w:val="20"/>
              </w:rPr>
              <w:t>463</w:t>
            </w:r>
          </w:p>
        </w:tc>
      </w:tr>
    </w:tbl>
    <w:p w:rsidR="004521D1" w:rsidRDefault="004521D1" w:rsidP="00935AC0">
      <w:pPr>
        <w:spacing w:after="240" w:line="276" w:lineRule="auto"/>
        <w:jc w:val="both"/>
        <w:rPr>
          <w:rFonts w:ascii="Arial" w:hAnsi="Arial" w:cs="Arial"/>
        </w:rPr>
      </w:pPr>
    </w:p>
    <w:p w:rsidR="00465641" w:rsidRDefault="00465641">
      <w:pPr>
        <w:rPr>
          <w:rFonts w:ascii="Arial" w:hAnsi="Arial" w:cs="Arial"/>
          <w:b/>
        </w:rPr>
      </w:pPr>
      <w:r>
        <w:rPr>
          <w:rFonts w:ascii="Arial" w:hAnsi="Arial" w:cs="Arial"/>
          <w:b/>
        </w:rPr>
        <w:br w:type="page"/>
      </w:r>
    </w:p>
    <w:p w:rsidR="00877B99" w:rsidRPr="000A6310" w:rsidRDefault="00923CC2" w:rsidP="00E852D0">
      <w:pPr>
        <w:spacing w:after="240" w:line="276" w:lineRule="auto"/>
        <w:jc w:val="both"/>
        <w:rPr>
          <w:rFonts w:ascii="Arial" w:hAnsi="Arial" w:cs="Arial"/>
        </w:rPr>
      </w:pPr>
      <w:r>
        <w:rPr>
          <w:rFonts w:ascii="Arial" w:hAnsi="Arial" w:cs="Arial"/>
          <w:b/>
        </w:rPr>
        <w:lastRenderedPageBreak/>
        <w:t>3</w:t>
      </w:r>
      <w:r w:rsidR="00D0093A">
        <w:rPr>
          <w:rFonts w:ascii="Arial" w:hAnsi="Arial" w:cs="Arial"/>
          <w:b/>
        </w:rPr>
        <w:t>.</w:t>
      </w:r>
      <w:r>
        <w:rPr>
          <w:rFonts w:ascii="Arial" w:hAnsi="Arial" w:cs="Arial"/>
          <w:b/>
        </w:rPr>
        <w:t xml:space="preserve"> </w:t>
      </w:r>
      <w:r w:rsidR="00800315">
        <w:rPr>
          <w:rFonts w:ascii="Arial" w:hAnsi="Arial" w:cs="Arial"/>
          <w:b/>
        </w:rPr>
        <w:t>TAGRA Core Criteria</w:t>
      </w:r>
    </w:p>
    <w:p w:rsidR="00800315" w:rsidRDefault="00800315" w:rsidP="00465641">
      <w:pPr>
        <w:spacing w:after="240" w:line="276" w:lineRule="auto"/>
        <w:jc w:val="both"/>
        <w:rPr>
          <w:rFonts w:ascii="Arial" w:hAnsi="Arial" w:cs="Arial"/>
        </w:rPr>
      </w:pPr>
      <w:r>
        <w:rPr>
          <w:rFonts w:ascii="Arial" w:hAnsi="Arial" w:cs="Arial"/>
        </w:rPr>
        <w:t xml:space="preserve">The following table provides comments on each of the models in relation to the TAGRA Core Criteria. Positive comments are highlighted in green, negative in red. These have been scored to provide a summary evaluation. </w:t>
      </w:r>
    </w:p>
    <w:p w:rsidR="00800315" w:rsidRDefault="00800315" w:rsidP="00800315">
      <w:pPr>
        <w:spacing w:after="0" w:line="276" w:lineRule="auto"/>
        <w:jc w:val="both"/>
        <w:rPr>
          <w:rFonts w:ascii="Arial" w:hAnsi="Arial" w:cs="Arial"/>
        </w:rPr>
      </w:pPr>
      <w:proofErr w:type="gramStart"/>
      <w:r>
        <w:rPr>
          <w:rFonts w:ascii="Arial" w:hAnsi="Arial" w:cs="Arial"/>
          <w:i/>
        </w:rPr>
        <w:t>Table 4.</w:t>
      </w:r>
      <w:proofErr w:type="gramEnd"/>
      <w:r>
        <w:rPr>
          <w:rFonts w:ascii="Arial" w:hAnsi="Arial" w:cs="Arial"/>
          <w:i/>
        </w:rPr>
        <w:t xml:space="preserve"> </w:t>
      </w:r>
      <w:proofErr w:type="gramStart"/>
      <w:r w:rsidRPr="00F02A6A">
        <w:rPr>
          <w:rFonts w:ascii="Arial" w:hAnsi="Arial" w:cs="Arial"/>
          <w:i/>
        </w:rPr>
        <w:t xml:space="preserve">TAGRA core criteria evaluation for </w:t>
      </w:r>
      <w:r>
        <w:rPr>
          <w:rFonts w:ascii="Arial" w:hAnsi="Arial" w:cs="Arial"/>
          <w:i/>
        </w:rPr>
        <w:t>different variable combinations</w:t>
      </w:r>
      <w:r w:rsidRPr="00F02A6A">
        <w:rPr>
          <w:rFonts w:ascii="Arial" w:hAnsi="Arial" w:cs="Arial"/>
          <w:i/>
        </w:rPr>
        <w:t>.</w:t>
      </w:r>
      <w:proofErr w:type="gramEnd"/>
    </w:p>
    <w:tbl>
      <w:tblPr>
        <w:tblStyle w:val="TableGrid"/>
        <w:tblW w:w="0" w:type="auto"/>
        <w:tblLayout w:type="fixed"/>
        <w:tblLook w:val="04A0"/>
      </w:tblPr>
      <w:tblGrid>
        <w:gridCol w:w="2093"/>
        <w:gridCol w:w="1787"/>
        <w:gridCol w:w="1787"/>
        <w:gridCol w:w="1787"/>
        <w:gridCol w:w="1788"/>
      </w:tblGrid>
      <w:tr w:rsidR="00800315" w:rsidTr="00EE2A83">
        <w:trPr>
          <w:cantSplit/>
          <w:trHeight w:val="233"/>
        </w:trPr>
        <w:tc>
          <w:tcPr>
            <w:tcW w:w="2093" w:type="dxa"/>
            <w:vAlign w:val="center"/>
          </w:tcPr>
          <w:p w:rsidR="00800315" w:rsidRPr="004852E8" w:rsidRDefault="00800315" w:rsidP="00EE2A83">
            <w:pPr>
              <w:rPr>
                <w:rFonts w:ascii="Arial" w:hAnsi="Arial" w:cs="Arial"/>
                <w:b/>
                <w:sz w:val="20"/>
                <w:szCs w:val="20"/>
              </w:rPr>
            </w:pPr>
          </w:p>
        </w:tc>
        <w:tc>
          <w:tcPr>
            <w:tcW w:w="1787" w:type="dxa"/>
          </w:tcPr>
          <w:p w:rsidR="00800315" w:rsidRPr="008A0085" w:rsidRDefault="00800315" w:rsidP="00EE2A83">
            <w:pPr>
              <w:spacing w:before="120" w:after="120"/>
              <w:rPr>
                <w:rFonts w:ascii="Arial" w:hAnsi="Arial" w:cs="Arial"/>
                <w:b/>
                <w:sz w:val="20"/>
                <w:szCs w:val="20"/>
              </w:rPr>
            </w:pPr>
            <w:r w:rsidRPr="008A0085">
              <w:rPr>
                <w:rFonts w:ascii="Arial" w:hAnsi="Arial" w:cs="Arial"/>
                <w:b/>
                <w:sz w:val="20"/>
                <w:szCs w:val="20"/>
              </w:rPr>
              <w:t>LLTI, All-cause SMR</w:t>
            </w:r>
            <w:r>
              <w:rPr>
                <w:rFonts w:ascii="Arial" w:hAnsi="Arial" w:cs="Arial"/>
                <w:b/>
                <w:sz w:val="20"/>
                <w:szCs w:val="20"/>
              </w:rPr>
              <w:t xml:space="preserve"> </w:t>
            </w:r>
            <w:r w:rsidRPr="008A0085">
              <w:rPr>
                <w:rFonts w:ascii="Arial" w:hAnsi="Arial" w:cs="Arial"/>
                <w:b/>
                <w:sz w:val="20"/>
                <w:szCs w:val="20"/>
              </w:rPr>
              <w:t>&lt;75</w:t>
            </w:r>
          </w:p>
        </w:tc>
        <w:tc>
          <w:tcPr>
            <w:tcW w:w="1787" w:type="dxa"/>
          </w:tcPr>
          <w:p w:rsidR="00800315" w:rsidRPr="008A0085" w:rsidRDefault="00800315" w:rsidP="00EE2A83">
            <w:pPr>
              <w:spacing w:before="120" w:after="120"/>
              <w:rPr>
                <w:rFonts w:ascii="Arial" w:hAnsi="Arial" w:cs="Arial"/>
                <w:b/>
                <w:sz w:val="20"/>
                <w:szCs w:val="20"/>
              </w:rPr>
            </w:pPr>
            <w:r w:rsidRPr="008A0085">
              <w:rPr>
                <w:rFonts w:ascii="Arial" w:hAnsi="Arial" w:cs="Arial"/>
                <w:b/>
                <w:sz w:val="20"/>
                <w:szCs w:val="20"/>
              </w:rPr>
              <w:t>LLTI, All-cause SMR</w:t>
            </w:r>
            <w:r>
              <w:rPr>
                <w:rFonts w:ascii="Arial" w:hAnsi="Arial" w:cs="Arial"/>
                <w:b/>
                <w:sz w:val="20"/>
                <w:szCs w:val="20"/>
              </w:rPr>
              <w:t xml:space="preserve"> </w:t>
            </w:r>
            <w:r w:rsidRPr="008A0085">
              <w:rPr>
                <w:rFonts w:ascii="Arial" w:hAnsi="Arial" w:cs="Arial"/>
                <w:b/>
                <w:sz w:val="20"/>
                <w:szCs w:val="20"/>
              </w:rPr>
              <w:t>&lt;75,</w:t>
            </w:r>
            <w:r>
              <w:rPr>
                <w:rFonts w:ascii="Arial" w:hAnsi="Arial" w:cs="Arial"/>
                <w:b/>
                <w:sz w:val="20"/>
                <w:szCs w:val="20"/>
              </w:rPr>
              <w:t xml:space="preserve"> U</w:t>
            </w:r>
            <w:r w:rsidRPr="008A0085">
              <w:rPr>
                <w:rFonts w:ascii="Arial" w:hAnsi="Arial" w:cs="Arial"/>
                <w:b/>
                <w:sz w:val="20"/>
                <w:szCs w:val="20"/>
              </w:rPr>
              <w:t>npaid care</w:t>
            </w:r>
          </w:p>
        </w:tc>
        <w:tc>
          <w:tcPr>
            <w:tcW w:w="1787" w:type="dxa"/>
          </w:tcPr>
          <w:p w:rsidR="00800315" w:rsidRPr="008A0085" w:rsidRDefault="00800315" w:rsidP="00EE2A83">
            <w:pPr>
              <w:spacing w:before="120" w:after="120"/>
              <w:rPr>
                <w:rFonts w:ascii="Arial" w:hAnsi="Arial" w:cs="Arial"/>
                <w:b/>
                <w:sz w:val="20"/>
                <w:szCs w:val="20"/>
              </w:rPr>
            </w:pPr>
            <w:r w:rsidRPr="008A0085">
              <w:rPr>
                <w:rFonts w:ascii="Arial" w:hAnsi="Arial" w:cs="Arial"/>
                <w:b/>
                <w:sz w:val="20"/>
                <w:szCs w:val="20"/>
              </w:rPr>
              <w:t>LLTI, All-cause SMR</w:t>
            </w:r>
            <w:r>
              <w:rPr>
                <w:rFonts w:ascii="Arial" w:hAnsi="Arial" w:cs="Arial"/>
                <w:b/>
                <w:sz w:val="20"/>
                <w:szCs w:val="20"/>
              </w:rPr>
              <w:t xml:space="preserve"> </w:t>
            </w:r>
            <w:r w:rsidRPr="008A0085">
              <w:rPr>
                <w:rFonts w:ascii="Arial" w:hAnsi="Arial" w:cs="Arial"/>
                <w:b/>
                <w:sz w:val="20"/>
                <w:szCs w:val="20"/>
              </w:rPr>
              <w:t>&lt;75,</w:t>
            </w:r>
            <w:r>
              <w:rPr>
                <w:rFonts w:ascii="Arial" w:hAnsi="Arial" w:cs="Arial"/>
                <w:b/>
                <w:sz w:val="20"/>
                <w:szCs w:val="20"/>
              </w:rPr>
              <w:t xml:space="preserve"> Ethnicity</w:t>
            </w:r>
          </w:p>
        </w:tc>
        <w:tc>
          <w:tcPr>
            <w:tcW w:w="1788" w:type="dxa"/>
          </w:tcPr>
          <w:p w:rsidR="00800315" w:rsidRPr="008A0085" w:rsidRDefault="00800315" w:rsidP="00EE2A83">
            <w:pPr>
              <w:spacing w:before="120" w:after="120"/>
              <w:rPr>
                <w:rFonts w:ascii="Arial" w:hAnsi="Arial" w:cs="Arial"/>
                <w:b/>
                <w:sz w:val="20"/>
                <w:szCs w:val="20"/>
              </w:rPr>
            </w:pPr>
            <w:r w:rsidRPr="008A0085">
              <w:rPr>
                <w:rFonts w:ascii="Arial" w:hAnsi="Arial" w:cs="Arial"/>
                <w:b/>
                <w:sz w:val="20"/>
                <w:szCs w:val="20"/>
              </w:rPr>
              <w:t>LLTI, All-cause SMR</w:t>
            </w:r>
            <w:r>
              <w:rPr>
                <w:rFonts w:ascii="Arial" w:hAnsi="Arial" w:cs="Arial"/>
                <w:b/>
                <w:sz w:val="20"/>
                <w:szCs w:val="20"/>
              </w:rPr>
              <w:t xml:space="preserve"> </w:t>
            </w:r>
            <w:r w:rsidRPr="008A0085">
              <w:rPr>
                <w:rFonts w:ascii="Arial" w:hAnsi="Arial" w:cs="Arial"/>
                <w:b/>
                <w:sz w:val="20"/>
                <w:szCs w:val="20"/>
              </w:rPr>
              <w:t>&lt;75,</w:t>
            </w:r>
            <w:r>
              <w:rPr>
                <w:rFonts w:ascii="Arial" w:hAnsi="Arial" w:cs="Arial"/>
                <w:b/>
                <w:sz w:val="20"/>
                <w:szCs w:val="20"/>
              </w:rPr>
              <w:t xml:space="preserve"> Unpaid care, Ethnicity</w:t>
            </w:r>
          </w:p>
        </w:tc>
      </w:tr>
      <w:tr w:rsidR="00800315" w:rsidTr="00EE2A83">
        <w:trPr>
          <w:cantSplit/>
          <w:trHeight w:val="232"/>
        </w:trPr>
        <w:tc>
          <w:tcPr>
            <w:tcW w:w="2093" w:type="dxa"/>
            <w:vAlign w:val="center"/>
          </w:tcPr>
          <w:p w:rsidR="00800315" w:rsidRPr="004852E8" w:rsidRDefault="00800315" w:rsidP="00EE2A83">
            <w:pPr>
              <w:rPr>
                <w:rFonts w:ascii="Arial" w:hAnsi="Arial" w:cs="Arial"/>
                <w:b/>
                <w:sz w:val="20"/>
                <w:szCs w:val="20"/>
              </w:rPr>
            </w:pPr>
            <w:r w:rsidRPr="004852E8">
              <w:rPr>
                <w:rFonts w:ascii="Arial" w:hAnsi="Arial" w:cs="Arial"/>
                <w:b/>
                <w:sz w:val="20"/>
                <w:szCs w:val="20"/>
              </w:rPr>
              <w:t>Equity</w:t>
            </w:r>
          </w:p>
        </w:tc>
        <w:tc>
          <w:tcPr>
            <w:tcW w:w="1787" w:type="dxa"/>
          </w:tcPr>
          <w:p w:rsidR="00800315" w:rsidRPr="004852E8" w:rsidRDefault="00800315" w:rsidP="00EE2A83">
            <w:pPr>
              <w:spacing w:before="120" w:after="120"/>
              <w:rPr>
                <w:rFonts w:ascii="Arial" w:hAnsi="Arial" w:cs="Arial"/>
                <w:sz w:val="20"/>
                <w:szCs w:val="20"/>
              </w:rPr>
            </w:pPr>
          </w:p>
        </w:tc>
        <w:tc>
          <w:tcPr>
            <w:tcW w:w="1787" w:type="dxa"/>
          </w:tcPr>
          <w:p w:rsidR="00800315" w:rsidRPr="005354C8" w:rsidRDefault="00800315" w:rsidP="00EE2A83">
            <w:pPr>
              <w:spacing w:before="120" w:after="120"/>
              <w:rPr>
                <w:rFonts w:ascii="Arial" w:hAnsi="Arial" w:cs="Arial"/>
                <w:color w:val="00B050"/>
                <w:sz w:val="20"/>
                <w:szCs w:val="20"/>
              </w:rPr>
            </w:pPr>
            <w:r w:rsidRPr="005354C8">
              <w:rPr>
                <w:rFonts w:ascii="Arial" w:hAnsi="Arial" w:cs="Arial"/>
                <w:color w:val="00B050"/>
                <w:sz w:val="20"/>
                <w:szCs w:val="20"/>
              </w:rPr>
              <w:t>+ Equity would perhaps favour either of 3 or 4-variable models over LLTI alone, since these models can pick up need relating to unpaid caregiving or ethnicity.</w:t>
            </w:r>
          </w:p>
        </w:tc>
        <w:tc>
          <w:tcPr>
            <w:tcW w:w="1787" w:type="dxa"/>
          </w:tcPr>
          <w:p w:rsidR="00800315" w:rsidRPr="005354C8" w:rsidRDefault="00800315" w:rsidP="00EE2A83">
            <w:pPr>
              <w:spacing w:before="120" w:after="120"/>
              <w:rPr>
                <w:rFonts w:ascii="Arial" w:hAnsi="Arial" w:cs="Arial"/>
                <w:color w:val="00B050"/>
                <w:sz w:val="20"/>
                <w:szCs w:val="20"/>
              </w:rPr>
            </w:pPr>
            <w:r w:rsidRPr="005354C8">
              <w:rPr>
                <w:rFonts w:ascii="Arial" w:hAnsi="Arial" w:cs="Arial"/>
                <w:color w:val="00B050"/>
                <w:sz w:val="20"/>
                <w:szCs w:val="20"/>
              </w:rPr>
              <w:t>+ Equity would perhaps favour either of the 3 or 4-variable models over LLTI alone, since these models can pick up need relating to unpaid caregiving or ethnicity.</w:t>
            </w:r>
          </w:p>
        </w:tc>
        <w:tc>
          <w:tcPr>
            <w:tcW w:w="1788" w:type="dxa"/>
          </w:tcPr>
          <w:p w:rsidR="00800315" w:rsidRPr="005354C8" w:rsidRDefault="00800315" w:rsidP="00EE2A83">
            <w:pPr>
              <w:spacing w:before="120" w:after="120"/>
              <w:rPr>
                <w:rFonts w:ascii="Arial" w:hAnsi="Arial" w:cs="Arial"/>
                <w:color w:val="00B050"/>
                <w:sz w:val="20"/>
                <w:szCs w:val="20"/>
              </w:rPr>
            </w:pPr>
            <w:r w:rsidRPr="005354C8">
              <w:rPr>
                <w:rFonts w:ascii="Arial" w:hAnsi="Arial" w:cs="Arial"/>
                <w:color w:val="00B050"/>
                <w:sz w:val="20"/>
                <w:szCs w:val="20"/>
              </w:rPr>
              <w:t>+ Equity would perhaps favour either of the 3 or 4-variable models over LLTI alone, since these models can pick up need relating to unpaid caregiving or ethnicity.</w:t>
            </w: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Practicality</w:t>
            </w:r>
          </w:p>
        </w:tc>
        <w:tc>
          <w:tcPr>
            <w:tcW w:w="1787" w:type="dxa"/>
          </w:tcPr>
          <w:p w:rsidR="008E640B" w:rsidRPr="008E640B" w:rsidRDefault="008E640B" w:rsidP="00EE2A83">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c>
          <w:tcPr>
            <w:tcW w:w="1787" w:type="dxa"/>
          </w:tcPr>
          <w:p w:rsidR="008E640B" w:rsidRPr="008E640B" w:rsidRDefault="008E640B" w:rsidP="008E640B">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c>
          <w:tcPr>
            <w:tcW w:w="1787" w:type="dxa"/>
          </w:tcPr>
          <w:p w:rsidR="008E640B" w:rsidRPr="008E640B" w:rsidRDefault="008E640B" w:rsidP="008E640B">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c>
          <w:tcPr>
            <w:tcW w:w="1788" w:type="dxa"/>
          </w:tcPr>
          <w:p w:rsidR="008E640B" w:rsidRPr="008E640B" w:rsidRDefault="008E640B" w:rsidP="008E640B">
            <w:pPr>
              <w:spacing w:before="120" w:after="120"/>
              <w:rPr>
                <w:rFonts w:ascii="Arial" w:hAnsi="Arial" w:cs="Arial"/>
                <w:sz w:val="20"/>
                <w:szCs w:val="20"/>
              </w:rPr>
            </w:pPr>
            <w:r w:rsidRPr="008E640B">
              <w:rPr>
                <w:rFonts w:ascii="Arial" w:hAnsi="Arial" w:cs="Arial"/>
                <w:sz w:val="20"/>
                <w:szCs w:val="20"/>
              </w:rPr>
              <w:t>Similar level of work involved in updating each index option</w:t>
            </w: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Transparency</w:t>
            </w:r>
          </w:p>
        </w:tc>
        <w:tc>
          <w:tcPr>
            <w:tcW w:w="1787" w:type="dxa"/>
          </w:tcPr>
          <w:p w:rsidR="008E640B" w:rsidRPr="004852E8" w:rsidRDefault="008E640B" w:rsidP="00EE2A83">
            <w:pPr>
              <w:spacing w:before="120" w:after="120"/>
              <w:rPr>
                <w:rFonts w:ascii="Arial" w:hAnsi="Arial" w:cs="Arial"/>
                <w:sz w:val="20"/>
                <w:szCs w:val="20"/>
              </w:rPr>
            </w:pPr>
          </w:p>
        </w:tc>
        <w:tc>
          <w:tcPr>
            <w:tcW w:w="1787"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The nature of the association between unpaid care and acute costs is not well understood.</w:t>
            </w:r>
          </w:p>
        </w:tc>
        <w:tc>
          <w:tcPr>
            <w:tcW w:w="1787" w:type="dxa"/>
          </w:tcPr>
          <w:p w:rsidR="008E640B" w:rsidRPr="004852E8" w:rsidRDefault="008E640B" w:rsidP="00EE2A83">
            <w:pPr>
              <w:spacing w:before="120" w:after="120"/>
              <w:rPr>
                <w:rFonts w:ascii="Arial" w:hAnsi="Arial" w:cs="Arial"/>
                <w:sz w:val="20"/>
                <w:szCs w:val="20"/>
              </w:rPr>
            </w:pPr>
          </w:p>
        </w:tc>
        <w:tc>
          <w:tcPr>
            <w:tcW w:w="1788"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The nature of the association between unpaid care and acute costs is not well understood.</w:t>
            </w: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Objectivity</w:t>
            </w:r>
          </w:p>
        </w:tc>
        <w:tc>
          <w:tcPr>
            <w:tcW w:w="1787" w:type="dxa"/>
          </w:tcPr>
          <w:p w:rsidR="008E640B" w:rsidRPr="008E640B" w:rsidRDefault="008E640B" w:rsidP="008E640B">
            <w:pPr>
              <w:spacing w:before="120" w:after="120"/>
              <w:rPr>
                <w:rFonts w:ascii="Arial" w:hAnsi="Arial" w:cs="Arial"/>
                <w:color w:val="FF0000"/>
                <w:sz w:val="20"/>
                <w:szCs w:val="20"/>
              </w:rPr>
            </w:pPr>
            <w:r w:rsidRPr="008E640B">
              <w:rPr>
                <w:rFonts w:ascii="Arial" w:hAnsi="Arial" w:cs="Arial"/>
                <w:color w:val="FF0000"/>
                <w:sz w:val="20"/>
                <w:szCs w:val="20"/>
              </w:rPr>
              <w:t xml:space="preserve">- </w:t>
            </w:r>
            <w:r>
              <w:rPr>
                <w:rFonts w:ascii="Arial" w:hAnsi="Arial" w:cs="Arial"/>
                <w:color w:val="FF0000"/>
                <w:sz w:val="20"/>
                <w:szCs w:val="20"/>
              </w:rPr>
              <w:t>This option has the l</w:t>
            </w:r>
            <w:r w:rsidRPr="008E640B">
              <w:rPr>
                <w:rFonts w:ascii="Arial" w:hAnsi="Arial" w:cs="Arial"/>
                <w:color w:val="FF0000"/>
                <w:sz w:val="20"/>
                <w:szCs w:val="20"/>
              </w:rPr>
              <w:t>owest weighted average R</w:t>
            </w:r>
            <w:r w:rsidRPr="008E640B">
              <w:rPr>
                <w:rFonts w:ascii="Arial" w:hAnsi="Arial" w:cs="Arial"/>
                <w:color w:val="FF0000"/>
                <w:sz w:val="20"/>
                <w:szCs w:val="20"/>
                <w:vertAlign w:val="superscript"/>
              </w:rPr>
              <w:t>2</w:t>
            </w:r>
            <w:r w:rsidRPr="008E640B">
              <w:rPr>
                <w:rFonts w:ascii="Arial" w:hAnsi="Arial" w:cs="Arial"/>
                <w:color w:val="FF0000"/>
                <w:sz w:val="20"/>
                <w:szCs w:val="20"/>
              </w:rPr>
              <w:t xml:space="preserve"> value</w:t>
            </w:r>
            <w:r>
              <w:rPr>
                <w:rFonts w:ascii="Arial" w:hAnsi="Arial" w:cs="Arial"/>
                <w:color w:val="FF0000"/>
                <w:sz w:val="20"/>
                <w:szCs w:val="20"/>
              </w:rPr>
              <w:t>.</w:t>
            </w:r>
          </w:p>
        </w:tc>
        <w:tc>
          <w:tcPr>
            <w:tcW w:w="1787" w:type="dxa"/>
          </w:tcPr>
          <w:p w:rsidR="008E640B" w:rsidRPr="005354C8" w:rsidRDefault="008E640B" w:rsidP="00EE2A83">
            <w:pPr>
              <w:spacing w:before="120" w:after="120"/>
              <w:rPr>
                <w:rFonts w:ascii="Arial" w:hAnsi="Arial" w:cs="Arial"/>
                <w:color w:val="00B050"/>
                <w:sz w:val="20"/>
                <w:szCs w:val="20"/>
              </w:rPr>
            </w:pPr>
            <w:r w:rsidRPr="005354C8">
              <w:rPr>
                <w:rFonts w:ascii="Arial" w:hAnsi="Arial" w:cs="Arial"/>
                <w:color w:val="00B050"/>
                <w:sz w:val="20"/>
                <w:szCs w:val="20"/>
              </w:rPr>
              <w:t>+ The statistical analysis marginally favours this option.</w:t>
            </w:r>
          </w:p>
        </w:tc>
        <w:tc>
          <w:tcPr>
            <w:tcW w:w="1787" w:type="dxa"/>
          </w:tcPr>
          <w:p w:rsidR="008E640B" w:rsidRPr="008977DB" w:rsidRDefault="008E640B" w:rsidP="00EE2A83">
            <w:pPr>
              <w:spacing w:before="120" w:after="120"/>
              <w:rPr>
                <w:rFonts w:ascii="Arial" w:hAnsi="Arial" w:cs="Arial"/>
                <w:color w:val="FF0000"/>
                <w:sz w:val="20"/>
                <w:szCs w:val="20"/>
              </w:rPr>
            </w:pPr>
            <w:r>
              <w:rPr>
                <w:rFonts w:ascii="Arial" w:hAnsi="Arial" w:cs="Arial"/>
                <w:color w:val="FF0000"/>
                <w:sz w:val="20"/>
                <w:szCs w:val="20"/>
              </w:rPr>
              <w:t>-  Overall the statistical analysis does not favour this option.</w:t>
            </w:r>
          </w:p>
        </w:tc>
        <w:tc>
          <w:tcPr>
            <w:tcW w:w="1788" w:type="dxa"/>
          </w:tcPr>
          <w:p w:rsidR="008E640B" w:rsidRPr="004852E8" w:rsidRDefault="008E640B" w:rsidP="00EE2A83">
            <w:pPr>
              <w:spacing w:before="120" w:after="120"/>
              <w:rPr>
                <w:rFonts w:ascii="Arial" w:hAnsi="Arial" w:cs="Arial"/>
                <w:sz w:val="20"/>
                <w:szCs w:val="20"/>
              </w:rPr>
            </w:pP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Avoiding Perverse Incentives</w:t>
            </w:r>
          </w:p>
        </w:tc>
        <w:tc>
          <w:tcPr>
            <w:tcW w:w="1787" w:type="dxa"/>
          </w:tcPr>
          <w:p w:rsidR="008E640B" w:rsidRPr="00F3688B" w:rsidRDefault="008E640B" w:rsidP="00EE2A83">
            <w:pPr>
              <w:spacing w:before="120" w:after="120"/>
              <w:rPr>
                <w:rFonts w:ascii="Arial" w:hAnsi="Arial" w:cs="Arial"/>
                <w:sz w:val="20"/>
                <w:szCs w:val="20"/>
              </w:rPr>
            </w:pPr>
            <w:r w:rsidRPr="005354C8">
              <w:rPr>
                <w:rFonts w:ascii="Arial" w:hAnsi="Arial" w:cs="Arial"/>
                <w:color w:val="00B050"/>
                <w:sz w:val="20"/>
                <w:szCs w:val="20"/>
              </w:rPr>
              <w:t>+ The elements of this model are all demand side variables and are therefore not susceptible to variations in supply provision.</w:t>
            </w:r>
          </w:p>
        </w:tc>
        <w:tc>
          <w:tcPr>
            <w:tcW w:w="1787" w:type="dxa"/>
          </w:tcPr>
          <w:p w:rsidR="008E640B" w:rsidRPr="00333E4B" w:rsidRDefault="008E640B" w:rsidP="00EE2A83">
            <w:pPr>
              <w:spacing w:before="120" w:after="120"/>
              <w:rPr>
                <w:rFonts w:ascii="Arial" w:hAnsi="Arial" w:cs="Arial"/>
                <w:sz w:val="20"/>
                <w:szCs w:val="20"/>
                <w:vertAlign w:val="subscript"/>
              </w:rPr>
            </w:pPr>
          </w:p>
        </w:tc>
        <w:tc>
          <w:tcPr>
            <w:tcW w:w="1787" w:type="dxa"/>
          </w:tcPr>
          <w:p w:rsidR="008E640B" w:rsidRPr="005354C8" w:rsidRDefault="008E640B" w:rsidP="00EE2A83">
            <w:pPr>
              <w:spacing w:before="120" w:after="120"/>
              <w:rPr>
                <w:rFonts w:ascii="Arial" w:hAnsi="Arial" w:cs="Arial"/>
                <w:color w:val="00B050"/>
                <w:sz w:val="20"/>
                <w:szCs w:val="20"/>
              </w:rPr>
            </w:pPr>
            <w:r w:rsidRPr="005354C8">
              <w:rPr>
                <w:rFonts w:ascii="Arial" w:hAnsi="Arial" w:cs="Arial"/>
                <w:color w:val="00B050"/>
                <w:sz w:val="20"/>
                <w:szCs w:val="20"/>
              </w:rPr>
              <w:t>+ The elements of this model are all demand side variables and are therefore not susceptible to variations in supply provision.</w:t>
            </w:r>
          </w:p>
        </w:tc>
        <w:tc>
          <w:tcPr>
            <w:tcW w:w="1788" w:type="dxa"/>
          </w:tcPr>
          <w:p w:rsidR="008E640B" w:rsidRPr="00333E4B" w:rsidRDefault="008E640B" w:rsidP="00EE2A83">
            <w:pPr>
              <w:spacing w:before="120" w:after="120"/>
              <w:rPr>
                <w:rFonts w:ascii="Arial" w:hAnsi="Arial" w:cs="Arial"/>
                <w:sz w:val="20"/>
                <w:szCs w:val="20"/>
                <w:vertAlign w:val="subscript"/>
              </w:rPr>
            </w:pP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Relevance</w:t>
            </w:r>
          </w:p>
        </w:tc>
        <w:tc>
          <w:tcPr>
            <w:tcW w:w="1787" w:type="dxa"/>
          </w:tcPr>
          <w:p w:rsidR="008E640B" w:rsidRPr="005354C8" w:rsidRDefault="008E640B" w:rsidP="00EE2A83">
            <w:pPr>
              <w:spacing w:before="120" w:after="120"/>
              <w:rPr>
                <w:rFonts w:ascii="Arial" w:hAnsi="Arial" w:cs="Arial"/>
                <w:color w:val="00B050"/>
                <w:sz w:val="20"/>
                <w:szCs w:val="20"/>
              </w:rPr>
            </w:pPr>
            <w:r w:rsidRPr="005354C8">
              <w:rPr>
                <w:rFonts w:ascii="Arial" w:hAnsi="Arial" w:cs="Arial"/>
                <w:color w:val="00B050"/>
                <w:sz w:val="20"/>
                <w:szCs w:val="20"/>
              </w:rPr>
              <w:t xml:space="preserve">+ All variables have a strong theoretical / intuitive link to healthcare need </w:t>
            </w:r>
          </w:p>
        </w:tc>
        <w:tc>
          <w:tcPr>
            <w:tcW w:w="1787" w:type="dxa"/>
          </w:tcPr>
          <w:p w:rsidR="008E640B" w:rsidRPr="004852E8" w:rsidRDefault="008E640B" w:rsidP="00EE2A83">
            <w:pPr>
              <w:spacing w:before="120" w:after="120"/>
              <w:rPr>
                <w:rFonts w:ascii="Arial" w:hAnsi="Arial" w:cs="Arial"/>
                <w:sz w:val="20"/>
                <w:szCs w:val="20"/>
              </w:rPr>
            </w:pPr>
          </w:p>
        </w:tc>
        <w:tc>
          <w:tcPr>
            <w:tcW w:w="1787" w:type="dxa"/>
          </w:tcPr>
          <w:p w:rsidR="008E640B" w:rsidRPr="005354C8" w:rsidRDefault="008E640B" w:rsidP="00EE2A83">
            <w:pPr>
              <w:spacing w:before="120" w:after="120"/>
              <w:rPr>
                <w:rFonts w:ascii="Arial" w:hAnsi="Arial" w:cs="Arial"/>
                <w:color w:val="00B050"/>
                <w:sz w:val="20"/>
                <w:szCs w:val="20"/>
              </w:rPr>
            </w:pPr>
            <w:r w:rsidRPr="005354C8">
              <w:rPr>
                <w:rFonts w:ascii="Arial" w:hAnsi="Arial" w:cs="Arial"/>
                <w:color w:val="00B050"/>
                <w:sz w:val="20"/>
                <w:szCs w:val="20"/>
              </w:rPr>
              <w:t>+ All variables have a strong theoretical / intuitive link to healthcare need</w:t>
            </w:r>
          </w:p>
        </w:tc>
        <w:tc>
          <w:tcPr>
            <w:tcW w:w="1788" w:type="dxa"/>
          </w:tcPr>
          <w:p w:rsidR="008E640B" w:rsidRPr="004852E8" w:rsidRDefault="008E640B" w:rsidP="00EE2A83">
            <w:pPr>
              <w:spacing w:before="120" w:after="120"/>
              <w:rPr>
                <w:rFonts w:ascii="Arial" w:hAnsi="Arial" w:cs="Arial"/>
                <w:sz w:val="20"/>
                <w:szCs w:val="20"/>
              </w:rPr>
            </w:pP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lastRenderedPageBreak/>
              <w:t>Stability</w:t>
            </w:r>
          </w:p>
        </w:tc>
        <w:tc>
          <w:tcPr>
            <w:tcW w:w="1787" w:type="dxa"/>
          </w:tcPr>
          <w:p w:rsidR="008E640B" w:rsidRPr="004E1530" w:rsidRDefault="008E640B" w:rsidP="00EE2A83">
            <w:pPr>
              <w:spacing w:before="120" w:after="120"/>
              <w:rPr>
                <w:rFonts w:ascii="Arial" w:hAnsi="Arial" w:cs="Arial"/>
                <w:color w:val="00B050"/>
                <w:sz w:val="20"/>
                <w:szCs w:val="20"/>
              </w:rPr>
            </w:pPr>
            <w:r>
              <w:rPr>
                <w:rFonts w:ascii="Arial" w:hAnsi="Arial" w:cs="Arial"/>
                <w:color w:val="00B050"/>
                <w:sz w:val="20"/>
                <w:szCs w:val="20"/>
              </w:rPr>
              <w:t>+ Keeping the current index would result in minimal changes to the target shares.</w:t>
            </w:r>
          </w:p>
        </w:tc>
        <w:tc>
          <w:tcPr>
            <w:tcW w:w="1787" w:type="dxa"/>
          </w:tcPr>
          <w:p w:rsidR="008E640B" w:rsidRPr="004852E8" w:rsidRDefault="008E640B" w:rsidP="00EE2A83">
            <w:pPr>
              <w:spacing w:before="120" w:after="120"/>
              <w:rPr>
                <w:rFonts w:ascii="Arial" w:hAnsi="Arial" w:cs="Arial"/>
                <w:sz w:val="20"/>
                <w:szCs w:val="20"/>
              </w:rPr>
            </w:pPr>
          </w:p>
        </w:tc>
        <w:tc>
          <w:tcPr>
            <w:tcW w:w="1787" w:type="dxa"/>
          </w:tcPr>
          <w:p w:rsidR="008E640B" w:rsidRPr="005354C8" w:rsidRDefault="008E640B" w:rsidP="00EE2A83">
            <w:pPr>
              <w:spacing w:before="120" w:after="120"/>
              <w:rPr>
                <w:rFonts w:ascii="Arial" w:hAnsi="Arial" w:cs="Arial"/>
                <w:color w:val="FF0000"/>
                <w:sz w:val="20"/>
                <w:szCs w:val="20"/>
              </w:rPr>
            </w:pPr>
          </w:p>
        </w:tc>
        <w:tc>
          <w:tcPr>
            <w:tcW w:w="1788" w:type="dxa"/>
          </w:tcPr>
          <w:p w:rsidR="008E640B" w:rsidRPr="005354C8" w:rsidRDefault="008E640B" w:rsidP="001C6294">
            <w:pPr>
              <w:spacing w:before="120" w:after="120"/>
              <w:rPr>
                <w:rFonts w:ascii="Arial" w:hAnsi="Arial" w:cs="Arial"/>
                <w:color w:val="FF0000"/>
                <w:sz w:val="20"/>
                <w:szCs w:val="20"/>
              </w:rPr>
            </w:pP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Responsiveness</w:t>
            </w:r>
          </w:p>
        </w:tc>
        <w:tc>
          <w:tcPr>
            <w:tcW w:w="1787" w:type="dxa"/>
          </w:tcPr>
          <w:p w:rsidR="008E640B" w:rsidRPr="004852E8" w:rsidRDefault="008E640B" w:rsidP="00EE2A83">
            <w:pPr>
              <w:spacing w:before="120" w:after="120"/>
              <w:rPr>
                <w:rFonts w:ascii="Arial" w:hAnsi="Arial" w:cs="Arial"/>
                <w:sz w:val="20"/>
                <w:szCs w:val="20"/>
              </w:rPr>
            </w:pPr>
          </w:p>
        </w:tc>
        <w:tc>
          <w:tcPr>
            <w:tcW w:w="1787" w:type="dxa"/>
          </w:tcPr>
          <w:p w:rsidR="008E640B" w:rsidRPr="005354C8" w:rsidRDefault="008E640B" w:rsidP="001C6294">
            <w:pPr>
              <w:spacing w:before="120" w:after="120"/>
              <w:rPr>
                <w:rFonts w:ascii="Arial" w:hAnsi="Arial" w:cs="Arial"/>
                <w:color w:val="FF0000"/>
                <w:sz w:val="20"/>
                <w:szCs w:val="20"/>
              </w:rPr>
            </w:pPr>
            <w:r w:rsidRPr="005354C8">
              <w:rPr>
                <w:rFonts w:ascii="Arial" w:hAnsi="Arial" w:cs="Arial"/>
                <w:color w:val="FF0000"/>
                <w:sz w:val="20"/>
                <w:szCs w:val="20"/>
              </w:rPr>
              <w:t xml:space="preserve">- </w:t>
            </w:r>
            <w:r w:rsidR="001C6294">
              <w:rPr>
                <w:rFonts w:ascii="Arial" w:hAnsi="Arial" w:cs="Arial"/>
                <w:color w:val="FF0000"/>
                <w:sz w:val="20"/>
                <w:szCs w:val="20"/>
              </w:rPr>
              <w:t>P</w:t>
            </w:r>
            <w:r w:rsidRPr="005354C8">
              <w:rPr>
                <w:rFonts w:ascii="Arial" w:hAnsi="Arial" w:cs="Arial"/>
                <w:color w:val="FF0000"/>
                <w:sz w:val="20"/>
                <w:szCs w:val="20"/>
              </w:rPr>
              <w:t xml:space="preserve">atterns of unpaid care </w:t>
            </w:r>
            <w:r w:rsidR="001C6294">
              <w:rPr>
                <w:rFonts w:ascii="Arial" w:hAnsi="Arial" w:cs="Arial"/>
                <w:color w:val="FF0000"/>
                <w:sz w:val="20"/>
                <w:szCs w:val="20"/>
              </w:rPr>
              <w:t xml:space="preserve">may change </w:t>
            </w:r>
            <w:r w:rsidR="001C6294" w:rsidRPr="005354C8">
              <w:rPr>
                <w:rFonts w:ascii="Arial" w:hAnsi="Arial" w:cs="Arial"/>
                <w:color w:val="FF0000"/>
                <w:sz w:val="20"/>
                <w:szCs w:val="20"/>
              </w:rPr>
              <w:t>more rapidly than can be captured adequately by a 10-yearly census</w:t>
            </w:r>
          </w:p>
        </w:tc>
        <w:tc>
          <w:tcPr>
            <w:tcW w:w="1787"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Would ethnic group demographics be expected to change more rapidly than can be captured adequately by a 10-yearly census?</w:t>
            </w:r>
          </w:p>
        </w:tc>
        <w:tc>
          <w:tcPr>
            <w:tcW w:w="1788"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Would ethnic group demographics be expected to change more rapidly than can be captured adequately by a 10-yearly census?</w:t>
            </w:r>
          </w:p>
          <w:p w:rsidR="008E640B" w:rsidRPr="005354C8" w:rsidRDefault="001C6294" w:rsidP="00EE2A83">
            <w:pPr>
              <w:spacing w:before="120" w:after="120"/>
              <w:rPr>
                <w:rFonts w:ascii="Arial" w:hAnsi="Arial" w:cs="Arial"/>
                <w:color w:val="FF0000"/>
                <w:sz w:val="20"/>
                <w:szCs w:val="20"/>
              </w:rPr>
            </w:pPr>
            <w:r w:rsidRPr="005354C8">
              <w:rPr>
                <w:rFonts w:ascii="Arial" w:hAnsi="Arial" w:cs="Arial"/>
                <w:color w:val="FF0000"/>
                <w:sz w:val="20"/>
                <w:szCs w:val="20"/>
              </w:rPr>
              <w:t xml:space="preserve">- </w:t>
            </w:r>
            <w:r>
              <w:rPr>
                <w:rFonts w:ascii="Arial" w:hAnsi="Arial" w:cs="Arial"/>
                <w:color w:val="FF0000"/>
                <w:sz w:val="20"/>
                <w:szCs w:val="20"/>
              </w:rPr>
              <w:t>P</w:t>
            </w:r>
            <w:r w:rsidRPr="005354C8">
              <w:rPr>
                <w:rFonts w:ascii="Arial" w:hAnsi="Arial" w:cs="Arial"/>
                <w:color w:val="FF0000"/>
                <w:sz w:val="20"/>
                <w:szCs w:val="20"/>
              </w:rPr>
              <w:t xml:space="preserve">atterns of unpaid care </w:t>
            </w:r>
            <w:r>
              <w:rPr>
                <w:rFonts w:ascii="Arial" w:hAnsi="Arial" w:cs="Arial"/>
                <w:color w:val="FF0000"/>
                <w:sz w:val="20"/>
                <w:szCs w:val="20"/>
              </w:rPr>
              <w:t xml:space="preserve">may change </w:t>
            </w:r>
            <w:r w:rsidRPr="005354C8">
              <w:rPr>
                <w:rFonts w:ascii="Arial" w:hAnsi="Arial" w:cs="Arial"/>
                <w:color w:val="FF0000"/>
                <w:sz w:val="20"/>
                <w:szCs w:val="20"/>
              </w:rPr>
              <w:t>more rapidly than can be captured adequately by a 10-yearly census</w:t>
            </w:r>
          </w:p>
        </w:tc>
      </w:tr>
      <w:tr w:rsidR="008E640B" w:rsidTr="00EE2A83">
        <w:trPr>
          <w:cantSplit/>
          <w:trHeight w:val="454"/>
        </w:trPr>
        <w:tc>
          <w:tcPr>
            <w:tcW w:w="2093" w:type="dxa"/>
            <w:vAlign w:val="center"/>
          </w:tcPr>
          <w:p w:rsidR="008E640B" w:rsidRPr="004852E8" w:rsidRDefault="008E640B" w:rsidP="00EE2A83">
            <w:pPr>
              <w:rPr>
                <w:rFonts w:ascii="Arial" w:hAnsi="Arial" w:cs="Arial"/>
                <w:b/>
                <w:sz w:val="20"/>
                <w:szCs w:val="20"/>
              </w:rPr>
            </w:pPr>
            <w:r w:rsidRPr="004852E8">
              <w:rPr>
                <w:rFonts w:ascii="Arial" w:hAnsi="Arial" w:cs="Arial"/>
                <w:b/>
                <w:sz w:val="20"/>
                <w:szCs w:val="20"/>
              </w:rPr>
              <w:t>Face Validity</w:t>
            </w:r>
          </w:p>
        </w:tc>
        <w:tc>
          <w:tcPr>
            <w:tcW w:w="1787" w:type="dxa"/>
          </w:tcPr>
          <w:p w:rsidR="008E640B" w:rsidRPr="004852E8" w:rsidRDefault="008E640B" w:rsidP="00EE2A83">
            <w:pPr>
              <w:spacing w:before="120" w:after="120"/>
              <w:rPr>
                <w:rFonts w:ascii="Arial" w:hAnsi="Arial" w:cs="Arial"/>
                <w:sz w:val="20"/>
                <w:szCs w:val="20"/>
              </w:rPr>
            </w:pPr>
            <w:r w:rsidRPr="005354C8">
              <w:rPr>
                <w:rFonts w:ascii="Arial" w:hAnsi="Arial" w:cs="Arial"/>
                <w:color w:val="00B050"/>
                <w:sz w:val="20"/>
                <w:szCs w:val="20"/>
              </w:rPr>
              <w:t xml:space="preserve">+ </w:t>
            </w:r>
            <w:r>
              <w:rPr>
                <w:rFonts w:ascii="Arial" w:hAnsi="Arial" w:cs="Arial"/>
                <w:color w:val="00B050"/>
                <w:sz w:val="20"/>
                <w:szCs w:val="20"/>
              </w:rPr>
              <w:t>Since this is the current index, it has already been accepted and explained</w:t>
            </w:r>
          </w:p>
        </w:tc>
        <w:tc>
          <w:tcPr>
            <w:tcW w:w="1787"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Is unpaid care a counter-intuitive indicator of health need?</w:t>
            </w:r>
          </w:p>
        </w:tc>
        <w:tc>
          <w:tcPr>
            <w:tcW w:w="1787" w:type="dxa"/>
          </w:tcPr>
          <w:p w:rsidR="008E640B" w:rsidRPr="005354C8" w:rsidRDefault="008E640B" w:rsidP="00EE2A83">
            <w:pPr>
              <w:spacing w:before="120" w:after="120"/>
              <w:rPr>
                <w:rFonts w:ascii="Arial" w:hAnsi="Arial" w:cs="Arial"/>
                <w:color w:val="00B050"/>
                <w:sz w:val="20"/>
                <w:szCs w:val="20"/>
              </w:rPr>
            </w:pPr>
            <w:r w:rsidRPr="005354C8">
              <w:rPr>
                <w:rFonts w:ascii="Arial" w:hAnsi="Arial" w:cs="Arial"/>
                <w:color w:val="00B050"/>
                <w:sz w:val="20"/>
                <w:szCs w:val="20"/>
              </w:rPr>
              <w:t>+ The processes through which these variables influence healthcare needs are well evidenced and understood</w:t>
            </w:r>
          </w:p>
        </w:tc>
        <w:tc>
          <w:tcPr>
            <w:tcW w:w="1788" w:type="dxa"/>
          </w:tcPr>
          <w:p w:rsidR="008E640B" w:rsidRPr="005354C8" w:rsidRDefault="008E640B" w:rsidP="00EE2A83">
            <w:pPr>
              <w:spacing w:before="120" w:after="120"/>
              <w:rPr>
                <w:rFonts w:ascii="Arial" w:hAnsi="Arial" w:cs="Arial"/>
                <w:color w:val="FF0000"/>
                <w:sz w:val="20"/>
                <w:szCs w:val="20"/>
              </w:rPr>
            </w:pPr>
            <w:r w:rsidRPr="005354C8">
              <w:rPr>
                <w:rFonts w:ascii="Arial" w:hAnsi="Arial" w:cs="Arial"/>
                <w:color w:val="FF0000"/>
                <w:sz w:val="20"/>
                <w:szCs w:val="20"/>
              </w:rPr>
              <w:t>- Is unpaid care a counter-intuitive indicator of health need?</w:t>
            </w:r>
          </w:p>
        </w:tc>
      </w:tr>
      <w:tr w:rsidR="008E640B" w:rsidRPr="005354C8" w:rsidTr="00EE2A83">
        <w:trPr>
          <w:cantSplit/>
          <w:trHeight w:val="454"/>
        </w:trPr>
        <w:tc>
          <w:tcPr>
            <w:tcW w:w="2093" w:type="dxa"/>
            <w:vAlign w:val="center"/>
          </w:tcPr>
          <w:p w:rsidR="008E640B" w:rsidRPr="005354C8" w:rsidRDefault="008E640B" w:rsidP="00EE2A83">
            <w:pPr>
              <w:rPr>
                <w:rFonts w:ascii="Arial" w:hAnsi="Arial" w:cs="Arial"/>
                <w:b/>
                <w:i/>
                <w:sz w:val="20"/>
                <w:szCs w:val="20"/>
              </w:rPr>
            </w:pPr>
            <w:r w:rsidRPr="005354C8">
              <w:rPr>
                <w:rFonts w:ascii="Arial" w:hAnsi="Arial" w:cs="Arial"/>
                <w:b/>
                <w:i/>
                <w:sz w:val="20"/>
                <w:szCs w:val="20"/>
              </w:rPr>
              <w:t>Overall evaluation</w:t>
            </w:r>
          </w:p>
        </w:tc>
        <w:tc>
          <w:tcPr>
            <w:tcW w:w="1787" w:type="dxa"/>
          </w:tcPr>
          <w:p w:rsidR="008E640B" w:rsidRPr="005354C8" w:rsidRDefault="008E640B" w:rsidP="00EE2A83">
            <w:pPr>
              <w:spacing w:before="120" w:after="120"/>
              <w:jc w:val="center"/>
              <w:rPr>
                <w:rFonts w:ascii="Arial" w:hAnsi="Arial" w:cs="Arial"/>
                <w:sz w:val="20"/>
                <w:szCs w:val="20"/>
              </w:rPr>
            </w:pPr>
            <w:r w:rsidRPr="005354C8">
              <w:rPr>
                <w:rFonts w:ascii="Arial" w:hAnsi="Arial" w:cs="Arial"/>
                <w:sz w:val="20"/>
                <w:szCs w:val="20"/>
              </w:rPr>
              <w:t>+ +</w:t>
            </w:r>
            <w:r>
              <w:rPr>
                <w:rFonts w:ascii="Arial" w:hAnsi="Arial" w:cs="Arial"/>
                <w:sz w:val="20"/>
                <w:szCs w:val="20"/>
              </w:rPr>
              <w:t xml:space="preserve"> + + -</w:t>
            </w:r>
          </w:p>
        </w:tc>
        <w:tc>
          <w:tcPr>
            <w:tcW w:w="1787" w:type="dxa"/>
          </w:tcPr>
          <w:p w:rsidR="008E640B" w:rsidRPr="005354C8" w:rsidRDefault="008E640B" w:rsidP="00EE2A83">
            <w:pPr>
              <w:spacing w:before="120" w:after="120"/>
              <w:jc w:val="center"/>
              <w:rPr>
                <w:rFonts w:ascii="Arial" w:hAnsi="Arial" w:cs="Arial"/>
                <w:sz w:val="20"/>
                <w:szCs w:val="20"/>
              </w:rPr>
            </w:pPr>
            <w:r w:rsidRPr="005354C8">
              <w:rPr>
                <w:rFonts w:ascii="Arial" w:hAnsi="Arial" w:cs="Arial"/>
                <w:sz w:val="20"/>
                <w:szCs w:val="20"/>
              </w:rPr>
              <w:t>+ + - - -</w:t>
            </w:r>
          </w:p>
        </w:tc>
        <w:tc>
          <w:tcPr>
            <w:tcW w:w="1787" w:type="dxa"/>
          </w:tcPr>
          <w:p w:rsidR="008E640B" w:rsidRPr="005354C8" w:rsidRDefault="008E640B" w:rsidP="00EE2A83">
            <w:pPr>
              <w:spacing w:before="120" w:after="120"/>
              <w:jc w:val="center"/>
              <w:rPr>
                <w:rFonts w:ascii="Arial" w:hAnsi="Arial" w:cs="Arial"/>
                <w:sz w:val="20"/>
                <w:szCs w:val="20"/>
              </w:rPr>
            </w:pPr>
            <w:r w:rsidRPr="005354C8">
              <w:rPr>
                <w:rFonts w:ascii="Arial" w:hAnsi="Arial" w:cs="Arial"/>
                <w:sz w:val="20"/>
                <w:szCs w:val="20"/>
              </w:rPr>
              <w:t>+</w:t>
            </w:r>
            <w:r>
              <w:rPr>
                <w:rFonts w:ascii="Arial" w:hAnsi="Arial" w:cs="Arial"/>
                <w:sz w:val="20"/>
                <w:szCs w:val="20"/>
              </w:rPr>
              <w:t xml:space="preserve"> + + + </w:t>
            </w:r>
            <w:r w:rsidRPr="005354C8">
              <w:rPr>
                <w:rFonts w:ascii="Arial" w:hAnsi="Arial" w:cs="Arial"/>
                <w:sz w:val="20"/>
                <w:szCs w:val="20"/>
              </w:rPr>
              <w:t>-</w:t>
            </w:r>
            <w:r>
              <w:rPr>
                <w:rFonts w:ascii="Arial" w:hAnsi="Arial" w:cs="Arial"/>
                <w:sz w:val="20"/>
                <w:szCs w:val="20"/>
              </w:rPr>
              <w:t xml:space="preserve"> - </w:t>
            </w:r>
          </w:p>
        </w:tc>
        <w:tc>
          <w:tcPr>
            <w:tcW w:w="1788" w:type="dxa"/>
          </w:tcPr>
          <w:p w:rsidR="008E640B" w:rsidRPr="005354C8" w:rsidRDefault="008E640B" w:rsidP="00EE2A83">
            <w:pPr>
              <w:spacing w:before="120" w:after="120"/>
              <w:jc w:val="center"/>
              <w:rPr>
                <w:rFonts w:ascii="Arial" w:hAnsi="Arial" w:cs="Arial"/>
                <w:sz w:val="20"/>
                <w:szCs w:val="20"/>
              </w:rPr>
            </w:pPr>
            <w:r w:rsidRPr="005354C8">
              <w:rPr>
                <w:rFonts w:ascii="Arial" w:hAnsi="Arial" w:cs="Arial"/>
                <w:sz w:val="20"/>
                <w:szCs w:val="20"/>
              </w:rPr>
              <w:t>+ -</w:t>
            </w:r>
            <w:r w:rsidR="001C6294">
              <w:rPr>
                <w:rFonts w:ascii="Arial" w:hAnsi="Arial" w:cs="Arial"/>
                <w:sz w:val="20"/>
                <w:szCs w:val="20"/>
              </w:rPr>
              <w:t xml:space="preserve"> - - -</w:t>
            </w:r>
          </w:p>
        </w:tc>
      </w:tr>
    </w:tbl>
    <w:p w:rsidR="00800315" w:rsidRDefault="00800315" w:rsidP="00800315">
      <w:pPr>
        <w:spacing w:after="240" w:line="276" w:lineRule="auto"/>
        <w:jc w:val="both"/>
        <w:rPr>
          <w:rFonts w:ascii="Arial" w:hAnsi="Arial" w:cs="Arial"/>
        </w:rPr>
      </w:pPr>
    </w:p>
    <w:p w:rsidR="00800315" w:rsidRPr="00800315" w:rsidRDefault="00800315" w:rsidP="00465641">
      <w:pPr>
        <w:spacing w:after="240" w:line="276" w:lineRule="auto"/>
        <w:jc w:val="both"/>
        <w:rPr>
          <w:rFonts w:ascii="Arial" w:hAnsi="Arial" w:cs="Arial"/>
          <w:b/>
        </w:rPr>
      </w:pPr>
      <w:r w:rsidRPr="00800315">
        <w:rPr>
          <w:rFonts w:ascii="Arial" w:hAnsi="Arial" w:cs="Arial"/>
          <w:b/>
        </w:rPr>
        <w:t>4. Conclusion</w:t>
      </w:r>
    </w:p>
    <w:p w:rsidR="00465641" w:rsidRDefault="009B569D" w:rsidP="00465641">
      <w:pPr>
        <w:spacing w:after="240" w:line="276" w:lineRule="auto"/>
        <w:jc w:val="both"/>
        <w:rPr>
          <w:rFonts w:ascii="Arial" w:hAnsi="Arial" w:cs="Arial"/>
        </w:rPr>
      </w:pPr>
      <w:r>
        <w:rPr>
          <w:rFonts w:ascii="Arial" w:hAnsi="Arial" w:cs="Arial"/>
        </w:rPr>
        <w:t>Statistically, the</w:t>
      </w:r>
      <w:r w:rsidR="00465641">
        <w:rPr>
          <w:rFonts w:ascii="Arial" w:hAnsi="Arial" w:cs="Arial"/>
        </w:rPr>
        <w:t xml:space="preserve"> best of the four </w:t>
      </w:r>
      <w:r>
        <w:rPr>
          <w:rFonts w:ascii="Arial" w:hAnsi="Arial" w:cs="Arial"/>
        </w:rPr>
        <w:t>options under consideration is</w:t>
      </w:r>
      <w:r w:rsidR="005354C8">
        <w:rPr>
          <w:rFonts w:ascii="Arial" w:hAnsi="Arial" w:cs="Arial"/>
        </w:rPr>
        <w:t xml:space="preserve"> </w:t>
      </w:r>
      <w:r w:rsidR="002348A3">
        <w:rPr>
          <w:rFonts w:ascii="Arial" w:hAnsi="Arial" w:cs="Arial"/>
        </w:rPr>
        <w:t>[LLTI, All-cause SMR</w:t>
      </w:r>
      <w:r w:rsidR="006A6371">
        <w:rPr>
          <w:rFonts w:ascii="Arial" w:hAnsi="Arial" w:cs="Arial"/>
        </w:rPr>
        <w:t xml:space="preserve"> &lt;75</w:t>
      </w:r>
      <w:r w:rsidR="002348A3">
        <w:rPr>
          <w:rFonts w:ascii="Arial" w:hAnsi="Arial" w:cs="Arial"/>
        </w:rPr>
        <w:t>, Unpaid care]</w:t>
      </w:r>
      <w:r w:rsidR="005354C8">
        <w:rPr>
          <w:rFonts w:ascii="Arial" w:hAnsi="Arial" w:cs="Arial"/>
        </w:rPr>
        <w:t xml:space="preserve">. </w:t>
      </w:r>
      <w:r w:rsidR="0019461B">
        <w:rPr>
          <w:rFonts w:ascii="Arial" w:hAnsi="Arial" w:cs="Arial"/>
        </w:rPr>
        <w:t>It has the highest R</w:t>
      </w:r>
      <w:r w:rsidR="0019461B" w:rsidRPr="0019461B">
        <w:rPr>
          <w:rFonts w:ascii="Arial" w:hAnsi="Arial" w:cs="Arial"/>
          <w:vertAlign w:val="superscript"/>
        </w:rPr>
        <w:t>2</w:t>
      </w:r>
      <w:r w:rsidR="0019461B">
        <w:rPr>
          <w:rFonts w:ascii="Arial" w:hAnsi="Arial" w:cs="Arial"/>
        </w:rPr>
        <w:t xml:space="preserve"> for three diagnostic groups</w:t>
      </w:r>
      <w:r w:rsidR="007C2DE5">
        <w:rPr>
          <w:rFonts w:ascii="Arial" w:hAnsi="Arial" w:cs="Arial"/>
        </w:rPr>
        <w:t xml:space="preserve"> (and the highest weighted-average R</w:t>
      </w:r>
      <w:r w:rsidR="007C2DE5" w:rsidRPr="007C2DE5">
        <w:rPr>
          <w:rFonts w:ascii="Arial" w:hAnsi="Arial" w:cs="Arial"/>
          <w:vertAlign w:val="superscript"/>
        </w:rPr>
        <w:t>2</w:t>
      </w:r>
      <w:r w:rsidR="007C2DE5">
        <w:rPr>
          <w:rFonts w:ascii="Arial" w:hAnsi="Arial" w:cs="Arial"/>
        </w:rPr>
        <w:t>)</w:t>
      </w:r>
      <w:r w:rsidR="0019461B">
        <w:rPr>
          <w:rFonts w:ascii="Arial" w:hAnsi="Arial" w:cs="Arial"/>
        </w:rPr>
        <w:t xml:space="preserve">, the lowest RSS for </w:t>
      </w:r>
      <w:r w:rsidR="007C2DE5">
        <w:rPr>
          <w:rFonts w:ascii="Arial" w:hAnsi="Arial" w:cs="Arial"/>
        </w:rPr>
        <w:t>four</w:t>
      </w:r>
      <w:r w:rsidR="0019461B">
        <w:rPr>
          <w:rFonts w:ascii="Arial" w:hAnsi="Arial" w:cs="Arial"/>
        </w:rPr>
        <w:t xml:space="preserve"> diagnostic groups, and the lowest overall RSS.</w:t>
      </w:r>
    </w:p>
    <w:p w:rsidR="00EE2A83" w:rsidRPr="007C2DE5" w:rsidRDefault="0019461B" w:rsidP="00EE2A83">
      <w:pPr>
        <w:spacing w:after="200" w:line="276" w:lineRule="auto"/>
        <w:jc w:val="both"/>
        <w:rPr>
          <w:rFonts w:ascii="Arial" w:hAnsi="Arial" w:cs="Arial"/>
        </w:rPr>
      </w:pPr>
      <w:r>
        <w:rPr>
          <w:rFonts w:ascii="Arial" w:hAnsi="Arial" w:cs="Arial"/>
        </w:rPr>
        <w:t>The current reference model, [LLTI, All-cause SMR</w:t>
      </w:r>
      <w:r w:rsidR="006A6371">
        <w:rPr>
          <w:rFonts w:ascii="Arial" w:hAnsi="Arial" w:cs="Arial"/>
        </w:rPr>
        <w:t xml:space="preserve"> &lt;75</w:t>
      </w:r>
      <w:r w:rsidR="009B569D">
        <w:rPr>
          <w:rFonts w:ascii="Arial" w:hAnsi="Arial" w:cs="Arial"/>
        </w:rPr>
        <w:t>], is</w:t>
      </w:r>
      <w:r>
        <w:rPr>
          <w:rFonts w:ascii="Arial" w:hAnsi="Arial" w:cs="Arial"/>
        </w:rPr>
        <w:t xml:space="preserve"> the second-best performing model </w:t>
      </w:r>
      <w:r w:rsidR="009B569D">
        <w:rPr>
          <w:rFonts w:ascii="Arial" w:hAnsi="Arial" w:cs="Arial"/>
        </w:rPr>
        <w:t>statistically</w:t>
      </w:r>
      <w:r>
        <w:rPr>
          <w:rFonts w:ascii="Arial" w:hAnsi="Arial" w:cs="Arial"/>
        </w:rPr>
        <w:t>: it has the highest R</w:t>
      </w:r>
      <w:r w:rsidRPr="0019461B">
        <w:rPr>
          <w:rFonts w:ascii="Arial" w:hAnsi="Arial" w:cs="Arial"/>
          <w:vertAlign w:val="superscript"/>
        </w:rPr>
        <w:t>2</w:t>
      </w:r>
      <w:r>
        <w:rPr>
          <w:rFonts w:ascii="Arial" w:hAnsi="Arial" w:cs="Arial"/>
        </w:rPr>
        <w:t xml:space="preserve"> for three diagnostic groups, the lowest RSS for </w:t>
      </w:r>
      <w:r w:rsidR="007C2DE5">
        <w:rPr>
          <w:rFonts w:ascii="Arial" w:hAnsi="Arial" w:cs="Arial"/>
        </w:rPr>
        <w:t>two</w:t>
      </w:r>
      <w:r>
        <w:rPr>
          <w:rFonts w:ascii="Arial" w:hAnsi="Arial" w:cs="Arial"/>
        </w:rPr>
        <w:t xml:space="preserve"> diagnostic groups, and the second lowest overall RSS.</w:t>
      </w:r>
      <w:r w:rsidR="00EE2A83">
        <w:rPr>
          <w:rFonts w:ascii="Arial" w:hAnsi="Arial" w:cs="Arial"/>
        </w:rPr>
        <w:t xml:space="preserve"> However, it is worth noting that its performance is the poorest of all the options when looking at the weighted average R</w:t>
      </w:r>
      <w:r w:rsidR="00EE2A83" w:rsidRPr="00EE2A83">
        <w:rPr>
          <w:rFonts w:ascii="Arial" w:hAnsi="Arial" w:cs="Arial"/>
          <w:vertAlign w:val="superscript"/>
        </w:rPr>
        <w:t>2</w:t>
      </w:r>
      <w:r w:rsidR="00EE2A83">
        <w:rPr>
          <w:rFonts w:ascii="Arial" w:hAnsi="Arial" w:cs="Arial"/>
        </w:rPr>
        <w:t xml:space="preserve"> (across all diagnostic groups).</w:t>
      </w:r>
    </w:p>
    <w:p w:rsidR="0068236C" w:rsidRDefault="0019461B" w:rsidP="00465641">
      <w:pPr>
        <w:spacing w:after="240" w:line="276" w:lineRule="auto"/>
        <w:jc w:val="both"/>
        <w:rPr>
          <w:rFonts w:ascii="Arial" w:hAnsi="Arial" w:cs="Arial"/>
        </w:rPr>
      </w:pPr>
      <w:r>
        <w:rPr>
          <w:rFonts w:ascii="Arial" w:hAnsi="Arial" w:cs="Arial"/>
        </w:rPr>
        <w:t xml:space="preserve">Models with Ethnicity perform slightly less </w:t>
      </w:r>
      <w:r w:rsidR="00751962">
        <w:rPr>
          <w:rFonts w:ascii="Arial" w:hAnsi="Arial" w:cs="Arial"/>
        </w:rPr>
        <w:t xml:space="preserve">well than </w:t>
      </w:r>
      <w:r w:rsidR="008E640B">
        <w:rPr>
          <w:rFonts w:ascii="Arial" w:hAnsi="Arial" w:cs="Arial"/>
        </w:rPr>
        <w:t xml:space="preserve">models including </w:t>
      </w:r>
      <w:proofErr w:type="gramStart"/>
      <w:r w:rsidR="008E640B">
        <w:rPr>
          <w:rFonts w:ascii="Arial" w:hAnsi="Arial" w:cs="Arial"/>
        </w:rPr>
        <w:t>Unpaid</w:t>
      </w:r>
      <w:proofErr w:type="gramEnd"/>
      <w:r w:rsidR="008E640B">
        <w:rPr>
          <w:rFonts w:ascii="Arial" w:hAnsi="Arial" w:cs="Arial"/>
        </w:rPr>
        <w:t xml:space="preserve"> care</w:t>
      </w:r>
      <w:r>
        <w:rPr>
          <w:rFonts w:ascii="Arial" w:hAnsi="Arial" w:cs="Arial"/>
        </w:rPr>
        <w:t>.</w:t>
      </w:r>
      <w:r w:rsidR="00800315">
        <w:rPr>
          <w:rFonts w:ascii="Arial" w:hAnsi="Arial" w:cs="Arial"/>
        </w:rPr>
        <w:t xml:space="preserve"> However, </w:t>
      </w:r>
      <w:r w:rsidR="008E640B">
        <w:rPr>
          <w:rFonts w:ascii="Arial" w:hAnsi="Arial" w:cs="Arial"/>
        </w:rPr>
        <w:t>it has already been established that n</w:t>
      </w:r>
      <w:r w:rsidR="008E640B" w:rsidRPr="00751962">
        <w:rPr>
          <w:rFonts w:ascii="Arial" w:hAnsi="Arial" w:cs="Arial"/>
        </w:rPr>
        <w:t xml:space="preserve">on-statistical factors </w:t>
      </w:r>
      <w:r w:rsidR="008E640B">
        <w:rPr>
          <w:rFonts w:ascii="Arial" w:hAnsi="Arial" w:cs="Arial"/>
        </w:rPr>
        <w:t xml:space="preserve">such as </w:t>
      </w:r>
      <w:r w:rsidR="008E640B" w:rsidRPr="00751962">
        <w:rPr>
          <w:rFonts w:ascii="Arial" w:hAnsi="Arial" w:cs="Arial"/>
        </w:rPr>
        <w:t xml:space="preserve">face validity </w:t>
      </w:r>
      <w:r w:rsidR="008E640B">
        <w:rPr>
          <w:rFonts w:ascii="Arial" w:hAnsi="Arial" w:cs="Arial"/>
        </w:rPr>
        <w:t xml:space="preserve">can </w:t>
      </w:r>
      <w:r w:rsidR="008E640B" w:rsidRPr="00751962">
        <w:rPr>
          <w:rFonts w:ascii="Arial" w:hAnsi="Arial" w:cs="Arial"/>
        </w:rPr>
        <w:t>outweigh marginal di</w:t>
      </w:r>
      <w:r w:rsidR="008E640B">
        <w:rPr>
          <w:rFonts w:ascii="Arial" w:hAnsi="Arial" w:cs="Arial"/>
        </w:rPr>
        <w:t xml:space="preserve">fferences in </w:t>
      </w:r>
      <w:r w:rsidR="008E640B" w:rsidRPr="00751962">
        <w:rPr>
          <w:rFonts w:ascii="Arial" w:hAnsi="Arial" w:cs="Arial"/>
        </w:rPr>
        <w:t>performance</w:t>
      </w:r>
      <w:r w:rsidR="008E640B">
        <w:rPr>
          <w:rFonts w:ascii="Arial" w:hAnsi="Arial" w:cs="Arial"/>
        </w:rPr>
        <w:t xml:space="preserve"> in the context of model selection. The TAGRA core criteria evaluation above highlights </w:t>
      </w:r>
      <w:r w:rsidR="00751962">
        <w:rPr>
          <w:rFonts w:ascii="Arial" w:hAnsi="Arial" w:cs="Arial"/>
        </w:rPr>
        <w:t>concern</w:t>
      </w:r>
      <w:r w:rsidR="008E640B">
        <w:rPr>
          <w:rFonts w:ascii="Arial" w:hAnsi="Arial" w:cs="Arial"/>
        </w:rPr>
        <w:t>s</w:t>
      </w:r>
      <w:r w:rsidR="00751962">
        <w:rPr>
          <w:rFonts w:ascii="Arial" w:hAnsi="Arial" w:cs="Arial"/>
        </w:rPr>
        <w:t xml:space="preserve"> </w:t>
      </w:r>
      <w:r w:rsidR="00800315">
        <w:rPr>
          <w:rFonts w:ascii="Arial" w:hAnsi="Arial" w:cs="Arial"/>
        </w:rPr>
        <w:t>about</w:t>
      </w:r>
      <w:r w:rsidR="00751962">
        <w:rPr>
          <w:rFonts w:ascii="Arial" w:hAnsi="Arial" w:cs="Arial"/>
        </w:rPr>
        <w:t xml:space="preserve"> the </w:t>
      </w:r>
      <w:r w:rsidR="00751962" w:rsidRPr="00751962">
        <w:rPr>
          <w:rFonts w:ascii="Arial" w:hAnsi="Arial" w:cs="Arial"/>
        </w:rPr>
        <w:t xml:space="preserve">transparency and face validity of the </w:t>
      </w:r>
      <w:r w:rsidR="00800315">
        <w:rPr>
          <w:rFonts w:ascii="Arial" w:hAnsi="Arial" w:cs="Arial"/>
        </w:rPr>
        <w:t>unpaid c</w:t>
      </w:r>
      <w:r w:rsidR="00751962" w:rsidRPr="00751962">
        <w:rPr>
          <w:rFonts w:ascii="Arial" w:hAnsi="Arial" w:cs="Arial"/>
        </w:rPr>
        <w:t>are variable</w:t>
      </w:r>
      <w:r w:rsidR="00751962">
        <w:rPr>
          <w:rFonts w:ascii="Arial" w:hAnsi="Arial" w:cs="Arial"/>
        </w:rPr>
        <w:t>:</w:t>
      </w:r>
      <w:r w:rsidR="00751962" w:rsidRPr="00751962">
        <w:rPr>
          <w:rFonts w:ascii="Arial" w:hAnsi="Arial" w:cs="Arial"/>
        </w:rPr>
        <w:t xml:space="preserve"> the mechanisms through which it is associated with healthcare costs </w:t>
      </w:r>
      <w:r w:rsidR="00751962">
        <w:rPr>
          <w:rFonts w:ascii="Arial" w:hAnsi="Arial" w:cs="Arial"/>
        </w:rPr>
        <w:lastRenderedPageBreak/>
        <w:t>are</w:t>
      </w:r>
      <w:r w:rsidR="00751962" w:rsidRPr="00751962">
        <w:rPr>
          <w:rFonts w:ascii="Arial" w:hAnsi="Arial" w:cs="Arial"/>
        </w:rPr>
        <w:t xml:space="preserve"> not well understood and would be difficult to explain to a lay person.</w:t>
      </w:r>
      <w:r w:rsidR="00F14AF5">
        <w:rPr>
          <w:rFonts w:ascii="Arial" w:hAnsi="Arial" w:cs="Arial"/>
        </w:rPr>
        <w:t xml:space="preserve"> (I</w:t>
      </w:r>
      <w:r w:rsidR="00F14AF5" w:rsidRPr="00751962">
        <w:rPr>
          <w:rFonts w:ascii="Arial" w:hAnsi="Arial" w:cs="Arial"/>
        </w:rPr>
        <w:t xml:space="preserve">n contrast, the association between ethnicity and healthcare need is well </w:t>
      </w:r>
      <w:r w:rsidR="00F14AF5" w:rsidRPr="0068236C">
        <w:rPr>
          <w:rFonts w:ascii="Arial" w:hAnsi="Arial" w:cs="Arial"/>
        </w:rPr>
        <w:t>understood and supported by the epidemiological literature.</w:t>
      </w:r>
      <w:r w:rsidR="00F14AF5">
        <w:rPr>
          <w:rFonts w:ascii="Arial" w:hAnsi="Arial" w:cs="Arial"/>
        </w:rPr>
        <w:t>)</w:t>
      </w:r>
      <w:r w:rsidR="00F14AF5" w:rsidRPr="0068236C">
        <w:rPr>
          <w:rFonts w:ascii="Arial" w:hAnsi="Arial" w:cs="Arial"/>
        </w:rPr>
        <w:t xml:space="preserve"> </w:t>
      </w:r>
      <w:r w:rsidR="00F14AF5">
        <w:rPr>
          <w:rFonts w:ascii="Arial" w:hAnsi="Arial" w:cs="Arial"/>
        </w:rPr>
        <w:t>There is also a concern about its responsiveness: it could only be updated every 10 years with a new census, and it is questionable whether geographical patterns of unpaid care would remain the same over that period</w:t>
      </w:r>
      <w:r w:rsidR="00B00048">
        <w:rPr>
          <w:rFonts w:ascii="Arial" w:hAnsi="Arial" w:cs="Arial"/>
        </w:rPr>
        <w:t>, especially given the ongoing work to improve social care</w:t>
      </w:r>
      <w:r w:rsidR="00F14AF5">
        <w:rPr>
          <w:rFonts w:ascii="Arial" w:hAnsi="Arial" w:cs="Arial"/>
        </w:rPr>
        <w:t xml:space="preserve">. As a result, the options including </w:t>
      </w:r>
      <w:proofErr w:type="gramStart"/>
      <w:r w:rsidR="00F14AF5">
        <w:rPr>
          <w:rFonts w:ascii="Arial" w:hAnsi="Arial" w:cs="Arial"/>
        </w:rPr>
        <w:t>Unpaid</w:t>
      </w:r>
      <w:proofErr w:type="gramEnd"/>
      <w:r w:rsidR="00F14AF5">
        <w:rPr>
          <w:rFonts w:ascii="Arial" w:hAnsi="Arial" w:cs="Arial"/>
        </w:rPr>
        <w:t xml:space="preserve"> care have more negative than positive evaluations in Table 4.</w:t>
      </w:r>
    </w:p>
    <w:p w:rsidR="0068236C" w:rsidRPr="00A83908" w:rsidRDefault="00F14AF5" w:rsidP="00465641">
      <w:pPr>
        <w:spacing w:after="240" w:line="276" w:lineRule="auto"/>
        <w:jc w:val="both"/>
        <w:rPr>
          <w:rFonts w:ascii="Arial" w:hAnsi="Arial" w:cs="Arial"/>
        </w:rPr>
      </w:pPr>
      <w:r>
        <w:rPr>
          <w:rFonts w:ascii="Arial" w:hAnsi="Arial" w:cs="Arial"/>
        </w:rPr>
        <w:t xml:space="preserve">Of the two </w:t>
      </w:r>
      <w:r w:rsidR="00813B67">
        <w:rPr>
          <w:rFonts w:ascii="Arial" w:hAnsi="Arial" w:cs="Arial"/>
        </w:rPr>
        <w:t>models</w:t>
      </w:r>
      <w:r>
        <w:rPr>
          <w:rFonts w:ascii="Arial" w:hAnsi="Arial" w:cs="Arial"/>
        </w:rPr>
        <w:t xml:space="preserve"> </w:t>
      </w:r>
      <w:r w:rsidR="00813B67">
        <w:rPr>
          <w:rFonts w:ascii="Arial" w:hAnsi="Arial" w:cs="Arial"/>
        </w:rPr>
        <w:t>that do not include Unpaid care – [LLTI, All-cause</w:t>
      </w:r>
      <w:r w:rsidR="0068236C" w:rsidRPr="0068236C">
        <w:rPr>
          <w:rFonts w:ascii="Arial" w:hAnsi="Arial" w:cs="Arial"/>
        </w:rPr>
        <w:t xml:space="preserve"> SMR</w:t>
      </w:r>
      <w:r w:rsidR="00813B67">
        <w:rPr>
          <w:rFonts w:ascii="Arial" w:hAnsi="Arial" w:cs="Arial"/>
        </w:rPr>
        <w:t xml:space="preserve"> </w:t>
      </w:r>
      <w:r w:rsidR="0068236C" w:rsidRPr="0068236C">
        <w:rPr>
          <w:rFonts w:ascii="Arial" w:hAnsi="Arial" w:cs="Arial"/>
        </w:rPr>
        <w:t>&lt;75</w:t>
      </w:r>
      <w:r w:rsidR="00813B67">
        <w:rPr>
          <w:rFonts w:ascii="Arial" w:hAnsi="Arial" w:cs="Arial"/>
        </w:rPr>
        <w:t>]</w:t>
      </w:r>
      <w:r w:rsidR="0068236C" w:rsidRPr="0068236C">
        <w:rPr>
          <w:rFonts w:ascii="Arial" w:hAnsi="Arial" w:cs="Arial"/>
        </w:rPr>
        <w:t xml:space="preserve"> </w:t>
      </w:r>
      <w:r w:rsidR="0068236C">
        <w:rPr>
          <w:rFonts w:ascii="Arial" w:hAnsi="Arial" w:cs="Arial"/>
        </w:rPr>
        <w:t xml:space="preserve">and </w:t>
      </w:r>
      <w:r w:rsidR="00813B67">
        <w:rPr>
          <w:rFonts w:ascii="Arial" w:hAnsi="Arial" w:cs="Arial"/>
        </w:rPr>
        <w:t>[</w:t>
      </w:r>
      <w:r w:rsidR="0068236C" w:rsidRPr="0068236C">
        <w:rPr>
          <w:rFonts w:ascii="Arial" w:hAnsi="Arial" w:cs="Arial"/>
        </w:rPr>
        <w:t>LLTI</w:t>
      </w:r>
      <w:r w:rsidR="0068236C">
        <w:rPr>
          <w:rFonts w:ascii="Arial" w:hAnsi="Arial" w:cs="Arial"/>
        </w:rPr>
        <w:t>,</w:t>
      </w:r>
      <w:r w:rsidR="0068236C" w:rsidRPr="0068236C">
        <w:rPr>
          <w:rFonts w:ascii="Arial" w:hAnsi="Arial" w:cs="Arial"/>
        </w:rPr>
        <w:t xml:space="preserve"> </w:t>
      </w:r>
      <w:r w:rsidR="00813B67">
        <w:rPr>
          <w:rFonts w:ascii="Arial" w:hAnsi="Arial" w:cs="Arial"/>
        </w:rPr>
        <w:t xml:space="preserve">All-cause </w:t>
      </w:r>
      <w:r w:rsidR="0068236C" w:rsidRPr="0068236C">
        <w:rPr>
          <w:rFonts w:ascii="Arial" w:hAnsi="Arial" w:cs="Arial"/>
        </w:rPr>
        <w:t>SMR</w:t>
      </w:r>
      <w:r w:rsidR="00813B67">
        <w:rPr>
          <w:rFonts w:ascii="Arial" w:hAnsi="Arial" w:cs="Arial"/>
        </w:rPr>
        <w:t xml:space="preserve"> </w:t>
      </w:r>
      <w:r w:rsidR="0068236C" w:rsidRPr="0068236C">
        <w:rPr>
          <w:rFonts w:ascii="Arial" w:hAnsi="Arial" w:cs="Arial"/>
        </w:rPr>
        <w:t>&lt;75</w:t>
      </w:r>
      <w:r w:rsidR="00813B67">
        <w:rPr>
          <w:rFonts w:ascii="Arial" w:hAnsi="Arial" w:cs="Arial"/>
        </w:rPr>
        <w:t>,</w:t>
      </w:r>
      <w:r w:rsidR="0068236C">
        <w:rPr>
          <w:rFonts w:ascii="Arial" w:hAnsi="Arial" w:cs="Arial"/>
        </w:rPr>
        <w:t xml:space="preserve"> </w:t>
      </w:r>
      <w:r w:rsidR="00813B67">
        <w:rPr>
          <w:rFonts w:ascii="Arial" w:hAnsi="Arial" w:cs="Arial"/>
        </w:rPr>
        <w:t>E</w:t>
      </w:r>
      <w:r w:rsidR="0068236C">
        <w:rPr>
          <w:rFonts w:ascii="Arial" w:hAnsi="Arial" w:cs="Arial"/>
        </w:rPr>
        <w:t>thnicity</w:t>
      </w:r>
      <w:r w:rsidR="00813B67">
        <w:rPr>
          <w:rFonts w:ascii="Arial" w:hAnsi="Arial" w:cs="Arial"/>
        </w:rPr>
        <w:t>]</w:t>
      </w:r>
      <w:r w:rsidR="0068236C">
        <w:rPr>
          <w:rFonts w:ascii="Arial" w:hAnsi="Arial" w:cs="Arial"/>
        </w:rPr>
        <w:t xml:space="preserve"> </w:t>
      </w:r>
      <w:r w:rsidR="00813B67">
        <w:rPr>
          <w:rFonts w:ascii="Arial" w:hAnsi="Arial" w:cs="Arial"/>
        </w:rPr>
        <w:t>– the 2-</w:t>
      </w:r>
      <w:r w:rsidR="0068236C" w:rsidRPr="0068236C">
        <w:rPr>
          <w:rFonts w:ascii="Arial" w:hAnsi="Arial" w:cs="Arial"/>
        </w:rPr>
        <w:t xml:space="preserve">variable model </w:t>
      </w:r>
      <w:r w:rsidR="00826CDE">
        <w:rPr>
          <w:rFonts w:ascii="Arial" w:hAnsi="Arial" w:cs="Arial"/>
        </w:rPr>
        <w:t xml:space="preserve">performs </w:t>
      </w:r>
      <w:r w:rsidR="00813B67">
        <w:rPr>
          <w:rFonts w:ascii="Arial" w:hAnsi="Arial" w:cs="Arial"/>
        </w:rPr>
        <w:t xml:space="preserve">slightly </w:t>
      </w:r>
      <w:r w:rsidR="0068236C" w:rsidRPr="0068236C">
        <w:rPr>
          <w:rFonts w:ascii="Arial" w:hAnsi="Arial" w:cs="Arial"/>
        </w:rPr>
        <w:t xml:space="preserve">better statistically, </w:t>
      </w:r>
      <w:r w:rsidR="00813B67">
        <w:rPr>
          <w:rFonts w:ascii="Arial" w:hAnsi="Arial" w:cs="Arial"/>
        </w:rPr>
        <w:t>overall, although the weighted-average R</w:t>
      </w:r>
      <w:r w:rsidR="00813B67" w:rsidRPr="00813B67">
        <w:rPr>
          <w:rFonts w:ascii="Arial" w:hAnsi="Arial" w:cs="Arial"/>
          <w:vertAlign w:val="superscript"/>
        </w:rPr>
        <w:t>2</w:t>
      </w:r>
      <w:r w:rsidR="00813B67">
        <w:rPr>
          <w:rFonts w:ascii="Arial" w:hAnsi="Arial" w:cs="Arial"/>
        </w:rPr>
        <w:t xml:space="preserve"> of the 3-variable model is slightly higher. Table 4 </w:t>
      </w:r>
      <w:r w:rsidR="00B00048">
        <w:rPr>
          <w:rFonts w:ascii="Arial" w:hAnsi="Arial" w:cs="Arial"/>
        </w:rPr>
        <w:t xml:space="preserve">queries </w:t>
      </w:r>
      <w:r w:rsidR="00813B67">
        <w:rPr>
          <w:rFonts w:ascii="Arial" w:hAnsi="Arial" w:cs="Arial"/>
        </w:rPr>
        <w:t xml:space="preserve">how quickly </w:t>
      </w:r>
      <w:r w:rsidR="00B00048">
        <w:rPr>
          <w:rFonts w:ascii="Arial" w:hAnsi="Arial" w:cs="Arial"/>
        </w:rPr>
        <w:t>population demographics would be expected to change in relation to ethnicity, and whether a</w:t>
      </w:r>
      <w:r w:rsidR="001B218D">
        <w:rPr>
          <w:rFonts w:ascii="Arial" w:hAnsi="Arial" w:cs="Arial"/>
        </w:rPr>
        <w:t xml:space="preserve"> 10-yearly</w:t>
      </w:r>
      <w:r w:rsidR="00B00048">
        <w:rPr>
          <w:rFonts w:ascii="Arial" w:hAnsi="Arial" w:cs="Arial"/>
        </w:rPr>
        <w:t xml:space="preserve"> update to the Ethnicity variable</w:t>
      </w:r>
      <w:r w:rsidR="001B218D">
        <w:rPr>
          <w:rFonts w:ascii="Arial" w:hAnsi="Arial" w:cs="Arial"/>
        </w:rPr>
        <w:t xml:space="preserve"> would adequately capture the patterns of need. However, this is less of a concern than for unpaid care, and</w:t>
      </w:r>
      <w:r w:rsidR="00813B67">
        <w:rPr>
          <w:rFonts w:ascii="Arial" w:hAnsi="Arial" w:cs="Arial"/>
        </w:rPr>
        <w:t xml:space="preserve"> on the </w:t>
      </w:r>
      <w:r w:rsidR="001B218D">
        <w:rPr>
          <w:rFonts w:ascii="Arial" w:hAnsi="Arial" w:cs="Arial"/>
        </w:rPr>
        <w:t>positive side</w:t>
      </w:r>
      <w:r w:rsidR="00813B67">
        <w:rPr>
          <w:rFonts w:ascii="Arial" w:hAnsi="Arial" w:cs="Arial"/>
        </w:rPr>
        <w:t>,</w:t>
      </w:r>
      <w:r w:rsidR="0068236C" w:rsidRPr="0068236C">
        <w:rPr>
          <w:rFonts w:ascii="Arial" w:hAnsi="Arial" w:cs="Arial"/>
        </w:rPr>
        <w:t xml:space="preserve"> </w:t>
      </w:r>
      <w:r w:rsidR="00813B67">
        <w:rPr>
          <w:rFonts w:ascii="Arial" w:hAnsi="Arial" w:cs="Arial"/>
        </w:rPr>
        <w:t xml:space="preserve">including Ethnicity would better fulfil </w:t>
      </w:r>
      <w:r w:rsidR="0068236C" w:rsidRPr="0068236C">
        <w:rPr>
          <w:rFonts w:ascii="Arial" w:hAnsi="Arial" w:cs="Arial"/>
        </w:rPr>
        <w:t>the ‘</w:t>
      </w:r>
      <w:r w:rsidR="0068236C" w:rsidRPr="00A83908">
        <w:rPr>
          <w:rFonts w:ascii="Arial" w:hAnsi="Arial" w:cs="Arial"/>
        </w:rPr>
        <w:t>equity</w:t>
      </w:r>
      <w:r w:rsidR="001B218D">
        <w:rPr>
          <w:rFonts w:ascii="Arial" w:hAnsi="Arial" w:cs="Arial"/>
        </w:rPr>
        <w:t>’ aspect of the core criteria.</w:t>
      </w:r>
    </w:p>
    <w:p w:rsidR="0019461B" w:rsidRDefault="00751962" w:rsidP="00465641">
      <w:pPr>
        <w:spacing w:after="240" w:line="276" w:lineRule="auto"/>
        <w:jc w:val="both"/>
        <w:rPr>
          <w:rFonts w:ascii="Arial" w:hAnsi="Arial" w:cs="Arial"/>
        </w:rPr>
      </w:pPr>
      <w:r>
        <w:rPr>
          <w:rFonts w:ascii="Arial" w:hAnsi="Arial" w:cs="Arial"/>
        </w:rPr>
        <w:t>AST</w:t>
      </w:r>
      <w:r w:rsidRPr="00751962">
        <w:rPr>
          <w:rFonts w:ascii="Arial" w:hAnsi="Arial" w:cs="Arial"/>
        </w:rPr>
        <w:t xml:space="preserve"> </w:t>
      </w:r>
      <w:r w:rsidR="001B218D">
        <w:rPr>
          <w:rFonts w:ascii="Arial" w:hAnsi="Arial" w:cs="Arial"/>
        </w:rPr>
        <w:t xml:space="preserve">consider that the potential improvement in equity from including Ethnicity outweighs both the slightly better statistical performance of the 2-variable model and the fact that as a census variable </w:t>
      </w:r>
      <w:r w:rsidR="00887D7E">
        <w:rPr>
          <w:rFonts w:ascii="Arial" w:hAnsi="Arial" w:cs="Arial"/>
        </w:rPr>
        <w:t>Ethnicity</w:t>
      </w:r>
      <w:r w:rsidR="001B218D">
        <w:rPr>
          <w:rFonts w:ascii="Arial" w:hAnsi="Arial" w:cs="Arial"/>
        </w:rPr>
        <w:t xml:space="preserve"> can only be updated every 10 years. As a result, AST </w:t>
      </w:r>
      <w:r w:rsidRPr="00751962">
        <w:rPr>
          <w:rFonts w:ascii="Arial" w:hAnsi="Arial" w:cs="Arial"/>
        </w:rPr>
        <w:t xml:space="preserve">recommend </w:t>
      </w:r>
      <w:r w:rsidR="001B218D">
        <w:rPr>
          <w:rFonts w:ascii="Arial" w:hAnsi="Arial" w:cs="Arial"/>
        </w:rPr>
        <w:t xml:space="preserve">adopting </w:t>
      </w:r>
      <w:r w:rsidRPr="00751962">
        <w:rPr>
          <w:rFonts w:ascii="Arial" w:hAnsi="Arial" w:cs="Arial"/>
        </w:rPr>
        <w:t xml:space="preserve">the </w:t>
      </w:r>
      <w:r w:rsidR="001B218D">
        <w:rPr>
          <w:rFonts w:ascii="Arial" w:hAnsi="Arial" w:cs="Arial"/>
        </w:rPr>
        <w:t>3-</w:t>
      </w:r>
      <w:r w:rsidRPr="00751962">
        <w:rPr>
          <w:rFonts w:ascii="Arial" w:hAnsi="Arial" w:cs="Arial"/>
        </w:rPr>
        <w:t xml:space="preserve">variable model </w:t>
      </w:r>
      <w:r>
        <w:rPr>
          <w:rFonts w:ascii="Arial" w:hAnsi="Arial" w:cs="Arial"/>
        </w:rPr>
        <w:t>comprising</w:t>
      </w:r>
      <w:r w:rsidRPr="00751962">
        <w:rPr>
          <w:rFonts w:ascii="Arial" w:hAnsi="Arial" w:cs="Arial"/>
        </w:rPr>
        <w:t xml:space="preserve"> </w:t>
      </w:r>
      <w:r w:rsidR="001B218D">
        <w:rPr>
          <w:rFonts w:ascii="Arial" w:hAnsi="Arial" w:cs="Arial"/>
        </w:rPr>
        <w:t xml:space="preserve">LLTI, All-cause </w:t>
      </w:r>
      <w:r w:rsidRPr="00751962">
        <w:rPr>
          <w:rFonts w:ascii="Arial" w:hAnsi="Arial" w:cs="Arial"/>
        </w:rPr>
        <w:t>SMR</w:t>
      </w:r>
      <w:r w:rsidR="001B218D">
        <w:rPr>
          <w:rFonts w:ascii="Arial" w:hAnsi="Arial" w:cs="Arial"/>
        </w:rPr>
        <w:t xml:space="preserve"> &lt;75 </w:t>
      </w:r>
      <w:r w:rsidRPr="00751962">
        <w:rPr>
          <w:rFonts w:ascii="Arial" w:hAnsi="Arial" w:cs="Arial"/>
        </w:rPr>
        <w:t xml:space="preserve">and </w:t>
      </w:r>
      <w:r>
        <w:rPr>
          <w:rFonts w:ascii="Arial" w:hAnsi="Arial" w:cs="Arial"/>
        </w:rPr>
        <w:t>E</w:t>
      </w:r>
      <w:r w:rsidRPr="00751962">
        <w:rPr>
          <w:rFonts w:ascii="Arial" w:hAnsi="Arial" w:cs="Arial"/>
        </w:rPr>
        <w:t>thnicity.</w:t>
      </w:r>
    </w:p>
    <w:p w:rsidR="008A0085" w:rsidRPr="000834E0" w:rsidRDefault="00751962" w:rsidP="009B569D">
      <w:pPr>
        <w:spacing w:after="240" w:line="276" w:lineRule="auto"/>
        <w:jc w:val="both"/>
        <w:rPr>
          <w:rFonts w:ascii="Arial" w:hAnsi="Arial" w:cs="Arial"/>
          <w:color w:val="000000" w:themeColor="text1"/>
        </w:rPr>
      </w:pPr>
      <w:r w:rsidRPr="000834E0">
        <w:rPr>
          <w:rFonts w:ascii="Arial" w:hAnsi="Arial" w:cs="Arial"/>
          <w:b/>
          <w:color w:val="000000" w:themeColor="text1"/>
        </w:rPr>
        <w:t>Q: The Subgroup is asked to endorse this recommendation.</w:t>
      </w:r>
      <w:r w:rsidRPr="000834E0">
        <w:rPr>
          <w:rFonts w:ascii="Arial" w:hAnsi="Arial" w:cs="Arial"/>
          <w:color w:val="000000" w:themeColor="text1"/>
        </w:rPr>
        <w:t xml:space="preserve"> </w:t>
      </w:r>
    </w:p>
    <w:p w:rsidR="006229E4" w:rsidRDefault="006229E4" w:rsidP="009B569D">
      <w:pPr>
        <w:spacing w:after="240" w:line="276" w:lineRule="auto"/>
        <w:jc w:val="both"/>
        <w:rPr>
          <w:rFonts w:ascii="Arial" w:hAnsi="Arial" w:cs="Arial"/>
        </w:rPr>
      </w:pPr>
      <w:r w:rsidRPr="004360E9">
        <w:rPr>
          <w:rFonts w:ascii="Arial" w:hAnsi="Arial" w:cs="Arial"/>
          <w:b/>
        </w:rPr>
        <w:t>Addition 29 April 2016:</w:t>
      </w:r>
      <w:r>
        <w:rPr>
          <w:rFonts w:ascii="Arial" w:hAnsi="Arial" w:cs="Arial"/>
        </w:rPr>
        <w:t xml:space="preserve"> Following further discussion </w:t>
      </w:r>
      <w:r w:rsidR="003F7585">
        <w:rPr>
          <w:rFonts w:ascii="Arial" w:hAnsi="Arial" w:cs="Arial"/>
        </w:rPr>
        <w:t xml:space="preserve">among the sub-group </w:t>
      </w:r>
      <w:r w:rsidR="00EF4FD7">
        <w:rPr>
          <w:rFonts w:ascii="Arial" w:hAnsi="Arial" w:cs="Arial"/>
        </w:rPr>
        <w:t xml:space="preserve">this week regarding the unpaid care variable, clinical advice was sought and two published reports </w:t>
      </w:r>
      <w:r w:rsidR="0048151B">
        <w:rPr>
          <w:rFonts w:ascii="Arial" w:hAnsi="Arial" w:cs="Arial"/>
        </w:rPr>
        <w:t xml:space="preserve">were </w:t>
      </w:r>
      <w:r w:rsidR="00EF4FD7">
        <w:rPr>
          <w:rFonts w:ascii="Arial" w:hAnsi="Arial" w:cs="Arial"/>
        </w:rPr>
        <w:t>found</w:t>
      </w:r>
      <w:r w:rsidR="0048151B">
        <w:rPr>
          <w:rFonts w:ascii="Arial" w:hAnsi="Arial" w:cs="Arial"/>
        </w:rPr>
        <w:t xml:space="preserve"> to inform this discussion</w:t>
      </w:r>
      <w:r w:rsidR="00EF4FD7">
        <w:rPr>
          <w:rStyle w:val="EndnoteReference"/>
          <w:rFonts w:ascii="Arial" w:hAnsi="Arial" w:cs="Arial"/>
        </w:rPr>
        <w:endnoteReference w:id="1"/>
      </w:r>
      <w:r w:rsidR="00EF4FD7">
        <w:rPr>
          <w:rFonts w:ascii="Arial" w:hAnsi="Arial" w:cs="Arial"/>
        </w:rPr>
        <w:t xml:space="preserve">.  As the needs index is a key decision in the Acute MLC review, it is important to </w:t>
      </w:r>
      <w:r w:rsidR="00582774">
        <w:rPr>
          <w:rFonts w:ascii="Arial" w:hAnsi="Arial" w:cs="Arial"/>
        </w:rPr>
        <w:t xml:space="preserve">consider the evidence, in order to </w:t>
      </w:r>
      <w:r w:rsidR="00EF4FD7">
        <w:rPr>
          <w:rFonts w:ascii="Arial" w:hAnsi="Arial" w:cs="Arial"/>
        </w:rPr>
        <w:t>understand unpai</w:t>
      </w:r>
      <w:r w:rsidR="004360E9">
        <w:rPr>
          <w:rFonts w:ascii="Arial" w:hAnsi="Arial" w:cs="Arial"/>
        </w:rPr>
        <w:t>d care and it</w:t>
      </w:r>
      <w:r w:rsidR="00EF4FD7">
        <w:rPr>
          <w:rFonts w:ascii="Arial" w:hAnsi="Arial" w:cs="Arial"/>
        </w:rPr>
        <w:t>s r</w:t>
      </w:r>
      <w:r w:rsidR="0048151B">
        <w:rPr>
          <w:rFonts w:ascii="Arial" w:hAnsi="Arial" w:cs="Arial"/>
        </w:rPr>
        <w:t xml:space="preserve">elationship with health costs.  </w:t>
      </w:r>
    </w:p>
    <w:p w:rsidR="0048151B" w:rsidRDefault="000834E0" w:rsidP="009B569D">
      <w:pPr>
        <w:spacing w:after="240" w:line="276" w:lineRule="auto"/>
        <w:jc w:val="both"/>
        <w:rPr>
          <w:rFonts w:ascii="Arial" w:hAnsi="Arial" w:cs="Arial"/>
        </w:rPr>
      </w:pPr>
      <w:r>
        <w:rPr>
          <w:rFonts w:ascii="Arial" w:eastAsia="Times New Roman" w:hAnsi="Arial" w:cs="Arial"/>
          <w:color w:val="000000" w:themeColor="text1"/>
        </w:rPr>
        <w:t xml:space="preserve">The reports </w:t>
      </w:r>
      <w:r w:rsidRPr="000834E0">
        <w:rPr>
          <w:rFonts w:ascii="Arial" w:eastAsia="Times New Roman" w:hAnsi="Arial" w:cs="Arial"/>
          <w:color w:val="000000" w:themeColor="text1"/>
        </w:rPr>
        <w:t>indicate that we should see a dose re</w:t>
      </w:r>
      <w:r>
        <w:rPr>
          <w:rFonts w:ascii="Arial" w:eastAsia="Times New Roman" w:hAnsi="Arial" w:cs="Arial"/>
          <w:color w:val="000000" w:themeColor="text1"/>
        </w:rPr>
        <w:t>s</w:t>
      </w:r>
      <w:r w:rsidRPr="000834E0">
        <w:rPr>
          <w:rFonts w:ascii="Arial" w:eastAsia="Times New Roman" w:hAnsi="Arial" w:cs="Arial"/>
          <w:color w:val="000000" w:themeColor="text1"/>
        </w:rPr>
        <w:t>ponse relationship</w:t>
      </w:r>
      <w:r w:rsidRPr="000834E0">
        <w:rPr>
          <w:rFonts w:ascii="Arial" w:hAnsi="Arial" w:cs="Arial"/>
          <w:color w:val="000000" w:themeColor="text1"/>
        </w:rPr>
        <w:t xml:space="preserve"> between unpaid</w:t>
      </w:r>
      <w:r>
        <w:rPr>
          <w:rFonts w:ascii="Arial" w:hAnsi="Arial" w:cs="Arial"/>
        </w:rPr>
        <w:t xml:space="preserve"> care and higher acute health costs</w:t>
      </w:r>
      <w:r w:rsidRPr="000834E0">
        <w:rPr>
          <w:rFonts w:ascii="Arial" w:eastAsia="Times New Roman" w:hAnsi="Arial" w:cs="Arial"/>
          <w:color w:val="000000" w:themeColor="text1"/>
        </w:rPr>
        <w:t xml:space="preserve">. </w:t>
      </w:r>
      <w:r>
        <w:rPr>
          <w:rFonts w:ascii="Arial" w:eastAsia="Times New Roman" w:hAnsi="Arial" w:cs="Arial"/>
          <w:color w:val="000000" w:themeColor="text1"/>
        </w:rPr>
        <w:t>However, our model does not</w:t>
      </w:r>
      <w:r w:rsidRPr="000834E0">
        <w:rPr>
          <w:rFonts w:ascii="Arial" w:eastAsia="Times New Roman" w:hAnsi="Arial" w:cs="Arial"/>
          <w:color w:val="000000" w:themeColor="text1"/>
        </w:rPr>
        <w:t xml:space="preserve"> show this.</w:t>
      </w:r>
      <w:r>
        <w:rPr>
          <w:rFonts w:ascii="Arial" w:eastAsia="Times New Roman" w:hAnsi="Arial" w:cs="Arial"/>
          <w:color w:val="000000" w:themeColor="text1"/>
        </w:rPr>
        <w:t xml:space="preserve"> I</w:t>
      </w:r>
      <w:r w:rsidR="0048151B">
        <w:rPr>
          <w:rFonts w:ascii="Arial" w:hAnsi="Arial" w:cs="Arial"/>
        </w:rPr>
        <w:t>t is difficult</w:t>
      </w:r>
      <w:r w:rsidR="00581D62">
        <w:rPr>
          <w:rFonts w:ascii="Arial" w:hAnsi="Arial" w:cs="Arial"/>
        </w:rPr>
        <w:t xml:space="preserve"> to infer </w:t>
      </w:r>
      <w:proofErr w:type="gramStart"/>
      <w:r w:rsidR="00581D62">
        <w:rPr>
          <w:rFonts w:ascii="Arial" w:hAnsi="Arial" w:cs="Arial"/>
        </w:rPr>
        <w:t xml:space="preserve">causation, </w:t>
      </w:r>
      <w:r w:rsidR="004360E9">
        <w:rPr>
          <w:rFonts w:ascii="Arial" w:hAnsi="Arial" w:cs="Arial"/>
        </w:rPr>
        <w:t>rather that</w:t>
      </w:r>
      <w:proofErr w:type="gramEnd"/>
      <w:r w:rsidR="004360E9">
        <w:rPr>
          <w:rFonts w:ascii="Arial" w:hAnsi="Arial" w:cs="Arial"/>
        </w:rPr>
        <w:t xml:space="preserve"> unpaid care may be </w:t>
      </w:r>
      <w:r w:rsidR="0048151B">
        <w:rPr>
          <w:rFonts w:ascii="Arial" w:hAnsi="Arial" w:cs="Arial"/>
        </w:rPr>
        <w:t>a proxy for higher health ne</w:t>
      </w:r>
      <w:r w:rsidR="00582774">
        <w:rPr>
          <w:rFonts w:ascii="Arial" w:hAnsi="Arial" w:cs="Arial"/>
        </w:rPr>
        <w:t>eds in a population</w:t>
      </w:r>
      <w:r w:rsidR="005D421D">
        <w:rPr>
          <w:rFonts w:ascii="Arial" w:hAnsi="Arial" w:cs="Arial"/>
        </w:rPr>
        <w:t>, reflecting a higher number of people requiring care</w:t>
      </w:r>
      <w:r w:rsidR="0048151B">
        <w:rPr>
          <w:rFonts w:ascii="Arial" w:hAnsi="Arial" w:cs="Arial"/>
        </w:rPr>
        <w:t xml:space="preserve">.  </w:t>
      </w:r>
      <w:r w:rsidR="005D421D">
        <w:rPr>
          <w:rFonts w:ascii="Arial" w:hAnsi="Arial" w:cs="Arial"/>
        </w:rPr>
        <w:t>The reports suggest a relationship between unpaid carers and higher levels of self-reported poor</w:t>
      </w:r>
      <w:r w:rsidR="00582774">
        <w:rPr>
          <w:rFonts w:ascii="Arial" w:hAnsi="Arial" w:cs="Arial"/>
        </w:rPr>
        <w:t>er</w:t>
      </w:r>
      <w:r w:rsidR="005D421D">
        <w:rPr>
          <w:rFonts w:ascii="Arial" w:hAnsi="Arial" w:cs="Arial"/>
        </w:rPr>
        <w:t xml:space="preserve"> health.  </w:t>
      </w:r>
      <w:r w:rsidR="0048151B">
        <w:rPr>
          <w:rFonts w:ascii="Arial" w:hAnsi="Arial" w:cs="Arial"/>
        </w:rPr>
        <w:t xml:space="preserve">There is concern </w:t>
      </w:r>
      <w:r w:rsidR="005D421D">
        <w:rPr>
          <w:rFonts w:ascii="Arial" w:hAnsi="Arial" w:cs="Arial"/>
        </w:rPr>
        <w:t>though that</w:t>
      </w:r>
      <w:r w:rsidR="0048151B">
        <w:rPr>
          <w:rFonts w:ascii="Arial" w:hAnsi="Arial" w:cs="Arial"/>
        </w:rPr>
        <w:t xml:space="preserve"> unpaid care may have a relationship with health costs in both directions, in that </w:t>
      </w:r>
      <w:r w:rsidR="00EF1E4F">
        <w:rPr>
          <w:rFonts w:ascii="Arial" w:hAnsi="Arial" w:cs="Arial"/>
        </w:rPr>
        <w:t xml:space="preserve">it does reflect a population with </w:t>
      </w:r>
      <w:r w:rsidR="00AD1DF4">
        <w:rPr>
          <w:rFonts w:ascii="Arial" w:hAnsi="Arial" w:cs="Arial"/>
        </w:rPr>
        <w:t xml:space="preserve">higher </w:t>
      </w:r>
      <w:r w:rsidR="00EF1E4F">
        <w:rPr>
          <w:rFonts w:ascii="Arial" w:hAnsi="Arial" w:cs="Arial"/>
        </w:rPr>
        <w:t>health need</w:t>
      </w:r>
      <w:r w:rsidR="00AD1DF4">
        <w:rPr>
          <w:rFonts w:ascii="Arial" w:hAnsi="Arial" w:cs="Arial"/>
        </w:rPr>
        <w:t>s</w:t>
      </w:r>
      <w:r w:rsidR="00EF1E4F">
        <w:rPr>
          <w:rFonts w:ascii="Arial" w:hAnsi="Arial" w:cs="Arial"/>
        </w:rPr>
        <w:t xml:space="preserve"> but</w:t>
      </w:r>
      <w:r w:rsidR="0048151B">
        <w:rPr>
          <w:rFonts w:ascii="Arial" w:hAnsi="Arial" w:cs="Arial"/>
        </w:rPr>
        <w:t xml:space="preserve"> may decrease demand for unscheduled care and reduce delayed dis</w:t>
      </w:r>
      <w:r w:rsidR="00EF1E4F">
        <w:rPr>
          <w:rFonts w:ascii="Arial" w:hAnsi="Arial" w:cs="Arial"/>
        </w:rPr>
        <w:t>charges through the support that carers</w:t>
      </w:r>
      <w:r w:rsidR="0048151B">
        <w:rPr>
          <w:rFonts w:ascii="Arial" w:hAnsi="Arial" w:cs="Arial"/>
        </w:rPr>
        <w:t xml:space="preserve"> provide.</w:t>
      </w:r>
    </w:p>
    <w:p w:rsidR="0048151B" w:rsidRDefault="00CF7D02" w:rsidP="009B569D">
      <w:pPr>
        <w:spacing w:after="240" w:line="276" w:lineRule="auto"/>
        <w:jc w:val="both"/>
        <w:rPr>
          <w:rFonts w:ascii="Arial" w:hAnsi="Arial" w:cs="Arial"/>
        </w:rPr>
      </w:pPr>
      <w:r>
        <w:rPr>
          <w:rFonts w:ascii="Arial" w:hAnsi="Arial" w:cs="Arial"/>
        </w:rPr>
        <w:t>During t</w:t>
      </w:r>
      <w:r w:rsidR="005D421D">
        <w:rPr>
          <w:rFonts w:ascii="Arial" w:hAnsi="Arial" w:cs="Arial"/>
        </w:rPr>
        <w:t xml:space="preserve">he Health Inequalities Impact Assessment </w:t>
      </w:r>
      <w:r>
        <w:rPr>
          <w:rFonts w:ascii="Arial" w:hAnsi="Arial" w:cs="Arial"/>
        </w:rPr>
        <w:t xml:space="preserve">workshop </w:t>
      </w:r>
      <w:r w:rsidR="005D421D">
        <w:rPr>
          <w:rFonts w:ascii="Arial" w:hAnsi="Arial" w:cs="Arial"/>
        </w:rPr>
        <w:t>(see minutes of the 18</w:t>
      </w:r>
      <w:r w:rsidR="005D421D" w:rsidRPr="005D421D">
        <w:rPr>
          <w:rFonts w:ascii="Arial" w:hAnsi="Arial" w:cs="Arial"/>
          <w:vertAlign w:val="superscript"/>
        </w:rPr>
        <w:t>th</w:t>
      </w:r>
      <w:r>
        <w:rPr>
          <w:rFonts w:ascii="Arial" w:hAnsi="Arial" w:cs="Arial"/>
        </w:rPr>
        <w:t xml:space="preserve"> August 2015 meeting), carers </w:t>
      </w:r>
      <w:r w:rsidR="005D421D" w:rsidRPr="00F06F81">
        <w:rPr>
          <w:rFonts w:ascii="Arial" w:hAnsi="Arial" w:cs="Arial"/>
        </w:rPr>
        <w:t xml:space="preserve">were identified by the group as being a high profile group in current policy. Consideration of carers is relevant for their own healthcare needs and for the costs to the NHS if they become unable to care. </w:t>
      </w:r>
    </w:p>
    <w:p w:rsidR="00CF7D02" w:rsidRDefault="00DF2D1A" w:rsidP="009B569D">
      <w:pPr>
        <w:spacing w:after="240" w:line="276" w:lineRule="auto"/>
        <w:jc w:val="both"/>
        <w:rPr>
          <w:rFonts w:ascii="Arial" w:hAnsi="Arial" w:cs="Arial"/>
        </w:rPr>
      </w:pPr>
      <w:r>
        <w:rPr>
          <w:rFonts w:ascii="Arial" w:hAnsi="Arial" w:cs="Arial"/>
        </w:rPr>
        <w:t xml:space="preserve">Following our recommendation above, of </w:t>
      </w:r>
      <w:r w:rsidRPr="00751962">
        <w:rPr>
          <w:rFonts w:ascii="Arial" w:hAnsi="Arial" w:cs="Arial"/>
        </w:rPr>
        <w:t xml:space="preserve">the </w:t>
      </w:r>
      <w:r>
        <w:rPr>
          <w:rFonts w:ascii="Arial" w:hAnsi="Arial" w:cs="Arial"/>
        </w:rPr>
        <w:t>3-</w:t>
      </w:r>
      <w:r w:rsidRPr="00751962">
        <w:rPr>
          <w:rFonts w:ascii="Arial" w:hAnsi="Arial" w:cs="Arial"/>
        </w:rPr>
        <w:t xml:space="preserve">variable model </w:t>
      </w:r>
      <w:r>
        <w:rPr>
          <w:rFonts w:ascii="Arial" w:hAnsi="Arial" w:cs="Arial"/>
        </w:rPr>
        <w:t>comprising</w:t>
      </w:r>
      <w:r w:rsidRPr="00751962">
        <w:rPr>
          <w:rFonts w:ascii="Arial" w:hAnsi="Arial" w:cs="Arial"/>
        </w:rPr>
        <w:t xml:space="preserve"> </w:t>
      </w:r>
      <w:r>
        <w:rPr>
          <w:rFonts w:ascii="Arial" w:hAnsi="Arial" w:cs="Arial"/>
        </w:rPr>
        <w:t xml:space="preserve">LLTI, All-cause </w:t>
      </w:r>
      <w:r w:rsidRPr="00751962">
        <w:rPr>
          <w:rFonts w:ascii="Arial" w:hAnsi="Arial" w:cs="Arial"/>
        </w:rPr>
        <w:t>SMR</w:t>
      </w:r>
      <w:r>
        <w:rPr>
          <w:rFonts w:ascii="Arial" w:hAnsi="Arial" w:cs="Arial"/>
        </w:rPr>
        <w:t xml:space="preserve"> &lt;75 </w:t>
      </w:r>
      <w:r w:rsidRPr="00751962">
        <w:rPr>
          <w:rFonts w:ascii="Arial" w:hAnsi="Arial" w:cs="Arial"/>
        </w:rPr>
        <w:t xml:space="preserve">and </w:t>
      </w:r>
      <w:r>
        <w:rPr>
          <w:rFonts w:ascii="Arial" w:hAnsi="Arial" w:cs="Arial"/>
        </w:rPr>
        <w:t xml:space="preserve">Ethnicity, the group are asked to consider whether the additional discussion on unpaid care could justify the inclusion of this variable in a 4-variable model (LLTI, All-cause </w:t>
      </w:r>
      <w:r w:rsidRPr="00751962">
        <w:rPr>
          <w:rFonts w:ascii="Arial" w:hAnsi="Arial" w:cs="Arial"/>
        </w:rPr>
        <w:t>SMR</w:t>
      </w:r>
      <w:r w:rsidR="000102D8">
        <w:rPr>
          <w:rFonts w:ascii="Arial" w:hAnsi="Arial" w:cs="Arial"/>
        </w:rPr>
        <w:t xml:space="preserve"> &lt;75, </w:t>
      </w:r>
      <w:r>
        <w:rPr>
          <w:rFonts w:ascii="Arial" w:hAnsi="Arial" w:cs="Arial"/>
        </w:rPr>
        <w:t>Ethnicity</w:t>
      </w:r>
      <w:r w:rsidR="000102D8">
        <w:rPr>
          <w:rFonts w:ascii="Arial" w:hAnsi="Arial" w:cs="Arial"/>
        </w:rPr>
        <w:t xml:space="preserve"> and Unpaid Care</w:t>
      </w:r>
      <w:r>
        <w:rPr>
          <w:rFonts w:ascii="Arial" w:hAnsi="Arial" w:cs="Arial"/>
        </w:rPr>
        <w:t>).</w:t>
      </w:r>
    </w:p>
    <w:p w:rsidR="006229E4" w:rsidRDefault="006229E4" w:rsidP="009B569D">
      <w:pPr>
        <w:spacing w:after="240" w:line="276" w:lineRule="auto"/>
        <w:jc w:val="both"/>
        <w:rPr>
          <w:rFonts w:ascii="Arial" w:hAnsi="Arial" w:cs="Arial"/>
        </w:rPr>
      </w:pPr>
    </w:p>
    <w:sectPr w:rsidR="006229E4" w:rsidSect="00AE1B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62" w:rsidRDefault="00581D62" w:rsidP="00D73F88">
      <w:pPr>
        <w:spacing w:after="0" w:line="240" w:lineRule="auto"/>
      </w:pPr>
      <w:r>
        <w:separator/>
      </w:r>
    </w:p>
  </w:endnote>
  <w:endnote w:type="continuationSeparator" w:id="0">
    <w:p w:rsidR="00581D62" w:rsidRDefault="00581D62" w:rsidP="00D73F88">
      <w:pPr>
        <w:spacing w:after="0" w:line="240" w:lineRule="auto"/>
      </w:pPr>
      <w:r>
        <w:continuationSeparator/>
      </w:r>
    </w:p>
  </w:endnote>
  <w:endnote w:id="1">
    <w:p w:rsidR="00581D62" w:rsidRDefault="00581D62">
      <w:pPr>
        <w:pStyle w:val="EndnoteText"/>
      </w:pPr>
      <w:r>
        <w:rPr>
          <w:rStyle w:val="EndnoteReference"/>
        </w:rPr>
        <w:endnoteRef/>
      </w:r>
      <w:r>
        <w:t xml:space="preserve"> Scotland’s Carers (</w:t>
      </w:r>
      <w:hyperlink r:id="rId1" w:history="1">
        <w:r w:rsidRPr="00EF4FD7">
          <w:rPr>
            <w:rStyle w:val="Hyperlink"/>
          </w:rPr>
          <w:t>http://www.gov.scot/Resource/0047/00473691.pdf</w:t>
        </w:r>
      </w:hyperlink>
      <w:r>
        <w:t>) and Caring in Scotland: Analysis of Existing Data Sources on Unpaid Carers in Scotland (</w:t>
      </w:r>
      <w:hyperlink r:id="rId2" w:history="1">
        <w:r w:rsidRPr="00EF4FD7">
          <w:rPr>
            <w:rStyle w:val="Hyperlink"/>
          </w:rPr>
          <w:t>http://www.gov.scot/Resource/Doc/319575/0102110.pdf</w:t>
        </w:r>
      </w:hyperlink>
      <w: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125"/>
      <w:docPartObj>
        <w:docPartGallery w:val="Page Numbers (Bottom of Page)"/>
        <w:docPartUnique/>
      </w:docPartObj>
    </w:sdtPr>
    <w:sdtContent>
      <w:p w:rsidR="00581D62" w:rsidRDefault="00581D62">
        <w:pPr>
          <w:pStyle w:val="Footer"/>
          <w:jc w:val="center"/>
        </w:pPr>
        <w:fldSimple w:instr=" PAGE   \* MERGEFORMAT ">
          <w:r w:rsidR="009A3B00">
            <w:rPr>
              <w:noProof/>
            </w:rPr>
            <w:t>6</w:t>
          </w:r>
        </w:fldSimple>
      </w:p>
    </w:sdtContent>
  </w:sdt>
  <w:p w:rsidR="00581D62" w:rsidRDefault="00581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62" w:rsidRDefault="00581D62" w:rsidP="00D73F88">
      <w:pPr>
        <w:spacing w:after="0" w:line="240" w:lineRule="auto"/>
      </w:pPr>
      <w:r>
        <w:separator/>
      </w:r>
    </w:p>
  </w:footnote>
  <w:footnote w:type="continuationSeparator" w:id="0">
    <w:p w:rsidR="00581D62" w:rsidRDefault="00581D62" w:rsidP="00D73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62" w:rsidRPr="0097225D" w:rsidRDefault="00581D62" w:rsidP="0062496E">
    <w:pPr>
      <w:pStyle w:val="Header"/>
      <w:jc w:val="right"/>
      <w:rPr>
        <w:rFonts w:ascii="Arial" w:hAnsi="Arial" w:cs="Arial"/>
        <w:i/>
      </w:rPr>
    </w:pPr>
    <w:r w:rsidRPr="0097225D">
      <w:rPr>
        <w:rFonts w:ascii="Arial" w:hAnsi="Arial" w:cs="Arial"/>
        <w:i/>
      </w:rPr>
      <w:t>TAMLC</w:t>
    </w:r>
    <w:r>
      <w:rPr>
        <w:rFonts w:ascii="Arial" w:hAnsi="Arial" w:cs="Arial"/>
        <w:i/>
      </w:rPr>
      <w:t>49</w:t>
    </w:r>
  </w:p>
  <w:p w:rsidR="00581D62" w:rsidRDefault="00581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1101"/>
    <w:multiLevelType w:val="hybridMultilevel"/>
    <w:tmpl w:val="0AC0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F0D29"/>
    <w:multiLevelType w:val="hybridMultilevel"/>
    <w:tmpl w:val="1FEAB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32658"/>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A065834"/>
    <w:multiLevelType w:val="hybridMultilevel"/>
    <w:tmpl w:val="6BA4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B32709"/>
    <w:multiLevelType w:val="hybridMultilevel"/>
    <w:tmpl w:val="7370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3B00853"/>
    <w:multiLevelType w:val="multilevel"/>
    <w:tmpl w:val="F22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B24C29"/>
    <w:multiLevelType w:val="hybridMultilevel"/>
    <w:tmpl w:val="21A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C6D86"/>
    <w:multiLevelType w:val="hybridMultilevel"/>
    <w:tmpl w:val="EFA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315BDD"/>
    <w:multiLevelType w:val="hybridMultilevel"/>
    <w:tmpl w:val="EBA0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222A1A"/>
    <w:multiLevelType w:val="hybridMultilevel"/>
    <w:tmpl w:val="C55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87576C"/>
    <w:multiLevelType w:val="hybridMultilevel"/>
    <w:tmpl w:val="35E4FE0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2AA7930"/>
    <w:multiLevelType w:val="hybridMultilevel"/>
    <w:tmpl w:val="03B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7DC5B58"/>
    <w:multiLevelType w:val="hybridMultilevel"/>
    <w:tmpl w:val="1CECF4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5A443131"/>
    <w:multiLevelType w:val="hybridMultilevel"/>
    <w:tmpl w:val="F798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3E739AD"/>
    <w:multiLevelType w:val="hybridMultilevel"/>
    <w:tmpl w:val="7178A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EE4371C"/>
    <w:multiLevelType w:val="hybridMultilevel"/>
    <w:tmpl w:val="7B863DC8"/>
    <w:lvl w:ilvl="0" w:tplc="4FE442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F7E537A"/>
    <w:multiLevelType w:val="hybridMultilevel"/>
    <w:tmpl w:val="5CE065A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nsid w:val="7FE53916"/>
    <w:multiLevelType w:val="hybridMultilevel"/>
    <w:tmpl w:val="61B0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1"/>
  </w:num>
  <w:num w:numId="4">
    <w:abstractNumId w:val="13"/>
  </w:num>
  <w:num w:numId="5">
    <w:abstractNumId w:val="22"/>
  </w:num>
  <w:num w:numId="6">
    <w:abstractNumId w:val="15"/>
  </w:num>
  <w:num w:numId="7">
    <w:abstractNumId w:val="5"/>
  </w:num>
  <w:num w:numId="8">
    <w:abstractNumId w:val="20"/>
  </w:num>
  <w:num w:numId="9">
    <w:abstractNumId w:val="19"/>
  </w:num>
  <w:num w:numId="10">
    <w:abstractNumId w:val="24"/>
  </w:num>
  <w:num w:numId="11">
    <w:abstractNumId w:val="26"/>
  </w:num>
  <w:num w:numId="12">
    <w:abstractNumId w:val="25"/>
  </w:num>
  <w:num w:numId="13">
    <w:abstractNumId w:val="18"/>
  </w:num>
  <w:num w:numId="14">
    <w:abstractNumId w:val="23"/>
  </w:num>
  <w:num w:numId="15">
    <w:abstractNumId w:val="0"/>
  </w:num>
  <w:num w:numId="16">
    <w:abstractNumId w:val="14"/>
  </w:num>
  <w:num w:numId="17">
    <w:abstractNumId w:val="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6"/>
  </w:num>
  <w:num w:numId="22">
    <w:abstractNumId w:val="4"/>
  </w:num>
  <w:num w:numId="23">
    <w:abstractNumId w:val="1"/>
  </w:num>
  <w:num w:numId="24">
    <w:abstractNumId w:val="8"/>
  </w:num>
  <w:num w:numId="25">
    <w:abstractNumId w:val="9"/>
  </w:num>
  <w:num w:numId="26">
    <w:abstractNumId w:val="10"/>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3452"/>
    <w:rsid w:val="00005F0E"/>
    <w:rsid w:val="00006EB9"/>
    <w:rsid w:val="000102D8"/>
    <w:rsid w:val="00011107"/>
    <w:rsid w:val="000121E1"/>
    <w:rsid w:val="00012889"/>
    <w:rsid w:val="00015352"/>
    <w:rsid w:val="00025C70"/>
    <w:rsid w:val="0002663C"/>
    <w:rsid w:val="00030CF4"/>
    <w:rsid w:val="00030D18"/>
    <w:rsid w:val="00041BFB"/>
    <w:rsid w:val="00043EA9"/>
    <w:rsid w:val="0004471D"/>
    <w:rsid w:val="00047FC5"/>
    <w:rsid w:val="00051794"/>
    <w:rsid w:val="00052F4E"/>
    <w:rsid w:val="000646BB"/>
    <w:rsid w:val="00070160"/>
    <w:rsid w:val="00070941"/>
    <w:rsid w:val="00075D13"/>
    <w:rsid w:val="00080016"/>
    <w:rsid w:val="000834E0"/>
    <w:rsid w:val="000855AE"/>
    <w:rsid w:val="00096969"/>
    <w:rsid w:val="000973AE"/>
    <w:rsid w:val="000A0196"/>
    <w:rsid w:val="000A02F3"/>
    <w:rsid w:val="000A4CE3"/>
    <w:rsid w:val="000A6310"/>
    <w:rsid w:val="000B7CF7"/>
    <w:rsid w:val="000D448A"/>
    <w:rsid w:val="000D5DA6"/>
    <w:rsid w:val="000E0E93"/>
    <w:rsid w:val="000E10A6"/>
    <w:rsid w:val="000E2213"/>
    <w:rsid w:val="000E31F8"/>
    <w:rsid w:val="000F2681"/>
    <w:rsid w:val="00106A07"/>
    <w:rsid w:val="00111860"/>
    <w:rsid w:val="00112A00"/>
    <w:rsid w:val="00113A16"/>
    <w:rsid w:val="00113AE0"/>
    <w:rsid w:val="0011522A"/>
    <w:rsid w:val="00115406"/>
    <w:rsid w:val="001161CC"/>
    <w:rsid w:val="00116324"/>
    <w:rsid w:val="00120A10"/>
    <w:rsid w:val="0013016D"/>
    <w:rsid w:val="001333E1"/>
    <w:rsid w:val="00136ADC"/>
    <w:rsid w:val="001430E1"/>
    <w:rsid w:val="00146322"/>
    <w:rsid w:val="00152D21"/>
    <w:rsid w:val="001537F0"/>
    <w:rsid w:val="001537FB"/>
    <w:rsid w:val="00154170"/>
    <w:rsid w:val="001552D2"/>
    <w:rsid w:val="001561F2"/>
    <w:rsid w:val="001573B2"/>
    <w:rsid w:val="0017016E"/>
    <w:rsid w:val="001742B7"/>
    <w:rsid w:val="0017495F"/>
    <w:rsid w:val="00176B1E"/>
    <w:rsid w:val="001770F6"/>
    <w:rsid w:val="00183237"/>
    <w:rsid w:val="00186620"/>
    <w:rsid w:val="00192003"/>
    <w:rsid w:val="0019461B"/>
    <w:rsid w:val="0019487B"/>
    <w:rsid w:val="001949B6"/>
    <w:rsid w:val="00197040"/>
    <w:rsid w:val="001A2ED2"/>
    <w:rsid w:val="001A3452"/>
    <w:rsid w:val="001A5295"/>
    <w:rsid w:val="001B20BB"/>
    <w:rsid w:val="001B218D"/>
    <w:rsid w:val="001B2967"/>
    <w:rsid w:val="001B41FE"/>
    <w:rsid w:val="001C6294"/>
    <w:rsid w:val="001C77E4"/>
    <w:rsid w:val="001D00F6"/>
    <w:rsid w:val="001D30E7"/>
    <w:rsid w:val="001E575B"/>
    <w:rsid w:val="001E600A"/>
    <w:rsid w:val="001F1105"/>
    <w:rsid w:val="001F11D1"/>
    <w:rsid w:val="00200E86"/>
    <w:rsid w:val="00203088"/>
    <w:rsid w:val="00204AA3"/>
    <w:rsid w:val="002071A9"/>
    <w:rsid w:val="00214CAB"/>
    <w:rsid w:val="00217F18"/>
    <w:rsid w:val="0022071D"/>
    <w:rsid w:val="00221787"/>
    <w:rsid w:val="00223358"/>
    <w:rsid w:val="00224782"/>
    <w:rsid w:val="002348A3"/>
    <w:rsid w:val="00235E23"/>
    <w:rsid w:val="00240109"/>
    <w:rsid w:val="002534FD"/>
    <w:rsid w:val="002557A4"/>
    <w:rsid w:val="002609D8"/>
    <w:rsid w:val="00262811"/>
    <w:rsid w:val="002653DB"/>
    <w:rsid w:val="00267F82"/>
    <w:rsid w:val="002753D8"/>
    <w:rsid w:val="002801AB"/>
    <w:rsid w:val="00282CB0"/>
    <w:rsid w:val="002846BC"/>
    <w:rsid w:val="00291E67"/>
    <w:rsid w:val="00292616"/>
    <w:rsid w:val="002A14C8"/>
    <w:rsid w:val="002A3A19"/>
    <w:rsid w:val="002A4227"/>
    <w:rsid w:val="002A5FBF"/>
    <w:rsid w:val="002A60DF"/>
    <w:rsid w:val="002B6B84"/>
    <w:rsid w:val="002C09EF"/>
    <w:rsid w:val="002C54F7"/>
    <w:rsid w:val="002C5EB6"/>
    <w:rsid w:val="002D23C6"/>
    <w:rsid w:val="002D4AE9"/>
    <w:rsid w:val="002D550A"/>
    <w:rsid w:val="002D7D33"/>
    <w:rsid w:val="002E0A32"/>
    <w:rsid w:val="002F1064"/>
    <w:rsid w:val="002F2E1C"/>
    <w:rsid w:val="0030071C"/>
    <w:rsid w:val="00304085"/>
    <w:rsid w:val="00306620"/>
    <w:rsid w:val="0033117A"/>
    <w:rsid w:val="0033134C"/>
    <w:rsid w:val="00333E4B"/>
    <w:rsid w:val="00334BE9"/>
    <w:rsid w:val="00335493"/>
    <w:rsid w:val="0034095A"/>
    <w:rsid w:val="0034156F"/>
    <w:rsid w:val="00342E2D"/>
    <w:rsid w:val="00343C59"/>
    <w:rsid w:val="003468DF"/>
    <w:rsid w:val="00347382"/>
    <w:rsid w:val="003579F2"/>
    <w:rsid w:val="00357D70"/>
    <w:rsid w:val="003644A3"/>
    <w:rsid w:val="0036608C"/>
    <w:rsid w:val="0036620D"/>
    <w:rsid w:val="00371BD8"/>
    <w:rsid w:val="00373223"/>
    <w:rsid w:val="003761C2"/>
    <w:rsid w:val="003865E0"/>
    <w:rsid w:val="003900E3"/>
    <w:rsid w:val="0039101E"/>
    <w:rsid w:val="003955DC"/>
    <w:rsid w:val="0039785F"/>
    <w:rsid w:val="003A1C26"/>
    <w:rsid w:val="003A6F9C"/>
    <w:rsid w:val="003B4465"/>
    <w:rsid w:val="003D2EE8"/>
    <w:rsid w:val="003D47DF"/>
    <w:rsid w:val="003D63A1"/>
    <w:rsid w:val="003D7984"/>
    <w:rsid w:val="003E2203"/>
    <w:rsid w:val="003E358F"/>
    <w:rsid w:val="003E4724"/>
    <w:rsid w:val="003E4A19"/>
    <w:rsid w:val="003F0593"/>
    <w:rsid w:val="003F2912"/>
    <w:rsid w:val="003F5EE5"/>
    <w:rsid w:val="003F7585"/>
    <w:rsid w:val="00400D7C"/>
    <w:rsid w:val="004032F7"/>
    <w:rsid w:val="004039BE"/>
    <w:rsid w:val="00405C8E"/>
    <w:rsid w:val="004063AA"/>
    <w:rsid w:val="00411DDE"/>
    <w:rsid w:val="00414099"/>
    <w:rsid w:val="00420F78"/>
    <w:rsid w:val="00423838"/>
    <w:rsid w:val="004360E9"/>
    <w:rsid w:val="00441109"/>
    <w:rsid w:val="004424D0"/>
    <w:rsid w:val="00442E23"/>
    <w:rsid w:val="00444D6A"/>
    <w:rsid w:val="0044517D"/>
    <w:rsid w:val="0044680A"/>
    <w:rsid w:val="0045112D"/>
    <w:rsid w:val="004521D1"/>
    <w:rsid w:val="0045608A"/>
    <w:rsid w:val="00463377"/>
    <w:rsid w:val="00463D32"/>
    <w:rsid w:val="00465641"/>
    <w:rsid w:val="0047067A"/>
    <w:rsid w:val="00473821"/>
    <w:rsid w:val="00473F73"/>
    <w:rsid w:val="0048151B"/>
    <w:rsid w:val="0048449B"/>
    <w:rsid w:val="004852E8"/>
    <w:rsid w:val="00487765"/>
    <w:rsid w:val="004903F3"/>
    <w:rsid w:val="004A0203"/>
    <w:rsid w:val="004A080A"/>
    <w:rsid w:val="004A3E66"/>
    <w:rsid w:val="004B01E1"/>
    <w:rsid w:val="004B3637"/>
    <w:rsid w:val="004B4316"/>
    <w:rsid w:val="004B590E"/>
    <w:rsid w:val="004B6681"/>
    <w:rsid w:val="004C0A64"/>
    <w:rsid w:val="004C52D3"/>
    <w:rsid w:val="004C6CE0"/>
    <w:rsid w:val="004D104C"/>
    <w:rsid w:val="004D13FA"/>
    <w:rsid w:val="004E0195"/>
    <w:rsid w:val="004E1530"/>
    <w:rsid w:val="004E6BA3"/>
    <w:rsid w:val="004E724F"/>
    <w:rsid w:val="004F3ECA"/>
    <w:rsid w:val="00501087"/>
    <w:rsid w:val="00503E65"/>
    <w:rsid w:val="005042A8"/>
    <w:rsid w:val="00504A72"/>
    <w:rsid w:val="005058AD"/>
    <w:rsid w:val="0051750A"/>
    <w:rsid w:val="00517590"/>
    <w:rsid w:val="00520476"/>
    <w:rsid w:val="00523024"/>
    <w:rsid w:val="005248C9"/>
    <w:rsid w:val="00525EDB"/>
    <w:rsid w:val="005279F8"/>
    <w:rsid w:val="005317F1"/>
    <w:rsid w:val="005354C8"/>
    <w:rsid w:val="0053648E"/>
    <w:rsid w:val="00540F94"/>
    <w:rsid w:val="00545BFA"/>
    <w:rsid w:val="00547919"/>
    <w:rsid w:val="00555603"/>
    <w:rsid w:val="00560397"/>
    <w:rsid w:val="00561B16"/>
    <w:rsid w:val="00570CA1"/>
    <w:rsid w:val="00572434"/>
    <w:rsid w:val="00572C82"/>
    <w:rsid w:val="00577D09"/>
    <w:rsid w:val="00581D62"/>
    <w:rsid w:val="00582774"/>
    <w:rsid w:val="00587926"/>
    <w:rsid w:val="005935CC"/>
    <w:rsid w:val="00593834"/>
    <w:rsid w:val="005965FD"/>
    <w:rsid w:val="005A6A7A"/>
    <w:rsid w:val="005A6C22"/>
    <w:rsid w:val="005B0B16"/>
    <w:rsid w:val="005B7A2F"/>
    <w:rsid w:val="005C3F6E"/>
    <w:rsid w:val="005C5693"/>
    <w:rsid w:val="005C6141"/>
    <w:rsid w:val="005C7B40"/>
    <w:rsid w:val="005D1DF7"/>
    <w:rsid w:val="005D1F34"/>
    <w:rsid w:val="005D421D"/>
    <w:rsid w:val="005D48BA"/>
    <w:rsid w:val="005E5F93"/>
    <w:rsid w:val="005E7792"/>
    <w:rsid w:val="005F0C61"/>
    <w:rsid w:val="006002AD"/>
    <w:rsid w:val="006135C0"/>
    <w:rsid w:val="00613D41"/>
    <w:rsid w:val="00616850"/>
    <w:rsid w:val="00620EB3"/>
    <w:rsid w:val="006229E4"/>
    <w:rsid w:val="0062496E"/>
    <w:rsid w:val="00641494"/>
    <w:rsid w:val="00641C4E"/>
    <w:rsid w:val="006426DA"/>
    <w:rsid w:val="00642AFC"/>
    <w:rsid w:val="00642B7A"/>
    <w:rsid w:val="0064367E"/>
    <w:rsid w:val="00647361"/>
    <w:rsid w:val="00653525"/>
    <w:rsid w:val="00655732"/>
    <w:rsid w:val="006576B9"/>
    <w:rsid w:val="006576E4"/>
    <w:rsid w:val="00663DBC"/>
    <w:rsid w:val="006647C1"/>
    <w:rsid w:val="006672F5"/>
    <w:rsid w:val="00677CAD"/>
    <w:rsid w:val="006807A8"/>
    <w:rsid w:val="0068236C"/>
    <w:rsid w:val="00686C2B"/>
    <w:rsid w:val="00696626"/>
    <w:rsid w:val="006A1E73"/>
    <w:rsid w:val="006A3D7A"/>
    <w:rsid w:val="006A4F9E"/>
    <w:rsid w:val="006A6371"/>
    <w:rsid w:val="006C2546"/>
    <w:rsid w:val="006D05B7"/>
    <w:rsid w:val="006D0647"/>
    <w:rsid w:val="006D1894"/>
    <w:rsid w:val="006D1DF1"/>
    <w:rsid w:val="006D202B"/>
    <w:rsid w:val="006E0D2B"/>
    <w:rsid w:val="006E3DFA"/>
    <w:rsid w:val="006E770E"/>
    <w:rsid w:val="006E7FD9"/>
    <w:rsid w:val="006F1836"/>
    <w:rsid w:val="006F1BE7"/>
    <w:rsid w:val="006F217B"/>
    <w:rsid w:val="006F6AD2"/>
    <w:rsid w:val="00700A5E"/>
    <w:rsid w:val="00701AAB"/>
    <w:rsid w:val="007125D7"/>
    <w:rsid w:val="007150B0"/>
    <w:rsid w:val="0071672A"/>
    <w:rsid w:val="007178BA"/>
    <w:rsid w:val="0072706E"/>
    <w:rsid w:val="00727EF5"/>
    <w:rsid w:val="00732055"/>
    <w:rsid w:val="00751962"/>
    <w:rsid w:val="00752D19"/>
    <w:rsid w:val="00755BA9"/>
    <w:rsid w:val="00757EBC"/>
    <w:rsid w:val="00761086"/>
    <w:rsid w:val="00763824"/>
    <w:rsid w:val="00786B98"/>
    <w:rsid w:val="007A0FC9"/>
    <w:rsid w:val="007A1C02"/>
    <w:rsid w:val="007B759D"/>
    <w:rsid w:val="007C2DE5"/>
    <w:rsid w:val="007C46EC"/>
    <w:rsid w:val="007D2275"/>
    <w:rsid w:val="007D50F7"/>
    <w:rsid w:val="007E4328"/>
    <w:rsid w:val="007E510C"/>
    <w:rsid w:val="007E5F58"/>
    <w:rsid w:val="007F0AE5"/>
    <w:rsid w:val="007F3397"/>
    <w:rsid w:val="007F4F7C"/>
    <w:rsid w:val="00800315"/>
    <w:rsid w:val="00800A50"/>
    <w:rsid w:val="00804773"/>
    <w:rsid w:val="00804902"/>
    <w:rsid w:val="00812FDC"/>
    <w:rsid w:val="00813B67"/>
    <w:rsid w:val="00826CDE"/>
    <w:rsid w:val="008274E6"/>
    <w:rsid w:val="00827766"/>
    <w:rsid w:val="008308C8"/>
    <w:rsid w:val="00833A1A"/>
    <w:rsid w:val="00834EC9"/>
    <w:rsid w:val="008404DB"/>
    <w:rsid w:val="00847266"/>
    <w:rsid w:val="00860C1E"/>
    <w:rsid w:val="00861D9D"/>
    <w:rsid w:val="0087386F"/>
    <w:rsid w:val="008746C4"/>
    <w:rsid w:val="00877B99"/>
    <w:rsid w:val="00886B75"/>
    <w:rsid w:val="00887D7E"/>
    <w:rsid w:val="008970BF"/>
    <w:rsid w:val="008977DB"/>
    <w:rsid w:val="008A0085"/>
    <w:rsid w:val="008A054C"/>
    <w:rsid w:val="008A16AD"/>
    <w:rsid w:val="008B01C1"/>
    <w:rsid w:val="008B0AD4"/>
    <w:rsid w:val="008B3318"/>
    <w:rsid w:val="008B39F8"/>
    <w:rsid w:val="008B67BA"/>
    <w:rsid w:val="008B7BDC"/>
    <w:rsid w:val="008C0DC3"/>
    <w:rsid w:val="008C123F"/>
    <w:rsid w:val="008C5330"/>
    <w:rsid w:val="008C77D4"/>
    <w:rsid w:val="008E640B"/>
    <w:rsid w:val="008E7D0E"/>
    <w:rsid w:val="008F0899"/>
    <w:rsid w:val="008F39D1"/>
    <w:rsid w:val="008F6D1A"/>
    <w:rsid w:val="009019C5"/>
    <w:rsid w:val="00923CC2"/>
    <w:rsid w:val="00924EAE"/>
    <w:rsid w:val="00926EEA"/>
    <w:rsid w:val="0093049A"/>
    <w:rsid w:val="009309D8"/>
    <w:rsid w:val="009320B7"/>
    <w:rsid w:val="00935403"/>
    <w:rsid w:val="00935AC0"/>
    <w:rsid w:val="00941D40"/>
    <w:rsid w:val="00944530"/>
    <w:rsid w:val="0094563A"/>
    <w:rsid w:val="0095216F"/>
    <w:rsid w:val="00952710"/>
    <w:rsid w:val="00954C68"/>
    <w:rsid w:val="00957941"/>
    <w:rsid w:val="009631D8"/>
    <w:rsid w:val="00973B62"/>
    <w:rsid w:val="00973D24"/>
    <w:rsid w:val="00973DDF"/>
    <w:rsid w:val="009741E1"/>
    <w:rsid w:val="009815B5"/>
    <w:rsid w:val="00982C7F"/>
    <w:rsid w:val="00984634"/>
    <w:rsid w:val="0098605A"/>
    <w:rsid w:val="009870B2"/>
    <w:rsid w:val="00987761"/>
    <w:rsid w:val="009963CA"/>
    <w:rsid w:val="009A3B00"/>
    <w:rsid w:val="009A66C2"/>
    <w:rsid w:val="009A7640"/>
    <w:rsid w:val="009B21BF"/>
    <w:rsid w:val="009B569D"/>
    <w:rsid w:val="009C5157"/>
    <w:rsid w:val="009C5A62"/>
    <w:rsid w:val="009C6177"/>
    <w:rsid w:val="009E0EF9"/>
    <w:rsid w:val="009E21DD"/>
    <w:rsid w:val="009F1735"/>
    <w:rsid w:val="00A05069"/>
    <w:rsid w:val="00A10AAF"/>
    <w:rsid w:val="00A11125"/>
    <w:rsid w:val="00A126EA"/>
    <w:rsid w:val="00A1462B"/>
    <w:rsid w:val="00A1466E"/>
    <w:rsid w:val="00A17612"/>
    <w:rsid w:val="00A203D3"/>
    <w:rsid w:val="00A20416"/>
    <w:rsid w:val="00A25F0A"/>
    <w:rsid w:val="00A26E77"/>
    <w:rsid w:val="00A27B66"/>
    <w:rsid w:val="00A3007A"/>
    <w:rsid w:val="00A31320"/>
    <w:rsid w:val="00A31FEA"/>
    <w:rsid w:val="00A36D88"/>
    <w:rsid w:val="00A36E51"/>
    <w:rsid w:val="00A37075"/>
    <w:rsid w:val="00A40614"/>
    <w:rsid w:val="00A418BB"/>
    <w:rsid w:val="00A450F4"/>
    <w:rsid w:val="00A46B74"/>
    <w:rsid w:val="00A50235"/>
    <w:rsid w:val="00A535E9"/>
    <w:rsid w:val="00A5534E"/>
    <w:rsid w:val="00A6460B"/>
    <w:rsid w:val="00A65795"/>
    <w:rsid w:val="00A6765F"/>
    <w:rsid w:val="00A67B26"/>
    <w:rsid w:val="00A77109"/>
    <w:rsid w:val="00A8186E"/>
    <w:rsid w:val="00A835A1"/>
    <w:rsid w:val="00A83908"/>
    <w:rsid w:val="00A91BE8"/>
    <w:rsid w:val="00A945F6"/>
    <w:rsid w:val="00A964EC"/>
    <w:rsid w:val="00A96513"/>
    <w:rsid w:val="00A978D3"/>
    <w:rsid w:val="00AA2504"/>
    <w:rsid w:val="00AA4951"/>
    <w:rsid w:val="00AA63A5"/>
    <w:rsid w:val="00AB55A9"/>
    <w:rsid w:val="00AB7F9F"/>
    <w:rsid w:val="00AC7CC4"/>
    <w:rsid w:val="00AD0248"/>
    <w:rsid w:val="00AD1DF4"/>
    <w:rsid w:val="00AD4633"/>
    <w:rsid w:val="00AD524B"/>
    <w:rsid w:val="00AE1B89"/>
    <w:rsid w:val="00AE395A"/>
    <w:rsid w:val="00AE624D"/>
    <w:rsid w:val="00AF0E8C"/>
    <w:rsid w:val="00AF155D"/>
    <w:rsid w:val="00B00048"/>
    <w:rsid w:val="00B03C90"/>
    <w:rsid w:val="00B10F50"/>
    <w:rsid w:val="00B13837"/>
    <w:rsid w:val="00B14BEE"/>
    <w:rsid w:val="00B14F59"/>
    <w:rsid w:val="00B24FE3"/>
    <w:rsid w:val="00B37830"/>
    <w:rsid w:val="00B44F4E"/>
    <w:rsid w:val="00B46854"/>
    <w:rsid w:val="00B50B30"/>
    <w:rsid w:val="00B50ECB"/>
    <w:rsid w:val="00B56C4E"/>
    <w:rsid w:val="00B6402F"/>
    <w:rsid w:val="00B64D28"/>
    <w:rsid w:val="00B669AC"/>
    <w:rsid w:val="00B67679"/>
    <w:rsid w:val="00B70E4C"/>
    <w:rsid w:val="00B71F00"/>
    <w:rsid w:val="00B73FCF"/>
    <w:rsid w:val="00B86035"/>
    <w:rsid w:val="00BA006C"/>
    <w:rsid w:val="00BA0840"/>
    <w:rsid w:val="00BA21ED"/>
    <w:rsid w:val="00BA4733"/>
    <w:rsid w:val="00BB6021"/>
    <w:rsid w:val="00BB6EC6"/>
    <w:rsid w:val="00BC13B4"/>
    <w:rsid w:val="00BC3E52"/>
    <w:rsid w:val="00BD064C"/>
    <w:rsid w:val="00BD1485"/>
    <w:rsid w:val="00BE1F5A"/>
    <w:rsid w:val="00BE35B0"/>
    <w:rsid w:val="00BE5662"/>
    <w:rsid w:val="00BE7384"/>
    <w:rsid w:val="00BF22C8"/>
    <w:rsid w:val="00BF3A24"/>
    <w:rsid w:val="00BF40A6"/>
    <w:rsid w:val="00BF58F2"/>
    <w:rsid w:val="00BF5F02"/>
    <w:rsid w:val="00BF60F1"/>
    <w:rsid w:val="00BF612E"/>
    <w:rsid w:val="00C12526"/>
    <w:rsid w:val="00C141DD"/>
    <w:rsid w:val="00C178B4"/>
    <w:rsid w:val="00C207B7"/>
    <w:rsid w:val="00C21FB1"/>
    <w:rsid w:val="00C23898"/>
    <w:rsid w:val="00C24037"/>
    <w:rsid w:val="00C25F2F"/>
    <w:rsid w:val="00C372EE"/>
    <w:rsid w:val="00C40CD6"/>
    <w:rsid w:val="00C416DA"/>
    <w:rsid w:val="00C4646C"/>
    <w:rsid w:val="00C469D4"/>
    <w:rsid w:val="00C55674"/>
    <w:rsid w:val="00C55D1E"/>
    <w:rsid w:val="00C5659F"/>
    <w:rsid w:val="00C56F4B"/>
    <w:rsid w:val="00C62455"/>
    <w:rsid w:val="00C702E1"/>
    <w:rsid w:val="00C72758"/>
    <w:rsid w:val="00C7296D"/>
    <w:rsid w:val="00C72DB1"/>
    <w:rsid w:val="00C74417"/>
    <w:rsid w:val="00C82002"/>
    <w:rsid w:val="00C83702"/>
    <w:rsid w:val="00C87B94"/>
    <w:rsid w:val="00C901F6"/>
    <w:rsid w:val="00C93CD4"/>
    <w:rsid w:val="00C95864"/>
    <w:rsid w:val="00CA5220"/>
    <w:rsid w:val="00CB12E9"/>
    <w:rsid w:val="00CC140B"/>
    <w:rsid w:val="00CC2C28"/>
    <w:rsid w:val="00CC7C2E"/>
    <w:rsid w:val="00CD2090"/>
    <w:rsid w:val="00CD3858"/>
    <w:rsid w:val="00CD4FD4"/>
    <w:rsid w:val="00CE00F8"/>
    <w:rsid w:val="00CE0EA7"/>
    <w:rsid w:val="00CE755E"/>
    <w:rsid w:val="00CF453C"/>
    <w:rsid w:val="00CF4AD4"/>
    <w:rsid w:val="00CF5C46"/>
    <w:rsid w:val="00CF653B"/>
    <w:rsid w:val="00CF7D02"/>
    <w:rsid w:val="00D0093A"/>
    <w:rsid w:val="00D01679"/>
    <w:rsid w:val="00D0212F"/>
    <w:rsid w:val="00D223C3"/>
    <w:rsid w:val="00D24E9A"/>
    <w:rsid w:val="00D26BEE"/>
    <w:rsid w:val="00D274D7"/>
    <w:rsid w:val="00D30F50"/>
    <w:rsid w:val="00D35590"/>
    <w:rsid w:val="00D3694E"/>
    <w:rsid w:val="00D56616"/>
    <w:rsid w:val="00D5753A"/>
    <w:rsid w:val="00D6334A"/>
    <w:rsid w:val="00D633BF"/>
    <w:rsid w:val="00D66098"/>
    <w:rsid w:val="00D67E97"/>
    <w:rsid w:val="00D73F88"/>
    <w:rsid w:val="00D82507"/>
    <w:rsid w:val="00D833A6"/>
    <w:rsid w:val="00D86B06"/>
    <w:rsid w:val="00D90123"/>
    <w:rsid w:val="00D906B6"/>
    <w:rsid w:val="00D91E8B"/>
    <w:rsid w:val="00D947B9"/>
    <w:rsid w:val="00D94A5B"/>
    <w:rsid w:val="00D97A83"/>
    <w:rsid w:val="00DA036A"/>
    <w:rsid w:val="00DA13CA"/>
    <w:rsid w:val="00DB24AB"/>
    <w:rsid w:val="00DB7AE2"/>
    <w:rsid w:val="00DC20CC"/>
    <w:rsid w:val="00DC629C"/>
    <w:rsid w:val="00DD3076"/>
    <w:rsid w:val="00DE1FE2"/>
    <w:rsid w:val="00DE2DC1"/>
    <w:rsid w:val="00DF0D21"/>
    <w:rsid w:val="00DF1DAC"/>
    <w:rsid w:val="00DF215E"/>
    <w:rsid w:val="00DF2D1A"/>
    <w:rsid w:val="00DF393C"/>
    <w:rsid w:val="00E02EEB"/>
    <w:rsid w:val="00E04FE1"/>
    <w:rsid w:val="00E11194"/>
    <w:rsid w:val="00E16BED"/>
    <w:rsid w:val="00E1765D"/>
    <w:rsid w:val="00E24BCC"/>
    <w:rsid w:val="00E258A1"/>
    <w:rsid w:val="00E275E5"/>
    <w:rsid w:val="00E30E4B"/>
    <w:rsid w:val="00E37019"/>
    <w:rsid w:val="00E44615"/>
    <w:rsid w:val="00E46E20"/>
    <w:rsid w:val="00E508B8"/>
    <w:rsid w:val="00E63CD5"/>
    <w:rsid w:val="00E713A2"/>
    <w:rsid w:val="00E7457B"/>
    <w:rsid w:val="00E83FDC"/>
    <w:rsid w:val="00E852D0"/>
    <w:rsid w:val="00E868A6"/>
    <w:rsid w:val="00E8748F"/>
    <w:rsid w:val="00E877B5"/>
    <w:rsid w:val="00E91425"/>
    <w:rsid w:val="00E924E7"/>
    <w:rsid w:val="00E93600"/>
    <w:rsid w:val="00E97143"/>
    <w:rsid w:val="00EA10FF"/>
    <w:rsid w:val="00EA166A"/>
    <w:rsid w:val="00EA5FFC"/>
    <w:rsid w:val="00EA7085"/>
    <w:rsid w:val="00EB2978"/>
    <w:rsid w:val="00EC1955"/>
    <w:rsid w:val="00EC4A66"/>
    <w:rsid w:val="00EC5211"/>
    <w:rsid w:val="00EC69BC"/>
    <w:rsid w:val="00EC7CBD"/>
    <w:rsid w:val="00ED2881"/>
    <w:rsid w:val="00ED473A"/>
    <w:rsid w:val="00ED5B40"/>
    <w:rsid w:val="00EE157E"/>
    <w:rsid w:val="00EE2A83"/>
    <w:rsid w:val="00EE2D95"/>
    <w:rsid w:val="00EE5D7A"/>
    <w:rsid w:val="00EE7154"/>
    <w:rsid w:val="00EF0E73"/>
    <w:rsid w:val="00EF1E4F"/>
    <w:rsid w:val="00EF36F5"/>
    <w:rsid w:val="00EF4FD7"/>
    <w:rsid w:val="00F03382"/>
    <w:rsid w:val="00F124F2"/>
    <w:rsid w:val="00F125B7"/>
    <w:rsid w:val="00F1384D"/>
    <w:rsid w:val="00F14AF5"/>
    <w:rsid w:val="00F17387"/>
    <w:rsid w:val="00F20904"/>
    <w:rsid w:val="00F25CEE"/>
    <w:rsid w:val="00F264DA"/>
    <w:rsid w:val="00F3688B"/>
    <w:rsid w:val="00F409BC"/>
    <w:rsid w:val="00F43BC4"/>
    <w:rsid w:val="00F45124"/>
    <w:rsid w:val="00F45497"/>
    <w:rsid w:val="00F52FE9"/>
    <w:rsid w:val="00F7182F"/>
    <w:rsid w:val="00F73DA4"/>
    <w:rsid w:val="00F75DF3"/>
    <w:rsid w:val="00F75E0E"/>
    <w:rsid w:val="00F779A2"/>
    <w:rsid w:val="00F80498"/>
    <w:rsid w:val="00F804FB"/>
    <w:rsid w:val="00F8212D"/>
    <w:rsid w:val="00FA0C60"/>
    <w:rsid w:val="00FA1813"/>
    <w:rsid w:val="00FA1C33"/>
    <w:rsid w:val="00FC2A63"/>
    <w:rsid w:val="00FC598E"/>
    <w:rsid w:val="00FD183B"/>
    <w:rsid w:val="00FD41EF"/>
    <w:rsid w:val="00FD4D4F"/>
    <w:rsid w:val="00FD70AC"/>
    <w:rsid w:val="00FD710F"/>
    <w:rsid w:val="00FE08AC"/>
    <w:rsid w:val="00FE2C76"/>
    <w:rsid w:val="00FE5B22"/>
    <w:rsid w:val="00FE76E1"/>
    <w:rsid w:val="00FF39A4"/>
    <w:rsid w:val="00FF4130"/>
    <w:rsid w:val="00FF489D"/>
    <w:rsid w:val="00FF6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 w:type="paragraph" w:styleId="HTMLPreformatted">
    <w:name w:val="HTML Preformatted"/>
    <w:basedOn w:val="Normal"/>
    <w:link w:val="HTMLPreformattedChar"/>
    <w:uiPriority w:val="99"/>
    <w:semiHidden/>
    <w:unhideWhenUsed/>
    <w:rsid w:val="0082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74E6"/>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9741E1"/>
    <w:rPr>
      <w:color w:val="808080"/>
    </w:rPr>
  </w:style>
  <w:style w:type="paragraph" w:styleId="EndnoteText">
    <w:name w:val="endnote text"/>
    <w:basedOn w:val="Normal"/>
    <w:link w:val="EndnoteTextChar"/>
    <w:uiPriority w:val="99"/>
    <w:semiHidden/>
    <w:unhideWhenUsed/>
    <w:rsid w:val="00EF4F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FD7"/>
    <w:rPr>
      <w:sz w:val="20"/>
      <w:szCs w:val="20"/>
    </w:rPr>
  </w:style>
  <w:style w:type="character" w:styleId="EndnoteReference">
    <w:name w:val="endnote reference"/>
    <w:basedOn w:val="DefaultParagraphFont"/>
    <w:uiPriority w:val="99"/>
    <w:semiHidden/>
    <w:unhideWhenUsed/>
    <w:rsid w:val="00EF4FD7"/>
    <w:rPr>
      <w:vertAlign w:val="superscript"/>
    </w:rPr>
  </w:style>
  <w:style w:type="character" w:styleId="FollowedHyperlink">
    <w:name w:val="FollowedHyperlink"/>
    <w:basedOn w:val="DefaultParagraphFont"/>
    <w:uiPriority w:val="99"/>
    <w:semiHidden/>
    <w:unhideWhenUsed/>
    <w:rsid w:val="00EF4F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52"/>
    <w:pPr>
      <w:ind w:left="720"/>
      <w:contextualSpacing/>
    </w:pPr>
  </w:style>
  <w:style w:type="table" w:styleId="TableGrid">
    <w:name w:val="Table Grid"/>
    <w:basedOn w:val="TableNormal"/>
    <w:uiPriority w:val="59"/>
    <w:rsid w:val="0052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20476"/>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520476"/>
    <w:rPr>
      <w:sz w:val="16"/>
      <w:szCs w:val="16"/>
    </w:rPr>
  </w:style>
  <w:style w:type="paragraph" w:styleId="CommentText">
    <w:name w:val="annotation text"/>
    <w:basedOn w:val="Normal"/>
    <w:link w:val="CommentTextChar"/>
    <w:uiPriority w:val="99"/>
    <w:semiHidden/>
    <w:unhideWhenUsed/>
    <w:rsid w:val="00520476"/>
    <w:pPr>
      <w:spacing w:line="240" w:lineRule="auto"/>
    </w:pPr>
    <w:rPr>
      <w:sz w:val="20"/>
      <w:szCs w:val="20"/>
    </w:rPr>
  </w:style>
  <w:style w:type="character" w:customStyle="1" w:styleId="CommentTextChar">
    <w:name w:val="Comment Text Char"/>
    <w:basedOn w:val="DefaultParagraphFont"/>
    <w:link w:val="CommentText"/>
    <w:uiPriority w:val="99"/>
    <w:semiHidden/>
    <w:rsid w:val="00520476"/>
    <w:rPr>
      <w:sz w:val="20"/>
      <w:szCs w:val="20"/>
    </w:rPr>
  </w:style>
  <w:style w:type="paragraph" w:styleId="CommentSubject">
    <w:name w:val="annotation subject"/>
    <w:basedOn w:val="CommentText"/>
    <w:next w:val="CommentText"/>
    <w:link w:val="CommentSubjectChar"/>
    <w:uiPriority w:val="99"/>
    <w:semiHidden/>
    <w:unhideWhenUsed/>
    <w:rsid w:val="00520476"/>
    <w:rPr>
      <w:b/>
      <w:bCs/>
    </w:rPr>
  </w:style>
  <w:style w:type="character" w:customStyle="1" w:styleId="CommentSubjectChar">
    <w:name w:val="Comment Subject Char"/>
    <w:basedOn w:val="CommentTextChar"/>
    <w:link w:val="CommentSubject"/>
    <w:uiPriority w:val="99"/>
    <w:semiHidden/>
    <w:rsid w:val="00520476"/>
    <w:rPr>
      <w:b/>
      <w:bCs/>
      <w:sz w:val="20"/>
      <w:szCs w:val="20"/>
    </w:rPr>
  </w:style>
  <w:style w:type="paragraph" w:styleId="BalloonText">
    <w:name w:val="Balloon Text"/>
    <w:basedOn w:val="Normal"/>
    <w:link w:val="BalloonTextChar"/>
    <w:uiPriority w:val="99"/>
    <w:semiHidden/>
    <w:unhideWhenUsed/>
    <w:rsid w:val="005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76"/>
    <w:rPr>
      <w:rFonts w:ascii="Segoe UI" w:hAnsi="Segoe UI" w:cs="Segoe UI"/>
      <w:sz w:val="18"/>
      <w:szCs w:val="18"/>
    </w:rPr>
  </w:style>
  <w:style w:type="paragraph" w:styleId="FootnoteText">
    <w:name w:val="footnote text"/>
    <w:basedOn w:val="Normal"/>
    <w:link w:val="FootnoteTextChar"/>
    <w:uiPriority w:val="99"/>
    <w:semiHidden/>
    <w:unhideWhenUsed/>
    <w:rsid w:val="00D73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F88"/>
    <w:rPr>
      <w:sz w:val="20"/>
      <w:szCs w:val="20"/>
    </w:rPr>
  </w:style>
  <w:style w:type="character" w:styleId="FootnoteReference">
    <w:name w:val="footnote reference"/>
    <w:basedOn w:val="DefaultParagraphFont"/>
    <w:uiPriority w:val="99"/>
    <w:semiHidden/>
    <w:unhideWhenUsed/>
    <w:rsid w:val="00D73F88"/>
    <w:rPr>
      <w:vertAlign w:val="superscript"/>
    </w:rPr>
  </w:style>
  <w:style w:type="character" w:styleId="Hyperlink">
    <w:name w:val="Hyperlink"/>
    <w:basedOn w:val="DefaultParagraphFont"/>
    <w:uiPriority w:val="99"/>
    <w:unhideWhenUsed/>
    <w:rsid w:val="00D73F88"/>
    <w:rPr>
      <w:color w:val="0563C1" w:themeColor="hyperlink"/>
      <w:u w:val="single"/>
    </w:rPr>
  </w:style>
  <w:style w:type="paragraph" w:styleId="Header">
    <w:name w:val="header"/>
    <w:basedOn w:val="Normal"/>
    <w:link w:val="HeaderChar"/>
    <w:uiPriority w:val="99"/>
    <w:semiHidden/>
    <w:unhideWhenUsed/>
    <w:rsid w:val="00EF3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6F5"/>
  </w:style>
  <w:style w:type="paragraph" w:styleId="Footer">
    <w:name w:val="footer"/>
    <w:basedOn w:val="Normal"/>
    <w:link w:val="FooterChar"/>
    <w:uiPriority w:val="99"/>
    <w:unhideWhenUsed/>
    <w:rsid w:val="00EF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F5"/>
  </w:style>
  <w:style w:type="paragraph" w:styleId="HTMLPreformatted">
    <w:name w:val="HTML Preformatted"/>
    <w:basedOn w:val="Normal"/>
    <w:link w:val="HTMLPreformattedChar"/>
    <w:uiPriority w:val="99"/>
    <w:semiHidden/>
    <w:unhideWhenUsed/>
    <w:rsid w:val="0082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74E6"/>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9741E1"/>
    <w:rPr>
      <w:color w:val="808080"/>
    </w:rPr>
  </w:style>
</w:styles>
</file>

<file path=word/webSettings.xml><?xml version="1.0" encoding="utf-8"?>
<w:webSettings xmlns:r="http://schemas.openxmlformats.org/officeDocument/2006/relationships" xmlns:w="http://schemas.openxmlformats.org/wordprocessingml/2006/main">
  <w:divs>
    <w:div w:id="6029385">
      <w:bodyDiv w:val="1"/>
      <w:marLeft w:val="0"/>
      <w:marRight w:val="0"/>
      <w:marTop w:val="0"/>
      <w:marBottom w:val="0"/>
      <w:divBdr>
        <w:top w:val="none" w:sz="0" w:space="0" w:color="auto"/>
        <w:left w:val="none" w:sz="0" w:space="0" w:color="auto"/>
        <w:bottom w:val="none" w:sz="0" w:space="0" w:color="auto"/>
        <w:right w:val="none" w:sz="0" w:space="0" w:color="auto"/>
      </w:divBdr>
    </w:div>
    <w:div w:id="371736130">
      <w:bodyDiv w:val="1"/>
      <w:marLeft w:val="0"/>
      <w:marRight w:val="0"/>
      <w:marTop w:val="0"/>
      <w:marBottom w:val="0"/>
      <w:divBdr>
        <w:top w:val="none" w:sz="0" w:space="0" w:color="auto"/>
        <w:left w:val="none" w:sz="0" w:space="0" w:color="auto"/>
        <w:bottom w:val="none" w:sz="0" w:space="0" w:color="auto"/>
        <w:right w:val="none" w:sz="0" w:space="0" w:color="auto"/>
      </w:divBdr>
    </w:div>
    <w:div w:id="455871978">
      <w:bodyDiv w:val="1"/>
      <w:marLeft w:val="0"/>
      <w:marRight w:val="0"/>
      <w:marTop w:val="0"/>
      <w:marBottom w:val="0"/>
      <w:divBdr>
        <w:top w:val="none" w:sz="0" w:space="0" w:color="auto"/>
        <w:left w:val="none" w:sz="0" w:space="0" w:color="auto"/>
        <w:bottom w:val="none" w:sz="0" w:space="0" w:color="auto"/>
        <w:right w:val="none" w:sz="0" w:space="0" w:color="auto"/>
      </w:divBdr>
    </w:div>
    <w:div w:id="467894160">
      <w:bodyDiv w:val="1"/>
      <w:marLeft w:val="0"/>
      <w:marRight w:val="0"/>
      <w:marTop w:val="0"/>
      <w:marBottom w:val="0"/>
      <w:divBdr>
        <w:top w:val="none" w:sz="0" w:space="0" w:color="auto"/>
        <w:left w:val="none" w:sz="0" w:space="0" w:color="auto"/>
        <w:bottom w:val="none" w:sz="0" w:space="0" w:color="auto"/>
        <w:right w:val="none" w:sz="0" w:space="0" w:color="auto"/>
      </w:divBdr>
    </w:div>
    <w:div w:id="494541188">
      <w:bodyDiv w:val="1"/>
      <w:marLeft w:val="0"/>
      <w:marRight w:val="0"/>
      <w:marTop w:val="0"/>
      <w:marBottom w:val="0"/>
      <w:divBdr>
        <w:top w:val="none" w:sz="0" w:space="0" w:color="auto"/>
        <w:left w:val="none" w:sz="0" w:space="0" w:color="auto"/>
        <w:bottom w:val="none" w:sz="0" w:space="0" w:color="auto"/>
        <w:right w:val="none" w:sz="0" w:space="0" w:color="auto"/>
      </w:divBdr>
    </w:div>
    <w:div w:id="658122607">
      <w:bodyDiv w:val="1"/>
      <w:marLeft w:val="0"/>
      <w:marRight w:val="0"/>
      <w:marTop w:val="0"/>
      <w:marBottom w:val="0"/>
      <w:divBdr>
        <w:top w:val="none" w:sz="0" w:space="0" w:color="auto"/>
        <w:left w:val="none" w:sz="0" w:space="0" w:color="auto"/>
        <w:bottom w:val="none" w:sz="0" w:space="0" w:color="auto"/>
        <w:right w:val="none" w:sz="0" w:space="0" w:color="auto"/>
      </w:divBdr>
    </w:div>
    <w:div w:id="871574661">
      <w:bodyDiv w:val="1"/>
      <w:marLeft w:val="0"/>
      <w:marRight w:val="0"/>
      <w:marTop w:val="0"/>
      <w:marBottom w:val="0"/>
      <w:divBdr>
        <w:top w:val="none" w:sz="0" w:space="0" w:color="auto"/>
        <w:left w:val="none" w:sz="0" w:space="0" w:color="auto"/>
        <w:bottom w:val="none" w:sz="0" w:space="0" w:color="auto"/>
        <w:right w:val="none" w:sz="0" w:space="0" w:color="auto"/>
      </w:divBdr>
    </w:div>
    <w:div w:id="934442905">
      <w:bodyDiv w:val="1"/>
      <w:marLeft w:val="0"/>
      <w:marRight w:val="0"/>
      <w:marTop w:val="0"/>
      <w:marBottom w:val="0"/>
      <w:divBdr>
        <w:top w:val="none" w:sz="0" w:space="0" w:color="auto"/>
        <w:left w:val="none" w:sz="0" w:space="0" w:color="auto"/>
        <w:bottom w:val="none" w:sz="0" w:space="0" w:color="auto"/>
        <w:right w:val="none" w:sz="0" w:space="0" w:color="auto"/>
      </w:divBdr>
    </w:div>
    <w:div w:id="1006513484">
      <w:bodyDiv w:val="1"/>
      <w:marLeft w:val="0"/>
      <w:marRight w:val="0"/>
      <w:marTop w:val="0"/>
      <w:marBottom w:val="0"/>
      <w:divBdr>
        <w:top w:val="none" w:sz="0" w:space="0" w:color="auto"/>
        <w:left w:val="none" w:sz="0" w:space="0" w:color="auto"/>
        <w:bottom w:val="none" w:sz="0" w:space="0" w:color="auto"/>
        <w:right w:val="none" w:sz="0" w:space="0" w:color="auto"/>
      </w:divBdr>
    </w:div>
    <w:div w:id="1082291599">
      <w:bodyDiv w:val="1"/>
      <w:marLeft w:val="0"/>
      <w:marRight w:val="0"/>
      <w:marTop w:val="0"/>
      <w:marBottom w:val="0"/>
      <w:divBdr>
        <w:top w:val="none" w:sz="0" w:space="0" w:color="auto"/>
        <w:left w:val="none" w:sz="0" w:space="0" w:color="auto"/>
        <w:bottom w:val="none" w:sz="0" w:space="0" w:color="auto"/>
        <w:right w:val="none" w:sz="0" w:space="0" w:color="auto"/>
      </w:divBdr>
    </w:div>
    <w:div w:id="1094745365">
      <w:bodyDiv w:val="1"/>
      <w:marLeft w:val="0"/>
      <w:marRight w:val="0"/>
      <w:marTop w:val="0"/>
      <w:marBottom w:val="0"/>
      <w:divBdr>
        <w:top w:val="none" w:sz="0" w:space="0" w:color="auto"/>
        <w:left w:val="none" w:sz="0" w:space="0" w:color="auto"/>
        <w:bottom w:val="none" w:sz="0" w:space="0" w:color="auto"/>
        <w:right w:val="none" w:sz="0" w:space="0" w:color="auto"/>
      </w:divBdr>
    </w:div>
    <w:div w:id="1217014405">
      <w:bodyDiv w:val="1"/>
      <w:marLeft w:val="0"/>
      <w:marRight w:val="0"/>
      <w:marTop w:val="0"/>
      <w:marBottom w:val="0"/>
      <w:divBdr>
        <w:top w:val="none" w:sz="0" w:space="0" w:color="auto"/>
        <w:left w:val="none" w:sz="0" w:space="0" w:color="auto"/>
        <w:bottom w:val="none" w:sz="0" w:space="0" w:color="auto"/>
        <w:right w:val="none" w:sz="0" w:space="0" w:color="auto"/>
      </w:divBdr>
    </w:div>
    <w:div w:id="1226329794">
      <w:bodyDiv w:val="1"/>
      <w:marLeft w:val="0"/>
      <w:marRight w:val="0"/>
      <w:marTop w:val="0"/>
      <w:marBottom w:val="0"/>
      <w:divBdr>
        <w:top w:val="none" w:sz="0" w:space="0" w:color="auto"/>
        <w:left w:val="none" w:sz="0" w:space="0" w:color="auto"/>
        <w:bottom w:val="none" w:sz="0" w:space="0" w:color="auto"/>
        <w:right w:val="none" w:sz="0" w:space="0" w:color="auto"/>
      </w:divBdr>
    </w:div>
    <w:div w:id="1395274602">
      <w:bodyDiv w:val="1"/>
      <w:marLeft w:val="0"/>
      <w:marRight w:val="0"/>
      <w:marTop w:val="0"/>
      <w:marBottom w:val="0"/>
      <w:divBdr>
        <w:top w:val="none" w:sz="0" w:space="0" w:color="auto"/>
        <w:left w:val="none" w:sz="0" w:space="0" w:color="auto"/>
        <w:bottom w:val="none" w:sz="0" w:space="0" w:color="auto"/>
        <w:right w:val="none" w:sz="0" w:space="0" w:color="auto"/>
      </w:divBdr>
    </w:div>
    <w:div w:id="1570847777">
      <w:bodyDiv w:val="1"/>
      <w:marLeft w:val="0"/>
      <w:marRight w:val="0"/>
      <w:marTop w:val="0"/>
      <w:marBottom w:val="0"/>
      <w:divBdr>
        <w:top w:val="none" w:sz="0" w:space="0" w:color="auto"/>
        <w:left w:val="none" w:sz="0" w:space="0" w:color="auto"/>
        <w:bottom w:val="none" w:sz="0" w:space="0" w:color="auto"/>
        <w:right w:val="none" w:sz="0" w:space="0" w:color="auto"/>
      </w:divBdr>
    </w:div>
    <w:div w:id="1572695538">
      <w:bodyDiv w:val="1"/>
      <w:marLeft w:val="0"/>
      <w:marRight w:val="0"/>
      <w:marTop w:val="0"/>
      <w:marBottom w:val="0"/>
      <w:divBdr>
        <w:top w:val="none" w:sz="0" w:space="0" w:color="auto"/>
        <w:left w:val="none" w:sz="0" w:space="0" w:color="auto"/>
        <w:bottom w:val="none" w:sz="0" w:space="0" w:color="auto"/>
        <w:right w:val="none" w:sz="0" w:space="0" w:color="auto"/>
      </w:divBdr>
    </w:div>
    <w:div w:id="19396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gov.scot/Resource/Doc/319575/0102110.pdf" TargetMode="External"/><Relationship Id="rId1" Type="http://schemas.openxmlformats.org/officeDocument/2006/relationships/hyperlink" Target="http://www.gov.scot/Resource/0047/004736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ADDA-F8F8-427B-A5AD-2EC8BFB7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lynnej01</cp:lastModifiedBy>
  <cp:revision>12</cp:revision>
  <cp:lastPrinted>2016-03-17T14:23:00Z</cp:lastPrinted>
  <dcterms:created xsi:type="dcterms:W3CDTF">2016-04-29T12:40:00Z</dcterms:created>
  <dcterms:modified xsi:type="dcterms:W3CDTF">2016-04-29T14:33:00Z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-1345798177</vt:i4>
  </property>
</Properties>
</file>