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6F5" w:rsidRDefault="00EF36F5" w:rsidP="00EF36F5">
      <w:pPr>
        <w:rPr>
          <w:rFonts w:ascii="Arial" w:hAnsi="Arial" w:cs="Arial"/>
          <w:b/>
        </w:rPr>
      </w:pPr>
      <w:r w:rsidRPr="00180CFC">
        <w:rPr>
          <w:rFonts w:ascii="Arial" w:hAnsi="Arial" w:cs="Arial"/>
          <w:b/>
        </w:rPr>
        <w:t>TAGRA ACUTE MLC SUBGROUP</w:t>
      </w:r>
      <w:r>
        <w:rPr>
          <w:rFonts w:ascii="Arial" w:hAnsi="Arial" w:cs="Arial"/>
          <w:b/>
        </w:rPr>
        <w:t xml:space="preserve">                                      </w:t>
      </w:r>
      <w:r w:rsidR="00BF58F2">
        <w:rPr>
          <w:rFonts w:ascii="Arial" w:hAnsi="Arial" w:cs="Arial"/>
          <w:b/>
        </w:rPr>
        <w:t xml:space="preserve">                     </w:t>
      </w:r>
      <w:r>
        <w:rPr>
          <w:rFonts w:ascii="Arial" w:hAnsi="Arial" w:cs="Arial"/>
          <w:b/>
        </w:rPr>
        <w:t xml:space="preserve">     </w:t>
      </w:r>
      <w:r w:rsidR="0062496E">
        <w:rPr>
          <w:rFonts w:ascii="Arial" w:hAnsi="Arial" w:cs="Arial"/>
          <w:b/>
        </w:rPr>
        <w:t xml:space="preserve">      </w:t>
      </w:r>
      <w:r>
        <w:rPr>
          <w:rFonts w:ascii="Arial" w:hAnsi="Arial" w:cs="Arial"/>
          <w:b/>
        </w:rPr>
        <w:t xml:space="preserve"> </w:t>
      </w:r>
      <w:r w:rsidR="00BF58F2">
        <w:rPr>
          <w:rFonts w:ascii="Arial" w:hAnsi="Arial" w:cs="Arial"/>
          <w:b/>
        </w:rPr>
        <w:t xml:space="preserve"> </w:t>
      </w:r>
      <w:r>
        <w:rPr>
          <w:rFonts w:ascii="Arial" w:hAnsi="Arial" w:cs="Arial"/>
          <w:b/>
        </w:rPr>
        <w:t xml:space="preserve">   </w:t>
      </w:r>
      <w:r w:rsidR="00BF58F2">
        <w:rPr>
          <w:rFonts w:ascii="Arial" w:hAnsi="Arial" w:cs="Arial"/>
          <w:b/>
        </w:rPr>
        <w:t>By email</w:t>
      </w:r>
    </w:p>
    <w:p w:rsidR="00EF36F5" w:rsidRDefault="00EF36F5" w:rsidP="00EF36F5">
      <w:pPr>
        <w:rPr>
          <w:rFonts w:ascii="Arial" w:hAnsi="Arial" w:cs="Arial"/>
          <w:b/>
        </w:rPr>
      </w:pPr>
      <w:r>
        <w:rPr>
          <w:rFonts w:ascii="Arial" w:hAnsi="Arial" w:cs="Arial"/>
          <w:b/>
        </w:rPr>
        <w:t>INDI</w:t>
      </w:r>
      <w:r w:rsidR="005574C5">
        <w:rPr>
          <w:rFonts w:ascii="Arial" w:hAnsi="Arial" w:cs="Arial"/>
          <w:b/>
        </w:rPr>
        <w:t>CATOR SELECTION RESULTS – PART 5</w:t>
      </w:r>
    </w:p>
    <w:p w:rsidR="00EF36F5" w:rsidRDefault="00EF36F5" w:rsidP="00E852D0">
      <w:pPr>
        <w:spacing w:after="240" w:line="276" w:lineRule="auto"/>
        <w:jc w:val="both"/>
        <w:rPr>
          <w:rFonts w:ascii="Arial" w:hAnsi="Arial" w:cs="Arial"/>
          <w:b/>
        </w:rPr>
      </w:pPr>
    </w:p>
    <w:p w:rsidR="001A3452" w:rsidRPr="00A1466E" w:rsidRDefault="00A1466E" w:rsidP="00A1466E">
      <w:pPr>
        <w:spacing w:after="240" w:line="276" w:lineRule="auto"/>
        <w:jc w:val="both"/>
        <w:rPr>
          <w:rFonts w:ascii="Arial" w:hAnsi="Arial" w:cs="Arial"/>
          <w:b/>
        </w:rPr>
      </w:pPr>
      <w:r w:rsidRPr="00A1466E">
        <w:rPr>
          <w:rFonts w:ascii="Arial" w:hAnsi="Arial" w:cs="Arial"/>
          <w:b/>
        </w:rPr>
        <w:t>1.</w:t>
      </w:r>
      <w:r>
        <w:rPr>
          <w:rFonts w:ascii="Arial" w:hAnsi="Arial" w:cs="Arial"/>
          <w:b/>
        </w:rPr>
        <w:t xml:space="preserve"> </w:t>
      </w:r>
      <w:r w:rsidR="00EF36F5" w:rsidRPr="00A1466E">
        <w:rPr>
          <w:rFonts w:ascii="Arial" w:hAnsi="Arial" w:cs="Arial"/>
          <w:b/>
        </w:rPr>
        <w:t>Background</w:t>
      </w:r>
      <w:r>
        <w:rPr>
          <w:rFonts w:ascii="Arial" w:hAnsi="Arial" w:cs="Arial"/>
          <w:b/>
        </w:rPr>
        <w:t xml:space="preserve"> and Summary</w:t>
      </w:r>
    </w:p>
    <w:p w:rsidR="0011522A" w:rsidRDefault="0062496E" w:rsidP="00EF0E73">
      <w:pPr>
        <w:spacing w:after="120" w:line="276" w:lineRule="auto"/>
        <w:jc w:val="both"/>
        <w:rPr>
          <w:rFonts w:ascii="Arial" w:hAnsi="Arial" w:cs="Arial"/>
        </w:rPr>
      </w:pPr>
      <w:r>
        <w:rPr>
          <w:rFonts w:ascii="Arial" w:hAnsi="Arial" w:cs="Arial"/>
        </w:rPr>
        <w:t>At the 1</w:t>
      </w:r>
      <w:r w:rsidR="005574C5">
        <w:rPr>
          <w:rFonts w:ascii="Arial" w:hAnsi="Arial" w:cs="Arial"/>
        </w:rPr>
        <w:t>4</w:t>
      </w:r>
      <w:r w:rsidRPr="0062496E">
        <w:rPr>
          <w:rFonts w:ascii="Arial" w:hAnsi="Arial" w:cs="Arial"/>
          <w:vertAlign w:val="superscript"/>
        </w:rPr>
        <w:t>th</w:t>
      </w:r>
      <w:r>
        <w:rPr>
          <w:rFonts w:ascii="Arial" w:hAnsi="Arial" w:cs="Arial"/>
        </w:rPr>
        <w:t xml:space="preserve"> meeting of the Subgroup in </w:t>
      </w:r>
      <w:r w:rsidR="005574C5">
        <w:rPr>
          <w:rFonts w:ascii="Arial" w:hAnsi="Arial" w:cs="Arial"/>
        </w:rPr>
        <w:t>May</w:t>
      </w:r>
      <w:r>
        <w:rPr>
          <w:rFonts w:ascii="Arial" w:hAnsi="Arial" w:cs="Arial"/>
        </w:rPr>
        <w:t xml:space="preserve"> 2016, </w:t>
      </w:r>
      <w:r w:rsidR="005574C5">
        <w:rPr>
          <w:rFonts w:ascii="Arial" w:hAnsi="Arial" w:cs="Arial"/>
        </w:rPr>
        <w:t>paper TAMLC49 was</w:t>
      </w:r>
      <w:r>
        <w:rPr>
          <w:rFonts w:ascii="Arial" w:hAnsi="Arial" w:cs="Arial"/>
        </w:rPr>
        <w:t xml:space="preserve"> discussed. </w:t>
      </w:r>
      <w:r w:rsidR="00BF58F2">
        <w:rPr>
          <w:rFonts w:ascii="Arial" w:hAnsi="Arial" w:cs="Arial"/>
        </w:rPr>
        <w:t>Two</w:t>
      </w:r>
      <w:r w:rsidR="00EF0E73">
        <w:rPr>
          <w:rFonts w:ascii="Arial" w:hAnsi="Arial" w:cs="Arial"/>
        </w:rPr>
        <w:t xml:space="preserve"> </w:t>
      </w:r>
      <w:r w:rsidR="005574C5">
        <w:rPr>
          <w:rFonts w:ascii="Arial" w:hAnsi="Arial" w:cs="Arial"/>
        </w:rPr>
        <w:t xml:space="preserve">further </w:t>
      </w:r>
      <w:r w:rsidR="00EF0E73">
        <w:rPr>
          <w:rFonts w:ascii="Arial" w:hAnsi="Arial" w:cs="Arial"/>
        </w:rPr>
        <w:t>decisions were made</w:t>
      </w:r>
      <w:r>
        <w:rPr>
          <w:rFonts w:ascii="Arial" w:hAnsi="Arial" w:cs="Arial"/>
        </w:rPr>
        <w:t>:</w:t>
      </w:r>
    </w:p>
    <w:p w:rsidR="00EF0E73" w:rsidRDefault="00BF58F2" w:rsidP="00525EDB">
      <w:pPr>
        <w:pStyle w:val="ListParagraph"/>
        <w:numPr>
          <w:ilvl w:val="0"/>
          <w:numId w:val="13"/>
        </w:numPr>
        <w:spacing w:after="200" w:line="276" w:lineRule="auto"/>
        <w:jc w:val="both"/>
        <w:rPr>
          <w:rFonts w:ascii="Arial" w:hAnsi="Arial" w:cs="Arial"/>
        </w:rPr>
      </w:pPr>
      <w:r>
        <w:rPr>
          <w:rFonts w:ascii="Arial" w:hAnsi="Arial" w:cs="Arial"/>
        </w:rPr>
        <w:t xml:space="preserve">To </w:t>
      </w:r>
      <w:r w:rsidR="005574C5">
        <w:rPr>
          <w:rFonts w:ascii="Arial" w:hAnsi="Arial" w:cs="Arial"/>
        </w:rPr>
        <w:t>eliminate index options containing Unpaid Care, for the reasons discussed in the paper</w:t>
      </w:r>
      <w:r>
        <w:rPr>
          <w:rFonts w:ascii="Arial" w:hAnsi="Arial" w:cs="Arial"/>
        </w:rPr>
        <w:t>.</w:t>
      </w:r>
    </w:p>
    <w:p w:rsidR="00BF58F2" w:rsidRPr="00EF0E73" w:rsidRDefault="00BF58F2" w:rsidP="00525EDB">
      <w:pPr>
        <w:pStyle w:val="ListParagraph"/>
        <w:numPr>
          <w:ilvl w:val="0"/>
          <w:numId w:val="13"/>
        </w:numPr>
        <w:spacing w:after="200" w:line="276" w:lineRule="auto"/>
        <w:jc w:val="both"/>
        <w:rPr>
          <w:rFonts w:ascii="Arial" w:hAnsi="Arial" w:cs="Arial"/>
        </w:rPr>
      </w:pPr>
      <w:r>
        <w:rPr>
          <w:rFonts w:ascii="Arial" w:hAnsi="Arial" w:cs="Arial"/>
        </w:rPr>
        <w:t xml:space="preserve">To </w:t>
      </w:r>
      <w:r w:rsidR="005574C5">
        <w:rPr>
          <w:rFonts w:ascii="Arial" w:hAnsi="Arial" w:cs="Arial"/>
        </w:rPr>
        <w:t>exclude the Ethnicity variable representing populations with average to poor health, for face validity reasons concerning the inclusion of White Scottish (the vast majority</w:t>
      </w:r>
      <w:r w:rsidR="00DE3D0F">
        <w:rPr>
          <w:rFonts w:ascii="Arial" w:hAnsi="Arial" w:cs="Arial"/>
        </w:rPr>
        <w:t xml:space="preserve"> of the population</w:t>
      </w:r>
      <w:r w:rsidR="005574C5">
        <w:rPr>
          <w:rFonts w:ascii="Arial" w:hAnsi="Arial" w:cs="Arial"/>
        </w:rPr>
        <w:t>) in the count</w:t>
      </w:r>
      <w:r>
        <w:rPr>
          <w:rFonts w:ascii="Arial" w:hAnsi="Arial" w:cs="Arial"/>
        </w:rPr>
        <w:t>.</w:t>
      </w:r>
    </w:p>
    <w:p w:rsidR="005574C5" w:rsidRDefault="005574C5" w:rsidP="00525EDB">
      <w:pPr>
        <w:spacing w:after="240" w:line="276" w:lineRule="auto"/>
        <w:jc w:val="both"/>
        <w:rPr>
          <w:rFonts w:ascii="Arial" w:hAnsi="Arial" w:cs="Arial"/>
        </w:rPr>
      </w:pPr>
      <w:r>
        <w:rPr>
          <w:rFonts w:ascii="Arial" w:hAnsi="Arial" w:cs="Arial"/>
        </w:rPr>
        <w:t>It was pointed out that the candidate variable list contained another ethnicity variable, representing the populations with poorer than average health, which had been eliminated in the near-duplicates analysis but could now be reconsidered following the exclusion of the above variable. Thi</w:t>
      </w:r>
      <w:r w:rsidR="00D75633">
        <w:rPr>
          <w:rFonts w:ascii="Arial" w:hAnsi="Arial" w:cs="Arial"/>
        </w:rPr>
        <w:t>s</w:t>
      </w:r>
      <w:r>
        <w:rPr>
          <w:rFonts w:ascii="Arial" w:hAnsi="Arial" w:cs="Arial"/>
        </w:rPr>
        <w:t xml:space="preserve"> </w:t>
      </w:r>
      <w:r w:rsidR="00DB32CD">
        <w:rPr>
          <w:rFonts w:ascii="Arial" w:hAnsi="Arial" w:cs="Arial"/>
        </w:rPr>
        <w:t xml:space="preserve">‘Ethnic populations with poorer than average health’ </w:t>
      </w:r>
      <w:r>
        <w:rPr>
          <w:rFonts w:ascii="Arial" w:hAnsi="Arial" w:cs="Arial"/>
        </w:rPr>
        <w:t xml:space="preserve">variable comprised Pakistani and Gypsy/Traveller population counts, as a fraction of the population, </w:t>
      </w:r>
      <w:r w:rsidR="00DE3D0F">
        <w:rPr>
          <w:rFonts w:ascii="Arial" w:hAnsi="Arial" w:cs="Arial"/>
        </w:rPr>
        <w:t xml:space="preserve">and was </w:t>
      </w:r>
      <w:r>
        <w:rPr>
          <w:rFonts w:ascii="Arial" w:hAnsi="Arial" w:cs="Arial"/>
        </w:rPr>
        <w:t>based on intermediate zones (</w:t>
      </w:r>
      <w:r w:rsidR="00DE3D0F">
        <w:rPr>
          <w:rFonts w:ascii="Arial" w:hAnsi="Arial" w:cs="Arial"/>
        </w:rPr>
        <w:t>to avoid large numbers of zero counts</w:t>
      </w:r>
      <w:r>
        <w:rPr>
          <w:rFonts w:ascii="Arial" w:hAnsi="Arial" w:cs="Arial"/>
        </w:rPr>
        <w:t xml:space="preserve"> at data zone level). </w:t>
      </w:r>
      <w:r w:rsidR="00B736A8">
        <w:rPr>
          <w:rFonts w:ascii="Arial" w:hAnsi="Arial" w:cs="Arial"/>
        </w:rPr>
        <w:t xml:space="preserve">Although its performance was likely to be inferior to that of the Ethnicity variable used in paper TAMLC49, its benefits in terms of face validity and equity </w:t>
      </w:r>
      <w:r w:rsidR="00D75633">
        <w:rPr>
          <w:rFonts w:ascii="Arial" w:hAnsi="Arial" w:cs="Arial"/>
        </w:rPr>
        <w:t>may outweigh a small difference in terms of statistical performance.</w:t>
      </w:r>
    </w:p>
    <w:p w:rsidR="007D2275" w:rsidRDefault="007D2275" w:rsidP="00525EDB">
      <w:pPr>
        <w:spacing w:after="240" w:line="276" w:lineRule="auto"/>
        <w:jc w:val="both"/>
        <w:rPr>
          <w:rFonts w:ascii="Arial" w:hAnsi="Arial" w:cs="Arial"/>
        </w:rPr>
      </w:pPr>
      <w:r>
        <w:rPr>
          <w:rFonts w:ascii="Arial" w:hAnsi="Arial" w:cs="Arial"/>
        </w:rPr>
        <w:t xml:space="preserve">The analysts were </w:t>
      </w:r>
      <w:r w:rsidR="00D75633">
        <w:rPr>
          <w:rFonts w:ascii="Arial" w:hAnsi="Arial" w:cs="Arial"/>
        </w:rPr>
        <w:t xml:space="preserve">therefore </w:t>
      </w:r>
      <w:r>
        <w:rPr>
          <w:rFonts w:ascii="Arial" w:hAnsi="Arial" w:cs="Arial"/>
        </w:rPr>
        <w:t xml:space="preserve">asked to </w:t>
      </w:r>
      <w:r w:rsidR="005574C5">
        <w:rPr>
          <w:rFonts w:ascii="Arial" w:hAnsi="Arial" w:cs="Arial"/>
        </w:rPr>
        <w:t>compute results for an alternative</w:t>
      </w:r>
      <w:r>
        <w:rPr>
          <w:rFonts w:ascii="Arial" w:hAnsi="Arial" w:cs="Arial"/>
        </w:rPr>
        <w:t xml:space="preserve"> model, consisting of LLTI, All-cause SMR</w:t>
      </w:r>
      <w:r w:rsidR="006A6371">
        <w:rPr>
          <w:rFonts w:ascii="Arial" w:hAnsi="Arial" w:cs="Arial"/>
        </w:rPr>
        <w:t xml:space="preserve"> &lt;75</w:t>
      </w:r>
      <w:r>
        <w:rPr>
          <w:rFonts w:ascii="Arial" w:hAnsi="Arial" w:cs="Arial"/>
        </w:rPr>
        <w:t xml:space="preserve">, </w:t>
      </w:r>
      <w:r w:rsidR="005574C5">
        <w:rPr>
          <w:rFonts w:ascii="Arial" w:hAnsi="Arial" w:cs="Arial"/>
        </w:rPr>
        <w:t xml:space="preserve">and </w:t>
      </w:r>
      <w:r w:rsidR="00DB32CD">
        <w:rPr>
          <w:rFonts w:ascii="Arial" w:hAnsi="Arial" w:cs="Arial"/>
        </w:rPr>
        <w:t xml:space="preserve">Ethnic populations with poorer than average health. In addition, the fraction of the population belonging to Pakistani and Gypsy/Traveller groups could each be used separately; models including each of these two further variables along with LLTI and All-cause SMR &lt;75 </w:t>
      </w:r>
      <w:r w:rsidR="00D75633">
        <w:rPr>
          <w:rFonts w:ascii="Arial" w:hAnsi="Arial" w:cs="Arial"/>
        </w:rPr>
        <w:t>were also to</w:t>
      </w:r>
      <w:r w:rsidR="00DB32CD">
        <w:rPr>
          <w:rFonts w:ascii="Arial" w:hAnsi="Arial" w:cs="Arial"/>
        </w:rPr>
        <w:t xml:space="preserve"> be considered.</w:t>
      </w:r>
    </w:p>
    <w:p w:rsidR="00DB32CD" w:rsidRDefault="00D75633" w:rsidP="00923CC2">
      <w:pPr>
        <w:spacing w:after="240" w:line="276" w:lineRule="auto"/>
        <w:jc w:val="both"/>
        <w:rPr>
          <w:rFonts w:ascii="Arial" w:hAnsi="Arial" w:cs="Arial"/>
        </w:rPr>
      </w:pPr>
      <w:r>
        <w:rPr>
          <w:rFonts w:ascii="Arial" w:hAnsi="Arial" w:cs="Arial"/>
        </w:rPr>
        <w:t>In this paper</w:t>
      </w:r>
      <w:r w:rsidR="00525EDB">
        <w:rPr>
          <w:rFonts w:ascii="Arial" w:hAnsi="Arial" w:cs="Arial"/>
        </w:rPr>
        <w:t xml:space="preserve"> the </w:t>
      </w:r>
      <w:r w:rsidR="00DB32CD">
        <w:rPr>
          <w:rFonts w:ascii="Arial" w:hAnsi="Arial" w:cs="Arial"/>
        </w:rPr>
        <w:t>following</w:t>
      </w:r>
      <w:r w:rsidR="007D2275">
        <w:rPr>
          <w:rFonts w:ascii="Arial" w:hAnsi="Arial" w:cs="Arial"/>
        </w:rPr>
        <w:t xml:space="preserve"> </w:t>
      </w:r>
      <w:r w:rsidR="00525EDB">
        <w:rPr>
          <w:rFonts w:ascii="Arial" w:hAnsi="Arial" w:cs="Arial"/>
        </w:rPr>
        <w:t xml:space="preserve">options for the </w:t>
      </w:r>
      <w:r w:rsidR="00923CC2">
        <w:rPr>
          <w:rFonts w:ascii="Arial" w:hAnsi="Arial" w:cs="Arial"/>
        </w:rPr>
        <w:t xml:space="preserve">needs </w:t>
      </w:r>
      <w:r w:rsidR="00525EDB">
        <w:rPr>
          <w:rFonts w:ascii="Arial" w:hAnsi="Arial" w:cs="Arial"/>
        </w:rPr>
        <w:t xml:space="preserve">index are </w:t>
      </w:r>
      <w:r w:rsidR="00923CC2">
        <w:rPr>
          <w:rFonts w:ascii="Arial" w:hAnsi="Arial" w:cs="Arial"/>
        </w:rPr>
        <w:t>compared</w:t>
      </w:r>
      <w:r w:rsidR="00525EDB">
        <w:rPr>
          <w:rFonts w:ascii="Arial" w:hAnsi="Arial" w:cs="Arial"/>
        </w:rPr>
        <w:t xml:space="preserve"> in terms of ex</w:t>
      </w:r>
      <w:r w:rsidR="00923CC2">
        <w:rPr>
          <w:rFonts w:ascii="Arial" w:hAnsi="Arial" w:cs="Arial"/>
        </w:rPr>
        <w:t>planatory and predictive power</w:t>
      </w:r>
      <w:r w:rsidR="00DB32CD">
        <w:rPr>
          <w:rFonts w:ascii="Arial" w:hAnsi="Arial" w:cs="Arial"/>
        </w:rPr>
        <w:t>:</w:t>
      </w:r>
    </w:p>
    <w:p w:rsidR="00DB32CD" w:rsidRDefault="00DB32CD" w:rsidP="00DB32CD">
      <w:pPr>
        <w:pStyle w:val="ListParagraph"/>
        <w:numPr>
          <w:ilvl w:val="0"/>
          <w:numId w:val="28"/>
        </w:numPr>
        <w:spacing w:after="240" w:line="276" w:lineRule="auto"/>
        <w:jc w:val="both"/>
        <w:rPr>
          <w:rFonts w:ascii="Arial" w:hAnsi="Arial" w:cs="Arial"/>
        </w:rPr>
      </w:pPr>
      <w:r>
        <w:rPr>
          <w:rFonts w:ascii="Arial" w:hAnsi="Arial" w:cs="Arial"/>
        </w:rPr>
        <w:t>[LLTI, All-cause SMR &lt;75]</w:t>
      </w:r>
    </w:p>
    <w:p w:rsidR="00DB32CD" w:rsidRDefault="00DB32CD" w:rsidP="00DB32CD">
      <w:pPr>
        <w:pStyle w:val="ListParagraph"/>
        <w:numPr>
          <w:ilvl w:val="0"/>
          <w:numId w:val="28"/>
        </w:numPr>
        <w:spacing w:after="240" w:line="276" w:lineRule="auto"/>
        <w:jc w:val="both"/>
        <w:rPr>
          <w:rFonts w:ascii="Arial" w:hAnsi="Arial" w:cs="Arial"/>
        </w:rPr>
      </w:pPr>
      <w:r>
        <w:rPr>
          <w:rFonts w:ascii="Arial" w:hAnsi="Arial" w:cs="Arial"/>
        </w:rPr>
        <w:t>[LLTI, All-cause SMR &lt;75, Ethnic populations with poorer than average health]</w:t>
      </w:r>
    </w:p>
    <w:p w:rsidR="00DB32CD" w:rsidRDefault="00DB32CD" w:rsidP="00DB32CD">
      <w:pPr>
        <w:pStyle w:val="ListParagraph"/>
        <w:numPr>
          <w:ilvl w:val="0"/>
          <w:numId w:val="28"/>
        </w:numPr>
        <w:spacing w:after="240" w:line="276" w:lineRule="auto"/>
        <w:jc w:val="both"/>
        <w:rPr>
          <w:rFonts w:ascii="Arial" w:hAnsi="Arial" w:cs="Arial"/>
        </w:rPr>
      </w:pPr>
      <w:r>
        <w:rPr>
          <w:rFonts w:ascii="Arial" w:hAnsi="Arial" w:cs="Arial"/>
        </w:rPr>
        <w:t>[LLTI, All-cause SMR &lt;75, Pakistani populations]</w:t>
      </w:r>
    </w:p>
    <w:p w:rsidR="00DB32CD" w:rsidRPr="00DB32CD" w:rsidRDefault="00DB32CD" w:rsidP="00DB32CD">
      <w:pPr>
        <w:pStyle w:val="ListParagraph"/>
        <w:numPr>
          <w:ilvl w:val="0"/>
          <w:numId w:val="28"/>
        </w:numPr>
        <w:spacing w:after="240" w:line="276" w:lineRule="auto"/>
        <w:jc w:val="both"/>
        <w:rPr>
          <w:rFonts w:ascii="Arial" w:hAnsi="Arial" w:cs="Arial"/>
        </w:rPr>
      </w:pPr>
      <w:r>
        <w:rPr>
          <w:rFonts w:ascii="Arial" w:hAnsi="Arial" w:cs="Arial"/>
        </w:rPr>
        <w:t>[LLTI, All-cause SMR &lt;75, Gypsy/Traveller populations]</w:t>
      </w:r>
    </w:p>
    <w:p w:rsidR="00525EDB" w:rsidRDefault="00DB32CD" w:rsidP="00923CC2">
      <w:pPr>
        <w:spacing w:after="240" w:line="276" w:lineRule="auto"/>
        <w:jc w:val="both"/>
        <w:rPr>
          <w:rFonts w:ascii="Arial" w:hAnsi="Arial" w:cs="Arial"/>
        </w:rPr>
      </w:pPr>
      <w:r>
        <w:rPr>
          <w:rFonts w:ascii="Arial" w:hAnsi="Arial" w:cs="Arial"/>
        </w:rPr>
        <w:t>T</w:t>
      </w:r>
      <w:r w:rsidR="00465641">
        <w:rPr>
          <w:rFonts w:ascii="Arial" w:hAnsi="Arial" w:cs="Arial"/>
        </w:rPr>
        <w:t>he Subgroup is asked to decide on the index to be adopted</w:t>
      </w:r>
      <w:r w:rsidR="00923CC2">
        <w:rPr>
          <w:rFonts w:ascii="Arial" w:hAnsi="Arial" w:cs="Arial"/>
        </w:rPr>
        <w:t xml:space="preserve">. </w:t>
      </w:r>
    </w:p>
    <w:p w:rsidR="009E0EF9" w:rsidRPr="0062496E" w:rsidRDefault="009E0EF9" w:rsidP="0062496E">
      <w:pPr>
        <w:spacing w:after="200" w:line="276" w:lineRule="auto"/>
        <w:rPr>
          <w:rFonts w:ascii="Arial" w:hAnsi="Arial" w:cs="Arial"/>
        </w:rPr>
      </w:pPr>
    </w:p>
    <w:p w:rsidR="001A3452" w:rsidRDefault="0062496E" w:rsidP="00E852D0">
      <w:pPr>
        <w:spacing w:after="240" w:line="276" w:lineRule="auto"/>
        <w:jc w:val="both"/>
        <w:rPr>
          <w:rFonts w:ascii="Arial" w:hAnsi="Arial" w:cs="Arial"/>
          <w:b/>
        </w:rPr>
      </w:pPr>
      <w:r>
        <w:rPr>
          <w:rFonts w:ascii="Arial" w:hAnsi="Arial" w:cs="Arial"/>
          <w:b/>
        </w:rPr>
        <w:t>2</w:t>
      </w:r>
      <w:r w:rsidR="001A3452" w:rsidRPr="00DF215E">
        <w:rPr>
          <w:rFonts w:ascii="Arial" w:hAnsi="Arial" w:cs="Arial"/>
          <w:b/>
        </w:rPr>
        <w:t xml:space="preserve">. </w:t>
      </w:r>
      <w:r w:rsidR="00BF58F2">
        <w:rPr>
          <w:rFonts w:ascii="Arial" w:hAnsi="Arial" w:cs="Arial"/>
          <w:b/>
        </w:rPr>
        <w:t xml:space="preserve">Comparison of </w:t>
      </w:r>
      <w:r w:rsidR="00C12526">
        <w:rPr>
          <w:rFonts w:ascii="Arial" w:hAnsi="Arial" w:cs="Arial"/>
          <w:b/>
        </w:rPr>
        <w:t>needs i</w:t>
      </w:r>
      <w:r>
        <w:rPr>
          <w:rFonts w:ascii="Arial" w:hAnsi="Arial" w:cs="Arial"/>
          <w:b/>
        </w:rPr>
        <w:t>ndex options</w:t>
      </w:r>
    </w:p>
    <w:p w:rsidR="001D00F6" w:rsidRPr="001D00F6" w:rsidRDefault="009E0EF9" w:rsidP="00CD4FD4">
      <w:pPr>
        <w:spacing w:after="240" w:line="276" w:lineRule="auto"/>
        <w:jc w:val="both"/>
        <w:rPr>
          <w:rFonts w:ascii="Arial" w:hAnsi="Arial" w:cs="Arial"/>
        </w:rPr>
      </w:pPr>
      <w:r>
        <w:rPr>
          <w:rFonts w:ascii="Arial" w:hAnsi="Arial" w:cs="Arial"/>
        </w:rPr>
        <w:t>I</w:t>
      </w:r>
      <w:r w:rsidR="001D00F6">
        <w:rPr>
          <w:rFonts w:ascii="Arial" w:hAnsi="Arial" w:cs="Arial"/>
        </w:rPr>
        <w:t xml:space="preserve">n this section the performance of the different index options is examined. Section </w:t>
      </w:r>
      <w:r w:rsidR="00BF58F2">
        <w:rPr>
          <w:rFonts w:ascii="Arial" w:hAnsi="Arial" w:cs="Arial"/>
        </w:rPr>
        <w:t>2</w:t>
      </w:r>
      <w:r w:rsidR="001D00F6">
        <w:rPr>
          <w:rFonts w:ascii="Arial" w:hAnsi="Arial" w:cs="Arial"/>
        </w:rPr>
        <w:t xml:space="preserve">.1 looks at how well the different options explain variation in the 3-year cost ratios, and section </w:t>
      </w:r>
      <w:r w:rsidR="00BF58F2">
        <w:rPr>
          <w:rFonts w:ascii="Arial" w:hAnsi="Arial" w:cs="Arial"/>
        </w:rPr>
        <w:t>2</w:t>
      </w:r>
      <w:r w:rsidR="001D00F6">
        <w:rPr>
          <w:rFonts w:ascii="Arial" w:hAnsi="Arial" w:cs="Arial"/>
        </w:rPr>
        <w:t xml:space="preserve">.2 looks at how well the different options predict the future costs. </w:t>
      </w:r>
    </w:p>
    <w:p w:rsidR="00B70E4C" w:rsidRPr="00B70E4C" w:rsidRDefault="00BF58F2" w:rsidP="00CD4FD4">
      <w:pPr>
        <w:spacing w:after="240" w:line="276" w:lineRule="auto"/>
        <w:jc w:val="both"/>
        <w:rPr>
          <w:rFonts w:ascii="Arial" w:hAnsi="Arial" w:cs="Arial"/>
          <w:b/>
        </w:rPr>
      </w:pPr>
      <w:r>
        <w:rPr>
          <w:rFonts w:ascii="Arial" w:hAnsi="Arial" w:cs="Arial"/>
          <w:b/>
        </w:rPr>
        <w:lastRenderedPageBreak/>
        <w:t>2</w:t>
      </w:r>
      <w:r w:rsidR="00B70E4C">
        <w:rPr>
          <w:rFonts w:ascii="Arial" w:hAnsi="Arial" w:cs="Arial"/>
          <w:b/>
        </w:rPr>
        <w:t>.1</w:t>
      </w:r>
      <w:r w:rsidR="00B70E4C" w:rsidRPr="00B70E4C">
        <w:rPr>
          <w:rFonts w:ascii="Arial" w:hAnsi="Arial" w:cs="Arial"/>
          <w:b/>
        </w:rPr>
        <w:t xml:space="preserve"> Explanatory power: adjusted R</w:t>
      </w:r>
      <w:r w:rsidR="00B70E4C" w:rsidRPr="00B70E4C">
        <w:rPr>
          <w:rFonts w:ascii="Arial" w:hAnsi="Arial" w:cs="Arial"/>
          <w:b/>
          <w:vertAlign w:val="superscript"/>
        </w:rPr>
        <w:t>2</w:t>
      </w:r>
    </w:p>
    <w:p w:rsidR="002D23C6" w:rsidRPr="000A6310" w:rsidRDefault="00CD4FD4" w:rsidP="000A6310">
      <w:pPr>
        <w:spacing w:after="240" w:line="276" w:lineRule="auto"/>
        <w:jc w:val="both"/>
        <w:rPr>
          <w:rFonts w:ascii="Arial" w:hAnsi="Arial" w:cs="Arial"/>
        </w:rPr>
      </w:pPr>
      <w:r>
        <w:rPr>
          <w:rFonts w:ascii="Arial" w:hAnsi="Arial" w:cs="Arial"/>
        </w:rPr>
        <w:t xml:space="preserve">Table </w:t>
      </w:r>
      <w:r w:rsidR="00BF58F2">
        <w:rPr>
          <w:rFonts w:ascii="Arial" w:hAnsi="Arial" w:cs="Arial"/>
        </w:rPr>
        <w:t>1</w:t>
      </w:r>
      <w:r>
        <w:rPr>
          <w:rFonts w:ascii="Arial" w:hAnsi="Arial" w:cs="Arial"/>
        </w:rPr>
        <w:t xml:space="preserve"> shows the adjusted R</w:t>
      </w:r>
      <w:r w:rsidRPr="008F6D1A">
        <w:rPr>
          <w:rFonts w:ascii="Arial" w:hAnsi="Arial" w:cs="Arial"/>
          <w:vertAlign w:val="superscript"/>
        </w:rPr>
        <w:t>2</w:t>
      </w:r>
      <w:r>
        <w:rPr>
          <w:rFonts w:ascii="Arial" w:hAnsi="Arial" w:cs="Arial"/>
        </w:rPr>
        <w:t xml:space="preserve"> values from the regressions</w:t>
      </w:r>
      <w:r w:rsidR="002D23C6">
        <w:rPr>
          <w:rFonts w:ascii="Arial" w:hAnsi="Arial" w:cs="Arial"/>
        </w:rPr>
        <w:t xml:space="preserve"> using each of the index options</w:t>
      </w:r>
      <w:r>
        <w:rPr>
          <w:rFonts w:ascii="Arial" w:hAnsi="Arial" w:cs="Arial"/>
        </w:rPr>
        <w:t xml:space="preserve">. </w:t>
      </w:r>
      <w:r w:rsidR="00607B35">
        <w:rPr>
          <w:rFonts w:ascii="Arial" w:hAnsi="Arial" w:cs="Arial"/>
        </w:rPr>
        <w:t>The final column of the table shows an average R</w:t>
      </w:r>
      <w:r w:rsidR="00607B35" w:rsidRPr="007C2DE5">
        <w:rPr>
          <w:rFonts w:ascii="Arial" w:hAnsi="Arial" w:cs="Arial"/>
          <w:vertAlign w:val="superscript"/>
        </w:rPr>
        <w:t>2</w:t>
      </w:r>
      <w:r w:rsidR="00607B35">
        <w:rPr>
          <w:rFonts w:ascii="Arial" w:hAnsi="Arial" w:cs="Arial"/>
        </w:rPr>
        <w:t xml:space="preserve">, using </w:t>
      </w:r>
      <w:proofErr w:type="gramStart"/>
      <w:r w:rsidR="00607B35">
        <w:rPr>
          <w:rFonts w:ascii="Arial" w:hAnsi="Arial" w:cs="Arial"/>
        </w:rPr>
        <w:t>the spend</w:t>
      </w:r>
      <w:proofErr w:type="gramEnd"/>
      <w:r w:rsidR="00607B35">
        <w:rPr>
          <w:rFonts w:ascii="Arial" w:hAnsi="Arial" w:cs="Arial"/>
        </w:rPr>
        <w:t xml:space="preserve"> within the diagnostic groups to weight the average.</w:t>
      </w:r>
    </w:p>
    <w:p w:rsidR="00CD4FD4" w:rsidRPr="00357D70" w:rsidRDefault="00CD4FD4" w:rsidP="004B3637">
      <w:pPr>
        <w:spacing w:after="0" w:line="240" w:lineRule="auto"/>
        <w:rPr>
          <w:rFonts w:ascii="Arial" w:hAnsi="Arial" w:cs="Arial"/>
          <w:i/>
        </w:rPr>
      </w:pPr>
      <w:r w:rsidRPr="00357D70">
        <w:rPr>
          <w:rFonts w:ascii="Arial" w:hAnsi="Arial" w:cs="Arial"/>
          <w:i/>
        </w:rPr>
        <w:t>Table</w:t>
      </w:r>
      <w:r>
        <w:rPr>
          <w:rFonts w:ascii="Arial" w:hAnsi="Arial" w:cs="Arial"/>
          <w:i/>
        </w:rPr>
        <w:t xml:space="preserve"> </w:t>
      </w:r>
      <w:r w:rsidR="00BF58F2">
        <w:rPr>
          <w:rFonts w:ascii="Arial" w:hAnsi="Arial" w:cs="Arial"/>
          <w:i/>
        </w:rPr>
        <w:t>1</w:t>
      </w:r>
      <w:r w:rsidRPr="00357D70">
        <w:rPr>
          <w:rFonts w:ascii="Arial" w:hAnsi="Arial" w:cs="Arial"/>
          <w:i/>
        </w:rPr>
        <w:t xml:space="preserve">: </w:t>
      </w:r>
      <w:r>
        <w:rPr>
          <w:rFonts w:ascii="Arial" w:hAnsi="Arial" w:cs="Arial"/>
          <w:i/>
        </w:rPr>
        <w:t xml:space="preserve">Adjusted </w:t>
      </w:r>
      <w:r w:rsidRPr="00357D70">
        <w:rPr>
          <w:rFonts w:ascii="Arial" w:hAnsi="Arial" w:cs="Arial"/>
          <w:i/>
        </w:rPr>
        <w:t>R</w:t>
      </w:r>
      <w:r w:rsidRPr="00357D70">
        <w:rPr>
          <w:rFonts w:ascii="Arial" w:hAnsi="Arial" w:cs="Arial"/>
          <w:i/>
          <w:vertAlign w:val="superscript"/>
        </w:rPr>
        <w:t>2</w:t>
      </w:r>
      <w:r w:rsidRPr="00357D70">
        <w:rPr>
          <w:rFonts w:ascii="Arial" w:hAnsi="Arial" w:cs="Arial"/>
          <w:i/>
        </w:rPr>
        <w:t xml:space="preserve"> for </w:t>
      </w:r>
      <w:r w:rsidR="00FF610C">
        <w:rPr>
          <w:rFonts w:ascii="Arial" w:hAnsi="Arial" w:cs="Arial"/>
          <w:i/>
        </w:rPr>
        <w:t>various index options</w:t>
      </w:r>
      <w:r w:rsidR="00C20734">
        <w:rPr>
          <w:rFonts w:ascii="Arial" w:hAnsi="Arial" w:cs="Arial"/>
          <w:i/>
        </w:rPr>
        <w:t xml:space="preserve">. The highest value for each diagnostic group is </w:t>
      </w:r>
      <w:r w:rsidR="004B3637">
        <w:rPr>
          <w:rFonts w:ascii="Arial" w:hAnsi="Arial" w:cs="Arial"/>
          <w:i/>
        </w:rPr>
        <w:t>highlighted in bold and italics.</w:t>
      </w:r>
      <w:r w:rsidR="00C20734">
        <w:rPr>
          <w:rFonts w:ascii="Arial" w:hAnsi="Arial" w:cs="Arial"/>
          <w:i/>
        </w:rPr>
        <w:t xml:space="preserve"> The highest value out of the three models including ethnicity variables is indicated in green.</w:t>
      </w:r>
    </w:p>
    <w:tbl>
      <w:tblPr>
        <w:tblStyle w:val="TableGrid"/>
        <w:tblW w:w="9499" w:type="dxa"/>
        <w:tblInd w:w="-34" w:type="dxa"/>
        <w:tblLayout w:type="fixed"/>
        <w:tblLook w:val="04A0"/>
      </w:tblPr>
      <w:tblGrid>
        <w:gridCol w:w="3119"/>
        <w:gridCol w:w="797"/>
        <w:gridCol w:w="798"/>
        <w:gridCol w:w="797"/>
        <w:gridCol w:w="797"/>
        <w:gridCol w:w="798"/>
        <w:gridCol w:w="797"/>
        <w:gridCol w:w="798"/>
        <w:gridCol w:w="798"/>
      </w:tblGrid>
      <w:tr w:rsidR="006E7FD9" w:rsidTr="00EE2A83">
        <w:trPr>
          <w:trHeight w:val="1451"/>
        </w:trPr>
        <w:tc>
          <w:tcPr>
            <w:tcW w:w="3119" w:type="dxa"/>
            <w:vAlign w:val="center"/>
          </w:tcPr>
          <w:p w:rsidR="006E7FD9" w:rsidRPr="00523024" w:rsidRDefault="006E7FD9" w:rsidP="00523024">
            <w:pPr>
              <w:jc w:val="center"/>
              <w:rPr>
                <w:rFonts w:ascii="Arial" w:hAnsi="Arial" w:cs="Arial"/>
                <w:b/>
                <w:sz w:val="20"/>
                <w:szCs w:val="20"/>
              </w:rPr>
            </w:pPr>
            <w:r w:rsidRPr="00523024">
              <w:rPr>
                <w:rFonts w:ascii="Arial" w:hAnsi="Arial" w:cs="Arial"/>
                <w:b/>
                <w:sz w:val="20"/>
                <w:szCs w:val="20"/>
              </w:rPr>
              <w:t>Model</w:t>
            </w:r>
          </w:p>
        </w:tc>
        <w:tc>
          <w:tcPr>
            <w:tcW w:w="797" w:type="dxa"/>
            <w:textDirection w:val="btLr"/>
            <w:vAlign w:val="center"/>
          </w:tcPr>
          <w:p w:rsidR="006E7FD9" w:rsidRPr="00357D70" w:rsidRDefault="006E7FD9" w:rsidP="004D104C">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Cancer</w:t>
            </w:r>
          </w:p>
        </w:tc>
        <w:tc>
          <w:tcPr>
            <w:tcW w:w="798" w:type="dxa"/>
            <w:textDirection w:val="btLr"/>
            <w:vAlign w:val="center"/>
          </w:tcPr>
          <w:p w:rsidR="006E7FD9" w:rsidRPr="00357D70" w:rsidRDefault="006E7FD9" w:rsidP="004D104C">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Heart</w:t>
            </w:r>
          </w:p>
        </w:tc>
        <w:tc>
          <w:tcPr>
            <w:tcW w:w="797" w:type="dxa"/>
            <w:textDirection w:val="btLr"/>
            <w:vAlign w:val="center"/>
          </w:tcPr>
          <w:p w:rsidR="006E7FD9" w:rsidRPr="00357D70" w:rsidRDefault="006E7FD9" w:rsidP="004D104C">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Digestive</w:t>
            </w:r>
          </w:p>
        </w:tc>
        <w:tc>
          <w:tcPr>
            <w:tcW w:w="797" w:type="dxa"/>
            <w:textDirection w:val="btLr"/>
            <w:vAlign w:val="center"/>
          </w:tcPr>
          <w:p w:rsidR="006E7FD9" w:rsidRPr="00357D70" w:rsidRDefault="006E7FD9" w:rsidP="004D104C">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Injury</w:t>
            </w:r>
          </w:p>
        </w:tc>
        <w:tc>
          <w:tcPr>
            <w:tcW w:w="798" w:type="dxa"/>
            <w:textDirection w:val="btLr"/>
            <w:vAlign w:val="center"/>
          </w:tcPr>
          <w:p w:rsidR="006E7FD9" w:rsidRPr="00357D70" w:rsidRDefault="006E7FD9" w:rsidP="004D104C">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Other</w:t>
            </w:r>
          </w:p>
        </w:tc>
        <w:tc>
          <w:tcPr>
            <w:tcW w:w="797" w:type="dxa"/>
            <w:textDirection w:val="btLr"/>
            <w:vAlign w:val="center"/>
          </w:tcPr>
          <w:p w:rsidR="006E7FD9" w:rsidRPr="00357D70" w:rsidRDefault="006E7FD9" w:rsidP="004D104C">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Respiratory</w:t>
            </w:r>
          </w:p>
        </w:tc>
        <w:tc>
          <w:tcPr>
            <w:tcW w:w="798" w:type="dxa"/>
            <w:tcBorders>
              <w:right w:val="single" w:sz="12" w:space="0" w:color="auto"/>
            </w:tcBorders>
            <w:textDirection w:val="btLr"/>
            <w:vAlign w:val="center"/>
          </w:tcPr>
          <w:p w:rsidR="006E7FD9" w:rsidRPr="00357D70" w:rsidRDefault="006E7FD9" w:rsidP="004D104C">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Outpatients</w:t>
            </w:r>
          </w:p>
        </w:tc>
        <w:tc>
          <w:tcPr>
            <w:tcW w:w="798" w:type="dxa"/>
            <w:tcBorders>
              <w:top w:val="single" w:sz="12" w:space="0" w:color="auto"/>
              <w:left w:val="single" w:sz="12" w:space="0" w:color="auto"/>
              <w:right w:val="single" w:sz="12" w:space="0" w:color="auto"/>
            </w:tcBorders>
            <w:textDirection w:val="btLr"/>
            <w:vAlign w:val="center"/>
          </w:tcPr>
          <w:p w:rsidR="006E7FD9" w:rsidRDefault="006E7FD9" w:rsidP="00EE2A83">
            <w:pPr>
              <w:ind w:left="113" w:right="113"/>
              <w:jc w:val="center"/>
              <w:rPr>
                <w:rFonts w:ascii="Arial" w:eastAsia="Times New Roman" w:hAnsi="Arial" w:cs="Arial"/>
                <w:b/>
                <w:color w:val="000000"/>
                <w:sz w:val="20"/>
                <w:szCs w:val="20"/>
              </w:rPr>
            </w:pPr>
            <w:r>
              <w:rPr>
                <w:rFonts w:ascii="Arial" w:eastAsia="Times New Roman" w:hAnsi="Arial" w:cs="Arial"/>
                <w:b/>
                <w:color w:val="000000"/>
                <w:sz w:val="20"/>
                <w:szCs w:val="20"/>
              </w:rPr>
              <w:t>Weighted</w:t>
            </w:r>
          </w:p>
          <w:p w:rsidR="006E7FD9" w:rsidRPr="00357D70" w:rsidRDefault="006E7FD9" w:rsidP="00EE2A83">
            <w:pPr>
              <w:ind w:left="113" w:right="113"/>
              <w:jc w:val="center"/>
              <w:rPr>
                <w:rFonts w:ascii="Arial" w:eastAsia="Times New Roman" w:hAnsi="Arial" w:cs="Arial"/>
                <w:b/>
                <w:color w:val="000000"/>
                <w:sz w:val="20"/>
                <w:szCs w:val="20"/>
              </w:rPr>
            </w:pPr>
            <w:r>
              <w:rPr>
                <w:rFonts w:ascii="Arial" w:eastAsia="Times New Roman" w:hAnsi="Arial" w:cs="Arial"/>
                <w:b/>
                <w:color w:val="000000"/>
                <w:sz w:val="20"/>
                <w:szCs w:val="20"/>
              </w:rPr>
              <w:t>average</w:t>
            </w:r>
          </w:p>
        </w:tc>
      </w:tr>
      <w:tr w:rsidR="006E7FD9" w:rsidTr="00DB32CD">
        <w:trPr>
          <w:trHeight w:val="397"/>
        </w:trPr>
        <w:tc>
          <w:tcPr>
            <w:tcW w:w="3119" w:type="dxa"/>
            <w:tcBorders>
              <w:bottom w:val="single" w:sz="4" w:space="0" w:color="auto"/>
            </w:tcBorders>
            <w:vAlign w:val="center"/>
          </w:tcPr>
          <w:p w:rsidR="006E7FD9" w:rsidRPr="005935CC" w:rsidRDefault="006E7FD9" w:rsidP="005935CC">
            <w:pPr>
              <w:rPr>
                <w:rFonts w:ascii="Arial" w:hAnsi="Arial" w:cs="Arial"/>
                <w:sz w:val="20"/>
                <w:szCs w:val="20"/>
              </w:rPr>
            </w:pPr>
            <w:r w:rsidRPr="005935CC">
              <w:rPr>
                <w:rFonts w:ascii="Arial" w:hAnsi="Arial" w:cs="Arial"/>
                <w:sz w:val="20"/>
                <w:szCs w:val="20"/>
              </w:rPr>
              <w:t>[LLTI, All-cause SMR &lt;75]</w:t>
            </w:r>
          </w:p>
        </w:tc>
        <w:tc>
          <w:tcPr>
            <w:tcW w:w="797" w:type="dxa"/>
            <w:tcBorders>
              <w:bottom w:val="single" w:sz="4" w:space="0" w:color="auto"/>
            </w:tcBorders>
            <w:vAlign w:val="center"/>
          </w:tcPr>
          <w:p w:rsidR="006E7FD9" w:rsidRPr="004B3637" w:rsidRDefault="006E7FD9" w:rsidP="007F3397">
            <w:pPr>
              <w:contextualSpacing/>
              <w:jc w:val="center"/>
              <w:rPr>
                <w:rFonts w:ascii="Arial" w:hAnsi="Arial" w:cs="Arial"/>
                <w:b/>
                <w:i/>
                <w:sz w:val="20"/>
                <w:szCs w:val="20"/>
              </w:rPr>
            </w:pPr>
            <w:r w:rsidRPr="004B3637">
              <w:rPr>
                <w:rFonts w:ascii="Arial" w:hAnsi="Arial" w:cs="Arial"/>
                <w:b/>
                <w:i/>
                <w:sz w:val="20"/>
                <w:szCs w:val="20"/>
              </w:rPr>
              <w:t>10.9%</w:t>
            </w:r>
          </w:p>
        </w:tc>
        <w:tc>
          <w:tcPr>
            <w:tcW w:w="798" w:type="dxa"/>
            <w:tcBorders>
              <w:bottom w:val="single" w:sz="4" w:space="0" w:color="auto"/>
            </w:tcBorders>
            <w:vAlign w:val="center"/>
          </w:tcPr>
          <w:p w:rsidR="006E7FD9" w:rsidRPr="004B3637" w:rsidRDefault="006E7FD9" w:rsidP="007E510C">
            <w:pPr>
              <w:contextualSpacing/>
              <w:jc w:val="center"/>
              <w:rPr>
                <w:rFonts w:ascii="Arial" w:hAnsi="Arial" w:cs="Arial"/>
                <w:b/>
                <w:i/>
                <w:sz w:val="20"/>
                <w:szCs w:val="20"/>
              </w:rPr>
            </w:pPr>
            <w:r w:rsidRPr="004B3637">
              <w:rPr>
                <w:rFonts w:ascii="Arial" w:hAnsi="Arial" w:cs="Arial"/>
                <w:b/>
                <w:i/>
                <w:sz w:val="20"/>
                <w:szCs w:val="20"/>
              </w:rPr>
              <w:t>21.0%</w:t>
            </w:r>
          </w:p>
        </w:tc>
        <w:tc>
          <w:tcPr>
            <w:tcW w:w="797" w:type="dxa"/>
            <w:tcBorders>
              <w:bottom w:val="single" w:sz="4" w:space="0" w:color="auto"/>
            </w:tcBorders>
            <w:vAlign w:val="center"/>
          </w:tcPr>
          <w:p w:rsidR="006E7FD9" w:rsidRPr="00607B35" w:rsidRDefault="006E7FD9" w:rsidP="007E510C">
            <w:pPr>
              <w:contextualSpacing/>
              <w:jc w:val="center"/>
              <w:rPr>
                <w:rFonts w:ascii="Arial" w:hAnsi="Arial" w:cs="Arial"/>
                <w:b/>
                <w:i/>
                <w:sz w:val="20"/>
                <w:szCs w:val="20"/>
              </w:rPr>
            </w:pPr>
            <w:r w:rsidRPr="00607B35">
              <w:rPr>
                <w:rFonts w:ascii="Arial" w:hAnsi="Arial" w:cs="Arial"/>
                <w:b/>
                <w:i/>
                <w:sz w:val="20"/>
                <w:szCs w:val="20"/>
              </w:rPr>
              <w:t>38.6%</w:t>
            </w:r>
          </w:p>
        </w:tc>
        <w:tc>
          <w:tcPr>
            <w:tcW w:w="797" w:type="dxa"/>
            <w:tcBorders>
              <w:bottom w:val="single" w:sz="4" w:space="0" w:color="auto"/>
            </w:tcBorders>
            <w:vAlign w:val="center"/>
          </w:tcPr>
          <w:p w:rsidR="006E7FD9" w:rsidRPr="004B3637" w:rsidRDefault="006E7FD9" w:rsidP="007E510C">
            <w:pPr>
              <w:contextualSpacing/>
              <w:jc w:val="center"/>
              <w:rPr>
                <w:rFonts w:ascii="Arial" w:hAnsi="Arial" w:cs="Arial"/>
                <w:b/>
                <w:i/>
                <w:sz w:val="20"/>
                <w:szCs w:val="20"/>
              </w:rPr>
            </w:pPr>
            <w:r w:rsidRPr="004B3637">
              <w:rPr>
                <w:rFonts w:ascii="Arial" w:hAnsi="Arial" w:cs="Arial"/>
                <w:b/>
                <w:i/>
                <w:sz w:val="20"/>
                <w:szCs w:val="20"/>
              </w:rPr>
              <w:t>26.0%</w:t>
            </w:r>
          </w:p>
        </w:tc>
        <w:tc>
          <w:tcPr>
            <w:tcW w:w="798" w:type="dxa"/>
            <w:tcBorders>
              <w:bottom w:val="single" w:sz="4" w:space="0" w:color="auto"/>
            </w:tcBorders>
            <w:vAlign w:val="center"/>
          </w:tcPr>
          <w:p w:rsidR="006E7FD9" w:rsidRPr="00607B35" w:rsidRDefault="006E7FD9" w:rsidP="007E510C">
            <w:pPr>
              <w:contextualSpacing/>
              <w:jc w:val="center"/>
              <w:rPr>
                <w:rFonts w:ascii="Arial" w:hAnsi="Arial" w:cs="Arial"/>
                <w:b/>
                <w:i/>
                <w:sz w:val="20"/>
                <w:szCs w:val="20"/>
              </w:rPr>
            </w:pPr>
            <w:r w:rsidRPr="00607B35">
              <w:rPr>
                <w:rFonts w:ascii="Arial" w:hAnsi="Arial" w:cs="Arial"/>
                <w:b/>
                <w:i/>
                <w:sz w:val="20"/>
                <w:szCs w:val="20"/>
              </w:rPr>
              <w:t>45.1%</w:t>
            </w:r>
          </w:p>
        </w:tc>
        <w:tc>
          <w:tcPr>
            <w:tcW w:w="797" w:type="dxa"/>
            <w:tcBorders>
              <w:bottom w:val="single" w:sz="4" w:space="0" w:color="auto"/>
            </w:tcBorders>
            <w:vAlign w:val="center"/>
          </w:tcPr>
          <w:p w:rsidR="006E7FD9" w:rsidRPr="00607B35" w:rsidRDefault="006E7FD9" w:rsidP="007E510C">
            <w:pPr>
              <w:contextualSpacing/>
              <w:jc w:val="center"/>
              <w:rPr>
                <w:rFonts w:ascii="Arial" w:hAnsi="Arial" w:cs="Arial"/>
                <w:b/>
                <w:i/>
                <w:sz w:val="20"/>
                <w:szCs w:val="20"/>
              </w:rPr>
            </w:pPr>
            <w:r w:rsidRPr="00607B35">
              <w:rPr>
                <w:rFonts w:ascii="Arial" w:hAnsi="Arial" w:cs="Arial"/>
                <w:b/>
                <w:i/>
                <w:sz w:val="20"/>
                <w:szCs w:val="20"/>
              </w:rPr>
              <w:t>38.2%</w:t>
            </w:r>
          </w:p>
        </w:tc>
        <w:tc>
          <w:tcPr>
            <w:tcW w:w="798" w:type="dxa"/>
            <w:tcBorders>
              <w:bottom w:val="single" w:sz="4" w:space="0" w:color="auto"/>
              <w:right w:val="single" w:sz="12" w:space="0" w:color="auto"/>
            </w:tcBorders>
            <w:vAlign w:val="center"/>
          </w:tcPr>
          <w:p w:rsidR="006E7FD9" w:rsidRPr="00607B35" w:rsidRDefault="006E7FD9" w:rsidP="007F3397">
            <w:pPr>
              <w:contextualSpacing/>
              <w:jc w:val="center"/>
              <w:rPr>
                <w:rFonts w:ascii="Arial" w:hAnsi="Arial" w:cs="Arial"/>
                <w:b/>
                <w:i/>
                <w:sz w:val="20"/>
                <w:szCs w:val="20"/>
              </w:rPr>
            </w:pPr>
            <w:r w:rsidRPr="00607B35">
              <w:rPr>
                <w:rFonts w:ascii="Arial" w:hAnsi="Arial" w:cs="Arial"/>
                <w:b/>
                <w:i/>
                <w:sz w:val="20"/>
                <w:szCs w:val="20"/>
              </w:rPr>
              <w:t>49.3%</w:t>
            </w:r>
          </w:p>
        </w:tc>
        <w:tc>
          <w:tcPr>
            <w:tcW w:w="798" w:type="dxa"/>
            <w:tcBorders>
              <w:left w:val="single" w:sz="12" w:space="0" w:color="auto"/>
              <w:bottom w:val="single" w:sz="4" w:space="0" w:color="auto"/>
              <w:right w:val="single" w:sz="12" w:space="0" w:color="auto"/>
            </w:tcBorders>
            <w:vAlign w:val="center"/>
          </w:tcPr>
          <w:p w:rsidR="006E7FD9" w:rsidRPr="00607B35" w:rsidRDefault="006E7FD9" w:rsidP="00761086">
            <w:pPr>
              <w:contextualSpacing/>
              <w:jc w:val="center"/>
              <w:rPr>
                <w:rFonts w:ascii="Arial" w:hAnsi="Arial" w:cs="Arial"/>
                <w:b/>
                <w:i/>
                <w:sz w:val="20"/>
                <w:szCs w:val="20"/>
              </w:rPr>
            </w:pPr>
            <w:r w:rsidRPr="00607B35">
              <w:rPr>
                <w:rFonts w:ascii="Arial" w:hAnsi="Arial" w:cs="Arial"/>
                <w:b/>
                <w:i/>
                <w:sz w:val="20"/>
                <w:szCs w:val="20"/>
              </w:rPr>
              <w:t>36.9%</w:t>
            </w:r>
          </w:p>
        </w:tc>
      </w:tr>
      <w:tr w:rsidR="00D93D5C" w:rsidTr="00D93D5C">
        <w:trPr>
          <w:trHeight w:val="397"/>
        </w:trPr>
        <w:tc>
          <w:tcPr>
            <w:tcW w:w="3119" w:type="dxa"/>
            <w:shd w:val="clear" w:color="auto" w:fill="auto"/>
            <w:vAlign w:val="center"/>
          </w:tcPr>
          <w:p w:rsidR="00D93D5C" w:rsidRPr="005935CC" w:rsidRDefault="00D93D5C" w:rsidP="00DB32CD">
            <w:pPr>
              <w:rPr>
                <w:rFonts w:ascii="Arial" w:hAnsi="Arial" w:cs="Arial"/>
                <w:sz w:val="20"/>
                <w:szCs w:val="20"/>
              </w:rPr>
            </w:pPr>
            <w:r w:rsidRPr="005935CC">
              <w:rPr>
                <w:rFonts w:ascii="Arial" w:hAnsi="Arial" w:cs="Arial"/>
                <w:sz w:val="20"/>
                <w:szCs w:val="20"/>
              </w:rPr>
              <w:t xml:space="preserve">[LLTI, All-cause SMR &lt;75, </w:t>
            </w:r>
            <w:r>
              <w:rPr>
                <w:rFonts w:ascii="Arial" w:hAnsi="Arial" w:cs="Arial"/>
                <w:sz w:val="20"/>
                <w:szCs w:val="20"/>
              </w:rPr>
              <w:t>Pakistani populations</w:t>
            </w:r>
            <w:r w:rsidRPr="005935CC">
              <w:rPr>
                <w:rFonts w:ascii="Arial" w:hAnsi="Arial" w:cs="Arial"/>
                <w:sz w:val="20"/>
                <w:szCs w:val="20"/>
              </w:rPr>
              <w:t>]</w:t>
            </w:r>
          </w:p>
        </w:tc>
        <w:tc>
          <w:tcPr>
            <w:tcW w:w="797" w:type="dxa"/>
            <w:shd w:val="clear" w:color="auto" w:fill="auto"/>
            <w:vAlign w:val="center"/>
          </w:tcPr>
          <w:p w:rsidR="00D93D5C" w:rsidRPr="00607B35" w:rsidRDefault="00D93D5C" w:rsidP="00FA2906">
            <w:pPr>
              <w:jc w:val="center"/>
              <w:rPr>
                <w:rFonts w:ascii="Arial" w:hAnsi="Arial" w:cs="Arial"/>
                <w:color w:val="00B050"/>
                <w:sz w:val="20"/>
                <w:szCs w:val="20"/>
              </w:rPr>
            </w:pPr>
            <w:r w:rsidRPr="00607B35">
              <w:rPr>
                <w:rFonts w:ascii="Arial" w:hAnsi="Arial" w:cs="Arial"/>
                <w:color w:val="00B050"/>
                <w:sz w:val="20"/>
                <w:szCs w:val="20"/>
              </w:rPr>
              <w:t>10.0%</w:t>
            </w:r>
          </w:p>
        </w:tc>
        <w:tc>
          <w:tcPr>
            <w:tcW w:w="798" w:type="dxa"/>
            <w:shd w:val="clear" w:color="auto" w:fill="auto"/>
            <w:vAlign w:val="center"/>
          </w:tcPr>
          <w:p w:rsidR="00D93D5C" w:rsidRPr="00607B35" w:rsidRDefault="00D93D5C" w:rsidP="00FA2906">
            <w:pPr>
              <w:jc w:val="center"/>
              <w:rPr>
                <w:rFonts w:ascii="Arial" w:hAnsi="Arial" w:cs="Arial"/>
                <w:color w:val="00B050"/>
                <w:sz w:val="20"/>
                <w:szCs w:val="20"/>
              </w:rPr>
            </w:pPr>
            <w:r w:rsidRPr="00607B35">
              <w:rPr>
                <w:rFonts w:ascii="Arial" w:hAnsi="Arial" w:cs="Arial"/>
                <w:color w:val="00B050"/>
                <w:sz w:val="20"/>
                <w:szCs w:val="20"/>
              </w:rPr>
              <w:t>17.7%</w:t>
            </w:r>
          </w:p>
        </w:tc>
        <w:tc>
          <w:tcPr>
            <w:tcW w:w="797" w:type="dxa"/>
            <w:shd w:val="clear" w:color="auto" w:fill="auto"/>
            <w:vAlign w:val="center"/>
          </w:tcPr>
          <w:p w:rsidR="00D93D5C" w:rsidRPr="00607B35" w:rsidRDefault="00D93D5C" w:rsidP="00FA2906">
            <w:pPr>
              <w:jc w:val="center"/>
              <w:rPr>
                <w:rFonts w:ascii="Arial" w:hAnsi="Arial" w:cs="Arial"/>
                <w:color w:val="00B050"/>
                <w:sz w:val="20"/>
                <w:szCs w:val="20"/>
              </w:rPr>
            </w:pPr>
            <w:r w:rsidRPr="00607B35">
              <w:rPr>
                <w:rFonts w:ascii="Arial" w:hAnsi="Arial" w:cs="Arial"/>
                <w:color w:val="00B050"/>
                <w:sz w:val="20"/>
                <w:szCs w:val="20"/>
              </w:rPr>
              <w:t>34.1%</w:t>
            </w:r>
          </w:p>
        </w:tc>
        <w:tc>
          <w:tcPr>
            <w:tcW w:w="797" w:type="dxa"/>
            <w:shd w:val="clear" w:color="auto" w:fill="auto"/>
            <w:vAlign w:val="center"/>
          </w:tcPr>
          <w:p w:rsidR="00D93D5C" w:rsidRPr="00607B35" w:rsidRDefault="00D93D5C" w:rsidP="00FA2906">
            <w:pPr>
              <w:jc w:val="center"/>
              <w:rPr>
                <w:rFonts w:ascii="Arial" w:hAnsi="Arial" w:cs="Arial"/>
                <w:color w:val="00B050"/>
                <w:sz w:val="20"/>
                <w:szCs w:val="20"/>
              </w:rPr>
            </w:pPr>
            <w:r w:rsidRPr="00607B35">
              <w:rPr>
                <w:rFonts w:ascii="Arial" w:hAnsi="Arial" w:cs="Arial"/>
                <w:color w:val="00B050"/>
                <w:sz w:val="20"/>
                <w:szCs w:val="20"/>
              </w:rPr>
              <w:t>22.8%</w:t>
            </w:r>
          </w:p>
        </w:tc>
        <w:tc>
          <w:tcPr>
            <w:tcW w:w="798" w:type="dxa"/>
            <w:shd w:val="clear" w:color="auto" w:fill="auto"/>
            <w:vAlign w:val="center"/>
          </w:tcPr>
          <w:p w:rsidR="00D93D5C" w:rsidRPr="00607B35" w:rsidRDefault="00D93D5C" w:rsidP="00FA2906">
            <w:pPr>
              <w:jc w:val="center"/>
              <w:rPr>
                <w:rFonts w:ascii="Arial" w:hAnsi="Arial" w:cs="Arial"/>
                <w:color w:val="00B050"/>
                <w:sz w:val="20"/>
                <w:szCs w:val="20"/>
              </w:rPr>
            </w:pPr>
            <w:r w:rsidRPr="00607B35">
              <w:rPr>
                <w:rFonts w:ascii="Arial" w:hAnsi="Arial" w:cs="Arial"/>
                <w:color w:val="00B050"/>
                <w:sz w:val="20"/>
                <w:szCs w:val="20"/>
              </w:rPr>
              <w:t>39.4%</w:t>
            </w:r>
          </w:p>
        </w:tc>
        <w:tc>
          <w:tcPr>
            <w:tcW w:w="797" w:type="dxa"/>
            <w:shd w:val="clear" w:color="auto" w:fill="auto"/>
            <w:vAlign w:val="center"/>
          </w:tcPr>
          <w:p w:rsidR="00D93D5C" w:rsidRPr="00607B35" w:rsidRDefault="00D93D5C" w:rsidP="00FA2906">
            <w:pPr>
              <w:jc w:val="center"/>
              <w:rPr>
                <w:rFonts w:ascii="Arial" w:hAnsi="Arial" w:cs="Arial"/>
                <w:color w:val="00B050"/>
                <w:sz w:val="20"/>
                <w:szCs w:val="20"/>
              </w:rPr>
            </w:pPr>
            <w:r w:rsidRPr="00607B35">
              <w:rPr>
                <w:rFonts w:ascii="Arial" w:hAnsi="Arial" w:cs="Arial"/>
                <w:color w:val="00B050"/>
                <w:sz w:val="20"/>
                <w:szCs w:val="20"/>
              </w:rPr>
              <w:t>33.4%</w:t>
            </w:r>
          </w:p>
        </w:tc>
        <w:tc>
          <w:tcPr>
            <w:tcW w:w="798" w:type="dxa"/>
            <w:tcBorders>
              <w:right w:val="single" w:sz="12" w:space="0" w:color="auto"/>
            </w:tcBorders>
            <w:shd w:val="clear" w:color="auto" w:fill="auto"/>
            <w:vAlign w:val="center"/>
          </w:tcPr>
          <w:p w:rsidR="00D93D5C" w:rsidRPr="00FA2906" w:rsidRDefault="00D93D5C" w:rsidP="00FA2906">
            <w:pPr>
              <w:jc w:val="center"/>
              <w:rPr>
                <w:rFonts w:ascii="Arial" w:hAnsi="Arial" w:cs="Arial"/>
                <w:sz w:val="20"/>
                <w:szCs w:val="20"/>
              </w:rPr>
            </w:pPr>
            <w:r w:rsidRPr="00FA2906">
              <w:rPr>
                <w:rFonts w:ascii="Arial" w:hAnsi="Arial" w:cs="Arial"/>
                <w:sz w:val="20"/>
                <w:szCs w:val="20"/>
              </w:rPr>
              <w:t>46.4</w:t>
            </w:r>
            <w:r w:rsidRPr="006135C0">
              <w:rPr>
                <w:rFonts w:ascii="Arial" w:hAnsi="Arial" w:cs="Arial"/>
                <w:sz w:val="20"/>
                <w:szCs w:val="20"/>
              </w:rPr>
              <w:t>%</w:t>
            </w:r>
          </w:p>
        </w:tc>
        <w:tc>
          <w:tcPr>
            <w:tcW w:w="798" w:type="dxa"/>
            <w:tcBorders>
              <w:left w:val="single" w:sz="12" w:space="0" w:color="auto"/>
              <w:right w:val="single" w:sz="12" w:space="0" w:color="auto"/>
            </w:tcBorders>
            <w:shd w:val="clear" w:color="auto" w:fill="auto"/>
            <w:vAlign w:val="center"/>
          </w:tcPr>
          <w:p w:rsidR="00D93D5C" w:rsidRPr="007521C6" w:rsidRDefault="00D93D5C" w:rsidP="007521C6">
            <w:pPr>
              <w:jc w:val="center"/>
              <w:rPr>
                <w:rFonts w:ascii="Arial" w:hAnsi="Arial" w:cs="Arial"/>
                <w:color w:val="00B050"/>
                <w:sz w:val="20"/>
                <w:szCs w:val="20"/>
              </w:rPr>
            </w:pPr>
            <w:r w:rsidRPr="007521C6">
              <w:rPr>
                <w:rFonts w:ascii="Arial" w:hAnsi="Arial" w:cs="Arial"/>
                <w:color w:val="00B050"/>
                <w:sz w:val="20"/>
                <w:szCs w:val="20"/>
              </w:rPr>
              <w:t>32.</w:t>
            </w:r>
            <w:r w:rsidR="007521C6" w:rsidRPr="007521C6">
              <w:rPr>
                <w:rFonts w:ascii="Arial" w:hAnsi="Arial" w:cs="Arial"/>
                <w:color w:val="00B050"/>
                <w:sz w:val="20"/>
                <w:szCs w:val="20"/>
              </w:rPr>
              <w:t>9</w:t>
            </w:r>
            <w:r w:rsidRPr="007521C6">
              <w:rPr>
                <w:rFonts w:ascii="Arial" w:hAnsi="Arial" w:cs="Arial"/>
                <w:color w:val="00B050"/>
                <w:sz w:val="20"/>
                <w:szCs w:val="20"/>
              </w:rPr>
              <w:t>%</w:t>
            </w:r>
          </w:p>
        </w:tc>
      </w:tr>
      <w:tr w:rsidR="00D93D5C" w:rsidTr="00D93D5C">
        <w:trPr>
          <w:trHeight w:val="397"/>
        </w:trPr>
        <w:tc>
          <w:tcPr>
            <w:tcW w:w="3119" w:type="dxa"/>
            <w:vAlign w:val="center"/>
          </w:tcPr>
          <w:p w:rsidR="00D93D5C" w:rsidRPr="005935CC" w:rsidRDefault="00D93D5C" w:rsidP="00DB32CD">
            <w:pPr>
              <w:rPr>
                <w:rFonts w:ascii="Arial" w:hAnsi="Arial" w:cs="Arial"/>
                <w:sz w:val="20"/>
                <w:szCs w:val="20"/>
              </w:rPr>
            </w:pPr>
            <w:r w:rsidRPr="005935CC">
              <w:rPr>
                <w:rFonts w:ascii="Arial" w:hAnsi="Arial" w:cs="Arial"/>
                <w:sz w:val="20"/>
                <w:szCs w:val="20"/>
              </w:rPr>
              <w:t xml:space="preserve">[LLTI, All-cause SMR &lt;75, </w:t>
            </w:r>
            <w:r>
              <w:rPr>
                <w:rFonts w:ascii="Arial" w:hAnsi="Arial" w:cs="Arial"/>
                <w:sz w:val="20"/>
                <w:szCs w:val="20"/>
              </w:rPr>
              <w:t>Gypsy/Traveller populations</w:t>
            </w:r>
            <w:r w:rsidRPr="005935CC">
              <w:rPr>
                <w:rFonts w:ascii="Arial" w:hAnsi="Arial" w:cs="Arial"/>
                <w:sz w:val="20"/>
                <w:szCs w:val="20"/>
              </w:rPr>
              <w:t>]</w:t>
            </w:r>
          </w:p>
        </w:tc>
        <w:tc>
          <w:tcPr>
            <w:tcW w:w="797" w:type="dxa"/>
            <w:vAlign w:val="center"/>
          </w:tcPr>
          <w:p w:rsidR="00D93D5C" w:rsidRPr="00FA2906" w:rsidRDefault="00D93D5C" w:rsidP="00FA2906">
            <w:pPr>
              <w:jc w:val="center"/>
              <w:rPr>
                <w:rFonts w:ascii="Arial" w:hAnsi="Arial" w:cs="Arial"/>
                <w:sz w:val="20"/>
                <w:szCs w:val="20"/>
              </w:rPr>
            </w:pPr>
            <w:r w:rsidRPr="00FA2906">
              <w:rPr>
                <w:rFonts w:ascii="Arial" w:hAnsi="Arial" w:cs="Arial"/>
                <w:sz w:val="20"/>
                <w:szCs w:val="20"/>
              </w:rPr>
              <w:t>9.9</w:t>
            </w:r>
            <w:r w:rsidRPr="006135C0">
              <w:rPr>
                <w:rFonts w:ascii="Arial" w:hAnsi="Arial" w:cs="Arial"/>
                <w:sz w:val="20"/>
                <w:szCs w:val="20"/>
              </w:rPr>
              <w:t>%</w:t>
            </w:r>
          </w:p>
        </w:tc>
        <w:tc>
          <w:tcPr>
            <w:tcW w:w="798" w:type="dxa"/>
            <w:vAlign w:val="center"/>
          </w:tcPr>
          <w:p w:rsidR="00D93D5C" w:rsidRPr="00FA2906" w:rsidRDefault="00D93D5C" w:rsidP="00FA2906">
            <w:pPr>
              <w:jc w:val="center"/>
              <w:rPr>
                <w:rFonts w:ascii="Arial" w:hAnsi="Arial" w:cs="Arial"/>
                <w:sz w:val="20"/>
                <w:szCs w:val="20"/>
              </w:rPr>
            </w:pPr>
            <w:r w:rsidRPr="00FA2906">
              <w:rPr>
                <w:rFonts w:ascii="Arial" w:hAnsi="Arial" w:cs="Arial"/>
                <w:sz w:val="20"/>
                <w:szCs w:val="20"/>
              </w:rPr>
              <w:t>17.5</w:t>
            </w:r>
            <w:r w:rsidRPr="006135C0">
              <w:rPr>
                <w:rFonts w:ascii="Arial" w:hAnsi="Arial" w:cs="Arial"/>
                <w:sz w:val="20"/>
                <w:szCs w:val="20"/>
              </w:rPr>
              <w:t>%</w:t>
            </w:r>
          </w:p>
        </w:tc>
        <w:tc>
          <w:tcPr>
            <w:tcW w:w="797" w:type="dxa"/>
            <w:vAlign w:val="center"/>
          </w:tcPr>
          <w:p w:rsidR="00D93D5C" w:rsidRPr="00FA2906" w:rsidRDefault="00D93D5C" w:rsidP="00FA2906">
            <w:pPr>
              <w:jc w:val="center"/>
              <w:rPr>
                <w:rFonts w:ascii="Arial" w:hAnsi="Arial" w:cs="Arial"/>
                <w:sz w:val="20"/>
                <w:szCs w:val="20"/>
              </w:rPr>
            </w:pPr>
            <w:r w:rsidRPr="00FA2906">
              <w:rPr>
                <w:rFonts w:ascii="Arial" w:hAnsi="Arial" w:cs="Arial"/>
                <w:sz w:val="20"/>
                <w:szCs w:val="20"/>
              </w:rPr>
              <w:t>33.3</w:t>
            </w:r>
            <w:r w:rsidRPr="006135C0">
              <w:rPr>
                <w:rFonts w:ascii="Arial" w:hAnsi="Arial" w:cs="Arial"/>
                <w:sz w:val="20"/>
                <w:szCs w:val="20"/>
              </w:rPr>
              <w:t>%</w:t>
            </w:r>
          </w:p>
        </w:tc>
        <w:tc>
          <w:tcPr>
            <w:tcW w:w="797" w:type="dxa"/>
            <w:vAlign w:val="center"/>
          </w:tcPr>
          <w:p w:rsidR="00D93D5C" w:rsidRPr="00FA2906" w:rsidRDefault="00D93D5C" w:rsidP="00FA2906">
            <w:pPr>
              <w:jc w:val="center"/>
              <w:rPr>
                <w:rFonts w:ascii="Arial" w:hAnsi="Arial" w:cs="Arial"/>
                <w:sz w:val="20"/>
                <w:szCs w:val="20"/>
              </w:rPr>
            </w:pPr>
            <w:r w:rsidRPr="00FA2906">
              <w:rPr>
                <w:rFonts w:ascii="Arial" w:hAnsi="Arial" w:cs="Arial"/>
                <w:sz w:val="20"/>
                <w:szCs w:val="20"/>
              </w:rPr>
              <w:t>21.2</w:t>
            </w:r>
            <w:r w:rsidRPr="006135C0">
              <w:rPr>
                <w:rFonts w:ascii="Arial" w:hAnsi="Arial" w:cs="Arial"/>
                <w:sz w:val="20"/>
                <w:szCs w:val="20"/>
              </w:rPr>
              <w:t>%</w:t>
            </w:r>
          </w:p>
        </w:tc>
        <w:tc>
          <w:tcPr>
            <w:tcW w:w="798" w:type="dxa"/>
            <w:vAlign w:val="center"/>
          </w:tcPr>
          <w:p w:rsidR="00D93D5C" w:rsidRPr="00FA2906" w:rsidRDefault="00D93D5C" w:rsidP="00FA2906">
            <w:pPr>
              <w:jc w:val="center"/>
              <w:rPr>
                <w:rFonts w:ascii="Arial" w:hAnsi="Arial" w:cs="Arial"/>
                <w:sz w:val="20"/>
                <w:szCs w:val="20"/>
              </w:rPr>
            </w:pPr>
            <w:r w:rsidRPr="00FA2906">
              <w:rPr>
                <w:rFonts w:ascii="Arial" w:hAnsi="Arial" w:cs="Arial"/>
                <w:sz w:val="20"/>
                <w:szCs w:val="20"/>
              </w:rPr>
              <w:t>39.1</w:t>
            </w:r>
            <w:r w:rsidRPr="006135C0">
              <w:rPr>
                <w:rFonts w:ascii="Arial" w:hAnsi="Arial" w:cs="Arial"/>
                <w:sz w:val="20"/>
                <w:szCs w:val="20"/>
              </w:rPr>
              <w:t>%</w:t>
            </w:r>
          </w:p>
        </w:tc>
        <w:tc>
          <w:tcPr>
            <w:tcW w:w="797" w:type="dxa"/>
            <w:vAlign w:val="center"/>
          </w:tcPr>
          <w:p w:rsidR="00D93D5C" w:rsidRPr="00FA2906" w:rsidRDefault="00D93D5C" w:rsidP="00FA2906">
            <w:pPr>
              <w:jc w:val="center"/>
              <w:rPr>
                <w:rFonts w:ascii="Arial" w:hAnsi="Arial" w:cs="Arial"/>
                <w:sz w:val="20"/>
                <w:szCs w:val="20"/>
              </w:rPr>
            </w:pPr>
            <w:r w:rsidRPr="00FA2906">
              <w:rPr>
                <w:rFonts w:ascii="Arial" w:hAnsi="Arial" w:cs="Arial"/>
                <w:sz w:val="20"/>
                <w:szCs w:val="20"/>
              </w:rPr>
              <w:t>33.2</w:t>
            </w:r>
            <w:r w:rsidRPr="006135C0">
              <w:rPr>
                <w:rFonts w:ascii="Arial" w:hAnsi="Arial" w:cs="Arial"/>
                <w:sz w:val="20"/>
                <w:szCs w:val="20"/>
              </w:rPr>
              <w:t>%</w:t>
            </w:r>
          </w:p>
        </w:tc>
        <w:tc>
          <w:tcPr>
            <w:tcW w:w="798" w:type="dxa"/>
            <w:tcBorders>
              <w:right w:val="single" w:sz="12" w:space="0" w:color="auto"/>
            </w:tcBorders>
            <w:vAlign w:val="center"/>
          </w:tcPr>
          <w:p w:rsidR="00D93D5C" w:rsidRPr="00FA2906" w:rsidRDefault="00D93D5C" w:rsidP="00FA2906">
            <w:pPr>
              <w:jc w:val="center"/>
              <w:rPr>
                <w:rFonts w:ascii="Arial" w:hAnsi="Arial" w:cs="Arial"/>
                <w:sz w:val="20"/>
                <w:szCs w:val="20"/>
              </w:rPr>
            </w:pPr>
            <w:r w:rsidRPr="00FA2906">
              <w:rPr>
                <w:rFonts w:ascii="Arial" w:hAnsi="Arial" w:cs="Arial"/>
                <w:sz w:val="20"/>
                <w:szCs w:val="20"/>
              </w:rPr>
              <w:t>46.9</w:t>
            </w:r>
            <w:r w:rsidRPr="006135C0">
              <w:rPr>
                <w:rFonts w:ascii="Arial" w:hAnsi="Arial" w:cs="Arial"/>
                <w:sz w:val="20"/>
                <w:szCs w:val="20"/>
              </w:rPr>
              <w:t>%</w:t>
            </w:r>
          </w:p>
        </w:tc>
        <w:tc>
          <w:tcPr>
            <w:tcW w:w="798" w:type="dxa"/>
            <w:tcBorders>
              <w:left w:val="single" w:sz="12" w:space="0" w:color="auto"/>
              <w:right w:val="single" w:sz="12" w:space="0" w:color="auto"/>
            </w:tcBorders>
            <w:vAlign w:val="center"/>
          </w:tcPr>
          <w:p w:rsidR="00D93D5C" w:rsidRPr="007521C6" w:rsidRDefault="007521C6" w:rsidP="00D93D5C">
            <w:pPr>
              <w:jc w:val="center"/>
              <w:rPr>
                <w:rFonts w:ascii="Arial" w:hAnsi="Arial" w:cs="Arial"/>
                <w:sz w:val="20"/>
                <w:szCs w:val="20"/>
              </w:rPr>
            </w:pPr>
            <w:r w:rsidRPr="007521C6">
              <w:rPr>
                <w:rFonts w:ascii="Arial" w:hAnsi="Arial" w:cs="Arial"/>
                <w:sz w:val="20"/>
                <w:szCs w:val="20"/>
              </w:rPr>
              <w:t>32.6</w:t>
            </w:r>
            <w:r w:rsidR="00D93D5C" w:rsidRPr="007521C6">
              <w:rPr>
                <w:rFonts w:ascii="Arial" w:hAnsi="Arial" w:cs="Arial"/>
                <w:sz w:val="20"/>
                <w:szCs w:val="20"/>
              </w:rPr>
              <w:t>%</w:t>
            </w:r>
          </w:p>
        </w:tc>
      </w:tr>
      <w:tr w:rsidR="00D93D5C" w:rsidTr="00D93D5C">
        <w:trPr>
          <w:trHeight w:val="397"/>
        </w:trPr>
        <w:tc>
          <w:tcPr>
            <w:tcW w:w="3119" w:type="dxa"/>
            <w:vAlign w:val="center"/>
          </w:tcPr>
          <w:p w:rsidR="00D93D5C" w:rsidRPr="005935CC" w:rsidRDefault="00D93D5C" w:rsidP="00D75633">
            <w:pPr>
              <w:rPr>
                <w:rFonts w:ascii="Arial" w:hAnsi="Arial" w:cs="Arial"/>
                <w:sz w:val="20"/>
                <w:szCs w:val="20"/>
              </w:rPr>
            </w:pPr>
            <w:r w:rsidRPr="00DB32CD">
              <w:rPr>
                <w:rFonts w:ascii="Arial" w:hAnsi="Arial" w:cs="Arial"/>
                <w:sz w:val="20"/>
                <w:szCs w:val="20"/>
              </w:rPr>
              <w:t>[LLTI, All-cause SMR &lt;75, Ethnic populations with poorer than average health]</w:t>
            </w:r>
          </w:p>
        </w:tc>
        <w:tc>
          <w:tcPr>
            <w:tcW w:w="797" w:type="dxa"/>
            <w:vAlign w:val="center"/>
          </w:tcPr>
          <w:p w:rsidR="00D93D5C" w:rsidRPr="00FA2906" w:rsidRDefault="00D93D5C" w:rsidP="00D75633">
            <w:pPr>
              <w:jc w:val="center"/>
              <w:rPr>
                <w:rFonts w:ascii="Arial" w:hAnsi="Arial" w:cs="Arial"/>
                <w:sz w:val="20"/>
                <w:szCs w:val="20"/>
              </w:rPr>
            </w:pPr>
            <w:r w:rsidRPr="00FA2906">
              <w:rPr>
                <w:rFonts w:ascii="Arial" w:hAnsi="Arial" w:cs="Arial"/>
                <w:sz w:val="20"/>
                <w:szCs w:val="20"/>
              </w:rPr>
              <w:t>9.9</w:t>
            </w:r>
            <w:r w:rsidRPr="006135C0">
              <w:rPr>
                <w:rFonts w:ascii="Arial" w:hAnsi="Arial" w:cs="Arial"/>
                <w:sz w:val="20"/>
                <w:szCs w:val="20"/>
              </w:rPr>
              <w:t>%</w:t>
            </w:r>
          </w:p>
        </w:tc>
        <w:tc>
          <w:tcPr>
            <w:tcW w:w="798" w:type="dxa"/>
            <w:vAlign w:val="center"/>
          </w:tcPr>
          <w:p w:rsidR="00D93D5C" w:rsidRPr="00FA2906" w:rsidRDefault="00D93D5C" w:rsidP="00D75633">
            <w:pPr>
              <w:jc w:val="center"/>
              <w:rPr>
                <w:rFonts w:ascii="Arial" w:hAnsi="Arial" w:cs="Arial"/>
                <w:sz w:val="20"/>
                <w:szCs w:val="20"/>
              </w:rPr>
            </w:pPr>
            <w:r w:rsidRPr="00FA2906">
              <w:rPr>
                <w:rFonts w:ascii="Arial" w:hAnsi="Arial" w:cs="Arial"/>
                <w:sz w:val="20"/>
                <w:szCs w:val="20"/>
              </w:rPr>
              <w:t>17.5</w:t>
            </w:r>
            <w:r w:rsidRPr="006135C0">
              <w:rPr>
                <w:rFonts w:ascii="Arial" w:hAnsi="Arial" w:cs="Arial"/>
                <w:sz w:val="20"/>
                <w:szCs w:val="20"/>
              </w:rPr>
              <w:t>%</w:t>
            </w:r>
          </w:p>
        </w:tc>
        <w:tc>
          <w:tcPr>
            <w:tcW w:w="797" w:type="dxa"/>
            <w:vAlign w:val="center"/>
          </w:tcPr>
          <w:p w:rsidR="00D93D5C" w:rsidRPr="00FA2906" w:rsidRDefault="00D93D5C" w:rsidP="00D75633">
            <w:pPr>
              <w:jc w:val="center"/>
              <w:rPr>
                <w:rFonts w:ascii="Arial" w:hAnsi="Arial" w:cs="Arial"/>
                <w:sz w:val="20"/>
                <w:szCs w:val="20"/>
              </w:rPr>
            </w:pPr>
            <w:r w:rsidRPr="00FA2906">
              <w:rPr>
                <w:rFonts w:ascii="Arial" w:hAnsi="Arial" w:cs="Arial"/>
                <w:sz w:val="20"/>
                <w:szCs w:val="20"/>
              </w:rPr>
              <w:t>33.3</w:t>
            </w:r>
            <w:r w:rsidRPr="006135C0">
              <w:rPr>
                <w:rFonts w:ascii="Arial" w:hAnsi="Arial" w:cs="Arial"/>
                <w:sz w:val="20"/>
                <w:szCs w:val="20"/>
              </w:rPr>
              <w:t>%</w:t>
            </w:r>
          </w:p>
        </w:tc>
        <w:tc>
          <w:tcPr>
            <w:tcW w:w="797" w:type="dxa"/>
            <w:vAlign w:val="center"/>
          </w:tcPr>
          <w:p w:rsidR="00D93D5C" w:rsidRPr="00FA2906" w:rsidRDefault="00D93D5C" w:rsidP="00D75633">
            <w:pPr>
              <w:jc w:val="center"/>
              <w:rPr>
                <w:rFonts w:ascii="Arial" w:hAnsi="Arial" w:cs="Arial"/>
                <w:sz w:val="20"/>
                <w:szCs w:val="20"/>
              </w:rPr>
            </w:pPr>
            <w:r w:rsidRPr="00FA2906">
              <w:rPr>
                <w:rFonts w:ascii="Arial" w:hAnsi="Arial" w:cs="Arial"/>
                <w:sz w:val="20"/>
                <w:szCs w:val="20"/>
              </w:rPr>
              <w:t>21.0</w:t>
            </w:r>
            <w:r w:rsidRPr="006135C0">
              <w:rPr>
                <w:rFonts w:ascii="Arial" w:hAnsi="Arial" w:cs="Arial"/>
                <w:sz w:val="20"/>
                <w:szCs w:val="20"/>
              </w:rPr>
              <w:t>%</w:t>
            </w:r>
          </w:p>
        </w:tc>
        <w:tc>
          <w:tcPr>
            <w:tcW w:w="798" w:type="dxa"/>
            <w:vAlign w:val="center"/>
          </w:tcPr>
          <w:p w:rsidR="00D93D5C" w:rsidRPr="00FA2906" w:rsidRDefault="00D93D5C" w:rsidP="00D75633">
            <w:pPr>
              <w:jc w:val="center"/>
              <w:rPr>
                <w:rFonts w:ascii="Arial" w:hAnsi="Arial" w:cs="Arial"/>
                <w:sz w:val="20"/>
                <w:szCs w:val="20"/>
              </w:rPr>
            </w:pPr>
            <w:r w:rsidRPr="00FA2906">
              <w:rPr>
                <w:rFonts w:ascii="Arial" w:hAnsi="Arial" w:cs="Arial"/>
                <w:sz w:val="20"/>
                <w:szCs w:val="20"/>
              </w:rPr>
              <w:t>39.1</w:t>
            </w:r>
            <w:r w:rsidRPr="006135C0">
              <w:rPr>
                <w:rFonts w:ascii="Arial" w:hAnsi="Arial" w:cs="Arial"/>
                <w:sz w:val="20"/>
                <w:szCs w:val="20"/>
              </w:rPr>
              <w:t>%</w:t>
            </w:r>
          </w:p>
        </w:tc>
        <w:tc>
          <w:tcPr>
            <w:tcW w:w="797" w:type="dxa"/>
            <w:vAlign w:val="center"/>
          </w:tcPr>
          <w:p w:rsidR="00D93D5C" w:rsidRPr="00FA2906" w:rsidRDefault="00D93D5C" w:rsidP="00D75633">
            <w:pPr>
              <w:jc w:val="center"/>
              <w:rPr>
                <w:rFonts w:ascii="Arial" w:hAnsi="Arial" w:cs="Arial"/>
                <w:sz w:val="20"/>
                <w:szCs w:val="20"/>
              </w:rPr>
            </w:pPr>
            <w:r w:rsidRPr="00FA2906">
              <w:rPr>
                <w:rFonts w:ascii="Arial" w:hAnsi="Arial" w:cs="Arial"/>
                <w:sz w:val="20"/>
                <w:szCs w:val="20"/>
              </w:rPr>
              <w:t>33.1</w:t>
            </w:r>
            <w:r w:rsidRPr="006135C0">
              <w:rPr>
                <w:rFonts w:ascii="Arial" w:hAnsi="Arial" w:cs="Arial"/>
                <w:sz w:val="20"/>
                <w:szCs w:val="20"/>
              </w:rPr>
              <w:t>%</w:t>
            </w:r>
          </w:p>
        </w:tc>
        <w:tc>
          <w:tcPr>
            <w:tcW w:w="798" w:type="dxa"/>
            <w:tcBorders>
              <w:right w:val="single" w:sz="12" w:space="0" w:color="auto"/>
            </w:tcBorders>
            <w:vAlign w:val="center"/>
          </w:tcPr>
          <w:p w:rsidR="00D93D5C" w:rsidRPr="00607B35" w:rsidRDefault="00D93D5C" w:rsidP="00D75633">
            <w:pPr>
              <w:jc w:val="center"/>
              <w:rPr>
                <w:rFonts w:ascii="Arial" w:hAnsi="Arial" w:cs="Arial"/>
                <w:color w:val="00B050"/>
                <w:sz w:val="20"/>
                <w:szCs w:val="20"/>
              </w:rPr>
            </w:pPr>
            <w:r w:rsidRPr="00607B35">
              <w:rPr>
                <w:rFonts w:ascii="Arial" w:hAnsi="Arial" w:cs="Arial"/>
                <w:color w:val="00B050"/>
                <w:sz w:val="20"/>
                <w:szCs w:val="20"/>
              </w:rPr>
              <w:t>47.0%</w:t>
            </w:r>
          </w:p>
        </w:tc>
        <w:tc>
          <w:tcPr>
            <w:tcW w:w="798" w:type="dxa"/>
            <w:tcBorders>
              <w:left w:val="single" w:sz="12" w:space="0" w:color="auto"/>
              <w:bottom w:val="single" w:sz="12" w:space="0" w:color="auto"/>
              <w:right w:val="single" w:sz="12" w:space="0" w:color="auto"/>
            </w:tcBorders>
            <w:vAlign w:val="center"/>
          </w:tcPr>
          <w:p w:rsidR="00D93D5C" w:rsidRPr="00D93D5C" w:rsidRDefault="00D93D5C" w:rsidP="00D93D5C">
            <w:pPr>
              <w:jc w:val="center"/>
              <w:rPr>
                <w:rFonts w:ascii="Arial" w:hAnsi="Arial" w:cs="Arial"/>
                <w:color w:val="000000"/>
                <w:sz w:val="20"/>
                <w:szCs w:val="20"/>
              </w:rPr>
            </w:pPr>
            <w:r w:rsidRPr="00D93D5C">
              <w:rPr>
                <w:rFonts w:ascii="Arial" w:hAnsi="Arial" w:cs="Arial"/>
                <w:color w:val="000000"/>
                <w:sz w:val="20"/>
                <w:szCs w:val="20"/>
              </w:rPr>
              <w:t>32.6</w:t>
            </w:r>
            <w:r w:rsidRPr="006135C0">
              <w:rPr>
                <w:rFonts w:ascii="Arial" w:hAnsi="Arial" w:cs="Arial"/>
                <w:sz w:val="20"/>
                <w:szCs w:val="20"/>
              </w:rPr>
              <w:t>%</w:t>
            </w:r>
          </w:p>
        </w:tc>
      </w:tr>
    </w:tbl>
    <w:p w:rsidR="00BF58F2" w:rsidRPr="007C2DE5" w:rsidRDefault="00BF58F2" w:rsidP="007521C6">
      <w:pPr>
        <w:spacing w:after="200" w:line="276" w:lineRule="auto"/>
        <w:jc w:val="both"/>
        <w:rPr>
          <w:rFonts w:ascii="Arial" w:hAnsi="Arial" w:cs="Arial"/>
        </w:rPr>
      </w:pPr>
    </w:p>
    <w:p w:rsidR="00607B35" w:rsidRDefault="007521C6" w:rsidP="007521C6">
      <w:pPr>
        <w:spacing w:after="200" w:line="276" w:lineRule="auto"/>
        <w:jc w:val="both"/>
        <w:rPr>
          <w:rFonts w:ascii="Arial" w:hAnsi="Arial" w:cs="Arial"/>
        </w:rPr>
      </w:pPr>
      <w:r>
        <w:rPr>
          <w:rFonts w:ascii="Arial" w:hAnsi="Arial" w:cs="Arial"/>
        </w:rPr>
        <w:t xml:space="preserve">The 2-variable model, </w:t>
      </w:r>
      <w:r w:rsidRPr="00D0093A">
        <w:rPr>
          <w:rFonts w:ascii="Arial" w:hAnsi="Arial" w:cs="Arial"/>
        </w:rPr>
        <w:t>[</w:t>
      </w:r>
      <w:r>
        <w:rPr>
          <w:rFonts w:ascii="Arial" w:hAnsi="Arial" w:cs="Arial"/>
        </w:rPr>
        <w:t>LLTI, All-cause SMR &lt;75</w:t>
      </w:r>
      <w:r w:rsidRPr="00D0093A">
        <w:rPr>
          <w:rFonts w:ascii="Arial" w:hAnsi="Arial" w:cs="Arial"/>
        </w:rPr>
        <w:t>]</w:t>
      </w:r>
      <w:r>
        <w:rPr>
          <w:rFonts w:ascii="Arial" w:hAnsi="Arial" w:cs="Arial"/>
        </w:rPr>
        <w:t>, produces the highest R</w:t>
      </w:r>
      <w:r w:rsidRPr="007521C6">
        <w:rPr>
          <w:rFonts w:ascii="Arial" w:hAnsi="Arial" w:cs="Arial"/>
          <w:vertAlign w:val="superscript"/>
        </w:rPr>
        <w:t>2</w:t>
      </w:r>
      <w:r>
        <w:rPr>
          <w:rFonts w:ascii="Arial" w:hAnsi="Arial" w:cs="Arial"/>
        </w:rPr>
        <w:t xml:space="preserve"> for all diagnostic groups, and the highest weighted average. Of the models including an ethnicity variable, the best-performing (by only a very small margin) is the one in which the fraction of population that belongs to the Pakistani ethnic group is used. Its weighted average R</w:t>
      </w:r>
      <w:r w:rsidRPr="007521C6">
        <w:rPr>
          <w:rFonts w:ascii="Arial" w:hAnsi="Arial" w:cs="Arial"/>
          <w:vertAlign w:val="superscript"/>
        </w:rPr>
        <w:t>2</w:t>
      </w:r>
      <w:r>
        <w:rPr>
          <w:rFonts w:ascii="Arial" w:hAnsi="Arial" w:cs="Arial"/>
        </w:rPr>
        <w:t xml:space="preserve"> is 4 percentage points lower than that of the 2-variable model.</w:t>
      </w:r>
    </w:p>
    <w:p w:rsidR="00B70E4C" w:rsidRPr="00B70E4C" w:rsidRDefault="00923CC2" w:rsidP="00DE1FE2">
      <w:pPr>
        <w:spacing w:after="240" w:line="276" w:lineRule="auto"/>
        <w:jc w:val="both"/>
        <w:rPr>
          <w:rFonts w:ascii="Arial" w:hAnsi="Arial" w:cs="Arial"/>
          <w:b/>
        </w:rPr>
      </w:pPr>
      <w:r>
        <w:rPr>
          <w:rFonts w:ascii="Arial" w:hAnsi="Arial" w:cs="Arial"/>
          <w:b/>
        </w:rPr>
        <w:t>2</w:t>
      </w:r>
      <w:r w:rsidR="008308C8">
        <w:rPr>
          <w:rFonts w:ascii="Arial" w:hAnsi="Arial" w:cs="Arial"/>
          <w:b/>
        </w:rPr>
        <w:t>.2</w:t>
      </w:r>
      <w:r w:rsidR="00B70E4C" w:rsidRPr="00B70E4C">
        <w:rPr>
          <w:rFonts w:ascii="Arial" w:hAnsi="Arial" w:cs="Arial"/>
          <w:b/>
        </w:rPr>
        <w:t xml:space="preserve"> Predictive power: RSS</w:t>
      </w:r>
    </w:p>
    <w:p w:rsidR="00B70E4C" w:rsidRDefault="00B70E4C" w:rsidP="00B70E4C">
      <w:pPr>
        <w:spacing w:after="240" w:line="276" w:lineRule="auto"/>
        <w:jc w:val="both"/>
        <w:rPr>
          <w:rFonts w:ascii="Arial" w:hAnsi="Arial" w:cs="Arial"/>
        </w:rPr>
      </w:pPr>
      <w:r w:rsidRPr="005E5F93">
        <w:rPr>
          <w:rFonts w:ascii="Arial" w:hAnsi="Arial" w:cs="Arial"/>
          <w:i/>
        </w:rPr>
        <w:t>Predictive</w:t>
      </w:r>
      <w:r>
        <w:rPr>
          <w:rFonts w:ascii="Arial" w:hAnsi="Arial" w:cs="Arial"/>
        </w:rPr>
        <w:t xml:space="preserve"> power is arguably more important than </w:t>
      </w:r>
      <w:r w:rsidRPr="005E5F93">
        <w:rPr>
          <w:rFonts w:ascii="Arial" w:hAnsi="Arial" w:cs="Arial"/>
          <w:i/>
        </w:rPr>
        <w:t>explanatory</w:t>
      </w:r>
      <w:r>
        <w:rPr>
          <w:rFonts w:ascii="Arial" w:hAnsi="Arial" w:cs="Arial"/>
        </w:rPr>
        <w:t xml:space="preserve"> power, since the MLC adjustment is used to predict cost ratios in the year of allocation. To evaluate the models in predictive mode, predicted cost ratios are generated. These predictions are then compared with a 1-year cost ratio based on 2014/15 data. The 2014/15 cost ratio represents the ‘future’ observation which the model would be trying to predict.</w:t>
      </w:r>
    </w:p>
    <w:p w:rsidR="00B70E4C" w:rsidRDefault="00B70E4C" w:rsidP="00B70E4C">
      <w:pPr>
        <w:spacing w:after="240" w:line="276" w:lineRule="auto"/>
        <w:jc w:val="both"/>
        <w:rPr>
          <w:rFonts w:ascii="Arial" w:hAnsi="Arial" w:cs="Arial"/>
        </w:rPr>
      </w:pPr>
      <w:r>
        <w:rPr>
          <w:rFonts w:ascii="Arial" w:hAnsi="Arial" w:cs="Arial"/>
        </w:rPr>
        <w:t xml:space="preserve">Predicted cost ratios are calculated in the same way as in the NRAC formula: </w:t>
      </w:r>
      <w:r w:rsidR="009E0EF9">
        <w:rPr>
          <w:rFonts w:ascii="Arial" w:hAnsi="Arial" w:cs="Arial"/>
        </w:rPr>
        <w:t>the</w:t>
      </w:r>
      <w:r>
        <w:rPr>
          <w:rFonts w:ascii="Arial" w:hAnsi="Arial" w:cs="Arial"/>
        </w:rPr>
        <w:t xml:space="preserve"> coefficient of the needs index is obtained through a regression including the supply model, but the supply variables are not used in the prediction. In the case of Outpatients, the prison dummy </w:t>
      </w:r>
      <w:r w:rsidR="001537F0">
        <w:rPr>
          <w:rFonts w:ascii="Arial" w:hAnsi="Arial" w:cs="Arial"/>
        </w:rPr>
        <w:t>variable</w:t>
      </w:r>
      <w:r w:rsidR="0039101E">
        <w:rPr>
          <w:rFonts w:ascii="Arial" w:hAnsi="Arial" w:cs="Arial"/>
        </w:rPr>
        <w:t xml:space="preserve"> (introduced in paper TAMLC43)</w:t>
      </w:r>
      <w:r w:rsidR="001537F0">
        <w:rPr>
          <w:rFonts w:ascii="Arial" w:hAnsi="Arial" w:cs="Arial"/>
        </w:rPr>
        <w:t xml:space="preserve"> </w:t>
      </w:r>
      <w:r>
        <w:rPr>
          <w:rFonts w:ascii="Arial" w:hAnsi="Arial" w:cs="Arial"/>
        </w:rPr>
        <w:t xml:space="preserve">is included in both the regression and the prediction. </w:t>
      </w:r>
    </w:p>
    <w:p w:rsidR="00B70E4C" w:rsidRDefault="004D13FA" w:rsidP="00B70E4C">
      <w:pPr>
        <w:spacing w:after="240" w:line="276" w:lineRule="auto"/>
        <w:jc w:val="both"/>
        <w:rPr>
          <w:rFonts w:ascii="Arial" w:hAnsi="Arial" w:cs="Arial"/>
        </w:rPr>
      </w:pPr>
      <w:r>
        <w:rPr>
          <w:rFonts w:ascii="Arial" w:hAnsi="Arial" w:cs="Arial"/>
        </w:rPr>
        <w:t>As before,</w:t>
      </w:r>
      <w:r w:rsidR="00B70E4C">
        <w:rPr>
          <w:rFonts w:ascii="Arial" w:hAnsi="Arial" w:cs="Arial"/>
        </w:rPr>
        <w:t xml:space="preserve"> comparison of predictions with observations is </w:t>
      </w:r>
      <w:r>
        <w:rPr>
          <w:rFonts w:ascii="Arial" w:hAnsi="Arial" w:cs="Arial"/>
        </w:rPr>
        <w:t xml:space="preserve">done using </w:t>
      </w:r>
      <w:r w:rsidR="00B70E4C">
        <w:rPr>
          <w:rFonts w:ascii="Arial" w:hAnsi="Arial" w:cs="Arial"/>
        </w:rPr>
        <w:t>the residual sum of squares (RSS): this is the sum of the squared differences between the predictions and the observations. Low RSS values indicate that the observations are relatively close to the predictions.</w:t>
      </w:r>
    </w:p>
    <w:p w:rsidR="007521C6" w:rsidRPr="007521C6" w:rsidRDefault="00B70E4C" w:rsidP="007521C6">
      <w:pPr>
        <w:spacing w:after="240" w:line="276" w:lineRule="auto"/>
        <w:jc w:val="both"/>
        <w:rPr>
          <w:rFonts w:ascii="Arial" w:hAnsi="Arial" w:cs="Arial"/>
        </w:rPr>
      </w:pPr>
      <w:r>
        <w:rPr>
          <w:rFonts w:ascii="Arial" w:hAnsi="Arial" w:cs="Arial"/>
        </w:rPr>
        <w:t xml:space="preserve">The RSS values are given in Table </w:t>
      </w:r>
      <w:r w:rsidR="00923CC2">
        <w:rPr>
          <w:rFonts w:ascii="Arial" w:hAnsi="Arial" w:cs="Arial"/>
        </w:rPr>
        <w:t>2</w:t>
      </w:r>
      <w:r>
        <w:rPr>
          <w:rFonts w:ascii="Arial" w:hAnsi="Arial" w:cs="Arial"/>
        </w:rPr>
        <w:t xml:space="preserve">. </w:t>
      </w:r>
    </w:p>
    <w:p w:rsidR="00B70E4C" w:rsidRPr="00357D70" w:rsidRDefault="00B70E4C" w:rsidP="004063AA">
      <w:pPr>
        <w:spacing w:after="0" w:line="240" w:lineRule="auto"/>
        <w:rPr>
          <w:rFonts w:ascii="Arial" w:hAnsi="Arial" w:cs="Arial"/>
          <w:i/>
        </w:rPr>
      </w:pPr>
      <w:r w:rsidRPr="00357D70">
        <w:rPr>
          <w:rFonts w:ascii="Arial" w:hAnsi="Arial" w:cs="Arial"/>
          <w:i/>
        </w:rPr>
        <w:lastRenderedPageBreak/>
        <w:t xml:space="preserve">Table </w:t>
      </w:r>
      <w:r w:rsidR="00923CC2">
        <w:rPr>
          <w:rFonts w:ascii="Arial" w:hAnsi="Arial" w:cs="Arial"/>
          <w:i/>
        </w:rPr>
        <w:t>2</w:t>
      </w:r>
      <w:r w:rsidRPr="00357D70">
        <w:rPr>
          <w:rFonts w:ascii="Arial" w:hAnsi="Arial" w:cs="Arial"/>
          <w:i/>
        </w:rPr>
        <w:t xml:space="preserve">: RSS obtained </w:t>
      </w:r>
      <w:r>
        <w:rPr>
          <w:rFonts w:ascii="Arial" w:hAnsi="Arial" w:cs="Arial"/>
          <w:i/>
        </w:rPr>
        <w:t>from comparing predictions derived from</w:t>
      </w:r>
      <w:r w:rsidRPr="00357D70">
        <w:rPr>
          <w:rFonts w:ascii="Arial" w:hAnsi="Arial" w:cs="Arial"/>
          <w:i/>
        </w:rPr>
        <w:t xml:space="preserve"> the </w:t>
      </w:r>
      <w:r w:rsidR="009E0EF9">
        <w:rPr>
          <w:rFonts w:ascii="Arial" w:hAnsi="Arial" w:cs="Arial"/>
          <w:i/>
        </w:rPr>
        <w:t>index options</w:t>
      </w:r>
      <w:r w:rsidRPr="00357D70">
        <w:rPr>
          <w:rFonts w:ascii="Arial" w:hAnsi="Arial" w:cs="Arial"/>
          <w:i/>
        </w:rPr>
        <w:t xml:space="preserve"> with the 2014/15 cost ratios</w:t>
      </w:r>
      <w:r>
        <w:rPr>
          <w:rFonts w:ascii="Arial" w:hAnsi="Arial" w:cs="Arial"/>
          <w:i/>
        </w:rPr>
        <w:t>. Lower values indicate the predictions ar</w:t>
      </w:r>
      <w:r w:rsidR="004B3637">
        <w:rPr>
          <w:rFonts w:ascii="Arial" w:hAnsi="Arial" w:cs="Arial"/>
          <w:i/>
        </w:rPr>
        <w:t>e closer to the observed value; the lowest value(s) for each diagnostic group are highlighted in bold and italics.</w:t>
      </w:r>
      <w:r w:rsidR="00C20734" w:rsidRPr="00C20734">
        <w:rPr>
          <w:rFonts w:ascii="Arial" w:hAnsi="Arial" w:cs="Arial"/>
          <w:i/>
        </w:rPr>
        <w:t xml:space="preserve"> </w:t>
      </w:r>
      <w:r w:rsidR="00C20734">
        <w:rPr>
          <w:rFonts w:ascii="Arial" w:hAnsi="Arial" w:cs="Arial"/>
          <w:i/>
        </w:rPr>
        <w:t>The lowest value out of the three models including ethnicity variables is indicated in green.</w:t>
      </w:r>
    </w:p>
    <w:tbl>
      <w:tblPr>
        <w:tblStyle w:val="TableGrid"/>
        <w:tblW w:w="0" w:type="auto"/>
        <w:tblLook w:val="04A0"/>
      </w:tblPr>
      <w:tblGrid>
        <w:gridCol w:w="3652"/>
        <w:gridCol w:w="699"/>
        <w:gridCol w:w="699"/>
        <w:gridCol w:w="699"/>
        <w:gridCol w:w="698"/>
        <w:gridCol w:w="699"/>
        <w:gridCol w:w="699"/>
        <w:gridCol w:w="699"/>
      </w:tblGrid>
      <w:tr w:rsidR="007178BA" w:rsidTr="005279F8">
        <w:trPr>
          <w:trHeight w:val="1451"/>
        </w:trPr>
        <w:tc>
          <w:tcPr>
            <w:tcW w:w="3652" w:type="dxa"/>
            <w:vAlign w:val="center"/>
          </w:tcPr>
          <w:p w:rsidR="007178BA" w:rsidRPr="00523024" w:rsidRDefault="007178BA" w:rsidP="00523024">
            <w:pPr>
              <w:jc w:val="center"/>
              <w:rPr>
                <w:rFonts w:ascii="Arial" w:hAnsi="Arial" w:cs="Arial"/>
                <w:b/>
                <w:sz w:val="20"/>
                <w:szCs w:val="20"/>
              </w:rPr>
            </w:pPr>
            <w:r w:rsidRPr="00523024">
              <w:rPr>
                <w:rFonts w:ascii="Arial" w:hAnsi="Arial" w:cs="Arial"/>
                <w:b/>
                <w:sz w:val="20"/>
                <w:szCs w:val="20"/>
              </w:rPr>
              <w:t>Model</w:t>
            </w:r>
          </w:p>
        </w:tc>
        <w:tc>
          <w:tcPr>
            <w:tcW w:w="699" w:type="dxa"/>
            <w:textDirection w:val="btLr"/>
            <w:vAlign w:val="center"/>
          </w:tcPr>
          <w:p w:rsidR="007178BA" w:rsidRPr="00357D70" w:rsidRDefault="007178BA" w:rsidP="004D104C">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Cancer</w:t>
            </w:r>
          </w:p>
        </w:tc>
        <w:tc>
          <w:tcPr>
            <w:tcW w:w="699" w:type="dxa"/>
            <w:textDirection w:val="btLr"/>
            <w:vAlign w:val="center"/>
          </w:tcPr>
          <w:p w:rsidR="007178BA" w:rsidRPr="00357D70" w:rsidRDefault="007178BA" w:rsidP="004D104C">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Heart</w:t>
            </w:r>
          </w:p>
        </w:tc>
        <w:tc>
          <w:tcPr>
            <w:tcW w:w="699" w:type="dxa"/>
            <w:textDirection w:val="btLr"/>
            <w:vAlign w:val="center"/>
          </w:tcPr>
          <w:p w:rsidR="007178BA" w:rsidRPr="00357D70" w:rsidRDefault="007178BA" w:rsidP="004D104C">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Digestive</w:t>
            </w:r>
          </w:p>
        </w:tc>
        <w:tc>
          <w:tcPr>
            <w:tcW w:w="698" w:type="dxa"/>
            <w:textDirection w:val="btLr"/>
            <w:vAlign w:val="center"/>
          </w:tcPr>
          <w:p w:rsidR="007178BA" w:rsidRPr="00357D70" w:rsidRDefault="007178BA" w:rsidP="004D104C">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Injury</w:t>
            </w:r>
          </w:p>
        </w:tc>
        <w:tc>
          <w:tcPr>
            <w:tcW w:w="699" w:type="dxa"/>
            <w:textDirection w:val="btLr"/>
            <w:vAlign w:val="center"/>
          </w:tcPr>
          <w:p w:rsidR="007178BA" w:rsidRPr="00357D70" w:rsidRDefault="007178BA" w:rsidP="004D104C">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Other</w:t>
            </w:r>
          </w:p>
        </w:tc>
        <w:tc>
          <w:tcPr>
            <w:tcW w:w="699" w:type="dxa"/>
            <w:textDirection w:val="btLr"/>
            <w:vAlign w:val="center"/>
          </w:tcPr>
          <w:p w:rsidR="007178BA" w:rsidRPr="00357D70" w:rsidRDefault="007178BA" w:rsidP="004D104C">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Respiratory</w:t>
            </w:r>
          </w:p>
        </w:tc>
        <w:tc>
          <w:tcPr>
            <w:tcW w:w="699" w:type="dxa"/>
            <w:textDirection w:val="btLr"/>
            <w:vAlign w:val="center"/>
          </w:tcPr>
          <w:p w:rsidR="007178BA" w:rsidRPr="00357D70" w:rsidRDefault="007178BA" w:rsidP="004D104C">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Outpatients</w:t>
            </w:r>
          </w:p>
        </w:tc>
      </w:tr>
      <w:tr w:rsidR="007C2DE5" w:rsidTr="00C8691F">
        <w:trPr>
          <w:trHeight w:val="397"/>
        </w:trPr>
        <w:tc>
          <w:tcPr>
            <w:tcW w:w="3652" w:type="dxa"/>
            <w:tcBorders>
              <w:bottom w:val="single" w:sz="4" w:space="0" w:color="auto"/>
            </w:tcBorders>
            <w:vAlign w:val="center"/>
          </w:tcPr>
          <w:p w:rsidR="007C2DE5" w:rsidRPr="005935CC" w:rsidRDefault="007C2DE5" w:rsidP="007E510C">
            <w:pPr>
              <w:rPr>
                <w:rFonts w:ascii="Arial" w:hAnsi="Arial" w:cs="Arial"/>
                <w:sz w:val="20"/>
                <w:szCs w:val="20"/>
              </w:rPr>
            </w:pPr>
            <w:r w:rsidRPr="005935CC">
              <w:rPr>
                <w:rFonts w:ascii="Arial" w:hAnsi="Arial" w:cs="Arial"/>
                <w:sz w:val="20"/>
                <w:szCs w:val="20"/>
              </w:rPr>
              <w:t>[LLTI, All-cause SMR &lt;75]</w:t>
            </w:r>
          </w:p>
        </w:tc>
        <w:tc>
          <w:tcPr>
            <w:tcW w:w="699" w:type="dxa"/>
            <w:tcBorders>
              <w:bottom w:val="single" w:sz="4" w:space="0" w:color="auto"/>
            </w:tcBorders>
            <w:vAlign w:val="center"/>
          </w:tcPr>
          <w:p w:rsidR="007C2DE5" w:rsidRPr="00607B35" w:rsidRDefault="007C2DE5" w:rsidP="007C2DE5">
            <w:pPr>
              <w:jc w:val="center"/>
              <w:rPr>
                <w:rFonts w:ascii="Arial" w:hAnsi="Arial" w:cs="Arial"/>
                <w:b/>
                <w:i/>
                <w:sz w:val="20"/>
                <w:szCs w:val="20"/>
              </w:rPr>
            </w:pPr>
            <w:r w:rsidRPr="00607B35">
              <w:rPr>
                <w:rFonts w:ascii="Arial" w:hAnsi="Arial" w:cs="Arial"/>
                <w:b/>
                <w:i/>
                <w:sz w:val="20"/>
                <w:szCs w:val="20"/>
              </w:rPr>
              <w:t>3264</w:t>
            </w:r>
          </w:p>
        </w:tc>
        <w:tc>
          <w:tcPr>
            <w:tcW w:w="699" w:type="dxa"/>
            <w:tcBorders>
              <w:bottom w:val="single" w:sz="4" w:space="0" w:color="auto"/>
            </w:tcBorders>
            <w:vAlign w:val="center"/>
          </w:tcPr>
          <w:p w:rsidR="007C2DE5" w:rsidRPr="00607B35" w:rsidRDefault="007C2DE5" w:rsidP="007C2DE5">
            <w:pPr>
              <w:jc w:val="center"/>
              <w:rPr>
                <w:rFonts w:ascii="Arial" w:hAnsi="Arial" w:cs="Arial"/>
                <w:b/>
                <w:i/>
                <w:sz w:val="20"/>
                <w:szCs w:val="20"/>
              </w:rPr>
            </w:pPr>
            <w:r w:rsidRPr="00607B35">
              <w:rPr>
                <w:rFonts w:ascii="Arial" w:hAnsi="Arial" w:cs="Arial"/>
                <w:b/>
                <w:i/>
                <w:sz w:val="20"/>
                <w:szCs w:val="20"/>
              </w:rPr>
              <w:t>3618</w:t>
            </w:r>
          </w:p>
        </w:tc>
        <w:tc>
          <w:tcPr>
            <w:tcW w:w="699" w:type="dxa"/>
            <w:tcBorders>
              <w:bottom w:val="single" w:sz="4" w:space="0" w:color="auto"/>
            </w:tcBorders>
            <w:vAlign w:val="center"/>
          </w:tcPr>
          <w:p w:rsidR="007C2DE5" w:rsidRPr="00607B35" w:rsidRDefault="007C2DE5" w:rsidP="007C2DE5">
            <w:pPr>
              <w:jc w:val="center"/>
              <w:rPr>
                <w:rFonts w:ascii="Arial" w:hAnsi="Arial" w:cs="Arial"/>
                <w:b/>
                <w:i/>
                <w:sz w:val="20"/>
                <w:szCs w:val="20"/>
              </w:rPr>
            </w:pPr>
            <w:r w:rsidRPr="00607B35">
              <w:rPr>
                <w:rFonts w:ascii="Arial" w:hAnsi="Arial" w:cs="Arial"/>
                <w:b/>
                <w:i/>
                <w:sz w:val="20"/>
                <w:szCs w:val="20"/>
              </w:rPr>
              <w:t>2200</w:t>
            </w:r>
          </w:p>
        </w:tc>
        <w:tc>
          <w:tcPr>
            <w:tcW w:w="698" w:type="dxa"/>
            <w:tcBorders>
              <w:bottom w:val="single" w:sz="4" w:space="0" w:color="auto"/>
            </w:tcBorders>
            <w:vAlign w:val="center"/>
          </w:tcPr>
          <w:p w:rsidR="007C2DE5" w:rsidRPr="00607B35" w:rsidRDefault="007C2DE5" w:rsidP="007C2DE5">
            <w:pPr>
              <w:jc w:val="center"/>
              <w:rPr>
                <w:rFonts w:ascii="Arial" w:hAnsi="Arial" w:cs="Arial"/>
                <w:b/>
                <w:i/>
                <w:sz w:val="20"/>
                <w:szCs w:val="20"/>
              </w:rPr>
            </w:pPr>
            <w:r w:rsidRPr="00607B35">
              <w:rPr>
                <w:rFonts w:ascii="Arial" w:hAnsi="Arial" w:cs="Arial"/>
                <w:b/>
                <w:i/>
                <w:sz w:val="20"/>
                <w:szCs w:val="20"/>
              </w:rPr>
              <w:t>2852</w:t>
            </w:r>
          </w:p>
        </w:tc>
        <w:tc>
          <w:tcPr>
            <w:tcW w:w="699" w:type="dxa"/>
            <w:tcBorders>
              <w:bottom w:val="single" w:sz="4" w:space="0" w:color="auto"/>
            </w:tcBorders>
            <w:vAlign w:val="center"/>
          </w:tcPr>
          <w:p w:rsidR="007C2DE5" w:rsidRPr="00607B35" w:rsidRDefault="007C2DE5" w:rsidP="007C2DE5">
            <w:pPr>
              <w:jc w:val="center"/>
              <w:rPr>
                <w:rFonts w:ascii="Arial" w:hAnsi="Arial" w:cs="Arial"/>
                <w:b/>
                <w:i/>
                <w:sz w:val="20"/>
                <w:szCs w:val="20"/>
              </w:rPr>
            </w:pPr>
            <w:r w:rsidRPr="00607B35">
              <w:rPr>
                <w:rFonts w:ascii="Arial" w:hAnsi="Arial" w:cs="Arial"/>
                <w:b/>
                <w:i/>
                <w:sz w:val="20"/>
                <w:szCs w:val="20"/>
              </w:rPr>
              <w:t>828</w:t>
            </w:r>
          </w:p>
        </w:tc>
        <w:tc>
          <w:tcPr>
            <w:tcW w:w="699" w:type="dxa"/>
            <w:tcBorders>
              <w:bottom w:val="single" w:sz="4" w:space="0" w:color="auto"/>
            </w:tcBorders>
            <w:vAlign w:val="center"/>
          </w:tcPr>
          <w:p w:rsidR="007C2DE5" w:rsidRPr="00607B35" w:rsidRDefault="007C2DE5" w:rsidP="007C2DE5">
            <w:pPr>
              <w:jc w:val="center"/>
              <w:rPr>
                <w:rFonts w:ascii="Arial" w:hAnsi="Arial" w:cs="Arial"/>
                <w:b/>
                <w:i/>
                <w:sz w:val="20"/>
                <w:szCs w:val="20"/>
              </w:rPr>
            </w:pPr>
            <w:r w:rsidRPr="00607B35">
              <w:rPr>
                <w:rFonts w:ascii="Arial" w:hAnsi="Arial" w:cs="Arial"/>
                <w:b/>
                <w:i/>
                <w:sz w:val="20"/>
                <w:szCs w:val="20"/>
              </w:rPr>
              <w:t>3569</w:t>
            </w:r>
          </w:p>
        </w:tc>
        <w:tc>
          <w:tcPr>
            <w:tcW w:w="699" w:type="dxa"/>
            <w:tcBorders>
              <w:bottom w:val="single" w:sz="4" w:space="0" w:color="auto"/>
            </w:tcBorders>
            <w:vAlign w:val="center"/>
          </w:tcPr>
          <w:p w:rsidR="007C2DE5" w:rsidRPr="00607B35" w:rsidRDefault="007C2DE5" w:rsidP="007C2DE5">
            <w:pPr>
              <w:jc w:val="center"/>
              <w:rPr>
                <w:rFonts w:ascii="Arial" w:hAnsi="Arial" w:cs="Arial"/>
                <w:b/>
                <w:i/>
                <w:sz w:val="20"/>
                <w:szCs w:val="20"/>
              </w:rPr>
            </w:pPr>
            <w:r w:rsidRPr="00607B35">
              <w:rPr>
                <w:rFonts w:ascii="Arial" w:hAnsi="Arial" w:cs="Arial"/>
                <w:b/>
                <w:i/>
                <w:sz w:val="20"/>
                <w:szCs w:val="20"/>
              </w:rPr>
              <w:t>396</w:t>
            </w:r>
          </w:p>
        </w:tc>
      </w:tr>
      <w:tr w:rsidR="00FA2906" w:rsidTr="00FA2906">
        <w:trPr>
          <w:trHeight w:val="397"/>
        </w:trPr>
        <w:tc>
          <w:tcPr>
            <w:tcW w:w="3652" w:type="dxa"/>
            <w:shd w:val="clear" w:color="auto" w:fill="auto"/>
            <w:vAlign w:val="center"/>
          </w:tcPr>
          <w:p w:rsidR="00FA2906" w:rsidRPr="005935CC" w:rsidRDefault="00FA2906" w:rsidP="00B736A8">
            <w:pPr>
              <w:rPr>
                <w:rFonts w:ascii="Arial" w:hAnsi="Arial" w:cs="Arial"/>
                <w:sz w:val="20"/>
                <w:szCs w:val="20"/>
              </w:rPr>
            </w:pPr>
            <w:r w:rsidRPr="005935CC">
              <w:rPr>
                <w:rFonts w:ascii="Arial" w:hAnsi="Arial" w:cs="Arial"/>
                <w:sz w:val="20"/>
                <w:szCs w:val="20"/>
              </w:rPr>
              <w:t xml:space="preserve">[LLTI, All-cause SMR &lt;75, </w:t>
            </w:r>
            <w:r>
              <w:rPr>
                <w:rFonts w:ascii="Arial" w:hAnsi="Arial" w:cs="Arial"/>
                <w:sz w:val="20"/>
                <w:szCs w:val="20"/>
              </w:rPr>
              <w:t>Pakistani populations</w:t>
            </w:r>
            <w:r w:rsidRPr="005935CC">
              <w:rPr>
                <w:rFonts w:ascii="Arial" w:hAnsi="Arial" w:cs="Arial"/>
                <w:sz w:val="20"/>
                <w:szCs w:val="20"/>
              </w:rPr>
              <w:t>]</w:t>
            </w:r>
          </w:p>
        </w:tc>
        <w:tc>
          <w:tcPr>
            <w:tcW w:w="699" w:type="dxa"/>
            <w:shd w:val="clear" w:color="auto" w:fill="auto"/>
            <w:vAlign w:val="center"/>
          </w:tcPr>
          <w:p w:rsidR="00FA2906" w:rsidRPr="00FA2906" w:rsidRDefault="00FA2906" w:rsidP="00FA2906">
            <w:pPr>
              <w:jc w:val="center"/>
              <w:rPr>
                <w:rFonts w:ascii="Arial" w:hAnsi="Arial" w:cs="Arial"/>
                <w:sz w:val="20"/>
                <w:szCs w:val="20"/>
              </w:rPr>
            </w:pPr>
            <w:r w:rsidRPr="00FA2906">
              <w:rPr>
                <w:rFonts w:ascii="Arial" w:hAnsi="Arial" w:cs="Arial"/>
                <w:sz w:val="20"/>
                <w:szCs w:val="20"/>
              </w:rPr>
              <w:t>3292</w:t>
            </w:r>
          </w:p>
        </w:tc>
        <w:tc>
          <w:tcPr>
            <w:tcW w:w="699" w:type="dxa"/>
            <w:shd w:val="clear" w:color="auto" w:fill="auto"/>
            <w:vAlign w:val="center"/>
          </w:tcPr>
          <w:p w:rsidR="00FA2906" w:rsidRPr="00607B35" w:rsidRDefault="00FA2906" w:rsidP="00FA2906">
            <w:pPr>
              <w:jc w:val="center"/>
              <w:rPr>
                <w:rFonts w:ascii="Arial" w:hAnsi="Arial" w:cs="Arial"/>
                <w:color w:val="00B050"/>
                <w:sz w:val="20"/>
                <w:szCs w:val="20"/>
              </w:rPr>
            </w:pPr>
            <w:r w:rsidRPr="00607B35">
              <w:rPr>
                <w:rFonts w:ascii="Arial" w:hAnsi="Arial" w:cs="Arial"/>
                <w:color w:val="00B050"/>
                <w:sz w:val="20"/>
                <w:szCs w:val="20"/>
              </w:rPr>
              <w:t>3632</w:t>
            </w:r>
          </w:p>
        </w:tc>
        <w:tc>
          <w:tcPr>
            <w:tcW w:w="699" w:type="dxa"/>
            <w:shd w:val="clear" w:color="auto" w:fill="auto"/>
            <w:vAlign w:val="center"/>
          </w:tcPr>
          <w:p w:rsidR="00FA2906" w:rsidRPr="00FA2906" w:rsidRDefault="00FA2906" w:rsidP="00FA2906">
            <w:pPr>
              <w:jc w:val="center"/>
              <w:rPr>
                <w:rFonts w:ascii="Arial" w:hAnsi="Arial" w:cs="Arial"/>
                <w:sz w:val="20"/>
                <w:szCs w:val="20"/>
              </w:rPr>
            </w:pPr>
            <w:r w:rsidRPr="00FA2906">
              <w:rPr>
                <w:rFonts w:ascii="Arial" w:hAnsi="Arial" w:cs="Arial"/>
                <w:sz w:val="20"/>
                <w:szCs w:val="20"/>
              </w:rPr>
              <w:t>2333</w:t>
            </w:r>
          </w:p>
        </w:tc>
        <w:tc>
          <w:tcPr>
            <w:tcW w:w="698" w:type="dxa"/>
            <w:shd w:val="clear" w:color="auto" w:fill="auto"/>
            <w:vAlign w:val="center"/>
          </w:tcPr>
          <w:p w:rsidR="00FA2906" w:rsidRPr="00607B35" w:rsidRDefault="00FA2906" w:rsidP="00FA2906">
            <w:pPr>
              <w:jc w:val="center"/>
              <w:rPr>
                <w:rFonts w:ascii="Arial" w:hAnsi="Arial" w:cs="Arial"/>
                <w:color w:val="00B050"/>
                <w:sz w:val="20"/>
                <w:szCs w:val="20"/>
              </w:rPr>
            </w:pPr>
            <w:r w:rsidRPr="00607B35">
              <w:rPr>
                <w:rFonts w:ascii="Arial" w:hAnsi="Arial" w:cs="Arial"/>
                <w:color w:val="00B050"/>
                <w:sz w:val="20"/>
                <w:szCs w:val="20"/>
              </w:rPr>
              <w:t>2911</w:t>
            </w:r>
          </w:p>
        </w:tc>
        <w:tc>
          <w:tcPr>
            <w:tcW w:w="699" w:type="dxa"/>
            <w:shd w:val="clear" w:color="auto" w:fill="auto"/>
            <w:vAlign w:val="center"/>
          </w:tcPr>
          <w:p w:rsidR="00FA2906" w:rsidRPr="00FA2906" w:rsidRDefault="00FA2906" w:rsidP="00FA2906">
            <w:pPr>
              <w:jc w:val="center"/>
              <w:rPr>
                <w:rFonts w:ascii="Arial" w:hAnsi="Arial" w:cs="Arial"/>
                <w:sz w:val="20"/>
                <w:szCs w:val="20"/>
              </w:rPr>
            </w:pPr>
            <w:r w:rsidRPr="00FA2906">
              <w:rPr>
                <w:rFonts w:ascii="Arial" w:hAnsi="Arial" w:cs="Arial"/>
                <w:sz w:val="20"/>
                <w:szCs w:val="20"/>
              </w:rPr>
              <w:t>913</w:t>
            </w:r>
          </w:p>
        </w:tc>
        <w:tc>
          <w:tcPr>
            <w:tcW w:w="699" w:type="dxa"/>
            <w:shd w:val="clear" w:color="auto" w:fill="auto"/>
            <w:vAlign w:val="center"/>
          </w:tcPr>
          <w:p w:rsidR="00FA2906" w:rsidRPr="00FA2906" w:rsidRDefault="00FA2906" w:rsidP="00FA2906">
            <w:pPr>
              <w:jc w:val="center"/>
              <w:rPr>
                <w:rFonts w:ascii="Arial" w:hAnsi="Arial" w:cs="Arial"/>
                <w:sz w:val="20"/>
                <w:szCs w:val="20"/>
              </w:rPr>
            </w:pPr>
            <w:r w:rsidRPr="00FA2906">
              <w:rPr>
                <w:rFonts w:ascii="Arial" w:hAnsi="Arial" w:cs="Arial"/>
                <w:sz w:val="20"/>
                <w:szCs w:val="20"/>
              </w:rPr>
              <w:t>3793</w:t>
            </w:r>
          </w:p>
        </w:tc>
        <w:tc>
          <w:tcPr>
            <w:tcW w:w="699" w:type="dxa"/>
            <w:shd w:val="clear" w:color="auto" w:fill="auto"/>
            <w:vAlign w:val="center"/>
          </w:tcPr>
          <w:p w:rsidR="00FA2906" w:rsidRPr="00FA2906" w:rsidRDefault="00FA2906" w:rsidP="00FA2906">
            <w:pPr>
              <w:jc w:val="center"/>
              <w:rPr>
                <w:rFonts w:ascii="Arial" w:hAnsi="Arial" w:cs="Arial"/>
                <w:sz w:val="20"/>
                <w:szCs w:val="20"/>
              </w:rPr>
            </w:pPr>
            <w:r w:rsidRPr="00FA2906">
              <w:rPr>
                <w:rFonts w:ascii="Arial" w:hAnsi="Arial" w:cs="Arial"/>
                <w:sz w:val="20"/>
                <w:szCs w:val="20"/>
              </w:rPr>
              <w:t>407</w:t>
            </w:r>
          </w:p>
        </w:tc>
      </w:tr>
      <w:tr w:rsidR="00FA2906" w:rsidTr="00FA2906">
        <w:trPr>
          <w:trHeight w:val="397"/>
        </w:trPr>
        <w:tc>
          <w:tcPr>
            <w:tcW w:w="3652" w:type="dxa"/>
            <w:vAlign w:val="center"/>
          </w:tcPr>
          <w:p w:rsidR="00FA2906" w:rsidRPr="005935CC" w:rsidRDefault="00FA2906" w:rsidP="00B736A8">
            <w:pPr>
              <w:rPr>
                <w:rFonts w:ascii="Arial" w:hAnsi="Arial" w:cs="Arial"/>
                <w:sz w:val="20"/>
                <w:szCs w:val="20"/>
              </w:rPr>
            </w:pPr>
            <w:r w:rsidRPr="005935CC">
              <w:rPr>
                <w:rFonts w:ascii="Arial" w:hAnsi="Arial" w:cs="Arial"/>
                <w:sz w:val="20"/>
                <w:szCs w:val="20"/>
              </w:rPr>
              <w:t xml:space="preserve">[LLTI, All-cause SMR &lt;75, </w:t>
            </w:r>
            <w:r>
              <w:rPr>
                <w:rFonts w:ascii="Arial" w:hAnsi="Arial" w:cs="Arial"/>
                <w:sz w:val="20"/>
                <w:szCs w:val="20"/>
              </w:rPr>
              <w:t>Gypsy/Traveller populations</w:t>
            </w:r>
            <w:r w:rsidRPr="005935CC">
              <w:rPr>
                <w:rFonts w:ascii="Arial" w:hAnsi="Arial" w:cs="Arial"/>
                <w:sz w:val="20"/>
                <w:szCs w:val="20"/>
              </w:rPr>
              <w:t>]</w:t>
            </w:r>
          </w:p>
        </w:tc>
        <w:tc>
          <w:tcPr>
            <w:tcW w:w="699" w:type="dxa"/>
            <w:vAlign w:val="center"/>
          </w:tcPr>
          <w:p w:rsidR="00FA2906" w:rsidRPr="00607B35" w:rsidRDefault="00FA2906" w:rsidP="00FA2906">
            <w:pPr>
              <w:jc w:val="center"/>
              <w:rPr>
                <w:rFonts w:ascii="Arial" w:hAnsi="Arial" w:cs="Arial"/>
                <w:color w:val="00B050"/>
                <w:sz w:val="20"/>
                <w:szCs w:val="20"/>
              </w:rPr>
            </w:pPr>
            <w:r w:rsidRPr="00607B35">
              <w:rPr>
                <w:rFonts w:ascii="Arial" w:hAnsi="Arial" w:cs="Arial"/>
                <w:color w:val="00B050"/>
                <w:sz w:val="20"/>
                <w:szCs w:val="20"/>
              </w:rPr>
              <w:t>3272</w:t>
            </w:r>
          </w:p>
        </w:tc>
        <w:tc>
          <w:tcPr>
            <w:tcW w:w="699" w:type="dxa"/>
            <w:vAlign w:val="center"/>
          </w:tcPr>
          <w:p w:rsidR="00FA2906" w:rsidRPr="00FA2906" w:rsidRDefault="00FA2906" w:rsidP="00FA2906">
            <w:pPr>
              <w:jc w:val="center"/>
              <w:rPr>
                <w:rFonts w:ascii="Arial" w:hAnsi="Arial" w:cs="Arial"/>
                <w:color w:val="000000"/>
                <w:sz w:val="20"/>
                <w:szCs w:val="20"/>
              </w:rPr>
            </w:pPr>
            <w:r w:rsidRPr="00FA2906">
              <w:rPr>
                <w:rFonts w:ascii="Arial" w:hAnsi="Arial" w:cs="Arial"/>
                <w:color w:val="000000"/>
                <w:sz w:val="20"/>
                <w:szCs w:val="20"/>
              </w:rPr>
              <w:t>3657</w:t>
            </w:r>
          </w:p>
        </w:tc>
        <w:tc>
          <w:tcPr>
            <w:tcW w:w="699" w:type="dxa"/>
            <w:vAlign w:val="center"/>
          </w:tcPr>
          <w:p w:rsidR="00FA2906" w:rsidRPr="00FA2906" w:rsidRDefault="00FA2906" w:rsidP="00FA2906">
            <w:pPr>
              <w:jc w:val="center"/>
              <w:rPr>
                <w:rFonts w:ascii="Arial" w:hAnsi="Arial" w:cs="Arial"/>
                <w:color w:val="000000"/>
                <w:sz w:val="20"/>
                <w:szCs w:val="20"/>
              </w:rPr>
            </w:pPr>
            <w:r w:rsidRPr="00FA2906">
              <w:rPr>
                <w:rFonts w:ascii="Arial" w:hAnsi="Arial" w:cs="Arial"/>
                <w:color w:val="000000"/>
                <w:sz w:val="20"/>
                <w:szCs w:val="20"/>
              </w:rPr>
              <w:t>2283</w:t>
            </w:r>
          </w:p>
        </w:tc>
        <w:tc>
          <w:tcPr>
            <w:tcW w:w="698" w:type="dxa"/>
            <w:vAlign w:val="center"/>
          </w:tcPr>
          <w:p w:rsidR="00FA2906" w:rsidRPr="00FA2906" w:rsidRDefault="00FA2906" w:rsidP="00FA2906">
            <w:pPr>
              <w:jc w:val="center"/>
              <w:rPr>
                <w:rFonts w:ascii="Arial" w:hAnsi="Arial" w:cs="Arial"/>
                <w:color w:val="000000"/>
                <w:sz w:val="20"/>
                <w:szCs w:val="20"/>
              </w:rPr>
            </w:pPr>
            <w:r w:rsidRPr="00FA2906">
              <w:rPr>
                <w:rFonts w:ascii="Arial" w:hAnsi="Arial" w:cs="Arial"/>
                <w:color w:val="000000"/>
                <w:sz w:val="20"/>
                <w:szCs w:val="20"/>
              </w:rPr>
              <w:t>2936</w:t>
            </w:r>
          </w:p>
        </w:tc>
        <w:tc>
          <w:tcPr>
            <w:tcW w:w="699" w:type="dxa"/>
            <w:vAlign w:val="center"/>
          </w:tcPr>
          <w:p w:rsidR="00FA2906" w:rsidRPr="00FA2906" w:rsidRDefault="00FA2906" w:rsidP="00FA2906">
            <w:pPr>
              <w:jc w:val="center"/>
              <w:rPr>
                <w:rFonts w:ascii="Arial" w:hAnsi="Arial" w:cs="Arial"/>
                <w:color w:val="000000"/>
                <w:sz w:val="20"/>
                <w:szCs w:val="20"/>
              </w:rPr>
            </w:pPr>
            <w:r w:rsidRPr="00FA2906">
              <w:rPr>
                <w:rFonts w:ascii="Arial" w:hAnsi="Arial" w:cs="Arial"/>
                <w:color w:val="000000"/>
                <w:sz w:val="20"/>
                <w:szCs w:val="20"/>
              </w:rPr>
              <w:t>882</w:t>
            </w:r>
          </w:p>
        </w:tc>
        <w:tc>
          <w:tcPr>
            <w:tcW w:w="699" w:type="dxa"/>
            <w:vAlign w:val="center"/>
          </w:tcPr>
          <w:p w:rsidR="00FA2906" w:rsidRPr="00FA2906" w:rsidRDefault="00FA2906" w:rsidP="00FA2906">
            <w:pPr>
              <w:jc w:val="center"/>
              <w:rPr>
                <w:rFonts w:ascii="Arial" w:hAnsi="Arial" w:cs="Arial"/>
                <w:color w:val="000000"/>
                <w:sz w:val="20"/>
                <w:szCs w:val="20"/>
              </w:rPr>
            </w:pPr>
            <w:r w:rsidRPr="00FA2906">
              <w:rPr>
                <w:rFonts w:ascii="Arial" w:hAnsi="Arial" w:cs="Arial"/>
                <w:color w:val="000000"/>
                <w:sz w:val="20"/>
                <w:szCs w:val="20"/>
              </w:rPr>
              <w:t>3648</w:t>
            </w:r>
          </w:p>
        </w:tc>
        <w:tc>
          <w:tcPr>
            <w:tcW w:w="699" w:type="dxa"/>
            <w:vAlign w:val="center"/>
          </w:tcPr>
          <w:p w:rsidR="00FA2906" w:rsidRPr="00607B35" w:rsidRDefault="00FA2906" w:rsidP="00FA2906">
            <w:pPr>
              <w:jc w:val="center"/>
              <w:rPr>
                <w:rFonts w:ascii="Arial" w:hAnsi="Arial" w:cs="Arial"/>
                <w:b/>
                <w:i/>
                <w:color w:val="000000"/>
                <w:sz w:val="20"/>
                <w:szCs w:val="20"/>
              </w:rPr>
            </w:pPr>
            <w:r w:rsidRPr="00607B35">
              <w:rPr>
                <w:rFonts w:ascii="Arial" w:hAnsi="Arial" w:cs="Arial"/>
                <w:b/>
                <w:i/>
                <w:color w:val="000000"/>
                <w:sz w:val="20"/>
                <w:szCs w:val="20"/>
              </w:rPr>
              <w:t>396</w:t>
            </w:r>
          </w:p>
        </w:tc>
      </w:tr>
      <w:tr w:rsidR="00FA2906" w:rsidTr="00FA2906">
        <w:trPr>
          <w:trHeight w:val="397"/>
        </w:trPr>
        <w:tc>
          <w:tcPr>
            <w:tcW w:w="3652" w:type="dxa"/>
            <w:vAlign w:val="center"/>
          </w:tcPr>
          <w:p w:rsidR="00FA2906" w:rsidRPr="005935CC" w:rsidRDefault="00FA2906" w:rsidP="00D75633">
            <w:pPr>
              <w:rPr>
                <w:rFonts w:ascii="Arial" w:hAnsi="Arial" w:cs="Arial"/>
                <w:sz w:val="20"/>
                <w:szCs w:val="20"/>
              </w:rPr>
            </w:pPr>
            <w:r w:rsidRPr="00DB32CD">
              <w:rPr>
                <w:rFonts w:ascii="Arial" w:hAnsi="Arial" w:cs="Arial"/>
                <w:sz w:val="20"/>
                <w:szCs w:val="20"/>
              </w:rPr>
              <w:t>[LLTI, All-cause SMR &lt;75, Ethnic populations with poorer than average health]</w:t>
            </w:r>
          </w:p>
        </w:tc>
        <w:tc>
          <w:tcPr>
            <w:tcW w:w="699" w:type="dxa"/>
            <w:vAlign w:val="center"/>
          </w:tcPr>
          <w:p w:rsidR="00FA2906" w:rsidRPr="00607B35" w:rsidRDefault="00FA2906" w:rsidP="00D75633">
            <w:pPr>
              <w:jc w:val="center"/>
              <w:rPr>
                <w:rFonts w:ascii="Arial" w:hAnsi="Arial" w:cs="Arial"/>
                <w:color w:val="00B050"/>
                <w:sz w:val="20"/>
                <w:szCs w:val="20"/>
              </w:rPr>
            </w:pPr>
            <w:r w:rsidRPr="00607B35">
              <w:rPr>
                <w:rFonts w:ascii="Arial" w:hAnsi="Arial" w:cs="Arial"/>
                <w:color w:val="00B050"/>
                <w:sz w:val="20"/>
                <w:szCs w:val="20"/>
              </w:rPr>
              <w:t>3272</w:t>
            </w:r>
          </w:p>
        </w:tc>
        <w:tc>
          <w:tcPr>
            <w:tcW w:w="699" w:type="dxa"/>
            <w:vAlign w:val="center"/>
          </w:tcPr>
          <w:p w:rsidR="00FA2906" w:rsidRPr="00FA2906" w:rsidRDefault="00FA2906" w:rsidP="00D75633">
            <w:pPr>
              <w:jc w:val="center"/>
              <w:rPr>
                <w:rFonts w:ascii="Arial" w:hAnsi="Arial" w:cs="Arial"/>
                <w:color w:val="000000"/>
                <w:sz w:val="20"/>
                <w:szCs w:val="20"/>
              </w:rPr>
            </w:pPr>
            <w:r w:rsidRPr="00FA2906">
              <w:rPr>
                <w:rFonts w:ascii="Arial" w:hAnsi="Arial" w:cs="Arial"/>
                <w:color w:val="000000"/>
                <w:sz w:val="20"/>
                <w:szCs w:val="20"/>
              </w:rPr>
              <w:t>3661</w:t>
            </w:r>
          </w:p>
        </w:tc>
        <w:tc>
          <w:tcPr>
            <w:tcW w:w="699" w:type="dxa"/>
            <w:vAlign w:val="center"/>
          </w:tcPr>
          <w:p w:rsidR="00FA2906" w:rsidRPr="00607B35" w:rsidRDefault="00FA2906" w:rsidP="00D75633">
            <w:pPr>
              <w:jc w:val="center"/>
              <w:rPr>
                <w:rFonts w:ascii="Arial" w:hAnsi="Arial" w:cs="Arial"/>
                <w:color w:val="00B050"/>
                <w:sz w:val="20"/>
                <w:szCs w:val="20"/>
              </w:rPr>
            </w:pPr>
            <w:r w:rsidRPr="00607B35">
              <w:rPr>
                <w:rFonts w:ascii="Arial" w:hAnsi="Arial" w:cs="Arial"/>
                <w:color w:val="00B050"/>
                <w:sz w:val="20"/>
                <w:szCs w:val="20"/>
              </w:rPr>
              <w:t>2279</w:t>
            </w:r>
          </w:p>
        </w:tc>
        <w:tc>
          <w:tcPr>
            <w:tcW w:w="698" w:type="dxa"/>
            <w:vAlign w:val="center"/>
          </w:tcPr>
          <w:p w:rsidR="00FA2906" w:rsidRPr="00FA2906" w:rsidRDefault="00FA2906" w:rsidP="00D75633">
            <w:pPr>
              <w:jc w:val="center"/>
              <w:rPr>
                <w:rFonts w:ascii="Arial" w:hAnsi="Arial" w:cs="Arial"/>
                <w:color w:val="000000"/>
                <w:sz w:val="20"/>
                <w:szCs w:val="20"/>
              </w:rPr>
            </w:pPr>
            <w:r w:rsidRPr="00FA2906">
              <w:rPr>
                <w:rFonts w:ascii="Arial" w:hAnsi="Arial" w:cs="Arial"/>
                <w:color w:val="000000"/>
                <w:sz w:val="20"/>
                <w:szCs w:val="20"/>
              </w:rPr>
              <w:t>2937</w:t>
            </w:r>
          </w:p>
        </w:tc>
        <w:tc>
          <w:tcPr>
            <w:tcW w:w="699" w:type="dxa"/>
            <w:vAlign w:val="center"/>
          </w:tcPr>
          <w:p w:rsidR="00FA2906" w:rsidRPr="00607B35" w:rsidRDefault="00FA2906" w:rsidP="00D75633">
            <w:pPr>
              <w:jc w:val="center"/>
              <w:rPr>
                <w:rFonts w:ascii="Arial" w:hAnsi="Arial" w:cs="Arial"/>
                <w:color w:val="00B050"/>
                <w:sz w:val="20"/>
                <w:szCs w:val="20"/>
              </w:rPr>
            </w:pPr>
            <w:r w:rsidRPr="00607B35">
              <w:rPr>
                <w:rFonts w:ascii="Arial" w:hAnsi="Arial" w:cs="Arial"/>
                <w:color w:val="00B050"/>
                <w:sz w:val="20"/>
                <w:szCs w:val="20"/>
              </w:rPr>
              <w:t>881</w:t>
            </w:r>
          </w:p>
        </w:tc>
        <w:tc>
          <w:tcPr>
            <w:tcW w:w="699" w:type="dxa"/>
            <w:vAlign w:val="center"/>
          </w:tcPr>
          <w:p w:rsidR="00FA2906" w:rsidRPr="00607B35" w:rsidRDefault="00FA2906" w:rsidP="00D75633">
            <w:pPr>
              <w:jc w:val="center"/>
              <w:rPr>
                <w:rFonts w:ascii="Arial" w:hAnsi="Arial" w:cs="Arial"/>
                <w:color w:val="00B050"/>
                <w:sz w:val="20"/>
                <w:szCs w:val="20"/>
              </w:rPr>
            </w:pPr>
            <w:r w:rsidRPr="00607B35">
              <w:rPr>
                <w:rFonts w:ascii="Arial" w:hAnsi="Arial" w:cs="Arial"/>
                <w:color w:val="00B050"/>
                <w:sz w:val="20"/>
                <w:szCs w:val="20"/>
              </w:rPr>
              <w:t>3646</w:t>
            </w:r>
          </w:p>
        </w:tc>
        <w:tc>
          <w:tcPr>
            <w:tcW w:w="699" w:type="dxa"/>
            <w:vAlign w:val="center"/>
          </w:tcPr>
          <w:p w:rsidR="00FA2906" w:rsidRPr="00607B35" w:rsidRDefault="00FA2906" w:rsidP="00D75633">
            <w:pPr>
              <w:jc w:val="center"/>
              <w:rPr>
                <w:rFonts w:ascii="Arial" w:hAnsi="Arial" w:cs="Arial"/>
                <w:b/>
                <w:i/>
                <w:color w:val="000000"/>
                <w:sz w:val="20"/>
                <w:szCs w:val="20"/>
              </w:rPr>
            </w:pPr>
            <w:r w:rsidRPr="00607B35">
              <w:rPr>
                <w:rFonts w:ascii="Arial" w:hAnsi="Arial" w:cs="Arial"/>
                <w:b/>
                <w:i/>
                <w:color w:val="000000"/>
                <w:sz w:val="20"/>
                <w:szCs w:val="20"/>
              </w:rPr>
              <w:t>396</w:t>
            </w:r>
          </w:p>
        </w:tc>
      </w:tr>
    </w:tbl>
    <w:p w:rsidR="00923CC2" w:rsidRDefault="00923CC2" w:rsidP="00DE3D0F">
      <w:pPr>
        <w:spacing w:after="200" w:line="276" w:lineRule="auto"/>
        <w:jc w:val="both"/>
        <w:rPr>
          <w:rFonts w:ascii="Arial" w:hAnsi="Arial" w:cs="Arial"/>
        </w:rPr>
      </w:pPr>
    </w:p>
    <w:p w:rsidR="00465641" w:rsidRPr="00D0093A" w:rsidRDefault="00607B35" w:rsidP="00DE3D0F">
      <w:pPr>
        <w:spacing w:after="200" w:line="276" w:lineRule="auto"/>
        <w:jc w:val="both"/>
        <w:rPr>
          <w:rFonts w:ascii="Arial" w:hAnsi="Arial" w:cs="Arial"/>
        </w:rPr>
      </w:pPr>
      <w:r>
        <w:rPr>
          <w:rFonts w:ascii="Arial" w:hAnsi="Arial" w:cs="Arial"/>
        </w:rPr>
        <w:t>The</w:t>
      </w:r>
      <w:r w:rsidR="007C2DE5">
        <w:rPr>
          <w:rFonts w:ascii="Arial" w:hAnsi="Arial" w:cs="Arial"/>
        </w:rPr>
        <w:t xml:space="preserve"> </w:t>
      </w:r>
      <w:r>
        <w:rPr>
          <w:rFonts w:ascii="Arial" w:hAnsi="Arial" w:cs="Arial"/>
        </w:rPr>
        <w:t>2-variable model</w:t>
      </w:r>
      <w:r w:rsidR="007C2DE5">
        <w:rPr>
          <w:rFonts w:ascii="Arial" w:hAnsi="Arial" w:cs="Arial"/>
        </w:rPr>
        <w:t>,</w:t>
      </w:r>
      <w:r w:rsidR="00465641">
        <w:rPr>
          <w:rFonts w:ascii="Arial" w:hAnsi="Arial" w:cs="Arial"/>
        </w:rPr>
        <w:t xml:space="preserve"> </w:t>
      </w:r>
      <w:r w:rsidR="00465641" w:rsidRPr="00D0093A">
        <w:rPr>
          <w:rFonts w:ascii="Arial" w:hAnsi="Arial" w:cs="Arial"/>
        </w:rPr>
        <w:t>[</w:t>
      </w:r>
      <w:r>
        <w:rPr>
          <w:rFonts w:ascii="Arial" w:hAnsi="Arial" w:cs="Arial"/>
        </w:rPr>
        <w:t>LLTI, All-cause SMR &lt;75</w:t>
      </w:r>
      <w:r w:rsidR="00465641" w:rsidRPr="00D0093A">
        <w:rPr>
          <w:rFonts w:ascii="Arial" w:hAnsi="Arial" w:cs="Arial"/>
        </w:rPr>
        <w:t>]</w:t>
      </w:r>
      <w:r w:rsidR="00465641">
        <w:rPr>
          <w:rFonts w:ascii="Arial" w:hAnsi="Arial" w:cs="Arial"/>
        </w:rPr>
        <w:t>, produce</w:t>
      </w:r>
      <w:r w:rsidR="007C2DE5">
        <w:rPr>
          <w:rFonts w:ascii="Arial" w:hAnsi="Arial" w:cs="Arial"/>
        </w:rPr>
        <w:t>s</w:t>
      </w:r>
      <w:r w:rsidR="00465641">
        <w:rPr>
          <w:rFonts w:ascii="Arial" w:hAnsi="Arial" w:cs="Arial"/>
        </w:rPr>
        <w:t xml:space="preserve"> the lowest RSS for </w:t>
      </w:r>
      <w:r>
        <w:rPr>
          <w:rFonts w:ascii="Arial" w:hAnsi="Arial" w:cs="Arial"/>
        </w:rPr>
        <w:t>all</w:t>
      </w:r>
      <w:r w:rsidR="00465641">
        <w:rPr>
          <w:rFonts w:ascii="Arial" w:hAnsi="Arial" w:cs="Arial"/>
        </w:rPr>
        <w:t xml:space="preserve"> diagnostic groups.</w:t>
      </w:r>
      <w:r w:rsidR="007521C6" w:rsidRPr="007521C6">
        <w:rPr>
          <w:rFonts w:ascii="Arial" w:hAnsi="Arial" w:cs="Arial"/>
        </w:rPr>
        <w:t xml:space="preserve"> </w:t>
      </w:r>
      <w:r w:rsidR="007521C6">
        <w:rPr>
          <w:rFonts w:ascii="Arial" w:hAnsi="Arial" w:cs="Arial"/>
        </w:rPr>
        <w:t xml:space="preserve">Of the models including an ethnicity variable, the best-performing </w:t>
      </w:r>
      <w:r w:rsidR="00DE3D0F">
        <w:rPr>
          <w:rFonts w:ascii="Arial" w:hAnsi="Arial" w:cs="Arial"/>
        </w:rPr>
        <w:t xml:space="preserve">overall </w:t>
      </w:r>
      <w:r w:rsidR="007521C6">
        <w:rPr>
          <w:rFonts w:ascii="Arial" w:hAnsi="Arial" w:cs="Arial"/>
        </w:rPr>
        <w:t>(by only a very small margin) is the one in which the fraction of population that belongs to ethnic groups with poorer than average health – i.e. Pakistani and Gypsy/Traveller populations together – is used.</w:t>
      </w:r>
    </w:p>
    <w:p w:rsidR="00465641" w:rsidRDefault="00465641" w:rsidP="00DE3D0F">
      <w:pPr>
        <w:spacing w:after="200" w:line="276" w:lineRule="auto"/>
        <w:jc w:val="both"/>
        <w:rPr>
          <w:rFonts w:ascii="Arial" w:hAnsi="Arial" w:cs="Arial"/>
        </w:rPr>
      </w:pPr>
      <w:r>
        <w:rPr>
          <w:rFonts w:ascii="Arial" w:hAnsi="Arial" w:cs="Arial"/>
        </w:rPr>
        <w:t xml:space="preserve">Since the diagnostic groups are not equally weighted, it is also useful to aggregate the predictions of the diagnostic groups, as will be done when the adjustment is implemented in the Formula, and compare those Acute-level predictions with an overall Acute-level cost ratio. Table 3 shows the results of doing this. In this analysis, </w:t>
      </w:r>
      <w:r w:rsidR="00607B35">
        <w:rPr>
          <w:rFonts w:ascii="Arial" w:hAnsi="Arial" w:cs="Arial"/>
        </w:rPr>
        <w:t>the performance of all models is very similar</w:t>
      </w:r>
      <w:r>
        <w:rPr>
          <w:rFonts w:ascii="Arial" w:hAnsi="Arial" w:cs="Arial"/>
        </w:rPr>
        <w:t>.</w:t>
      </w:r>
      <w:r w:rsidR="00DE3D0F">
        <w:rPr>
          <w:rFonts w:ascii="Arial" w:hAnsi="Arial" w:cs="Arial"/>
        </w:rPr>
        <w:t xml:space="preserve"> The drop in explanatory power seen in Table 2 when adding an ethnicity variable into the index is not seen in Table 3; however, this is likely to be a result of residuals frequently having (by chance) opposite sign in different diagnostic groups</w:t>
      </w:r>
      <w:r w:rsidR="008006C2">
        <w:rPr>
          <w:rFonts w:ascii="Arial" w:hAnsi="Arial" w:cs="Arial"/>
        </w:rPr>
        <w:t>, such that the combined residual is lower</w:t>
      </w:r>
      <w:r w:rsidR="00DE3D0F">
        <w:rPr>
          <w:rFonts w:ascii="Arial" w:hAnsi="Arial" w:cs="Arial"/>
        </w:rPr>
        <w:t>.</w:t>
      </w:r>
    </w:p>
    <w:p w:rsidR="004521D1" w:rsidRPr="00357D70" w:rsidRDefault="004521D1" w:rsidP="004521D1">
      <w:pPr>
        <w:spacing w:after="0" w:line="240" w:lineRule="auto"/>
        <w:rPr>
          <w:rFonts w:ascii="Arial" w:hAnsi="Arial" w:cs="Arial"/>
          <w:i/>
        </w:rPr>
      </w:pPr>
      <w:r w:rsidRPr="00357D70">
        <w:rPr>
          <w:rFonts w:ascii="Arial" w:hAnsi="Arial" w:cs="Arial"/>
          <w:i/>
        </w:rPr>
        <w:t xml:space="preserve">Table </w:t>
      </w:r>
      <w:r>
        <w:rPr>
          <w:rFonts w:ascii="Arial" w:hAnsi="Arial" w:cs="Arial"/>
          <w:i/>
        </w:rPr>
        <w:t>3:</w:t>
      </w:r>
      <w:r w:rsidRPr="00357D70">
        <w:rPr>
          <w:rFonts w:ascii="Arial" w:hAnsi="Arial" w:cs="Arial"/>
          <w:i/>
        </w:rPr>
        <w:t xml:space="preserve"> RSS obtained </w:t>
      </w:r>
      <w:r>
        <w:rPr>
          <w:rFonts w:ascii="Arial" w:hAnsi="Arial" w:cs="Arial"/>
          <w:i/>
        </w:rPr>
        <w:t>from comparing predictions derived from</w:t>
      </w:r>
      <w:r w:rsidRPr="00357D70">
        <w:rPr>
          <w:rFonts w:ascii="Arial" w:hAnsi="Arial" w:cs="Arial"/>
          <w:i/>
        </w:rPr>
        <w:t xml:space="preserve"> the </w:t>
      </w:r>
      <w:r>
        <w:rPr>
          <w:rFonts w:ascii="Arial" w:hAnsi="Arial" w:cs="Arial"/>
          <w:i/>
        </w:rPr>
        <w:t>index options</w:t>
      </w:r>
      <w:r w:rsidRPr="00357D70">
        <w:rPr>
          <w:rFonts w:ascii="Arial" w:hAnsi="Arial" w:cs="Arial"/>
          <w:i/>
        </w:rPr>
        <w:t xml:space="preserve"> </w:t>
      </w:r>
      <w:r>
        <w:rPr>
          <w:rFonts w:ascii="Arial" w:hAnsi="Arial" w:cs="Arial"/>
          <w:i/>
        </w:rPr>
        <w:t xml:space="preserve">– aggregated to </w:t>
      </w:r>
      <w:proofErr w:type="gramStart"/>
      <w:r>
        <w:rPr>
          <w:rFonts w:ascii="Arial" w:hAnsi="Arial" w:cs="Arial"/>
          <w:i/>
        </w:rPr>
        <w:t>Acute</w:t>
      </w:r>
      <w:proofErr w:type="gramEnd"/>
      <w:r>
        <w:rPr>
          <w:rFonts w:ascii="Arial" w:hAnsi="Arial" w:cs="Arial"/>
          <w:i/>
        </w:rPr>
        <w:t xml:space="preserve"> level – </w:t>
      </w:r>
      <w:r w:rsidRPr="00357D70">
        <w:rPr>
          <w:rFonts w:ascii="Arial" w:hAnsi="Arial" w:cs="Arial"/>
          <w:i/>
        </w:rPr>
        <w:t>with</w:t>
      </w:r>
      <w:r>
        <w:rPr>
          <w:rFonts w:ascii="Arial" w:hAnsi="Arial" w:cs="Arial"/>
          <w:i/>
        </w:rPr>
        <w:t xml:space="preserve"> </w:t>
      </w:r>
      <w:r w:rsidRPr="00357D70">
        <w:rPr>
          <w:rFonts w:ascii="Arial" w:hAnsi="Arial" w:cs="Arial"/>
          <w:i/>
        </w:rPr>
        <w:t xml:space="preserve">the 2014/15 </w:t>
      </w:r>
      <w:r>
        <w:rPr>
          <w:rFonts w:ascii="Arial" w:hAnsi="Arial" w:cs="Arial"/>
          <w:i/>
        </w:rPr>
        <w:t xml:space="preserve">overall Acute </w:t>
      </w:r>
      <w:r w:rsidRPr="00357D70">
        <w:rPr>
          <w:rFonts w:ascii="Arial" w:hAnsi="Arial" w:cs="Arial"/>
          <w:i/>
        </w:rPr>
        <w:t>cost ratios</w:t>
      </w:r>
      <w:r w:rsidR="00C8691F">
        <w:rPr>
          <w:rFonts w:ascii="Arial" w:hAnsi="Arial" w:cs="Arial"/>
          <w:i/>
        </w:rPr>
        <w:t>.</w:t>
      </w:r>
    </w:p>
    <w:tbl>
      <w:tblPr>
        <w:tblStyle w:val="TableGrid"/>
        <w:tblW w:w="0" w:type="auto"/>
        <w:tblLook w:val="04A0"/>
      </w:tblPr>
      <w:tblGrid>
        <w:gridCol w:w="7338"/>
        <w:gridCol w:w="1701"/>
      </w:tblGrid>
      <w:tr w:rsidR="004521D1" w:rsidTr="00C8691F">
        <w:trPr>
          <w:trHeight w:val="1451"/>
        </w:trPr>
        <w:tc>
          <w:tcPr>
            <w:tcW w:w="7338" w:type="dxa"/>
            <w:vAlign w:val="center"/>
          </w:tcPr>
          <w:p w:rsidR="004521D1" w:rsidRPr="00523024" w:rsidRDefault="004521D1" w:rsidP="00C72758">
            <w:pPr>
              <w:jc w:val="center"/>
              <w:rPr>
                <w:rFonts w:ascii="Arial" w:hAnsi="Arial" w:cs="Arial"/>
                <w:b/>
                <w:sz w:val="20"/>
                <w:szCs w:val="20"/>
              </w:rPr>
            </w:pPr>
            <w:r w:rsidRPr="00523024">
              <w:rPr>
                <w:rFonts w:ascii="Arial" w:hAnsi="Arial" w:cs="Arial"/>
                <w:b/>
                <w:sz w:val="20"/>
                <w:szCs w:val="20"/>
              </w:rPr>
              <w:t>Model</w:t>
            </w:r>
          </w:p>
        </w:tc>
        <w:tc>
          <w:tcPr>
            <w:tcW w:w="1701" w:type="dxa"/>
            <w:vAlign w:val="center"/>
          </w:tcPr>
          <w:p w:rsidR="004521D1" w:rsidRPr="00357D70" w:rsidRDefault="004521D1" w:rsidP="004521D1">
            <w:pPr>
              <w:jc w:val="center"/>
              <w:rPr>
                <w:rFonts w:ascii="Arial" w:eastAsia="Times New Roman" w:hAnsi="Arial" w:cs="Arial"/>
                <w:b/>
                <w:color w:val="000000"/>
                <w:sz w:val="20"/>
                <w:szCs w:val="20"/>
              </w:rPr>
            </w:pPr>
            <w:r>
              <w:rPr>
                <w:rFonts w:ascii="Arial" w:eastAsia="Times New Roman" w:hAnsi="Arial" w:cs="Arial"/>
                <w:b/>
                <w:color w:val="000000"/>
                <w:sz w:val="20"/>
                <w:szCs w:val="20"/>
              </w:rPr>
              <w:t>Aggregated diagnostic groups</w:t>
            </w:r>
          </w:p>
        </w:tc>
      </w:tr>
      <w:tr w:rsidR="007C2DE5" w:rsidTr="00C8691F">
        <w:trPr>
          <w:trHeight w:val="397"/>
        </w:trPr>
        <w:tc>
          <w:tcPr>
            <w:tcW w:w="7338" w:type="dxa"/>
            <w:tcBorders>
              <w:bottom w:val="single" w:sz="4" w:space="0" w:color="auto"/>
            </w:tcBorders>
            <w:vAlign w:val="center"/>
          </w:tcPr>
          <w:p w:rsidR="007C2DE5" w:rsidRPr="005935CC" w:rsidRDefault="007C2DE5" w:rsidP="00C72758">
            <w:pPr>
              <w:rPr>
                <w:rFonts w:ascii="Arial" w:hAnsi="Arial" w:cs="Arial"/>
                <w:sz w:val="20"/>
                <w:szCs w:val="20"/>
              </w:rPr>
            </w:pPr>
            <w:r w:rsidRPr="005935CC">
              <w:rPr>
                <w:rFonts w:ascii="Arial" w:hAnsi="Arial" w:cs="Arial"/>
                <w:sz w:val="20"/>
                <w:szCs w:val="20"/>
              </w:rPr>
              <w:t>[LLTI, All-cause SMR</w:t>
            </w:r>
            <w:r w:rsidRPr="005935CC">
              <w:rPr>
                <w:sz w:val="20"/>
                <w:szCs w:val="20"/>
              </w:rPr>
              <w:t xml:space="preserve"> </w:t>
            </w:r>
            <w:r w:rsidRPr="005935CC">
              <w:rPr>
                <w:rFonts w:ascii="Arial" w:hAnsi="Arial" w:cs="Arial"/>
                <w:sz w:val="20"/>
                <w:szCs w:val="20"/>
              </w:rPr>
              <w:t>&lt;75]</w:t>
            </w:r>
          </w:p>
        </w:tc>
        <w:tc>
          <w:tcPr>
            <w:tcW w:w="1701" w:type="dxa"/>
            <w:tcBorders>
              <w:bottom w:val="single" w:sz="4" w:space="0" w:color="auto"/>
            </w:tcBorders>
            <w:vAlign w:val="center"/>
          </w:tcPr>
          <w:p w:rsidR="007C2DE5" w:rsidRPr="00AA049D" w:rsidRDefault="007C2DE5" w:rsidP="007C2DE5">
            <w:pPr>
              <w:jc w:val="center"/>
              <w:rPr>
                <w:rFonts w:ascii="Arial" w:hAnsi="Arial" w:cs="Arial"/>
                <w:sz w:val="20"/>
                <w:szCs w:val="20"/>
              </w:rPr>
            </w:pPr>
            <w:r>
              <w:rPr>
                <w:rFonts w:ascii="Arial" w:hAnsi="Arial" w:cs="Arial"/>
                <w:sz w:val="20"/>
                <w:szCs w:val="20"/>
              </w:rPr>
              <w:t>461</w:t>
            </w:r>
          </w:p>
        </w:tc>
      </w:tr>
      <w:tr w:rsidR="00FA2906" w:rsidTr="00FA2906">
        <w:trPr>
          <w:trHeight w:val="397"/>
        </w:trPr>
        <w:tc>
          <w:tcPr>
            <w:tcW w:w="7338" w:type="dxa"/>
            <w:shd w:val="clear" w:color="auto" w:fill="auto"/>
            <w:vAlign w:val="center"/>
          </w:tcPr>
          <w:p w:rsidR="00FA2906" w:rsidRPr="005935CC" w:rsidRDefault="00FA2906" w:rsidP="00B736A8">
            <w:pPr>
              <w:rPr>
                <w:rFonts w:ascii="Arial" w:hAnsi="Arial" w:cs="Arial"/>
                <w:sz w:val="20"/>
                <w:szCs w:val="20"/>
              </w:rPr>
            </w:pPr>
            <w:r w:rsidRPr="005935CC">
              <w:rPr>
                <w:rFonts w:ascii="Arial" w:hAnsi="Arial" w:cs="Arial"/>
                <w:sz w:val="20"/>
                <w:szCs w:val="20"/>
              </w:rPr>
              <w:t xml:space="preserve">[LLTI, All-cause SMR &lt;75, </w:t>
            </w:r>
            <w:r>
              <w:rPr>
                <w:rFonts w:ascii="Arial" w:hAnsi="Arial" w:cs="Arial"/>
                <w:sz w:val="20"/>
                <w:szCs w:val="20"/>
              </w:rPr>
              <w:t>Pakistani populations</w:t>
            </w:r>
            <w:r w:rsidRPr="005935CC">
              <w:rPr>
                <w:rFonts w:ascii="Arial" w:hAnsi="Arial" w:cs="Arial"/>
                <w:sz w:val="20"/>
                <w:szCs w:val="20"/>
              </w:rPr>
              <w:t>]</w:t>
            </w:r>
          </w:p>
        </w:tc>
        <w:tc>
          <w:tcPr>
            <w:tcW w:w="1701" w:type="dxa"/>
            <w:shd w:val="clear" w:color="auto" w:fill="auto"/>
            <w:vAlign w:val="center"/>
          </w:tcPr>
          <w:p w:rsidR="00FA2906" w:rsidRPr="00FA2906" w:rsidRDefault="00FA2906" w:rsidP="00FA2906">
            <w:pPr>
              <w:jc w:val="center"/>
              <w:rPr>
                <w:rFonts w:ascii="Arial" w:hAnsi="Arial" w:cs="Arial"/>
                <w:color w:val="000000"/>
                <w:sz w:val="20"/>
                <w:szCs w:val="20"/>
              </w:rPr>
            </w:pPr>
            <w:r w:rsidRPr="00FA2906">
              <w:rPr>
                <w:rFonts w:ascii="Arial" w:hAnsi="Arial" w:cs="Arial"/>
                <w:color w:val="000000"/>
                <w:sz w:val="20"/>
                <w:szCs w:val="20"/>
              </w:rPr>
              <w:t>461</w:t>
            </w:r>
          </w:p>
        </w:tc>
      </w:tr>
      <w:tr w:rsidR="00FA2906" w:rsidTr="00FA2906">
        <w:trPr>
          <w:trHeight w:val="397"/>
        </w:trPr>
        <w:tc>
          <w:tcPr>
            <w:tcW w:w="7338" w:type="dxa"/>
            <w:vAlign w:val="center"/>
          </w:tcPr>
          <w:p w:rsidR="00FA2906" w:rsidRPr="005935CC" w:rsidRDefault="00FA2906" w:rsidP="00B736A8">
            <w:pPr>
              <w:rPr>
                <w:rFonts w:ascii="Arial" w:hAnsi="Arial" w:cs="Arial"/>
                <w:sz w:val="20"/>
                <w:szCs w:val="20"/>
              </w:rPr>
            </w:pPr>
            <w:r w:rsidRPr="005935CC">
              <w:rPr>
                <w:rFonts w:ascii="Arial" w:hAnsi="Arial" w:cs="Arial"/>
                <w:sz w:val="20"/>
                <w:szCs w:val="20"/>
              </w:rPr>
              <w:t xml:space="preserve">[LLTI, All-cause SMR &lt;75, </w:t>
            </w:r>
            <w:r>
              <w:rPr>
                <w:rFonts w:ascii="Arial" w:hAnsi="Arial" w:cs="Arial"/>
                <w:sz w:val="20"/>
                <w:szCs w:val="20"/>
              </w:rPr>
              <w:t>Gypsy/Traveller populations</w:t>
            </w:r>
            <w:r w:rsidRPr="005935CC">
              <w:rPr>
                <w:rFonts w:ascii="Arial" w:hAnsi="Arial" w:cs="Arial"/>
                <w:sz w:val="20"/>
                <w:szCs w:val="20"/>
              </w:rPr>
              <w:t>]</w:t>
            </w:r>
          </w:p>
        </w:tc>
        <w:tc>
          <w:tcPr>
            <w:tcW w:w="1701" w:type="dxa"/>
            <w:vAlign w:val="center"/>
          </w:tcPr>
          <w:p w:rsidR="00FA2906" w:rsidRPr="00FA2906" w:rsidRDefault="00FA2906" w:rsidP="00FA2906">
            <w:pPr>
              <w:jc w:val="center"/>
              <w:rPr>
                <w:rFonts w:ascii="Arial" w:hAnsi="Arial" w:cs="Arial"/>
                <w:color w:val="000000"/>
                <w:sz w:val="20"/>
                <w:szCs w:val="20"/>
              </w:rPr>
            </w:pPr>
            <w:r w:rsidRPr="00FA2906">
              <w:rPr>
                <w:rFonts w:ascii="Arial" w:hAnsi="Arial" w:cs="Arial"/>
                <w:color w:val="000000"/>
                <w:sz w:val="20"/>
                <w:szCs w:val="20"/>
              </w:rPr>
              <w:t>459</w:t>
            </w:r>
          </w:p>
        </w:tc>
      </w:tr>
      <w:tr w:rsidR="00FA2906" w:rsidTr="00FA2906">
        <w:trPr>
          <w:trHeight w:val="397"/>
        </w:trPr>
        <w:tc>
          <w:tcPr>
            <w:tcW w:w="7338" w:type="dxa"/>
            <w:vAlign w:val="center"/>
          </w:tcPr>
          <w:p w:rsidR="00FA2906" w:rsidRPr="005935CC" w:rsidRDefault="00FA2906" w:rsidP="00D75633">
            <w:pPr>
              <w:rPr>
                <w:rFonts w:ascii="Arial" w:hAnsi="Arial" w:cs="Arial"/>
                <w:sz w:val="20"/>
                <w:szCs w:val="20"/>
              </w:rPr>
            </w:pPr>
            <w:r w:rsidRPr="00DB32CD">
              <w:rPr>
                <w:rFonts w:ascii="Arial" w:hAnsi="Arial" w:cs="Arial"/>
                <w:sz w:val="20"/>
                <w:szCs w:val="20"/>
              </w:rPr>
              <w:t>[LLTI, All-cause SMR &lt;75, Ethnic populations with poorer than average health]</w:t>
            </w:r>
          </w:p>
        </w:tc>
        <w:tc>
          <w:tcPr>
            <w:tcW w:w="1701" w:type="dxa"/>
            <w:vAlign w:val="center"/>
          </w:tcPr>
          <w:p w:rsidR="00FA2906" w:rsidRPr="00FA2906" w:rsidRDefault="00FA2906" w:rsidP="00D75633">
            <w:pPr>
              <w:jc w:val="center"/>
              <w:rPr>
                <w:rFonts w:ascii="Arial" w:hAnsi="Arial" w:cs="Arial"/>
                <w:color w:val="000000"/>
                <w:sz w:val="20"/>
                <w:szCs w:val="20"/>
              </w:rPr>
            </w:pPr>
            <w:r w:rsidRPr="00FA2906">
              <w:rPr>
                <w:rFonts w:ascii="Arial" w:hAnsi="Arial" w:cs="Arial"/>
                <w:color w:val="000000"/>
                <w:sz w:val="20"/>
                <w:szCs w:val="20"/>
              </w:rPr>
              <w:t>459</w:t>
            </w:r>
          </w:p>
        </w:tc>
      </w:tr>
    </w:tbl>
    <w:p w:rsidR="004521D1" w:rsidRDefault="004521D1" w:rsidP="00935AC0">
      <w:pPr>
        <w:spacing w:after="240" w:line="276" w:lineRule="auto"/>
        <w:jc w:val="both"/>
        <w:rPr>
          <w:rFonts w:ascii="Arial" w:hAnsi="Arial" w:cs="Arial"/>
        </w:rPr>
      </w:pPr>
    </w:p>
    <w:p w:rsidR="00465641" w:rsidRDefault="00465641">
      <w:pPr>
        <w:rPr>
          <w:rFonts w:ascii="Arial" w:hAnsi="Arial" w:cs="Arial"/>
          <w:b/>
        </w:rPr>
      </w:pPr>
      <w:r>
        <w:rPr>
          <w:rFonts w:ascii="Arial" w:hAnsi="Arial" w:cs="Arial"/>
          <w:b/>
        </w:rPr>
        <w:br w:type="page"/>
      </w:r>
    </w:p>
    <w:p w:rsidR="00877B99" w:rsidRPr="000A6310" w:rsidRDefault="00923CC2" w:rsidP="00E852D0">
      <w:pPr>
        <w:spacing w:after="240" w:line="276" w:lineRule="auto"/>
        <w:jc w:val="both"/>
        <w:rPr>
          <w:rFonts w:ascii="Arial" w:hAnsi="Arial" w:cs="Arial"/>
        </w:rPr>
      </w:pPr>
      <w:r>
        <w:rPr>
          <w:rFonts w:ascii="Arial" w:hAnsi="Arial" w:cs="Arial"/>
          <w:b/>
        </w:rPr>
        <w:lastRenderedPageBreak/>
        <w:t>3</w:t>
      </w:r>
      <w:r w:rsidR="00D0093A">
        <w:rPr>
          <w:rFonts w:ascii="Arial" w:hAnsi="Arial" w:cs="Arial"/>
          <w:b/>
        </w:rPr>
        <w:t>.</w:t>
      </w:r>
      <w:r>
        <w:rPr>
          <w:rFonts w:ascii="Arial" w:hAnsi="Arial" w:cs="Arial"/>
          <w:b/>
        </w:rPr>
        <w:t xml:space="preserve"> </w:t>
      </w:r>
      <w:r w:rsidR="00800315">
        <w:rPr>
          <w:rFonts w:ascii="Arial" w:hAnsi="Arial" w:cs="Arial"/>
          <w:b/>
        </w:rPr>
        <w:t>TAGRA Core Criteria</w:t>
      </w:r>
    </w:p>
    <w:p w:rsidR="00800315" w:rsidRDefault="00E67034" w:rsidP="00465641">
      <w:pPr>
        <w:spacing w:after="240" w:line="276" w:lineRule="auto"/>
        <w:jc w:val="both"/>
        <w:rPr>
          <w:rFonts w:ascii="Arial" w:hAnsi="Arial" w:cs="Arial"/>
        </w:rPr>
      </w:pPr>
      <w:r>
        <w:rPr>
          <w:rFonts w:ascii="Arial" w:hAnsi="Arial" w:cs="Arial"/>
        </w:rPr>
        <w:t>T</w:t>
      </w:r>
      <w:r w:rsidR="00800315">
        <w:rPr>
          <w:rFonts w:ascii="Arial" w:hAnsi="Arial" w:cs="Arial"/>
        </w:rPr>
        <w:t xml:space="preserve">able </w:t>
      </w:r>
      <w:r>
        <w:rPr>
          <w:rFonts w:ascii="Arial" w:hAnsi="Arial" w:cs="Arial"/>
        </w:rPr>
        <w:t xml:space="preserve">4 </w:t>
      </w:r>
      <w:r w:rsidR="00800315">
        <w:rPr>
          <w:rFonts w:ascii="Arial" w:hAnsi="Arial" w:cs="Arial"/>
        </w:rPr>
        <w:t xml:space="preserve">provides comments on </w:t>
      </w:r>
      <w:r w:rsidR="00D75633">
        <w:rPr>
          <w:rFonts w:ascii="Arial" w:hAnsi="Arial" w:cs="Arial"/>
        </w:rPr>
        <w:t xml:space="preserve">the inclusion or </w:t>
      </w:r>
      <w:r w:rsidR="00CA4138">
        <w:rPr>
          <w:rFonts w:ascii="Arial" w:hAnsi="Arial" w:cs="Arial"/>
        </w:rPr>
        <w:t>not</w:t>
      </w:r>
      <w:r w:rsidR="00D75633">
        <w:rPr>
          <w:rFonts w:ascii="Arial" w:hAnsi="Arial" w:cs="Arial"/>
        </w:rPr>
        <w:t xml:space="preserve"> of an ethnicity variable</w:t>
      </w:r>
      <w:r w:rsidR="00800315">
        <w:rPr>
          <w:rFonts w:ascii="Arial" w:hAnsi="Arial" w:cs="Arial"/>
        </w:rPr>
        <w:t xml:space="preserve"> in relation to the TAGRA Core Criteria. Positive comments are highlighted in green, negative in red</w:t>
      </w:r>
      <w:r w:rsidR="00CA4138">
        <w:rPr>
          <w:rFonts w:ascii="Arial" w:hAnsi="Arial" w:cs="Arial"/>
        </w:rPr>
        <w:t xml:space="preserve"> (and neutral comments in black)</w:t>
      </w:r>
      <w:r w:rsidR="00800315">
        <w:rPr>
          <w:rFonts w:ascii="Arial" w:hAnsi="Arial" w:cs="Arial"/>
        </w:rPr>
        <w:t>. The</w:t>
      </w:r>
      <w:r w:rsidR="00CA4138">
        <w:rPr>
          <w:rFonts w:ascii="Arial" w:hAnsi="Arial" w:cs="Arial"/>
        </w:rPr>
        <w:t xml:space="preserve"> positive and negative points</w:t>
      </w:r>
      <w:r w:rsidR="00800315">
        <w:rPr>
          <w:rFonts w:ascii="Arial" w:hAnsi="Arial" w:cs="Arial"/>
        </w:rPr>
        <w:t xml:space="preserve"> have been </w:t>
      </w:r>
      <w:r w:rsidR="00CA4138">
        <w:rPr>
          <w:rFonts w:ascii="Arial" w:hAnsi="Arial" w:cs="Arial"/>
        </w:rPr>
        <w:t>tallied</w:t>
      </w:r>
      <w:r w:rsidR="00800315">
        <w:rPr>
          <w:rFonts w:ascii="Arial" w:hAnsi="Arial" w:cs="Arial"/>
        </w:rPr>
        <w:t xml:space="preserve"> to provide a summary evaluation</w:t>
      </w:r>
      <w:r w:rsidR="00CA4138">
        <w:rPr>
          <w:rFonts w:ascii="Arial" w:hAnsi="Arial" w:cs="Arial"/>
        </w:rPr>
        <w:t xml:space="preserve"> in the final row</w:t>
      </w:r>
      <w:r w:rsidR="00800315">
        <w:rPr>
          <w:rFonts w:ascii="Arial" w:hAnsi="Arial" w:cs="Arial"/>
        </w:rPr>
        <w:t xml:space="preserve">. </w:t>
      </w:r>
    </w:p>
    <w:p w:rsidR="00E67034" w:rsidRDefault="00E67034" w:rsidP="00465641">
      <w:pPr>
        <w:spacing w:after="240" w:line="276" w:lineRule="auto"/>
        <w:jc w:val="both"/>
        <w:rPr>
          <w:rFonts w:ascii="Arial" w:hAnsi="Arial" w:cs="Arial"/>
        </w:rPr>
      </w:pPr>
      <w:r>
        <w:rPr>
          <w:rFonts w:ascii="Arial" w:hAnsi="Arial" w:cs="Arial"/>
        </w:rPr>
        <w:t xml:space="preserve">On balance, the inclusion of an ethnicity variable in the Acute MLC needs index does not appear to be </w:t>
      </w:r>
      <w:r w:rsidR="00A86572">
        <w:rPr>
          <w:rFonts w:ascii="Arial" w:hAnsi="Arial" w:cs="Arial"/>
        </w:rPr>
        <w:t>borne out</w:t>
      </w:r>
      <w:r>
        <w:rPr>
          <w:rFonts w:ascii="Arial" w:hAnsi="Arial" w:cs="Arial"/>
        </w:rPr>
        <w:t xml:space="preserve"> by either the statistics or the other aspects of the core criteria. </w:t>
      </w:r>
      <w:r w:rsidR="00A86572">
        <w:rPr>
          <w:rFonts w:ascii="Arial" w:hAnsi="Arial" w:cs="Arial"/>
        </w:rPr>
        <w:t>Objectively, its inclusion would be difficult to justify: i</w:t>
      </w:r>
      <w:r>
        <w:rPr>
          <w:rFonts w:ascii="Arial" w:hAnsi="Arial" w:cs="Arial"/>
        </w:rPr>
        <w:t>ncluding in the needs index the fraction of the population belonging to Pakistani and Gypsy/Traveller ethnic groups – groups independently identified as having poorer than average health</w:t>
      </w:r>
      <w:r w:rsidR="00A86572">
        <w:rPr>
          <w:rFonts w:ascii="Arial" w:hAnsi="Arial" w:cs="Arial"/>
        </w:rPr>
        <w:t xml:space="preserve"> </w:t>
      </w:r>
      <w:r>
        <w:rPr>
          <w:rFonts w:ascii="Arial" w:hAnsi="Arial" w:cs="Arial"/>
        </w:rPr>
        <w:t>– does not improve predictions of healthcare resource use for small areas</w:t>
      </w:r>
      <w:r w:rsidR="00A86572">
        <w:rPr>
          <w:rFonts w:ascii="Arial" w:hAnsi="Arial" w:cs="Arial"/>
        </w:rPr>
        <w:t xml:space="preserve">, but rather, results in </w:t>
      </w:r>
      <w:r w:rsidR="00A86572" w:rsidRPr="00A86572">
        <w:rPr>
          <w:rFonts w:ascii="Arial" w:hAnsi="Arial" w:cs="Arial"/>
          <w:i/>
        </w:rPr>
        <w:t>poorer</w:t>
      </w:r>
      <w:r w:rsidR="00A86572">
        <w:rPr>
          <w:rFonts w:ascii="Arial" w:hAnsi="Arial" w:cs="Arial"/>
        </w:rPr>
        <w:t xml:space="preserve"> </w:t>
      </w:r>
      <w:r w:rsidR="00DE3D0F">
        <w:rPr>
          <w:rFonts w:ascii="Arial" w:hAnsi="Arial" w:cs="Arial"/>
        </w:rPr>
        <w:t xml:space="preserve">explanatory and </w:t>
      </w:r>
      <w:r w:rsidR="00A86572">
        <w:rPr>
          <w:rFonts w:ascii="Arial" w:hAnsi="Arial" w:cs="Arial"/>
        </w:rPr>
        <w:t>predictive power</w:t>
      </w:r>
      <w:r w:rsidR="00DE3D0F">
        <w:rPr>
          <w:rFonts w:ascii="Arial" w:hAnsi="Arial" w:cs="Arial"/>
        </w:rPr>
        <w:t xml:space="preserve"> overall</w:t>
      </w:r>
      <w:r>
        <w:rPr>
          <w:rFonts w:ascii="Arial" w:hAnsi="Arial" w:cs="Arial"/>
        </w:rPr>
        <w:t xml:space="preserve">. This may possibly indicate under-utilisation of healthcare services by these populations, relative to their need, which will be tested for in the unmet need analysis. </w:t>
      </w:r>
    </w:p>
    <w:p w:rsidR="00A86572" w:rsidRDefault="00A86572" w:rsidP="00465641">
      <w:pPr>
        <w:spacing w:after="240" w:line="276" w:lineRule="auto"/>
        <w:jc w:val="both"/>
        <w:rPr>
          <w:rFonts w:ascii="Arial" w:hAnsi="Arial" w:cs="Arial"/>
        </w:rPr>
      </w:pPr>
      <w:r>
        <w:rPr>
          <w:rFonts w:ascii="Arial" w:hAnsi="Arial" w:cs="Arial"/>
        </w:rPr>
        <w:t xml:space="preserve">In terms of responsiveness, there are concerns about changes over time in both the ethnic composition of small areas and in the relative levels of need of the different ethnic populations in Scotland. It would </w:t>
      </w:r>
      <w:r w:rsidR="00DE3D0F">
        <w:rPr>
          <w:rFonts w:ascii="Arial" w:hAnsi="Arial" w:cs="Arial"/>
        </w:rPr>
        <w:t>seem</w:t>
      </w:r>
      <w:r>
        <w:rPr>
          <w:rFonts w:ascii="Arial" w:hAnsi="Arial" w:cs="Arial"/>
        </w:rPr>
        <w:t xml:space="preserve"> risky to assume that not only would the proportion of a data zone’s population belonging to Pakistani or Gypsy/Traveller communities not change </w:t>
      </w:r>
      <w:r w:rsidR="00DE3D0F">
        <w:rPr>
          <w:rFonts w:ascii="Arial" w:hAnsi="Arial" w:cs="Arial"/>
        </w:rPr>
        <w:t xml:space="preserve">much </w:t>
      </w:r>
      <w:r>
        <w:rPr>
          <w:rFonts w:ascii="Arial" w:hAnsi="Arial" w:cs="Arial"/>
        </w:rPr>
        <w:t>over the 10 years between census updates, but that these groups would still have the highest need.</w:t>
      </w:r>
    </w:p>
    <w:p w:rsidR="00A86572" w:rsidRPr="00A86572" w:rsidRDefault="00A86572" w:rsidP="00465641">
      <w:pPr>
        <w:spacing w:after="240" w:line="276" w:lineRule="auto"/>
        <w:jc w:val="both"/>
        <w:rPr>
          <w:rFonts w:ascii="Arial" w:hAnsi="Arial" w:cs="Arial"/>
          <w:b/>
        </w:rPr>
      </w:pPr>
      <w:r w:rsidRPr="00A86572">
        <w:rPr>
          <w:rFonts w:ascii="Arial" w:hAnsi="Arial" w:cs="Arial"/>
          <w:b/>
        </w:rPr>
        <w:t>The Subgroup is asked to endorse the proposal to retain [LLTI, All-cause SMR &lt;75] as the needs index, and instead use</w:t>
      </w:r>
      <w:r w:rsidR="00DE3D0F">
        <w:rPr>
          <w:rFonts w:ascii="Arial" w:hAnsi="Arial" w:cs="Arial"/>
          <w:b/>
        </w:rPr>
        <w:t xml:space="preserve"> the</w:t>
      </w:r>
      <w:r w:rsidRPr="00A86572">
        <w:rPr>
          <w:rFonts w:ascii="Arial" w:hAnsi="Arial" w:cs="Arial"/>
          <w:b/>
        </w:rPr>
        <w:t xml:space="preserve"> ethnicity information to look for unmet need.</w:t>
      </w:r>
    </w:p>
    <w:p w:rsidR="00800315" w:rsidRDefault="00DE3D0F" w:rsidP="00800315">
      <w:pPr>
        <w:spacing w:after="0" w:line="276" w:lineRule="auto"/>
        <w:jc w:val="both"/>
        <w:rPr>
          <w:rFonts w:ascii="Arial" w:hAnsi="Arial" w:cs="Arial"/>
        </w:rPr>
      </w:pPr>
      <w:r>
        <w:rPr>
          <w:rFonts w:ascii="Arial" w:hAnsi="Arial" w:cs="Arial"/>
          <w:i/>
        </w:rPr>
        <w:t>Table 4:</w:t>
      </w:r>
      <w:r w:rsidR="00800315">
        <w:rPr>
          <w:rFonts w:ascii="Arial" w:hAnsi="Arial" w:cs="Arial"/>
          <w:i/>
        </w:rPr>
        <w:t xml:space="preserve"> </w:t>
      </w:r>
      <w:r w:rsidR="00800315" w:rsidRPr="00F02A6A">
        <w:rPr>
          <w:rFonts w:ascii="Arial" w:hAnsi="Arial" w:cs="Arial"/>
          <w:i/>
        </w:rPr>
        <w:t xml:space="preserve">TAGRA core criteria evaluation for </w:t>
      </w:r>
      <w:r w:rsidR="00CA4138">
        <w:rPr>
          <w:rFonts w:ascii="Arial" w:hAnsi="Arial" w:cs="Arial"/>
          <w:i/>
        </w:rPr>
        <w:t>the decision on adding ethnicity into the existing Acute MLC model</w:t>
      </w:r>
      <w:r w:rsidR="00800315" w:rsidRPr="00F02A6A">
        <w:rPr>
          <w:rFonts w:ascii="Arial" w:hAnsi="Arial" w:cs="Arial"/>
          <w:i/>
        </w:rPr>
        <w:t>.</w:t>
      </w:r>
    </w:p>
    <w:tbl>
      <w:tblPr>
        <w:tblStyle w:val="TableGrid"/>
        <w:tblW w:w="0" w:type="auto"/>
        <w:tblLayout w:type="fixed"/>
        <w:tblLook w:val="04A0"/>
      </w:tblPr>
      <w:tblGrid>
        <w:gridCol w:w="1809"/>
        <w:gridCol w:w="3402"/>
        <w:gridCol w:w="3828"/>
      </w:tblGrid>
      <w:tr w:rsidR="00C8691F" w:rsidTr="00A86572">
        <w:trPr>
          <w:cantSplit/>
          <w:trHeight w:val="233"/>
        </w:trPr>
        <w:tc>
          <w:tcPr>
            <w:tcW w:w="1809" w:type="dxa"/>
            <w:vAlign w:val="center"/>
          </w:tcPr>
          <w:p w:rsidR="00C8691F" w:rsidRPr="004852E8" w:rsidRDefault="00C8691F" w:rsidP="00EE2A83">
            <w:pPr>
              <w:rPr>
                <w:rFonts w:ascii="Arial" w:hAnsi="Arial" w:cs="Arial"/>
                <w:b/>
                <w:sz w:val="20"/>
                <w:szCs w:val="20"/>
              </w:rPr>
            </w:pPr>
          </w:p>
        </w:tc>
        <w:tc>
          <w:tcPr>
            <w:tcW w:w="3402" w:type="dxa"/>
          </w:tcPr>
          <w:p w:rsidR="00C8691F" w:rsidRPr="008A0085" w:rsidRDefault="00CA4138" w:rsidP="00CA4138">
            <w:pPr>
              <w:spacing w:before="120" w:after="120"/>
              <w:jc w:val="center"/>
              <w:rPr>
                <w:rFonts w:ascii="Arial" w:hAnsi="Arial" w:cs="Arial"/>
                <w:b/>
                <w:sz w:val="20"/>
                <w:szCs w:val="20"/>
              </w:rPr>
            </w:pPr>
            <w:r>
              <w:rPr>
                <w:rFonts w:ascii="Arial" w:hAnsi="Arial" w:cs="Arial"/>
                <w:b/>
                <w:sz w:val="20"/>
                <w:szCs w:val="20"/>
              </w:rPr>
              <w:t>Retain existing model</w:t>
            </w:r>
          </w:p>
        </w:tc>
        <w:tc>
          <w:tcPr>
            <w:tcW w:w="3828" w:type="dxa"/>
          </w:tcPr>
          <w:p w:rsidR="00C8691F" w:rsidRPr="008A0085" w:rsidRDefault="00CA4138" w:rsidP="00D75633">
            <w:pPr>
              <w:spacing w:before="120" w:after="120"/>
              <w:jc w:val="center"/>
              <w:rPr>
                <w:rFonts w:ascii="Arial" w:hAnsi="Arial" w:cs="Arial"/>
                <w:b/>
                <w:sz w:val="20"/>
                <w:szCs w:val="20"/>
              </w:rPr>
            </w:pPr>
            <w:r>
              <w:rPr>
                <w:rFonts w:ascii="Arial" w:hAnsi="Arial" w:cs="Arial"/>
                <w:b/>
                <w:sz w:val="20"/>
                <w:szCs w:val="20"/>
              </w:rPr>
              <w:t>Add</w:t>
            </w:r>
            <w:r w:rsidR="00D75633">
              <w:rPr>
                <w:rFonts w:ascii="Arial" w:hAnsi="Arial" w:cs="Arial"/>
                <w:b/>
                <w:sz w:val="20"/>
                <w:szCs w:val="20"/>
              </w:rPr>
              <w:t xml:space="preserve"> e</w:t>
            </w:r>
            <w:r w:rsidR="00C8691F">
              <w:rPr>
                <w:rFonts w:ascii="Arial" w:hAnsi="Arial" w:cs="Arial"/>
                <w:b/>
                <w:sz w:val="20"/>
                <w:szCs w:val="20"/>
              </w:rPr>
              <w:t>thnicity</w:t>
            </w:r>
            <w:r>
              <w:rPr>
                <w:rFonts w:ascii="Arial" w:hAnsi="Arial" w:cs="Arial"/>
                <w:b/>
                <w:sz w:val="20"/>
                <w:szCs w:val="20"/>
              </w:rPr>
              <w:t xml:space="preserve"> to existing model</w:t>
            </w:r>
          </w:p>
        </w:tc>
      </w:tr>
      <w:tr w:rsidR="00C8691F" w:rsidTr="00A86572">
        <w:trPr>
          <w:cantSplit/>
          <w:trHeight w:val="232"/>
        </w:trPr>
        <w:tc>
          <w:tcPr>
            <w:tcW w:w="1809" w:type="dxa"/>
            <w:vAlign w:val="center"/>
          </w:tcPr>
          <w:p w:rsidR="00C8691F" w:rsidRPr="004852E8" w:rsidRDefault="00C8691F" w:rsidP="00EE2A83">
            <w:pPr>
              <w:rPr>
                <w:rFonts w:ascii="Arial" w:hAnsi="Arial" w:cs="Arial"/>
                <w:b/>
                <w:sz w:val="20"/>
                <w:szCs w:val="20"/>
              </w:rPr>
            </w:pPr>
            <w:r w:rsidRPr="004852E8">
              <w:rPr>
                <w:rFonts w:ascii="Arial" w:hAnsi="Arial" w:cs="Arial"/>
                <w:b/>
                <w:sz w:val="20"/>
                <w:szCs w:val="20"/>
              </w:rPr>
              <w:t>Equity</w:t>
            </w:r>
          </w:p>
        </w:tc>
        <w:tc>
          <w:tcPr>
            <w:tcW w:w="3402" w:type="dxa"/>
          </w:tcPr>
          <w:p w:rsidR="00C8691F" w:rsidRPr="004852E8" w:rsidRDefault="00C8691F" w:rsidP="00EE2A83">
            <w:pPr>
              <w:spacing w:before="120" w:after="120"/>
              <w:rPr>
                <w:rFonts w:ascii="Arial" w:hAnsi="Arial" w:cs="Arial"/>
                <w:sz w:val="20"/>
                <w:szCs w:val="20"/>
              </w:rPr>
            </w:pPr>
          </w:p>
        </w:tc>
        <w:tc>
          <w:tcPr>
            <w:tcW w:w="3828" w:type="dxa"/>
          </w:tcPr>
          <w:p w:rsidR="00C8691F" w:rsidRPr="00CA4138" w:rsidRDefault="00C8691F" w:rsidP="00E52B1F">
            <w:pPr>
              <w:spacing w:before="120" w:after="120"/>
              <w:rPr>
                <w:rFonts w:ascii="Arial" w:hAnsi="Arial" w:cs="Arial"/>
                <w:sz w:val="20"/>
                <w:szCs w:val="20"/>
              </w:rPr>
            </w:pPr>
            <w:r w:rsidRPr="00CA4138">
              <w:rPr>
                <w:rFonts w:ascii="Arial" w:hAnsi="Arial" w:cs="Arial"/>
                <w:sz w:val="20"/>
                <w:szCs w:val="20"/>
              </w:rPr>
              <w:t>Equity would arguably favour the inclusion of a variable accounting for ethnicity.</w:t>
            </w:r>
            <w:r w:rsidR="00CA4138" w:rsidRPr="00CA4138">
              <w:rPr>
                <w:rFonts w:ascii="Arial" w:hAnsi="Arial" w:cs="Arial"/>
                <w:sz w:val="20"/>
                <w:szCs w:val="20"/>
              </w:rPr>
              <w:t xml:space="preserve"> However, the statistical </w:t>
            </w:r>
            <w:r w:rsidR="00CA4138">
              <w:rPr>
                <w:rFonts w:ascii="Arial" w:hAnsi="Arial" w:cs="Arial"/>
                <w:sz w:val="20"/>
                <w:szCs w:val="20"/>
              </w:rPr>
              <w:t>results indicate</w:t>
            </w:r>
            <w:r w:rsidR="00CA4138" w:rsidRPr="00CA4138">
              <w:rPr>
                <w:rFonts w:ascii="Arial" w:hAnsi="Arial" w:cs="Arial"/>
                <w:sz w:val="20"/>
                <w:szCs w:val="20"/>
              </w:rPr>
              <w:t xml:space="preserve"> that it does not achieve this in practice</w:t>
            </w:r>
            <w:r w:rsidR="00E52B1F">
              <w:rPr>
                <w:rFonts w:ascii="Arial" w:hAnsi="Arial" w:cs="Arial"/>
                <w:sz w:val="20"/>
                <w:szCs w:val="20"/>
              </w:rPr>
              <w:t>, perhaps because of under-utilisation by the populations with poorest health on average</w:t>
            </w:r>
            <w:r w:rsidR="00CA4138" w:rsidRPr="00CA4138">
              <w:rPr>
                <w:rFonts w:ascii="Arial" w:hAnsi="Arial" w:cs="Arial"/>
                <w:sz w:val="20"/>
                <w:szCs w:val="20"/>
              </w:rPr>
              <w:t>. Ethnicity will in any case be used to look for unmet need, which may</w:t>
            </w:r>
            <w:r w:rsidR="00CA4138">
              <w:rPr>
                <w:rFonts w:ascii="Arial" w:hAnsi="Arial" w:cs="Arial"/>
                <w:sz w:val="20"/>
                <w:szCs w:val="20"/>
              </w:rPr>
              <w:t xml:space="preserve"> be a more appropriate use of the data.</w:t>
            </w:r>
          </w:p>
        </w:tc>
      </w:tr>
      <w:tr w:rsidR="00C8691F" w:rsidTr="00A86572">
        <w:trPr>
          <w:cantSplit/>
          <w:trHeight w:val="454"/>
        </w:trPr>
        <w:tc>
          <w:tcPr>
            <w:tcW w:w="1809" w:type="dxa"/>
            <w:vAlign w:val="center"/>
          </w:tcPr>
          <w:p w:rsidR="00C8691F" w:rsidRPr="004852E8" w:rsidRDefault="00C8691F" w:rsidP="00EE2A83">
            <w:pPr>
              <w:rPr>
                <w:rFonts w:ascii="Arial" w:hAnsi="Arial" w:cs="Arial"/>
                <w:b/>
                <w:sz w:val="20"/>
                <w:szCs w:val="20"/>
              </w:rPr>
            </w:pPr>
            <w:r w:rsidRPr="004852E8">
              <w:rPr>
                <w:rFonts w:ascii="Arial" w:hAnsi="Arial" w:cs="Arial"/>
                <w:b/>
                <w:sz w:val="20"/>
                <w:szCs w:val="20"/>
              </w:rPr>
              <w:t>Practicality</w:t>
            </w:r>
          </w:p>
        </w:tc>
        <w:tc>
          <w:tcPr>
            <w:tcW w:w="3402" w:type="dxa"/>
          </w:tcPr>
          <w:p w:rsidR="00C8691F" w:rsidRPr="008E640B" w:rsidRDefault="00C8691F" w:rsidP="00EE2A83">
            <w:pPr>
              <w:spacing w:before="120" w:after="120"/>
              <w:rPr>
                <w:rFonts w:ascii="Arial" w:hAnsi="Arial" w:cs="Arial"/>
                <w:sz w:val="20"/>
                <w:szCs w:val="20"/>
              </w:rPr>
            </w:pPr>
            <w:r w:rsidRPr="008E640B">
              <w:rPr>
                <w:rFonts w:ascii="Arial" w:hAnsi="Arial" w:cs="Arial"/>
                <w:sz w:val="20"/>
                <w:szCs w:val="20"/>
              </w:rPr>
              <w:t>Similar level of work involved in updating each index option</w:t>
            </w:r>
          </w:p>
        </w:tc>
        <w:tc>
          <w:tcPr>
            <w:tcW w:w="3828" w:type="dxa"/>
          </w:tcPr>
          <w:p w:rsidR="00C8691F" w:rsidRPr="008E640B" w:rsidRDefault="00C8691F" w:rsidP="008E640B">
            <w:pPr>
              <w:spacing w:before="120" w:after="120"/>
              <w:rPr>
                <w:rFonts w:ascii="Arial" w:hAnsi="Arial" w:cs="Arial"/>
                <w:sz w:val="20"/>
                <w:szCs w:val="20"/>
              </w:rPr>
            </w:pPr>
            <w:r w:rsidRPr="008E640B">
              <w:rPr>
                <w:rFonts w:ascii="Arial" w:hAnsi="Arial" w:cs="Arial"/>
                <w:sz w:val="20"/>
                <w:szCs w:val="20"/>
              </w:rPr>
              <w:t>Similar level of work involved in updating each index option</w:t>
            </w:r>
          </w:p>
        </w:tc>
      </w:tr>
      <w:tr w:rsidR="00C8691F" w:rsidTr="00A86572">
        <w:trPr>
          <w:cantSplit/>
          <w:trHeight w:val="454"/>
        </w:trPr>
        <w:tc>
          <w:tcPr>
            <w:tcW w:w="1809" w:type="dxa"/>
            <w:vAlign w:val="center"/>
          </w:tcPr>
          <w:p w:rsidR="00C8691F" w:rsidRPr="004852E8" w:rsidRDefault="00C8691F" w:rsidP="00EE2A83">
            <w:pPr>
              <w:rPr>
                <w:rFonts w:ascii="Arial" w:hAnsi="Arial" w:cs="Arial"/>
                <w:b/>
                <w:sz w:val="20"/>
                <w:szCs w:val="20"/>
              </w:rPr>
            </w:pPr>
            <w:r w:rsidRPr="004852E8">
              <w:rPr>
                <w:rFonts w:ascii="Arial" w:hAnsi="Arial" w:cs="Arial"/>
                <w:b/>
                <w:sz w:val="20"/>
                <w:szCs w:val="20"/>
              </w:rPr>
              <w:t>Transparency</w:t>
            </w:r>
          </w:p>
        </w:tc>
        <w:tc>
          <w:tcPr>
            <w:tcW w:w="3402" w:type="dxa"/>
          </w:tcPr>
          <w:p w:rsidR="00C8691F" w:rsidRPr="004852E8" w:rsidRDefault="00C8691F" w:rsidP="00EE2A83">
            <w:pPr>
              <w:spacing w:before="120" w:after="120"/>
              <w:rPr>
                <w:rFonts w:ascii="Arial" w:hAnsi="Arial" w:cs="Arial"/>
                <w:sz w:val="20"/>
                <w:szCs w:val="20"/>
              </w:rPr>
            </w:pPr>
          </w:p>
        </w:tc>
        <w:tc>
          <w:tcPr>
            <w:tcW w:w="3828" w:type="dxa"/>
          </w:tcPr>
          <w:p w:rsidR="00C8691F" w:rsidRPr="004852E8" w:rsidRDefault="00C8691F" w:rsidP="00EE2A83">
            <w:pPr>
              <w:spacing w:before="120" w:after="120"/>
              <w:rPr>
                <w:rFonts w:ascii="Arial" w:hAnsi="Arial" w:cs="Arial"/>
                <w:sz w:val="20"/>
                <w:szCs w:val="20"/>
              </w:rPr>
            </w:pPr>
          </w:p>
        </w:tc>
      </w:tr>
      <w:tr w:rsidR="00C8691F" w:rsidTr="00A86572">
        <w:trPr>
          <w:cantSplit/>
          <w:trHeight w:val="454"/>
        </w:trPr>
        <w:tc>
          <w:tcPr>
            <w:tcW w:w="1809" w:type="dxa"/>
            <w:vAlign w:val="center"/>
          </w:tcPr>
          <w:p w:rsidR="00C8691F" w:rsidRPr="004852E8" w:rsidRDefault="00C8691F" w:rsidP="00EE2A83">
            <w:pPr>
              <w:rPr>
                <w:rFonts w:ascii="Arial" w:hAnsi="Arial" w:cs="Arial"/>
                <w:b/>
                <w:sz w:val="20"/>
                <w:szCs w:val="20"/>
              </w:rPr>
            </w:pPr>
            <w:r w:rsidRPr="004852E8">
              <w:rPr>
                <w:rFonts w:ascii="Arial" w:hAnsi="Arial" w:cs="Arial"/>
                <w:b/>
                <w:sz w:val="20"/>
                <w:szCs w:val="20"/>
              </w:rPr>
              <w:t>Objectivity</w:t>
            </w:r>
          </w:p>
        </w:tc>
        <w:tc>
          <w:tcPr>
            <w:tcW w:w="3402" w:type="dxa"/>
          </w:tcPr>
          <w:p w:rsidR="00C8691F" w:rsidRPr="007521C6" w:rsidRDefault="00C8691F" w:rsidP="008E640B">
            <w:pPr>
              <w:spacing w:before="120" w:after="120"/>
              <w:rPr>
                <w:rFonts w:ascii="Arial" w:hAnsi="Arial" w:cs="Arial"/>
                <w:color w:val="00B050"/>
                <w:sz w:val="20"/>
                <w:szCs w:val="20"/>
              </w:rPr>
            </w:pPr>
          </w:p>
        </w:tc>
        <w:tc>
          <w:tcPr>
            <w:tcW w:w="3828" w:type="dxa"/>
          </w:tcPr>
          <w:p w:rsidR="00C8691F" w:rsidRPr="008977DB" w:rsidRDefault="005A2EE0" w:rsidP="00E52B1F">
            <w:pPr>
              <w:spacing w:before="120" w:after="120"/>
              <w:rPr>
                <w:rFonts w:ascii="Arial" w:hAnsi="Arial" w:cs="Arial"/>
                <w:color w:val="FF0000"/>
                <w:sz w:val="20"/>
                <w:szCs w:val="20"/>
              </w:rPr>
            </w:pPr>
            <w:r>
              <w:rPr>
                <w:rFonts w:ascii="Arial" w:hAnsi="Arial" w:cs="Arial"/>
                <w:color w:val="FF0000"/>
                <w:sz w:val="20"/>
                <w:szCs w:val="20"/>
              </w:rPr>
              <w:t>- Statistical performance is poorer</w:t>
            </w:r>
            <w:r w:rsidR="00E52B1F">
              <w:rPr>
                <w:rFonts w:ascii="Arial" w:hAnsi="Arial" w:cs="Arial"/>
                <w:color w:val="FF0000"/>
                <w:sz w:val="20"/>
                <w:szCs w:val="20"/>
              </w:rPr>
              <w:t>:</w:t>
            </w:r>
            <w:r>
              <w:rPr>
                <w:rFonts w:ascii="Arial" w:hAnsi="Arial" w:cs="Arial"/>
                <w:color w:val="FF0000"/>
                <w:sz w:val="20"/>
                <w:szCs w:val="20"/>
              </w:rPr>
              <w:t xml:space="preserve"> R</w:t>
            </w:r>
            <w:r w:rsidRPr="005A2EE0">
              <w:rPr>
                <w:rFonts w:ascii="Arial" w:hAnsi="Arial" w:cs="Arial"/>
                <w:color w:val="FF0000"/>
                <w:sz w:val="20"/>
                <w:szCs w:val="20"/>
                <w:vertAlign w:val="superscript"/>
              </w:rPr>
              <w:t>2</w:t>
            </w:r>
            <w:r>
              <w:rPr>
                <w:rFonts w:ascii="Arial" w:hAnsi="Arial" w:cs="Arial"/>
                <w:color w:val="FF0000"/>
                <w:sz w:val="20"/>
                <w:szCs w:val="20"/>
              </w:rPr>
              <w:t xml:space="preserve"> is around 4 percentage points lower</w:t>
            </w:r>
            <w:r w:rsidR="00E52B1F">
              <w:rPr>
                <w:rFonts w:ascii="Arial" w:hAnsi="Arial" w:cs="Arial"/>
                <w:color w:val="FF0000"/>
                <w:sz w:val="20"/>
                <w:szCs w:val="20"/>
              </w:rPr>
              <w:t xml:space="preserve"> in the regressions, and RSS results indicate predictions are further away from the 14/15 observations.</w:t>
            </w:r>
          </w:p>
        </w:tc>
      </w:tr>
      <w:tr w:rsidR="00C8691F" w:rsidTr="00A86572">
        <w:trPr>
          <w:cantSplit/>
          <w:trHeight w:val="454"/>
        </w:trPr>
        <w:tc>
          <w:tcPr>
            <w:tcW w:w="1809" w:type="dxa"/>
            <w:vAlign w:val="center"/>
          </w:tcPr>
          <w:p w:rsidR="00C8691F" w:rsidRPr="004852E8" w:rsidRDefault="00C8691F" w:rsidP="00EE2A83">
            <w:pPr>
              <w:rPr>
                <w:rFonts w:ascii="Arial" w:hAnsi="Arial" w:cs="Arial"/>
                <w:b/>
                <w:sz w:val="20"/>
                <w:szCs w:val="20"/>
              </w:rPr>
            </w:pPr>
            <w:r w:rsidRPr="004852E8">
              <w:rPr>
                <w:rFonts w:ascii="Arial" w:hAnsi="Arial" w:cs="Arial"/>
                <w:b/>
                <w:sz w:val="20"/>
                <w:szCs w:val="20"/>
              </w:rPr>
              <w:lastRenderedPageBreak/>
              <w:t>Avoiding Perverse Incentives</w:t>
            </w:r>
          </w:p>
        </w:tc>
        <w:tc>
          <w:tcPr>
            <w:tcW w:w="3402" w:type="dxa"/>
          </w:tcPr>
          <w:p w:rsidR="00C8691F" w:rsidRPr="00F3688B" w:rsidRDefault="00C8691F" w:rsidP="00EE2A83">
            <w:pPr>
              <w:spacing w:before="120" w:after="120"/>
              <w:rPr>
                <w:rFonts w:ascii="Arial" w:hAnsi="Arial" w:cs="Arial"/>
                <w:sz w:val="20"/>
                <w:szCs w:val="20"/>
              </w:rPr>
            </w:pPr>
            <w:r w:rsidRPr="005354C8">
              <w:rPr>
                <w:rFonts w:ascii="Arial" w:hAnsi="Arial" w:cs="Arial"/>
                <w:color w:val="00B050"/>
                <w:sz w:val="20"/>
                <w:szCs w:val="20"/>
              </w:rPr>
              <w:t>+ The elements of this model are all demand side variables and are therefore not susceptible to variations in supply provision.</w:t>
            </w:r>
          </w:p>
        </w:tc>
        <w:tc>
          <w:tcPr>
            <w:tcW w:w="3828" w:type="dxa"/>
          </w:tcPr>
          <w:p w:rsidR="00C8691F" w:rsidRPr="005354C8" w:rsidRDefault="00C8691F" w:rsidP="00EE2A83">
            <w:pPr>
              <w:spacing w:before="120" w:after="120"/>
              <w:rPr>
                <w:rFonts w:ascii="Arial" w:hAnsi="Arial" w:cs="Arial"/>
                <w:color w:val="00B050"/>
                <w:sz w:val="20"/>
                <w:szCs w:val="20"/>
              </w:rPr>
            </w:pPr>
            <w:r w:rsidRPr="005354C8">
              <w:rPr>
                <w:rFonts w:ascii="Arial" w:hAnsi="Arial" w:cs="Arial"/>
                <w:color w:val="00B050"/>
                <w:sz w:val="20"/>
                <w:szCs w:val="20"/>
              </w:rPr>
              <w:t>+ The elements of this model are all demand side variables and are therefore not susceptible to variations in supply provision.</w:t>
            </w:r>
          </w:p>
        </w:tc>
      </w:tr>
      <w:tr w:rsidR="00C8691F" w:rsidTr="00A86572">
        <w:trPr>
          <w:cantSplit/>
          <w:trHeight w:val="454"/>
        </w:trPr>
        <w:tc>
          <w:tcPr>
            <w:tcW w:w="1809" w:type="dxa"/>
            <w:vAlign w:val="center"/>
          </w:tcPr>
          <w:p w:rsidR="00C8691F" w:rsidRPr="004852E8" w:rsidRDefault="00C8691F" w:rsidP="00EE2A83">
            <w:pPr>
              <w:rPr>
                <w:rFonts w:ascii="Arial" w:hAnsi="Arial" w:cs="Arial"/>
                <w:b/>
                <w:sz w:val="20"/>
                <w:szCs w:val="20"/>
              </w:rPr>
            </w:pPr>
            <w:r w:rsidRPr="004852E8">
              <w:rPr>
                <w:rFonts w:ascii="Arial" w:hAnsi="Arial" w:cs="Arial"/>
                <w:b/>
                <w:sz w:val="20"/>
                <w:szCs w:val="20"/>
              </w:rPr>
              <w:t>Relevance</w:t>
            </w:r>
          </w:p>
        </w:tc>
        <w:tc>
          <w:tcPr>
            <w:tcW w:w="3402" w:type="dxa"/>
          </w:tcPr>
          <w:p w:rsidR="00C8691F" w:rsidRPr="005354C8" w:rsidRDefault="00C8691F" w:rsidP="00EE2A83">
            <w:pPr>
              <w:spacing w:before="120" w:after="120"/>
              <w:rPr>
                <w:rFonts w:ascii="Arial" w:hAnsi="Arial" w:cs="Arial"/>
                <w:color w:val="00B050"/>
                <w:sz w:val="20"/>
                <w:szCs w:val="20"/>
              </w:rPr>
            </w:pPr>
            <w:r w:rsidRPr="005354C8">
              <w:rPr>
                <w:rFonts w:ascii="Arial" w:hAnsi="Arial" w:cs="Arial"/>
                <w:color w:val="00B050"/>
                <w:sz w:val="20"/>
                <w:szCs w:val="20"/>
              </w:rPr>
              <w:t xml:space="preserve">+ All variables have a strong theoretical / intuitive link to healthcare need </w:t>
            </w:r>
          </w:p>
        </w:tc>
        <w:tc>
          <w:tcPr>
            <w:tcW w:w="3828" w:type="dxa"/>
          </w:tcPr>
          <w:p w:rsidR="00C8691F" w:rsidRPr="005354C8" w:rsidRDefault="00C8691F" w:rsidP="00EE2A83">
            <w:pPr>
              <w:spacing w:before="120" w:after="120"/>
              <w:rPr>
                <w:rFonts w:ascii="Arial" w:hAnsi="Arial" w:cs="Arial"/>
                <w:color w:val="00B050"/>
                <w:sz w:val="20"/>
                <w:szCs w:val="20"/>
              </w:rPr>
            </w:pPr>
            <w:r w:rsidRPr="005354C8">
              <w:rPr>
                <w:rFonts w:ascii="Arial" w:hAnsi="Arial" w:cs="Arial"/>
                <w:color w:val="00B050"/>
                <w:sz w:val="20"/>
                <w:szCs w:val="20"/>
              </w:rPr>
              <w:t>+ All variables have a strong theoretical / intuitive link to healthcare need</w:t>
            </w:r>
          </w:p>
        </w:tc>
      </w:tr>
      <w:tr w:rsidR="00C8691F" w:rsidTr="00A86572">
        <w:trPr>
          <w:cantSplit/>
          <w:trHeight w:val="454"/>
        </w:trPr>
        <w:tc>
          <w:tcPr>
            <w:tcW w:w="1809" w:type="dxa"/>
            <w:vAlign w:val="center"/>
          </w:tcPr>
          <w:p w:rsidR="00C8691F" w:rsidRPr="004852E8" w:rsidRDefault="00C8691F" w:rsidP="00EE2A83">
            <w:pPr>
              <w:rPr>
                <w:rFonts w:ascii="Arial" w:hAnsi="Arial" w:cs="Arial"/>
                <w:b/>
                <w:sz w:val="20"/>
                <w:szCs w:val="20"/>
              </w:rPr>
            </w:pPr>
            <w:r w:rsidRPr="004852E8">
              <w:rPr>
                <w:rFonts w:ascii="Arial" w:hAnsi="Arial" w:cs="Arial"/>
                <w:b/>
                <w:sz w:val="20"/>
                <w:szCs w:val="20"/>
              </w:rPr>
              <w:t>Stability</w:t>
            </w:r>
          </w:p>
        </w:tc>
        <w:tc>
          <w:tcPr>
            <w:tcW w:w="3402" w:type="dxa"/>
          </w:tcPr>
          <w:p w:rsidR="00C8691F" w:rsidRPr="004E1530" w:rsidRDefault="00C8691F" w:rsidP="00EE2A83">
            <w:pPr>
              <w:spacing w:before="120" w:after="120"/>
              <w:rPr>
                <w:rFonts w:ascii="Arial" w:hAnsi="Arial" w:cs="Arial"/>
                <w:color w:val="00B050"/>
                <w:sz w:val="20"/>
                <w:szCs w:val="20"/>
              </w:rPr>
            </w:pPr>
            <w:r>
              <w:rPr>
                <w:rFonts w:ascii="Arial" w:hAnsi="Arial" w:cs="Arial"/>
                <w:color w:val="00B050"/>
                <w:sz w:val="20"/>
                <w:szCs w:val="20"/>
              </w:rPr>
              <w:t>+ Keeping the current index would result in minimal changes to the target shares.</w:t>
            </w:r>
          </w:p>
        </w:tc>
        <w:tc>
          <w:tcPr>
            <w:tcW w:w="3828" w:type="dxa"/>
          </w:tcPr>
          <w:p w:rsidR="00C8691F" w:rsidRPr="005354C8" w:rsidRDefault="00C8691F" w:rsidP="00A13EBB">
            <w:pPr>
              <w:spacing w:before="120" w:after="120"/>
              <w:rPr>
                <w:rFonts w:ascii="Arial" w:hAnsi="Arial" w:cs="Arial"/>
                <w:color w:val="FF0000"/>
                <w:sz w:val="20"/>
                <w:szCs w:val="20"/>
              </w:rPr>
            </w:pPr>
          </w:p>
        </w:tc>
      </w:tr>
      <w:tr w:rsidR="00C8691F" w:rsidTr="00A86572">
        <w:trPr>
          <w:cantSplit/>
          <w:trHeight w:val="454"/>
        </w:trPr>
        <w:tc>
          <w:tcPr>
            <w:tcW w:w="1809" w:type="dxa"/>
            <w:vAlign w:val="center"/>
          </w:tcPr>
          <w:p w:rsidR="00C8691F" w:rsidRPr="004852E8" w:rsidRDefault="00C8691F" w:rsidP="00EE2A83">
            <w:pPr>
              <w:rPr>
                <w:rFonts w:ascii="Arial" w:hAnsi="Arial" w:cs="Arial"/>
                <w:b/>
                <w:sz w:val="20"/>
                <w:szCs w:val="20"/>
              </w:rPr>
            </w:pPr>
            <w:r w:rsidRPr="004852E8">
              <w:rPr>
                <w:rFonts w:ascii="Arial" w:hAnsi="Arial" w:cs="Arial"/>
                <w:b/>
                <w:sz w:val="20"/>
                <w:szCs w:val="20"/>
              </w:rPr>
              <w:t>Responsiveness</w:t>
            </w:r>
          </w:p>
        </w:tc>
        <w:tc>
          <w:tcPr>
            <w:tcW w:w="3402" w:type="dxa"/>
          </w:tcPr>
          <w:p w:rsidR="00C8691F" w:rsidRPr="004852E8" w:rsidRDefault="00C8691F" w:rsidP="00EE2A83">
            <w:pPr>
              <w:spacing w:before="120" w:after="120"/>
              <w:rPr>
                <w:rFonts w:ascii="Arial" w:hAnsi="Arial" w:cs="Arial"/>
                <w:sz w:val="20"/>
                <w:szCs w:val="20"/>
              </w:rPr>
            </w:pPr>
          </w:p>
        </w:tc>
        <w:tc>
          <w:tcPr>
            <w:tcW w:w="3828" w:type="dxa"/>
          </w:tcPr>
          <w:p w:rsidR="00C8691F" w:rsidRDefault="00C8691F" w:rsidP="00EE2A83">
            <w:pPr>
              <w:spacing w:before="120" w:after="120"/>
              <w:rPr>
                <w:rFonts w:ascii="Arial" w:hAnsi="Arial" w:cs="Arial"/>
                <w:color w:val="FF0000"/>
                <w:sz w:val="20"/>
                <w:szCs w:val="20"/>
              </w:rPr>
            </w:pPr>
            <w:r w:rsidRPr="005354C8">
              <w:rPr>
                <w:rFonts w:ascii="Arial" w:hAnsi="Arial" w:cs="Arial"/>
                <w:color w:val="FF0000"/>
                <w:sz w:val="20"/>
                <w:szCs w:val="20"/>
              </w:rPr>
              <w:t xml:space="preserve">- </w:t>
            </w:r>
            <w:r w:rsidR="00D75633">
              <w:rPr>
                <w:rFonts w:ascii="Arial" w:hAnsi="Arial" w:cs="Arial"/>
                <w:color w:val="FF0000"/>
                <w:sz w:val="20"/>
                <w:szCs w:val="20"/>
              </w:rPr>
              <w:t>E</w:t>
            </w:r>
            <w:r w:rsidRPr="005354C8">
              <w:rPr>
                <w:rFonts w:ascii="Arial" w:hAnsi="Arial" w:cs="Arial"/>
                <w:color w:val="FF0000"/>
                <w:sz w:val="20"/>
                <w:szCs w:val="20"/>
              </w:rPr>
              <w:t xml:space="preserve">thnic group demographics </w:t>
            </w:r>
            <w:r w:rsidR="00D75633">
              <w:rPr>
                <w:rFonts w:ascii="Arial" w:hAnsi="Arial" w:cs="Arial"/>
                <w:color w:val="FF0000"/>
                <w:sz w:val="20"/>
                <w:szCs w:val="20"/>
              </w:rPr>
              <w:t xml:space="preserve">may </w:t>
            </w:r>
            <w:r w:rsidRPr="005354C8">
              <w:rPr>
                <w:rFonts w:ascii="Arial" w:hAnsi="Arial" w:cs="Arial"/>
                <w:color w:val="FF0000"/>
                <w:sz w:val="20"/>
                <w:szCs w:val="20"/>
              </w:rPr>
              <w:t>change more rapidly than can be captured a</w:t>
            </w:r>
            <w:r w:rsidR="00D75633">
              <w:rPr>
                <w:rFonts w:ascii="Arial" w:hAnsi="Arial" w:cs="Arial"/>
                <w:color w:val="FF0000"/>
                <w:sz w:val="20"/>
                <w:szCs w:val="20"/>
              </w:rPr>
              <w:t>dequately by a 10-yearly census</w:t>
            </w:r>
            <w:r w:rsidR="005A2EE0">
              <w:rPr>
                <w:rFonts w:ascii="Arial" w:hAnsi="Arial" w:cs="Arial"/>
                <w:color w:val="FF0000"/>
                <w:sz w:val="20"/>
                <w:szCs w:val="20"/>
              </w:rPr>
              <w:t>;</w:t>
            </w:r>
            <w:r w:rsidR="00D75633">
              <w:rPr>
                <w:rFonts w:ascii="Arial" w:hAnsi="Arial" w:cs="Arial"/>
                <w:color w:val="FF0000"/>
                <w:sz w:val="20"/>
                <w:szCs w:val="20"/>
              </w:rPr>
              <w:t xml:space="preserve"> for </w:t>
            </w:r>
            <w:r w:rsidR="005A2EE0">
              <w:rPr>
                <w:rFonts w:ascii="Arial" w:hAnsi="Arial" w:cs="Arial"/>
                <w:color w:val="FF0000"/>
                <w:sz w:val="20"/>
                <w:szCs w:val="20"/>
              </w:rPr>
              <w:t>example,</w:t>
            </w:r>
            <w:r w:rsidR="00D75633">
              <w:rPr>
                <w:rFonts w:ascii="Arial" w:hAnsi="Arial" w:cs="Arial"/>
                <w:color w:val="FF0000"/>
                <w:sz w:val="20"/>
                <w:szCs w:val="20"/>
              </w:rPr>
              <w:t xml:space="preserve"> in relation to possible political change such as changes in policy on immigration and asylum, or exit from the EU.</w:t>
            </w:r>
          </w:p>
          <w:p w:rsidR="00D75633" w:rsidRPr="005354C8" w:rsidRDefault="00D75633" w:rsidP="00E52B1F">
            <w:pPr>
              <w:spacing w:before="120" w:after="120"/>
              <w:rPr>
                <w:rFonts w:ascii="Arial" w:hAnsi="Arial" w:cs="Arial"/>
                <w:color w:val="FF0000"/>
                <w:sz w:val="20"/>
                <w:szCs w:val="20"/>
              </w:rPr>
            </w:pPr>
            <w:r>
              <w:rPr>
                <w:rFonts w:ascii="Arial" w:hAnsi="Arial" w:cs="Arial"/>
                <w:color w:val="FF0000"/>
                <w:sz w:val="20"/>
                <w:szCs w:val="20"/>
              </w:rPr>
              <w:t>- The relative healthcare need of the different ethnic groups may change over time</w:t>
            </w:r>
            <w:r w:rsidR="00E67034">
              <w:rPr>
                <w:rFonts w:ascii="Arial" w:hAnsi="Arial" w:cs="Arial"/>
                <w:color w:val="FF0000"/>
                <w:sz w:val="20"/>
                <w:szCs w:val="20"/>
              </w:rPr>
              <w:t>, due to (for example) education, programmes to reduce inequity, and generational cultural change</w:t>
            </w:r>
            <w:r>
              <w:rPr>
                <w:rFonts w:ascii="Arial" w:hAnsi="Arial" w:cs="Arial"/>
                <w:color w:val="FF0000"/>
                <w:sz w:val="20"/>
                <w:szCs w:val="20"/>
              </w:rPr>
              <w:t>.</w:t>
            </w:r>
          </w:p>
        </w:tc>
      </w:tr>
      <w:tr w:rsidR="00C8691F" w:rsidTr="00A86572">
        <w:trPr>
          <w:cantSplit/>
          <w:trHeight w:val="454"/>
        </w:trPr>
        <w:tc>
          <w:tcPr>
            <w:tcW w:w="1809" w:type="dxa"/>
            <w:vAlign w:val="center"/>
          </w:tcPr>
          <w:p w:rsidR="00C8691F" w:rsidRPr="004852E8" w:rsidRDefault="00C8691F" w:rsidP="00EE2A83">
            <w:pPr>
              <w:rPr>
                <w:rFonts w:ascii="Arial" w:hAnsi="Arial" w:cs="Arial"/>
                <w:b/>
                <w:sz w:val="20"/>
                <w:szCs w:val="20"/>
              </w:rPr>
            </w:pPr>
            <w:r w:rsidRPr="004852E8">
              <w:rPr>
                <w:rFonts w:ascii="Arial" w:hAnsi="Arial" w:cs="Arial"/>
                <w:b/>
                <w:sz w:val="20"/>
                <w:szCs w:val="20"/>
              </w:rPr>
              <w:t>Face Validity</w:t>
            </w:r>
          </w:p>
        </w:tc>
        <w:tc>
          <w:tcPr>
            <w:tcW w:w="3402" w:type="dxa"/>
          </w:tcPr>
          <w:p w:rsidR="00C8691F" w:rsidRPr="004852E8" w:rsidRDefault="00C8691F" w:rsidP="00EE2A83">
            <w:pPr>
              <w:spacing w:before="120" w:after="120"/>
              <w:rPr>
                <w:rFonts w:ascii="Arial" w:hAnsi="Arial" w:cs="Arial"/>
                <w:sz w:val="20"/>
                <w:szCs w:val="20"/>
              </w:rPr>
            </w:pPr>
            <w:r w:rsidRPr="005354C8">
              <w:rPr>
                <w:rFonts w:ascii="Arial" w:hAnsi="Arial" w:cs="Arial"/>
                <w:color w:val="00B050"/>
                <w:sz w:val="20"/>
                <w:szCs w:val="20"/>
              </w:rPr>
              <w:t xml:space="preserve">+ </w:t>
            </w:r>
            <w:r>
              <w:rPr>
                <w:rFonts w:ascii="Arial" w:hAnsi="Arial" w:cs="Arial"/>
                <w:color w:val="00B050"/>
                <w:sz w:val="20"/>
                <w:szCs w:val="20"/>
              </w:rPr>
              <w:t>Since this is the current index, it has already been accepted and explained</w:t>
            </w:r>
          </w:p>
        </w:tc>
        <w:tc>
          <w:tcPr>
            <w:tcW w:w="3828" w:type="dxa"/>
          </w:tcPr>
          <w:p w:rsidR="00C8691F" w:rsidRPr="005354C8" w:rsidRDefault="00C8691F" w:rsidP="00EE2A83">
            <w:pPr>
              <w:spacing w:before="120" w:after="120"/>
              <w:rPr>
                <w:rFonts w:ascii="Arial" w:hAnsi="Arial" w:cs="Arial"/>
                <w:color w:val="00B050"/>
                <w:sz w:val="20"/>
                <w:szCs w:val="20"/>
              </w:rPr>
            </w:pPr>
            <w:r w:rsidRPr="005354C8">
              <w:rPr>
                <w:rFonts w:ascii="Arial" w:hAnsi="Arial" w:cs="Arial"/>
                <w:color w:val="00B050"/>
                <w:sz w:val="20"/>
                <w:szCs w:val="20"/>
              </w:rPr>
              <w:t>+ The processes through which these variables influence healthcare needs are well evidenced and understood</w:t>
            </w:r>
          </w:p>
        </w:tc>
      </w:tr>
      <w:tr w:rsidR="00C8691F" w:rsidRPr="005354C8" w:rsidTr="00A86572">
        <w:trPr>
          <w:cantSplit/>
          <w:trHeight w:val="454"/>
        </w:trPr>
        <w:tc>
          <w:tcPr>
            <w:tcW w:w="1809" w:type="dxa"/>
            <w:vAlign w:val="center"/>
          </w:tcPr>
          <w:p w:rsidR="00C8691F" w:rsidRPr="005354C8" w:rsidRDefault="00C8691F" w:rsidP="00EE2A83">
            <w:pPr>
              <w:rPr>
                <w:rFonts w:ascii="Arial" w:hAnsi="Arial" w:cs="Arial"/>
                <w:b/>
                <w:i/>
                <w:sz w:val="20"/>
                <w:szCs w:val="20"/>
              </w:rPr>
            </w:pPr>
            <w:r w:rsidRPr="005354C8">
              <w:rPr>
                <w:rFonts w:ascii="Arial" w:hAnsi="Arial" w:cs="Arial"/>
                <w:b/>
                <w:i/>
                <w:sz w:val="20"/>
                <w:szCs w:val="20"/>
              </w:rPr>
              <w:t>Overall evaluation</w:t>
            </w:r>
          </w:p>
        </w:tc>
        <w:tc>
          <w:tcPr>
            <w:tcW w:w="3402" w:type="dxa"/>
          </w:tcPr>
          <w:p w:rsidR="00C8691F" w:rsidRPr="005354C8" w:rsidRDefault="00C8691F" w:rsidP="00EE2A83">
            <w:pPr>
              <w:spacing w:before="120" w:after="120"/>
              <w:jc w:val="center"/>
              <w:rPr>
                <w:rFonts w:ascii="Arial" w:hAnsi="Arial" w:cs="Arial"/>
                <w:sz w:val="20"/>
                <w:szCs w:val="20"/>
              </w:rPr>
            </w:pPr>
            <w:r w:rsidRPr="005354C8">
              <w:rPr>
                <w:rFonts w:ascii="Arial" w:hAnsi="Arial" w:cs="Arial"/>
                <w:sz w:val="20"/>
                <w:szCs w:val="20"/>
              </w:rPr>
              <w:t>+ +</w:t>
            </w:r>
            <w:r>
              <w:rPr>
                <w:rFonts w:ascii="Arial" w:hAnsi="Arial" w:cs="Arial"/>
                <w:sz w:val="20"/>
                <w:szCs w:val="20"/>
              </w:rPr>
              <w:t xml:space="preserve"> + +</w:t>
            </w:r>
            <w:r w:rsidR="007521C6">
              <w:rPr>
                <w:rFonts w:ascii="Arial" w:hAnsi="Arial" w:cs="Arial"/>
                <w:sz w:val="20"/>
                <w:szCs w:val="20"/>
              </w:rPr>
              <w:t xml:space="preserve"> </w:t>
            </w:r>
          </w:p>
        </w:tc>
        <w:tc>
          <w:tcPr>
            <w:tcW w:w="3828" w:type="dxa"/>
          </w:tcPr>
          <w:p w:rsidR="00C8691F" w:rsidRPr="005354C8" w:rsidRDefault="00C8691F" w:rsidP="00EE2A83">
            <w:pPr>
              <w:spacing w:before="120" w:after="120"/>
              <w:jc w:val="center"/>
              <w:rPr>
                <w:rFonts w:ascii="Arial" w:hAnsi="Arial" w:cs="Arial"/>
                <w:sz w:val="20"/>
                <w:szCs w:val="20"/>
              </w:rPr>
            </w:pPr>
            <w:r w:rsidRPr="005354C8">
              <w:rPr>
                <w:rFonts w:ascii="Arial" w:hAnsi="Arial" w:cs="Arial"/>
                <w:sz w:val="20"/>
                <w:szCs w:val="20"/>
              </w:rPr>
              <w:t>+</w:t>
            </w:r>
            <w:r w:rsidR="00E67034">
              <w:rPr>
                <w:rFonts w:ascii="Arial" w:hAnsi="Arial" w:cs="Arial"/>
                <w:sz w:val="20"/>
                <w:szCs w:val="20"/>
              </w:rPr>
              <w:t xml:space="preserve"> +</w:t>
            </w:r>
            <w:r>
              <w:rPr>
                <w:rFonts w:ascii="Arial" w:hAnsi="Arial" w:cs="Arial"/>
                <w:sz w:val="20"/>
                <w:szCs w:val="20"/>
              </w:rPr>
              <w:t xml:space="preserve"> + </w:t>
            </w:r>
            <w:r w:rsidRPr="005354C8">
              <w:rPr>
                <w:rFonts w:ascii="Arial" w:hAnsi="Arial" w:cs="Arial"/>
                <w:sz w:val="20"/>
                <w:szCs w:val="20"/>
              </w:rPr>
              <w:t>-</w:t>
            </w:r>
            <w:r w:rsidR="005A2EE0">
              <w:rPr>
                <w:rFonts w:ascii="Arial" w:hAnsi="Arial" w:cs="Arial"/>
                <w:sz w:val="20"/>
                <w:szCs w:val="20"/>
              </w:rPr>
              <w:t xml:space="preserve"> - -</w:t>
            </w:r>
            <w:r w:rsidR="005E7586">
              <w:rPr>
                <w:rFonts w:ascii="Arial" w:hAnsi="Arial" w:cs="Arial"/>
                <w:sz w:val="20"/>
                <w:szCs w:val="20"/>
              </w:rPr>
              <w:t xml:space="preserve"> </w:t>
            </w:r>
          </w:p>
        </w:tc>
      </w:tr>
    </w:tbl>
    <w:p w:rsidR="006229E4" w:rsidRDefault="006229E4" w:rsidP="009B569D">
      <w:pPr>
        <w:spacing w:after="240" w:line="276" w:lineRule="auto"/>
        <w:jc w:val="both"/>
        <w:rPr>
          <w:rFonts w:ascii="Arial" w:hAnsi="Arial" w:cs="Arial"/>
        </w:rPr>
      </w:pPr>
    </w:p>
    <w:sectPr w:rsidR="006229E4" w:rsidSect="00AE1B8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034" w:rsidRDefault="00E67034" w:rsidP="00D73F88">
      <w:pPr>
        <w:spacing w:after="0" w:line="240" w:lineRule="auto"/>
      </w:pPr>
      <w:r>
        <w:separator/>
      </w:r>
    </w:p>
  </w:endnote>
  <w:endnote w:type="continuationSeparator" w:id="0">
    <w:p w:rsidR="00E67034" w:rsidRDefault="00E67034" w:rsidP="00D73F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3125"/>
      <w:docPartObj>
        <w:docPartGallery w:val="Page Numbers (Bottom of Page)"/>
        <w:docPartUnique/>
      </w:docPartObj>
    </w:sdtPr>
    <w:sdtContent>
      <w:p w:rsidR="00E67034" w:rsidRDefault="00967018">
        <w:pPr>
          <w:pStyle w:val="Footer"/>
          <w:jc w:val="center"/>
        </w:pPr>
        <w:fldSimple w:instr=" PAGE   \* MERGEFORMAT ">
          <w:r w:rsidR="00A13EBB">
            <w:rPr>
              <w:noProof/>
            </w:rPr>
            <w:t>5</w:t>
          </w:r>
        </w:fldSimple>
      </w:p>
    </w:sdtContent>
  </w:sdt>
  <w:p w:rsidR="00E67034" w:rsidRDefault="00E670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034" w:rsidRDefault="00E67034" w:rsidP="00D73F88">
      <w:pPr>
        <w:spacing w:after="0" w:line="240" w:lineRule="auto"/>
      </w:pPr>
      <w:r>
        <w:separator/>
      </w:r>
    </w:p>
  </w:footnote>
  <w:footnote w:type="continuationSeparator" w:id="0">
    <w:p w:rsidR="00E67034" w:rsidRDefault="00E67034" w:rsidP="00D73F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034" w:rsidRPr="0097225D" w:rsidRDefault="00E67034" w:rsidP="0062496E">
    <w:pPr>
      <w:pStyle w:val="Header"/>
      <w:jc w:val="right"/>
      <w:rPr>
        <w:rFonts w:ascii="Arial" w:hAnsi="Arial" w:cs="Arial"/>
        <w:i/>
      </w:rPr>
    </w:pPr>
    <w:r w:rsidRPr="0097225D">
      <w:rPr>
        <w:rFonts w:ascii="Arial" w:hAnsi="Arial" w:cs="Arial"/>
        <w:i/>
      </w:rPr>
      <w:t>TAMLC</w:t>
    </w:r>
    <w:r w:rsidR="00E52B1F">
      <w:rPr>
        <w:rFonts w:ascii="Arial" w:hAnsi="Arial" w:cs="Arial"/>
        <w:i/>
      </w:rPr>
      <w:t>53</w:t>
    </w:r>
  </w:p>
  <w:p w:rsidR="00E67034" w:rsidRDefault="00E670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B1101"/>
    <w:multiLevelType w:val="hybridMultilevel"/>
    <w:tmpl w:val="0AC0A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296D3B"/>
    <w:multiLevelType w:val="hybridMultilevel"/>
    <w:tmpl w:val="7B7A5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AF0D29"/>
    <w:multiLevelType w:val="hybridMultilevel"/>
    <w:tmpl w:val="1FEAB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8F32658"/>
    <w:multiLevelType w:val="hybridMultilevel"/>
    <w:tmpl w:val="14788DA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2A065834"/>
    <w:multiLevelType w:val="hybridMultilevel"/>
    <w:tmpl w:val="6BA4F9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BB32709"/>
    <w:multiLevelType w:val="hybridMultilevel"/>
    <w:tmpl w:val="73700D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84F6FDC"/>
    <w:multiLevelType w:val="hybridMultilevel"/>
    <w:tmpl w:val="7D6AF2D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43B00853"/>
    <w:multiLevelType w:val="multilevel"/>
    <w:tmpl w:val="F22E8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7CE69B6"/>
    <w:multiLevelType w:val="hybridMultilevel"/>
    <w:tmpl w:val="46A456EA"/>
    <w:lvl w:ilvl="0" w:tplc="C88C23EA">
      <w:start w:val="5"/>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AB24C29"/>
    <w:multiLevelType w:val="hybridMultilevel"/>
    <w:tmpl w:val="21AE5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E5C6D86"/>
    <w:multiLevelType w:val="hybridMultilevel"/>
    <w:tmpl w:val="EFA09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F315BDD"/>
    <w:multiLevelType w:val="hybridMultilevel"/>
    <w:tmpl w:val="EBA00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1A56C37"/>
    <w:multiLevelType w:val="hybridMultilevel"/>
    <w:tmpl w:val="AFAA821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2222A1A"/>
    <w:multiLevelType w:val="hybridMultilevel"/>
    <w:tmpl w:val="C5526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287576C"/>
    <w:multiLevelType w:val="hybridMultilevel"/>
    <w:tmpl w:val="35E4FE0E"/>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52AA7930"/>
    <w:multiLevelType w:val="hybridMultilevel"/>
    <w:tmpl w:val="03BA7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599217F"/>
    <w:multiLevelType w:val="hybridMultilevel"/>
    <w:tmpl w:val="47D28FD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nsid w:val="57DC5B58"/>
    <w:multiLevelType w:val="hybridMultilevel"/>
    <w:tmpl w:val="1CECF4F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nsid w:val="5A443131"/>
    <w:multiLevelType w:val="hybridMultilevel"/>
    <w:tmpl w:val="F7984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BAF5F72"/>
    <w:multiLevelType w:val="hybridMultilevel"/>
    <w:tmpl w:val="CB02B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031664B"/>
    <w:multiLevelType w:val="hybridMultilevel"/>
    <w:tmpl w:val="14788DA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73595DB1"/>
    <w:multiLevelType w:val="hybridMultilevel"/>
    <w:tmpl w:val="7D6AF2D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nsid w:val="73E739AD"/>
    <w:multiLevelType w:val="hybridMultilevel"/>
    <w:tmpl w:val="7178A8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5B61382"/>
    <w:multiLevelType w:val="hybridMultilevel"/>
    <w:tmpl w:val="2F7E813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nsid w:val="7EE4371C"/>
    <w:multiLevelType w:val="hybridMultilevel"/>
    <w:tmpl w:val="7B863DC8"/>
    <w:lvl w:ilvl="0" w:tplc="4FE442FE">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F401443"/>
    <w:multiLevelType w:val="hybridMultilevel"/>
    <w:tmpl w:val="12CEE83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nsid w:val="7F7E537A"/>
    <w:multiLevelType w:val="hybridMultilevel"/>
    <w:tmpl w:val="5CE065AC"/>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7">
    <w:nsid w:val="7FE53916"/>
    <w:multiLevelType w:val="hybridMultilevel"/>
    <w:tmpl w:val="61B00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12"/>
  </w:num>
  <w:num w:numId="4">
    <w:abstractNumId w:val="14"/>
  </w:num>
  <w:num w:numId="5">
    <w:abstractNumId w:val="23"/>
  </w:num>
  <w:num w:numId="6">
    <w:abstractNumId w:val="16"/>
  </w:num>
  <w:num w:numId="7">
    <w:abstractNumId w:val="6"/>
  </w:num>
  <w:num w:numId="8">
    <w:abstractNumId w:val="21"/>
  </w:num>
  <w:num w:numId="9">
    <w:abstractNumId w:val="20"/>
  </w:num>
  <w:num w:numId="10">
    <w:abstractNumId w:val="25"/>
  </w:num>
  <w:num w:numId="11">
    <w:abstractNumId w:val="27"/>
  </w:num>
  <w:num w:numId="12">
    <w:abstractNumId w:val="26"/>
  </w:num>
  <w:num w:numId="13">
    <w:abstractNumId w:val="19"/>
  </w:num>
  <w:num w:numId="14">
    <w:abstractNumId w:val="24"/>
  </w:num>
  <w:num w:numId="15">
    <w:abstractNumId w:val="0"/>
  </w:num>
  <w:num w:numId="16">
    <w:abstractNumId w:val="15"/>
  </w:num>
  <w:num w:numId="17">
    <w:abstractNumId w:val="4"/>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7"/>
  </w:num>
  <w:num w:numId="22">
    <w:abstractNumId w:val="5"/>
  </w:num>
  <w:num w:numId="23">
    <w:abstractNumId w:val="2"/>
  </w:num>
  <w:num w:numId="24">
    <w:abstractNumId w:val="9"/>
  </w:num>
  <w:num w:numId="25">
    <w:abstractNumId w:val="10"/>
  </w:num>
  <w:num w:numId="26">
    <w:abstractNumId w:val="11"/>
  </w:num>
  <w:num w:numId="27">
    <w:abstractNumId w:val="13"/>
  </w:num>
  <w:num w:numId="2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A3452"/>
    <w:rsid w:val="00005F0E"/>
    <w:rsid w:val="00006EB9"/>
    <w:rsid w:val="000102D8"/>
    <w:rsid w:val="00011107"/>
    <w:rsid w:val="000121E1"/>
    <w:rsid w:val="00012889"/>
    <w:rsid w:val="00015352"/>
    <w:rsid w:val="00025C70"/>
    <w:rsid w:val="0002663C"/>
    <w:rsid w:val="00030CF4"/>
    <w:rsid w:val="00030D18"/>
    <w:rsid w:val="00041BFB"/>
    <w:rsid w:val="00043EA9"/>
    <w:rsid w:val="0004471D"/>
    <w:rsid w:val="00047FC5"/>
    <w:rsid w:val="00051794"/>
    <w:rsid w:val="00052F4E"/>
    <w:rsid w:val="000646BB"/>
    <w:rsid w:val="00070160"/>
    <w:rsid w:val="00070941"/>
    <w:rsid w:val="00075D13"/>
    <w:rsid w:val="00080016"/>
    <w:rsid w:val="000834E0"/>
    <w:rsid w:val="000855AE"/>
    <w:rsid w:val="00096969"/>
    <w:rsid w:val="000973AE"/>
    <w:rsid w:val="000A0196"/>
    <w:rsid w:val="000A02F3"/>
    <w:rsid w:val="000A4CE3"/>
    <w:rsid w:val="000A6310"/>
    <w:rsid w:val="000B7CF7"/>
    <w:rsid w:val="000D448A"/>
    <w:rsid w:val="000D5DA6"/>
    <w:rsid w:val="000E0E93"/>
    <w:rsid w:val="000E10A6"/>
    <w:rsid w:val="000E2213"/>
    <w:rsid w:val="000E31F8"/>
    <w:rsid w:val="000F2681"/>
    <w:rsid w:val="00106A07"/>
    <w:rsid w:val="00111860"/>
    <w:rsid w:val="00112A00"/>
    <w:rsid w:val="00113A16"/>
    <w:rsid w:val="00113AE0"/>
    <w:rsid w:val="0011522A"/>
    <w:rsid w:val="00115406"/>
    <w:rsid w:val="001161CC"/>
    <w:rsid w:val="00116324"/>
    <w:rsid w:val="00120A10"/>
    <w:rsid w:val="0013016D"/>
    <w:rsid w:val="001333E1"/>
    <w:rsid w:val="00136ADC"/>
    <w:rsid w:val="001430E1"/>
    <w:rsid w:val="00146322"/>
    <w:rsid w:val="00152D21"/>
    <w:rsid w:val="001537F0"/>
    <w:rsid w:val="001537FB"/>
    <w:rsid w:val="00154170"/>
    <w:rsid w:val="001552D2"/>
    <w:rsid w:val="001561F2"/>
    <w:rsid w:val="001573B2"/>
    <w:rsid w:val="0017016E"/>
    <w:rsid w:val="001742B7"/>
    <w:rsid w:val="0017495F"/>
    <w:rsid w:val="00176B1E"/>
    <w:rsid w:val="001770F6"/>
    <w:rsid w:val="00183237"/>
    <w:rsid w:val="00186620"/>
    <w:rsid w:val="00192003"/>
    <w:rsid w:val="0019461B"/>
    <w:rsid w:val="0019487B"/>
    <w:rsid w:val="001949B6"/>
    <w:rsid w:val="00197040"/>
    <w:rsid w:val="001A2ED2"/>
    <w:rsid w:val="001A3452"/>
    <w:rsid w:val="001A5295"/>
    <w:rsid w:val="001A5C1D"/>
    <w:rsid w:val="001B20BB"/>
    <w:rsid w:val="001B218D"/>
    <w:rsid w:val="001B2967"/>
    <w:rsid w:val="001B41FE"/>
    <w:rsid w:val="001C6294"/>
    <w:rsid w:val="001C77E4"/>
    <w:rsid w:val="001D00F6"/>
    <w:rsid w:val="001D30E7"/>
    <w:rsid w:val="001E575B"/>
    <w:rsid w:val="001E600A"/>
    <w:rsid w:val="001F1105"/>
    <w:rsid w:val="001F11D1"/>
    <w:rsid w:val="00200E86"/>
    <w:rsid w:val="00203088"/>
    <w:rsid w:val="00204AA3"/>
    <w:rsid w:val="002071A9"/>
    <w:rsid w:val="00214CAB"/>
    <w:rsid w:val="00217F18"/>
    <w:rsid w:val="0022071D"/>
    <w:rsid w:val="00221787"/>
    <w:rsid w:val="00223358"/>
    <w:rsid w:val="00224782"/>
    <w:rsid w:val="002348A3"/>
    <w:rsid w:val="00235E23"/>
    <w:rsid w:val="00240109"/>
    <w:rsid w:val="002534FD"/>
    <w:rsid w:val="002557A4"/>
    <w:rsid w:val="002609D8"/>
    <w:rsid w:val="00262811"/>
    <w:rsid w:val="002653DB"/>
    <w:rsid w:val="00267F82"/>
    <w:rsid w:val="00272FAE"/>
    <w:rsid w:val="002753D8"/>
    <w:rsid w:val="002801AB"/>
    <w:rsid w:val="00282CB0"/>
    <w:rsid w:val="002846BC"/>
    <w:rsid w:val="00291E67"/>
    <w:rsid w:val="00292616"/>
    <w:rsid w:val="002A14C8"/>
    <w:rsid w:val="002A2E41"/>
    <w:rsid w:val="002A3A19"/>
    <w:rsid w:val="002A4227"/>
    <w:rsid w:val="002A5FBF"/>
    <w:rsid w:val="002A60DF"/>
    <w:rsid w:val="002B6B84"/>
    <w:rsid w:val="002C09EF"/>
    <w:rsid w:val="002C54F7"/>
    <w:rsid w:val="002C5EB6"/>
    <w:rsid w:val="002D23C6"/>
    <w:rsid w:val="002D4AE9"/>
    <w:rsid w:val="002D550A"/>
    <w:rsid w:val="002D7D33"/>
    <w:rsid w:val="002E0A32"/>
    <w:rsid w:val="002F1064"/>
    <w:rsid w:val="002F2E1C"/>
    <w:rsid w:val="0030071C"/>
    <w:rsid w:val="00304085"/>
    <w:rsid w:val="00306620"/>
    <w:rsid w:val="0033117A"/>
    <w:rsid w:val="0033134C"/>
    <w:rsid w:val="00333E4B"/>
    <w:rsid w:val="00334BE9"/>
    <w:rsid w:val="00335493"/>
    <w:rsid w:val="0034095A"/>
    <w:rsid w:val="0034156F"/>
    <w:rsid w:val="00342E2D"/>
    <w:rsid w:val="00343C59"/>
    <w:rsid w:val="003468DF"/>
    <w:rsid w:val="00347382"/>
    <w:rsid w:val="003579F2"/>
    <w:rsid w:val="00357D70"/>
    <w:rsid w:val="003644A3"/>
    <w:rsid w:val="0036608C"/>
    <w:rsid w:val="0036620D"/>
    <w:rsid w:val="00371BD8"/>
    <w:rsid w:val="00373223"/>
    <w:rsid w:val="003761C2"/>
    <w:rsid w:val="003865E0"/>
    <w:rsid w:val="003900E3"/>
    <w:rsid w:val="0039101E"/>
    <w:rsid w:val="003955DC"/>
    <w:rsid w:val="0039785F"/>
    <w:rsid w:val="003A1C26"/>
    <w:rsid w:val="003A6F9C"/>
    <w:rsid w:val="003B4465"/>
    <w:rsid w:val="003D2EE8"/>
    <w:rsid w:val="003D47DF"/>
    <w:rsid w:val="003D63A1"/>
    <w:rsid w:val="003D7984"/>
    <w:rsid w:val="003E2203"/>
    <w:rsid w:val="003E358F"/>
    <w:rsid w:val="003E4724"/>
    <w:rsid w:val="003E4A19"/>
    <w:rsid w:val="003E5C48"/>
    <w:rsid w:val="003F0593"/>
    <w:rsid w:val="003F2912"/>
    <w:rsid w:val="003F5EE5"/>
    <w:rsid w:val="003F7585"/>
    <w:rsid w:val="00400D7C"/>
    <w:rsid w:val="004032F7"/>
    <w:rsid w:val="004039BE"/>
    <w:rsid w:val="00405C8E"/>
    <w:rsid w:val="004063AA"/>
    <w:rsid w:val="00411DDE"/>
    <w:rsid w:val="00414099"/>
    <w:rsid w:val="00420F78"/>
    <w:rsid w:val="00423838"/>
    <w:rsid w:val="004360E9"/>
    <w:rsid w:val="00441109"/>
    <w:rsid w:val="004424D0"/>
    <w:rsid w:val="00442E23"/>
    <w:rsid w:val="00444D6A"/>
    <w:rsid w:val="0044517D"/>
    <w:rsid w:val="0044680A"/>
    <w:rsid w:val="0045112D"/>
    <w:rsid w:val="004521D1"/>
    <w:rsid w:val="0045608A"/>
    <w:rsid w:val="00463377"/>
    <w:rsid w:val="00463D32"/>
    <w:rsid w:val="00465641"/>
    <w:rsid w:val="0047067A"/>
    <w:rsid w:val="00473821"/>
    <w:rsid w:val="00473F73"/>
    <w:rsid w:val="0048151B"/>
    <w:rsid w:val="0048449B"/>
    <w:rsid w:val="004852E8"/>
    <w:rsid w:val="00487765"/>
    <w:rsid w:val="004903F3"/>
    <w:rsid w:val="004A0203"/>
    <w:rsid w:val="004A080A"/>
    <w:rsid w:val="004A3E66"/>
    <w:rsid w:val="004B01E1"/>
    <w:rsid w:val="004B3637"/>
    <w:rsid w:val="004B4316"/>
    <w:rsid w:val="004B590E"/>
    <w:rsid w:val="004B6681"/>
    <w:rsid w:val="004C0A64"/>
    <w:rsid w:val="004C52D3"/>
    <w:rsid w:val="004C6CE0"/>
    <w:rsid w:val="004D104C"/>
    <w:rsid w:val="004D13FA"/>
    <w:rsid w:val="004E0195"/>
    <w:rsid w:val="004E1530"/>
    <w:rsid w:val="004E6BA3"/>
    <w:rsid w:val="004E724F"/>
    <w:rsid w:val="004F3ECA"/>
    <w:rsid w:val="00501087"/>
    <w:rsid w:val="00503E65"/>
    <w:rsid w:val="005042A8"/>
    <w:rsid w:val="00504A72"/>
    <w:rsid w:val="005058AD"/>
    <w:rsid w:val="0051750A"/>
    <w:rsid w:val="00517590"/>
    <w:rsid w:val="00520476"/>
    <w:rsid w:val="00523024"/>
    <w:rsid w:val="005248C9"/>
    <w:rsid w:val="00525EDB"/>
    <w:rsid w:val="005279F8"/>
    <w:rsid w:val="005317F1"/>
    <w:rsid w:val="005354C8"/>
    <w:rsid w:val="0053648E"/>
    <w:rsid w:val="00540F94"/>
    <w:rsid w:val="00545BFA"/>
    <w:rsid w:val="00547919"/>
    <w:rsid w:val="00555603"/>
    <w:rsid w:val="005574C5"/>
    <w:rsid w:val="00560397"/>
    <w:rsid w:val="00561B16"/>
    <w:rsid w:val="00570CA1"/>
    <w:rsid w:val="00572434"/>
    <w:rsid w:val="00572C82"/>
    <w:rsid w:val="00577D09"/>
    <w:rsid w:val="00581D62"/>
    <w:rsid w:val="00582774"/>
    <w:rsid w:val="00587926"/>
    <w:rsid w:val="005935CC"/>
    <w:rsid w:val="00593834"/>
    <w:rsid w:val="005965FD"/>
    <w:rsid w:val="005A2EE0"/>
    <w:rsid w:val="005A6A7A"/>
    <w:rsid w:val="005A6C22"/>
    <w:rsid w:val="005B0B16"/>
    <w:rsid w:val="005B7A2F"/>
    <w:rsid w:val="005C3F6E"/>
    <w:rsid w:val="005C5693"/>
    <w:rsid w:val="005C6141"/>
    <w:rsid w:val="005C7B40"/>
    <w:rsid w:val="005C7B68"/>
    <w:rsid w:val="005D1DF7"/>
    <w:rsid w:val="005D1F34"/>
    <w:rsid w:val="005D421D"/>
    <w:rsid w:val="005D48BA"/>
    <w:rsid w:val="005E5F93"/>
    <w:rsid w:val="005E7586"/>
    <w:rsid w:val="005E7792"/>
    <w:rsid w:val="005F0C61"/>
    <w:rsid w:val="006002AD"/>
    <w:rsid w:val="00607B35"/>
    <w:rsid w:val="006135C0"/>
    <w:rsid w:val="00613D41"/>
    <w:rsid w:val="00616850"/>
    <w:rsid w:val="00620EB3"/>
    <w:rsid w:val="006229E4"/>
    <w:rsid w:val="0062496E"/>
    <w:rsid w:val="00641494"/>
    <w:rsid w:val="00641C4E"/>
    <w:rsid w:val="006426DA"/>
    <w:rsid w:val="00642AFC"/>
    <w:rsid w:val="00642B7A"/>
    <w:rsid w:val="0064367E"/>
    <w:rsid w:val="00647361"/>
    <w:rsid w:val="00653525"/>
    <w:rsid w:val="00655732"/>
    <w:rsid w:val="006576B9"/>
    <w:rsid w:val="006576E4"/>
    <w:rsid w:val="00663DBC"/>
    <w:rsid w:val="006647C1"/>
    <w:rsid w:val="006672F5"/>
    <w:rsid w:val="00677CAD"/>
    <w:rsid w:val="006807A8"/>
    <w:rsid w:val="0068236C"/>
    <w:rsid w:val="00686C2B"/>
    <w:rsid w:val="00696626"/>
    <w:rsid w:val="006A1E73"/>
    <w:rsid w:val="006A3D7A"/>
    <w:rsid w:val="006A4F9E"/>
    <w:rsid w:val="006A6371"/>
    <w:rsid w:val="006C2546"/>
    <w:rsid w:val="006D05B7"/>
    <w:rsid w:val="006D0647"/>
    <w:rsid w:val="006D1894"/>
    <w:rsid w:val="006D1DF1"/>
    <w:rsid w:val="006D202B"/>
    <w:rsid w:val="006E0D2B"/>
    <w:rsid w:val="006E3DFA"/>
    <w:rsid w:val="006E770E"/>
    <w:rsid w:val="006E7FD9"/>
    <w:rsid w:val="006F1836"/>
    <w:rsid w:val="006F1BE7"/>
    <w:rsid w:val="006F217B"/>
    <w:rsid w:val="006F6AD2"/>
    <w:rsid w:val="00700A5E"/>
    <w:rsid w:val="00701AAB"/>
    <w:rsid w:val="007125D7"/>
    <w:rsid w:val="007150B0"/>
    <w:rsid w:val="0071672A"/>
    <w:rsid w:val="007174DD"/>
    <w:rsid w:val="007178BA"/>
    <w:rsid w:val="0072706E"/>
    <w:rsid w:val="00727EF5"/>
    <w:rsid w:val="00732055"/>
    <w:rsid w:val="00751962"/>
    <w:rsid w:val="007521C6"/>
    <w:rsid w:val="00752D19"/>
    <w:rsid w:val="00755BA9"/>
    <w:rsid w:val="00757EBC"/>
    <w:rsid w:val="00761086"/>
    <w:rsid w:val="00763824"/>
    <w:rsid w:val="00786B98"/>
    <w:rsid w:val="007A0FC9"/>
    <w:rsid w:val="007A1C02"/>
    <w:rsid w:val="007B759D"/>
    <w:rsid w:val="007C2DE5"/>
    <w:rsid w:val="007C46EC"/>
    <w:rsid w:val="007D2275"/>
    <w:rsid w:val="007D50F7"/>
    <w:rsid w:val="007E4328"/>
    <w:rsid w:val="007E510C"/>
    <w:rsid w:val="007E5F58"/>
    <w:rsid w:val="007F0AE5"/>
    <w:rsid w:val="007F3397"/>
    <w:rsid w:val="007F4F7C"/>
    <w:rsid w:val="00800315"/>
    <w:rsid w:val="008006C2"/>
    <w:rsid w:val="00800A50"/>
    <w:rsid w:val="00804773"/>
    <w:rsid w:val="00804902"/>
    <w:rsid w:val="00812FDC"/>
    <w:rsid w:val="00813B67"/>
    <w:rsid w:val="00826CDE"/>
    <w:rsid w:val="008274E6"/>
    <w:rsid w:val="00827766"/>
    <w:rsid w:val="008308C8"/>
    <w:rsid w:val="00833A1A"/>
    <w:rsid w:val="00834EC9"/>
    <w:rsid w:val="008404DB"/>
    <w:rsid w:val="00847266"/>
    <w:rsid w:val="00860C1E"/>
    <w:rsid w:val="00861D9D"/>
    <w:rsid w:val="0087386F"/>
    <w:rsid w:val="008746C4"/>
    <w:rsid w:val="00877B99"/>
    <w:rsid w:val="00886B75"/>
    <w:rsid w:val="00887D7E"/>
    <w:rsid w:val="008970BF"/>
    <w:rsid w:val="008977DB"/>
    <w:rsid w:val="008A0085"/>
    <w:rsid w:val="008A054C"/>
    <w:rsid w:val="008A16AD"/>
    <w:rsid w:val="008B01C1"/>
    <w:rsid w:val="008B0AD4"/>
    <w:rsid w:val="008B3318"/>
    <w:rsid w:val="008B39F8"/>
    <w:rsid w:val="008B67BA"/>
    <w:rsid w:val="008B7BDC"/>
    <w:rsid w:val="008C0DC3"/>
    <w:rsid w:val="008C123F"/>
    <w:rsid w:val="008C5330"/>
    <w:rsid w:val="008C77D4"/>
    <w:rsid w:val="008E640B"/>
    <w:rsid w:val="008E7D0E"/>
    <w:rsid w:val="008F0899"/>
    <w:rsid w:val="008F39D1"/>
    <w:rsid w:val="008F6D1A"/>
    <w:rsid w:val="009019C5"/>
    <w:rsid w:val="00923CC2"/>
    <w:rsid w:val="00924EAE"/>
    <w:rsid w:val="00926EEA"/>
    <w:rsid w:val="0093049A"/>
    <w:rsid w:val="009309D8"/>
    <w:rsid w:val="009320B7"/>
    <w:rsid w:val="00935403"/>
    <w:rsid w:val="00935AC0"/>
    <w:rsid w:val="00941D40"/>
    <w:rsid w:val="00944530"/>
    <w:rsid w:val="0094563A"/>
    <w:rsid w:val="0095216F"/>
    <w:rsid w:val="00952710"/>
    <w:rsid w:val="00954C68"/>
    <w:rsid w:val="00957941"/>
    <w:rsid w:val="009631D8"/>
    <w:rsid w:val="00967018"/>
    <w:rsid w:val="00973B62"/>
    <w:rsid w:val="00973D24"/>
    <w:rsid w:val="00973DDF"/>
    <w:rsid w:val="009741E1"/>
    <w:rsid w:val="009815B5"/>
    <w:rsid w:val="00982C7F"/>
    <w:rsid w:val="00984634"/>
    <w:rsid w:val="0098605A"/>
    <w:rsid w:val="009870B2"/>
    <w:rsid w:val="00987761"/>
    <w:rsid w:val="009963CA"/>
    <w:rsid w:val="009A3B00"/>
    <w:rsid w:val="009A66C2"/>
    <w:rsid w:val="009A7640"/>
    <w:rsid w:val="009B21BF"/>
    <w:rsid w:val="009B569D"/>
    <w:rsid w:val="009C5157"/>
    <w:rsid w:val="009C5A62"/>
    <w:rsid w:val="009C6177"/>
    <w:rsid w:val="009E0EF9"/>
    <w:rsid w:val="009E21DD"/>
    <w:rsid w:val="009F1735"/>
    <w:rsid w:val="00A05069"/>
    <w:rsid w:val="00A10AAF"/>
    <w:rsid w:val="00A11125"/>
    <w:rsid w:val="00A126EA"/>
    <w:rsid w:val="00A13EBB"/>
    <w:rsid w:val="00A1462B"/>
    <w:rsid w:val="00A1466E"/>
    <w:rsid w:val="00A17612"/>
    <w:rsid w:val="00A203D3"/>
    <w:rsid w:val="00A20416"/>
    <w:rsid w:val="00A25F0A"/>
    <w:rsid w:val="00A26E77"/>
    <w:rsid w:val="00A27B66"/>
    <w:rsid w:val="00A3007A"/>
    <w:rsid w:val="00A31320"/>
    <w:rsid w:val="00A31FEA"/>
    <w:rsid w:val="00A36D88"/>
    <w:rsid w:val="00A36E51"/>
    <w:rsid w:val="00A37075"/>
    <w:rsid w:val="00A40614"/>
    <w:rsid w:val="00A418BB"/>
    <w:rsid w:val="00A450F4"/>
    <w:rsid w:val="00A46B74"/>
    <w:rsid w:val="00A50235"/>
    <w:rsid w:val="00A535E9"/>
    <w:rsid w:val="00A5534E"/>
    <w:rsid w:val="00A6460B"/>
    <w:rsid w:val="00A65795"/>
    <w:rsid w:val="00A6765F"/>
    <w:rsid w:val="00A67B26"/>
    <w:rsid w:val="00A77109"/>
    <w:rsid w:val="00A8186E"/>
    <w:rsid w:val="00A835A1"/>
    <w:rsid w:val="00A83908"/>
    <w:rsid w:val="00A86572"/>
    <w:rsid w:val="00A91BE8"/>
    <w:rsid w:val="00A945F6"/>
    <w:rsid w:val="00A964EC"/>
    <w:rsid w:val="00A96513"/>
    <w:rsid w:val="00A978D3"/>
    <w:rsid w:val="00AA2504"/>
    <w:rsid w:val="00AA4951"/>
    <w:rsid w:val="00AA63A5"/>
    <w:rsid w:val="00AB55A9"/>
    <w:rsid w:val="00AB7F9F"/>
    <w:rsid w:val="00AC7CC4"/>
    <w:rsid w:val="00AD0248"/>
    <w:rsid w:val="00AD1DF4"/>
    <w:rsid w:val="00AD4633"/>
    <w:rsid w:val="00AD524B"/>
    <w:rsid w:val="00AE1B89"/>
    <w:rsid w:val="00AE395A"/>
    <w:rsid w:val="00AE624D"/>
    <w:rsid w:val="00AF0E8C"/>
    <w:rsid w:val="00AF155D"/>
    <w:rsid w:val="00B00048"/>
    <w:rsid w:val="00B03C90"/>
    <w:rsid w:val="00B10F50"/>
    <w:rsid w:val="00B13837"/>
    <w:rsid w:val="00B14BEE"/>
    <w:rsid w:val="00B14F59"/>
    <w:rsid w:val="00B24FE3"/>
    <w:rsid w:val="00B37830"/>
    <w:rsid w:val="00B44F4E"/>
    <w:rsid w:val="00B450BA"/>
    <w:rsid w:val="00B46854"/>
    <w:rsid w:val="00B50B30"/>
    <w:rsid w:val="00B50ECB"/>
    <w:rsid w:val="00B56C4E"/>
    <w:rsid w:val="00B6402F"/>
    <w:rsid w:val="00B64D28"/>
    <w:rsid w:val="00B669AC"/>
    <w:rsid w:val="00B67679"/>
    <w:rsid w:val="00B70E4C"/>
    <w:rsid w:val="00B71F00"/>
    <w:rsid w:val="00B736A8"/>
    <w:rsid w:val="00B73FCF"/>
    <w:rsid w:val="00B86035"/>
    <w:rsid w:val="00BA006C"/>
    <w:rsid w:val="00BA0840"/>
    <w:rsid w:val="00BA21ED"/>
    <w:rsid w:val="00BA4733"/>
    <w:rsid w:val="00BB4D39"/>
    <w:rsid w:val="00BB6021"/>
    <w:rsid w:val="00BB6EC6"/>
    <w:rsid w:val="00BC13B4"/>
    <w:rsid w:val="00BC3E52"/>
    <w:rsid w:val="00BD064C"/>
    <w:rsid w:val="00BD1485"/>
    <w:rsid w:val="00BE1F5A"/>
    <w:rsid w:val="00BE35B0"/>
    <w:rsid w:val="00BE5662"/>
    <w:rsid w:val="00BE7384"/>
    <w:rsid w:val="00BF22C8"/>
    <w:rsid w:val="00BF3A24"/>
    <w:rsid w:val="00BF40A6"/>
    <w:rsid w:val="00BF58F2"/>
    <w:rsid w:val="00BF5F02"/>
    <w:rsid w:val="00BF60F1"/>
    <w:rsid w:val="00BF612E"/>
    <w:rsid w:val="00C12526"/>
    <w:rsid w:val="00C141DD"/>
    <w:rsid w:val="00C178B4"/>
    <w:rsid w:val="00C20734"/>
    <w:rsid w:val="00C207B7"/>
    <w:rsid w:val="00C21FB1"/>
    <w:rsid w:val="00C23898"/>
    <w:rsid w:val="00C24037"/>
    <w:rsid w:val="00C25F2F"/>
    <w:rsid w:val="00C372EE"/>
    <w:rsid w:val="00C40CD6"/>
    <w:rsid w:val="00C416DA"/>
    <w:rsid w:val="00C4646C"/>
    <w:rsid w:val="00C469D4"/>
    <w:rsid w:val="00C55674"/>
    <w:rsid w:val="00C55D1E"/>
    <w:rsid w:val="00C5659F"/>
    <w:rsid w:val="00C56F4B"/>
    <w:rsid w:val="00C62455"/>
    <w:rsid w:val="00C702E1"/>
    <w:rsid w:val="00C72758"/>
    <w:rsid w:val="00C7296D"/>
    <w:rsid w:val="00C72DB1"/>
    <w:rsid w:val="00C74417"/>
    <w:rsid w:val="00C82002"/>
    <w:rsid w:val="00C83702"/>
    <w:rsid w:val="00C8691F"/>
    <w:rsid w:val="00C87B94"/>
    <w:rsid w:val="00C901F6"/>
    <w:rsid w:val="00C93CD4"/>
    <w:rsid w:val="00C95864"/>
    <w:rsid w:val="00CA4138"/>
    <w:rsid w:val="00CA5220"/>
    <w:rsid w:val="00CB12E9"/>
    <w:rsid w:val="00CC140B"/>
    <w:rsid w:val="00CC2C28"/>
    <w:rsid w:val="00CC7C2E"/>
    <w:rsid w:val="00CD2090"/>
    <w:rsid w:val="00CD3858"/>
    <w:rsid w:val="00CD4FD4"/>
    <w:rsid w:val="00CE00F8"/>
    <w:rsid w:val="00CE0EA7"/>
    <w:rsid w:val="00CE755E"/>
    <w:rsid w:val="00CF453C"/>
    <w:rsid w:val="00CF4AD4"/>
    <w:rsid w:val="00CF5C46"/>
    <w:rsid w:val="00CF653B"/>
    <w:rsid w:val="00CF7D02"/>
    <w:rsid w:val="00D0093A"/>
    <w:rsid w:val="00D01679"/>
    <w:rsid w:val="00D0212F"/>
    <w:rsid w:val="00D223C3"/>
    <w:rsid w:val="00D24E9A"/>
    <w:rsid w:val="00D26BEE"/>
    <w:rsid w:val="00D274D7"/>
    <w:rsid w:val="00D30F50"/>
    <w:rsid w:val="00D35590"/>
    <w:rsid w:val="00D3694E"/>
    <w:rsid w:val="00D56616"/>
    <w:rsid w:val="00D5753A"/>
    <w:rsid w:val="00D6334A"/>
    <w:rsid w:val="00D633BF"/>
    <w:rsid w:val="00D66098"/>
    <w:rsid w:val="00D67E97"/>
    <w:rsid w:val="00D73F88"/>
    <w:rsid w:val="00D75633"/>
    <w:rsid w:val="00D82507"/>
    <w:rsid w:val="00D833A6"/>
    <w:rsid w:val="00D86B06"/>
    <w:rsid w:val="00D90123"/>
    <w:rsid w:val="00D906B6"/>
    <w:rsid w:val="00D91E8B"/>
    <w:rsid w:val="00D93D5C"/>
    <w:rsid w:val="00D947B9"/>
    <w:rsid w:val="00D94A5B"/>
    <w:rsid w:val="00D97A83"/>
    <w:rsid w:val="00DA036A"/>
    <w:rsid w:val="00DA13CA"/>
    <w:rsid w:val="00DB24AB"/>
    <w:rsid w:val="00DB32CD"/>
    <w:rsid w:val="00DB7AE2"/>
    <w:rsid w:val="00DC20CC"/>
    <w:rsid w:val="00DC629C"/>
    <w:rsid w:val="00DD3076"/>
    <w:rsid w:val="00DE1FE2"/>
    <w:rsid w:val="00DE2DC1"/>
    <w:rsid w:val="00DE3D0F"/>
    <w:rsid w:val="00DF0D21"/>
    <w:rsid w:val="00DF1DAC"/>
    <w:rsid w:val="00DF215E"/>
    <w:rsid w:val="00DF2D1A"/>
    <w:rsid w:val="00DF393C"/>
    <w:rsid w:val="00E02EEB"/>
    <w:rsid w:val="00E04FE1"/>
    <w:rsid w:val="00E11194"/>
    <w:rsid w:val="00E16BED"/>
    <w:rsid w:val="00E1765D"/>
    <w:rsid w:val="00E24BCC"/>
    <w:rsid w:val="00E258A1"/>
    <w:rsid w:val="00E275E5"/>
    <w:rsid w:val="00E30E4B"/>
    <w:rsid w:val="00E37019"/>
    <w:rsid w:val="00E44615"/>
    <w:rsid w:val="00E46E20"/>
    <w:rsid w:val="00E508B8"/>
    <w:rsid w:val="00E52B1F"/>
    <w:rsid w:val="00E63CD5"/>
    <w:rsid w:val="00E67034"/>
    <w:rsid w:val="00E713A2"/>
    <w:rsid w:val="00E7457B"/>
    <w:rsid w:val="00E83FDC"/>
    <w:rsid w:val="00E852D0"/>
    <w:rsid w:val="00E868A6"/>
    <w:rsid w:val="00E8748F"/>
    <w:rsid w:val="00E877B5"/>
    <w:rsid w:val="00E91425"/>
    <w:rsid w:val="00E924E7"/>
    <w:rsid w:val="00E93600"/>
    <w:rsid w:val="00E97143"/>
    <w:rsid w:val="00EA10FF"/>
    <w:rsid w:val="00EA166A"/>
    <w:rsid w:val="00EA5FFC"/>
    <w:rsid w:val="00EA7085"/>
    <w:rsid w:val="00EB2978"/>
    <w:rsid w:val="00EC0C24"/>
    <w:rsid w:val="00EC1955"/>
    <w:rsid w:val="00EC4A66"/>
    <w:rsid w:val="00EC5211"/>
    <w:rsid w:val="00EC69BC"/>
    <w:rsid w:val="00EC7CBD"/>
    <w:rsid w:val="00ED2881"/>
    <w:rsid w:val="00ED473A"/>
    <w:rsid w:val="00ED5B40"/>
    <w:rsid w:val="00EE157E"/>
    <w:rsid w:val="00EE2A83"/>
    <w:rsid w:val="00EE2D95"/>
    <w:rsid w:val="00EE5D7A"/>
    <w:rsid w:val="00EE7154"/>
    <w:rsid w:val="00EF0E73"/>
    <w:rsid w:val="00EF1E4F"/>
    <w:rsid w:val="00EF36F5"/>
    <w:rsid w:val="00EF4FD7"/>
    <w:rsid w:val="00F03382"/>
    <w:rsid w:val="00F124F2"/>
    <w:rsid w:val="00F125B7"/>
    <w:rsid w:val="00F1384D"/>
    <w:rsid w:val="00F14AF5"/>
    <w:rsid w:val="00F17387"/>
    <w:rsid w:val="00F20904"/>
    <w:rsid w:val="00F25CEE"/>
    <w:rsid w:val="00F264DA"/>
    <w:rsid w:val="00F3688B"/>
    <w:rsid w:val="00F409BC"/>
    <w:rsid w:val="00F43BC4"/>
    <w:rsid w:val="00F45124"/>
    <w:rsid w:val="00F45497"/>
    <w:rsid w:val="00F52FE9"/>
    <w:rsid w:val="00F7182F"/>
    <w:rsid w:val="00F73DA4"/>
    <w:rsid w:val="00F75DF3"/>
    <w:rsid w:val="00F75E0E"/>
    <w:rsid w:val="00F779A2"/>
    <w:rsid w:val="00F80498"/>
    <w:rsid w:val="00F804FB"/>
    <w:rsid w:val="00F8212D"/>
    <w:rsid w:val="00FA0C60"/>
    <w:rsid w:val="00FA1813"/>
    <w:rsid w:val="00FA1C33"/>
    <w:rsid w:val="00FA2906"/>
    <w:rsid w:val="00FC2A63"/>
    <w:rsid w:val="00FC598E"/>
    <w:rsid w:val="00FD183B"/>
    <w:rsid w:val="00FD41EF"/>
    <w:rsid w:val="00FD4D4F"/>
    <w:rsid w:val="00FD70AC"/>
    <w:rsid w:val="00FD710F"/>
    <w:rsid w:val="00FE08AC"/>
    <w:rsid w:val="00FE2C76"/>
    <w:rsid w:val="00FE5B22"/>
    <w:rsid w:val="00FE76E1"/>
    <w:rsid w:val="00FF39A4"/>
    <w:rsid w:val="00FF4130"/>
    <w:rsid w:val="00FF489D"/>
    <w:rsid w:val="00FF610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8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452"/>
    <w:pPr>
      <w:ind w:left="720"/>
      <w:contextualSpacing/>
    </w:pPr>
  </w:style>
  <w:style w:type="table" w:styleId="TableGrid">
    <w:name w:val="Table Grid"/>
    <w:basedOn w:val="TableNormal"/>
    <w:uiPriority w:val="59"/>
    <w:rsid w:val="005204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520476"/>
    <w:pPr>
      <w:spacing w:after="200" w:line="240" w:lineRule="auto"/>
    </w:pPr>
    <w:rPr>
      <w:b/>
      <w:bCs/>
      <w:color w:val="5B9BD5" w:themeColor="accent1"/>
      <w:sz w:val="18"/>
      <w:szCs w:val="18"/>
    </w:rPr>
  </w:style>
  <w:style w:type="character" w:styleId="CommentReference">
    <w:name w:val="annotation reference"/>
    <w:basedOn w:val="DefaultParagraphFont"/>
    <w:uiPriority w:val="99"/>
    <w:semiHidden/>
    <w:unhideWhenUsed/>
    <w:rsid w:val="00520476"/>
    <w:rPr>
      <w:sz w:val="16"/>
      <w:szCs w:val="16"/>
    </w:rPr>
  </w:style>
  <w:style w:type="paragraph" w:styleId="CommentText">
    <w:name w:val="annotation text"/>
    <w:basedOn w:val="Normal"/>
    <w:link w:val="CommentTextChar"/>
    <w:uiPriority w:val="99"/>
    <w:semiHidden/>
    <w:unhideWhenUsed/>
    <w:rsid w:val="00520476"/>
    <w:pPr>
      <w:spacing w:line="240" w:lineRule="auto"/>
    </w:pPr>
    <w:rPr>
      <w:sz w:val="20"/>
      <w:szCs w:val="20"/>
    </w:rPr>
  </w:style>
  <w:style w:type="character" w:customStyle="1" w:styleId="CommentTextChar">
    <w:name w:val="Comment Text Char"/>
    <w:basedOn w:val="DefaultParagraphFont"/>
    <w:link w:val="CommentText"/>
    <w:uiPriority w:val="99"/>
    <w:semiHidden/>
    <w:rsid w:val="00520476"/>
    <w:rPr>
      <w:sz w:val="20"/>
      <w:szCs w:val="20"/>
    </w:rPr>
  </w:style>
  <w:style w:type="paragraph" w:styleId="CommentSubject">
    <w:name w:val="annotation subject"/>
    <w:basedOn w:val="CommentText"/>
    <w:next w:val="CommentText"/>
    <w:link w:val="CommentSubjectChar"/>
    <w:uiPriority w:val="99"/>
    <w:semiHidden/>
    <w:unhideWhenUsed/>
    <w:rsid w:val="00520476"/>
    <w:rPr>
      <w:b/>
      <w:bCs/>
    </w:rPr>
  </w:style>
  <w:style w:type="character" w:customStyle="1" w:styleId="CommentSubjectChar">
    <w:name w:val="Comment Subject Char"/>
    <w:basedOn w:val="CommentTextChar"/>
    <w:link w:val="CommentSubject"/>
    <w:uiPriority w:val="99"/>
    <w:semiHidden/>
    <w:rsid w:val="00520476"/>
    <w:rPr>
      <w:b/>
      <w:bCs/>
      <w:sz w:val="20"/>
      <w:szCs w:val="20"/>
    </w:rPr>
  </w:style>
  <w:style w:type="paragraph" w:styleId="BalloonText">
    <w:name w:val="Balloon Text"/>
    <w:basedOn w:val="Normal"/>
    <w:link w:val="BalloonTextChar"/>
    <w:uiPriority w:val="99"/>
    <w:semiHidden/>
    <w:unhideWhenUsed/>
    <w:rsid w:val="00520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476"/>
    <w:rPr>
      <w:rFonts w:ascii="Segoe UI" w:hAnsi="Segoe UI" w:cs="Segoe UI"/>
      <w:sz w:val="18"/>
      <w:szCs w:val="18"/>
    </w:rPr>
  </w:style>
  <w:style w:type="paragraph" w:styleId="FootnoteText">
    <w:name w:val="footnote text"/>
    <w:basedOn w:val="Normal"/>
    <w:link w:val="FootnoteTextChar"/>
    <w:uiPriority w:val="99"/>
    <w:semiHidden/>
    <w:unhideWhenUsed/>
    <w:rsid w:val="00D73F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3F88"/>
    <w:rPr>
      <w:sz w:val="20"/>
      <w:szCs w:val="20"/>
    </w:rPr>
  </w:style>
  <w:style w:type="character" w:styleId="FootnoteReference">
    <w:name w:val="footnote reference"/>
    <w:basedOn w:val="DefaultParagraphFont"/>
    <w:uiPriority w:val="99"/>
    <w:semiHidden/>
    <w:unhideWhenUsed/>
    <w:rsid w:val="00D73F88"/>
    <w:rPr>
      <w:vertAlign w:val="superscript"/>
    </w:rPr>
  </w:style>
  <w:style w:type="character" w:styleId="Hyperlink">
    <w:name w:val="Hyperlink"/>
    <w:basedOn w:val="DefaultParagraphFont"/>
    <w:uiPriority w:val="99"/>
    <w:unhideWhenUsed/>
    <w:rsid w:val="00D73F88"/>
    <w:rPr>
      <w:color w:val="0563C1" w:themeColor="hyperlink"/>
      <w:u w:val="single"/>
    </w:rPr>
  </w:style>
  <w:style w:type="paragraph" w:styleId="Header">
    <w:name w:val="header"/>
    <w:basedOn w:val="Normal"/>
    <w:link w:val="HeaderChar"/>
    <w:uiPriority w:val="99"/>
    <w:semiHidden/>
    <w:unhideWhenUsed/>
    <w:rsid w:val="00EF36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F36F5"/>
  </w:style>
  <w:style w:type="paragraph" w:styleId="Footer">
    <w:name w:val="footer"/>
    <w:basedOn w:val="Normal"/>
    <w:link w:val="FooterChar"/>
    <w:uiPriority w:val="99"/>
    <w:unhideWhenUsed/>
    <w:rsid w:val="00EF36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6F5"/>
  </w:style>
  <w:style w:type="paragraph" w:styleId="HTMLPreformatted">
    <w:name w:val="HTML Preformatted"/>
    <w:basedOn w:val="Normal"/>
    <w:link w:val="HTMLPreformattedChar"/>
    <w:uiPriority w:val="99"/>
    <w:semiHidden/>
    <w:unhideWhenUsed/>
    <w:rsid w:val="00827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8274E6"/>
    <w:rPr>
      <w:rFonts w:ascii="Courier New" w:eastAsia="Times New Roman" w:hAnsi="Courier New" w:cs="Courier New"/>
      <w:sz w:val="20"/>
      <w:szCs w:val="20"/>
      <w:lang w:eastAsia="en-GB"/>
    </w:rPr>
  </w:style>
  <w:style w:type="character" w:styleId="PlaceholderText">
    <w:name w:val="Placeholder Text"/>
    <w:basedOn w:val="DefaultParagraphFont"/>
    <w:uiPriority w:val="99"/>
    <w:semiHidden/>
    <w:rsid w:val="009741E1"/>
    <w:rPr>
      <w:color w:val="808080"/>
    </w:rPr>
  </w:style>
  <w:style w:type="paragraph" w:styleId="EndnoteText">
    <w:name w:val="endnote text"/>
    <w:basedOn w:val="Normal"/>
    <w:link w:val="EndnoteTextChar"/>
    <w:uiPriority w:val="99"/>
    <w:semiHidden/>
    <w:unhideWhenUsed/>
    <w:rsid w:val="00EF4FD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F4FD7"/>
    <w:rPr>
      <w:sz w:val="20"/>
      <w:szCs w:val="20"/>
    </w:rPr>
  </w:style>
  <w:style w:type="character" w:styleId="EndnoteReference">
    <w:name w:val="endnote reference"/>
    <w:basedOn w:val="DefaultParagraphFont"/>
    <w:uiPriority w:val="99"/>
    <w:semiHidden/>
    <w:unhideWhenUsed/>
    <w:rsid w:val="00EF4FD7"/>
    <w:rPr>
      <w:vertAlign w:val="superscript"/>
    </w:rPr>
  </w:style>
  <w:style w:type="character" w:styleId="FollowedHyperlink">
    <w:name w:val="FollowedHyperlink"/>
    <w:basedOn w:val="DefaultParagraphFont"/>
    <w:uiPriority w:val="99"/>
    <w:semiHidden/>
    <w:unhideWhenUsed/>
    <w:rsid w:val="00EF4FD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8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452"/>
    <w:pPr>
      <w:ind w:left="720"/>
      <w:contextualSpacing/>
    </w:pPr>
  </w:style>
  <w:style w:type="table" w:styleId="TableGrid">
    <w:name w:val="Table Grid"/>
    <w:basedOn w:val="TableNormal"/>
    <w:uiPriority w:val="59"/>
    <w:rsid w:val="005204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520476"/>
    <w:pPr>
      <w:spacing w:after="200" w:line="240" w:lineRule="auto"/>
    </w:pPr>
    <w:rPr>
      <w:b/>
      <w:bCs/>
      <w:color w:val="5B9BD5" w:themeColor="accent1"/>
      <w:sz w:val="18"/>
      <w:szCs w:val="18"/>
    </w:rPr>
  </w:style>
  <w:style w:type="character" w:styleId="CommentReference">
    <w:name w:val="annotation reference"/>
    <w:basedOn w:val="DefaultParagraphFont"/>
    <w:uiPriority w:val="99"/>
    <w:semiHidden/>
    <w:unhideWhenUsed/>
    <w:rsid w:val="00520476"/>
    <w:rPr>
      <w:sz w:val="16"/>
      <w:szCs w:val="16"/>
    </w:rPr>
  </w:style>
  <w:style w:type="paragraph" w:styleId="CommentText">
    <w:name w:val="annotation text"/>
    <w:basedOn w:val="Normal"/>
    <w:link w:val="CommentTextChar"/>
    <w:uiPriority w:val="99"/>
    <w:semiHidden/>
    <w:unhideWhenUsed/>
    <w:rsid w:val="00520476"/>
    <w:pPr>
      <w:spacing w:line="240" w:lineRule="auto"/>
    </w:pPr>
    <w:rPr>
      <w:sz w:val="20"/>
      <w:szCs w:val="20"/>
    </w:rPr>
  </w:style>
  <w:style w:type="character" w:customStyle="1" w:styleId="CommentTextChar">
    <w:name w:val="Comment Text Char"/>
    <w:basedOn w:val="DefaultParagraphFont"/>
    <w:link w:val="CommentText"/>
    <w:uiPriority w:val="99"/>
    <w:semiHidden/>
    <w:rsid w:val="00520476"/>
    <w:rPr>
      <w:sz w:val="20"/>
      <w:szCs w:val="20"/>
    </w:rPr>
  </w:style>
  <w:style w:type="paragraph" w:styleId="CommentSubject">
    <w:name w:val="annotation subject"/>
    <w:basedOn w:val="CommentText"/>
    <w:next w:val="CommentText"/>
    <w:link w:val="CommentSubjectChar"/>
    <w:uiPriority w:val="99"/>
    <w:semiHidden/>
    <w:unhideWhenUsed/>
    <w:rsid w:val="00520476"/>
    <w:rPr>
      <w:b/>
      <w:bCs/>
    </w:rPr>
  </w:style>
  <w:style w:type="character" w:customStyle="1" w:styleId="CommentSubjectChar">
    <w:name w:val="Comment Subject Char"/>
    <w:basedOn w:val="CommentTextChar"/>
    <w:link w:val="CommentSubject"/>
    <w:uiPriority w:val="99"/>
    <w:semiHidden/>
    <w:rsid w:val="00520476"/>
    <w:rPr>
      <w:b/>
      <w:bCs/>
      <w:sz w:val="20"/>
      <w:szCs w:val="20"/>
    </w:rPr>
  </w:style>
  <w:style w:type="paragraph" w:styleId="BalloonText">
    <w:name w:val="Balloon Text"/>
    <w:basedOn w:val="Normal"/>
    <w:link w:val="BalloonTextChar"/>
    <w:uiPriority w:val="99"/>
    <w:semiHidden/>
    <w:unhideWhenUsed/>
    <w:rsid w:val="00520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476"/>
    <w:rPr>
      <w:rFonts w:ascii="Segoe UI" w:hAnsi="Segoe UI" w:cs="Segoe UI"/>
      <w:sz w:val="18"/>
      <w:szCs w:val="18"/>
    </w:rPr>
  </w:style>
  <w:style w:type="paragraph" w:styleId="FootnoteText">
    <w:name w:val="footnote text"/>
    <w:basedOn w:val="Normal"/>
    <w:link w:val="FootnoteTextChar"/>
    <w:uiPriority w:val="99"/>
    <w:semiHidden/>
    <w:unhideWhenUsed/>
    <w:rsid w:val="00D73F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3F88"/>
    <w:rPr>
      <w:sz w:val="20"/>
      <w:szCs w:val="20"/>
    </w:rPr>
  </w:style>
  <w:style w:type="character" w:styleId="FootnoteReference">
    <w:name w:val="footnote reference"/>
    <w:basedOn w:val="DefaultParagraphFont"/>
    <w:uiPriority w:val="99"/>
    <w:semiHidden/>
    <w:unhideWhenUsed/>
    <w:rsid w:val="00D73F88"/>
    <w:rPr>
      <w:vertAlign w:val="superscript"/>
    </w:rPr>
  </w:style>
  <w:style w:type="character" w:styleId="Hyperlink">
    <w:name w:val="Hyperlink"/>
    <w:basedOn w:val="DefaultParagraphFont"/>
    <w:uiPriority w:val="99"/>
    <w:unhideWhenUsed/>
    <w:rsid w:val="00D73F88"/>
    <w:rPr>
      <w:color w:val="0563C1" w:themeColor="hyperlink"/>
      <w:u w:val="single"/>
    </w:rPr>
  </w:style>
  <w:style w:type="paragraph" w:styleId="Header">
    <w:name w:val="header"/>
    <w:basedOn w:val="Normal"/>
    <w:link w:val="HeaderChar"/>
    <w:uiPriority w:val="99"/>
    <w:semiHidden/>
    <w:unhideWhenUsed/>
    <w:rsid w:val="00EF36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F36F5"/>
  </w:style>
  <w:style w:type="paragraph" w:styleId="Footer">
    <w:name w:val="footer"/>
    <w:basedOn w:val="Normal"/>
    <w:link w:val="FooterChar"/>
    <w:uiPriority w:val="99"/>
    <w:unhideWhenUsed/>
    <w:rsid w:val="00EF36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6F5"/>
  </w:style>
  <w:style w:type="paragraph" w:styleId="HTMLPreformatted">
    <w:name w:val="HTML Preformatted"/>
    <w:basedOn w:val="Normal"/>
    <w:link w:val="HTMLPreformattedChar"/>
    <w:uiPriority w:val="99"/>
    <w:semiHidden/>
    <w:unhideWhenUsed/>
    <w:rsid w:val="00827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8274E6"/>
    <w:rPr>
      <w:rFonts w:ascii="Courier New" w:eastAsia="Times New Roman" w:hAnsi="Courier New" w:cs="Courier New"/>
      <w:sz w:val="20"/>
      <w:szCs w:val="20"/>
      <w:lang w:eastAsia="en-GB"/>
    </w:rPr>
  </w:style>
  <w:style w:type="character" w:styleId="PlaceholderText">
    <w:name w:val="Placeholder Text"/>
    <w:basedOn w:val="DefaultParagraphFont"/>
    <w:uiPriority w:val="99"/>
    <w:semiHidden/>
    <w:rsid w:val="009741E1"/>
    <w:rPr>
      <w:color w:val="808080"/>
    </w:rPr>
  </w:style>
</w:styles>
</file>

<file path=word/webSettings.xml><?xml version="1.0" encoding="utf-8"?>
<w:webSettings xmlns:r="http://schemas.openxmlformats.org/officeDocument/2006/relationships" xmlns:w="http://schemas.openxmlformats.org/wordprocessingml/2006/main">
  <w:divs>
    <w:div w:id="6029385">
      <w:bodyDiv w:val="1"/>
      <w:marLeft w:val="0"/>
      <w:marRight w:val="0"/>
      <w:marTop w:val="0"/>
      <w:marBottom w:val="0"/>
      <w:divBdr>
        <w:top w:val="none" w:sz="0" w:space="0" w:color="auto"/>
        <w:left w:val="none" w:sz="0" w:space="0" w:color="auto"/>
        <w:bottom w:val="none" w:sz="0" w:space="0" w:color="auto"/>
        <w:right w:val="none" w:sz="0" w:space="0" w:color="auto"/>
      </w:divBdr>
    </w:div>
    <w:div w:id="371736130">
      <w:bodyDiv w:val="1"/>
      <w:marLeft w:val="0"/>
      <w:marRight w:val="0"/>
      <w:marTop w:val="0"/>
      <w:marBottom w:val="0"/>
      <w:divBdr>
        <w:top w:val="none" w:sz="0" w:space="0" w:color="auto"/>
        <w:left w:val="none" w:sz="0" w:space="0" w:color="auto"/>
        <w:bottom w:val="none" w:sz="0" w:space="0" w:color="auto"/>
        <w:right w:val="none" w:sz="0" w:space="0" w:color="auto"/>
      </w:divBdr>
    </w:div>
    <w:div w:id="455871978">
      <w:bodyDiv w:val="1"/>
      <w:marLeft w:val="0"/>
      <w:marRight w:val="0"/>
      <w:marTop w:val="0"/>
      <w:marBottom w:val="0"/>
      <w:divBdr>
        <w:top w:val="none" w:sz="0" w:space="0" w:color="auto"/>
        <w:left w:val="none" w:sz="0" w:space="0" w:color="auto"/>
        <w:bottom w:val="none" w:sz="0" w:space="0" w:color="auto"/>
        <w:right w:val="none" w:sz="0" w:space="0" w:color="auto"/>
      </w:divBdr>
    </w:div>
    <w:div w:id="467894160">
      <w:bodyDiv w:val="1"/>
      <w:marLeft w:val="0"/>
      <w:marRight w:val="0"/>
      <w:marTop w:val="0"/>
      <w:marBottom w:val="0"/>
      <w:divBdr>
        <w:top w:val="none" w:sz="0" w:space="0" w:color="auto"/>
        <w:left w:val="none" w:sz="0" w:space="0" w:color="auto"/>
        <w:bottom w:val="none" w:sz="0" w:space="0" w:color="auto"/>
        <w:right w:val="none" w:sz="0" w:space="0" w:color="auto"/>
      </w:divBdr>
    </w:div>
    <w:div w:id="494541188">
      <w:bodyDiv w:val="1"/>
      <w:marLeft w:val="0"/>
      <w:marRight w:val="0"/>
      <w:marTop w:val="0"/>
      <w:marBottom w:val="0"/>
      <w:divBdr>
        <w:top w:val="none" w:sz="0" w:space="0" w:color="auto"/>
        <w:left w:val="none" w:sz="0" w:space="0" w:color="auto"/>
        <w:bottom w:val="none" w:sz="0" w:space="0" w:color="auto"/>
        <w:right w:val="none" w:sz="0" w:space="0" w:color="auto"/>
      </w:divBdr>
    </w:div>
    <w:div w:id="658122607">
      <w:bodyDiv w:val="1"/>
      <w:marLeft w:val="0"/>
      <w:marRight w:val="0"/>
      <w:marTop w:val="0"/>
      <w:marBottom w:val="0"/>
      <w:divBdr>
        <w:top w:val="none" w:sz="0" w:space="0" w:color="auto"/>
        <w:left w:val="none" w:sz="0" w:space="0" w:color="auto"/>
        <w:bottom w:val="none" w:sz="0" w:space="0" w:color="auto"/>
        <w:right w:val="none" w:sz="0" w:space="0" w:color="auto"/>
      </w:divBdr>
    </w:div>
    <w:div w:id="871574661">
      <w:bodyDiv w:val="1"/>
      <w:marLeft w:val="0"/>
      <w:marRight w:val="0"/>
      <w:marTop w:val="0"/>
      <w:marBottom w:val="0"/>
      <w:divBdr>
        <w:top w:val="none" w:sz="0" w:space="0" w:color="auto"/>
        <w:left w:val="none" w:sz="0" w:space="0" w:color="auto"/>
        <w:bottom w:val="none" w:sz="0" w:space="0" w:color="auto"/>
        <w:right w:val="none" w:sz="0" w:space="0" w:color="auto"/>
      </w:divBdr>
    </w:div>
    <w:div w:id="934442905">
      <w:bodyDiv w:val="1"/>
      <w:marLeft w:val="0"/>
      <w:marRight w:val="0"/>
      <w:marTop w:val="0"/>
      <w:marBottom w:val="0"/>
      <w:divBdr>
        <w:top w:val="none" w:sz="0" w:space="0" w:color="auto"/>
        <w:left w:val="none" w:sz="0" w:space="0" w:color="auto"/>
        <w:bottom w:val="none" w:sz="0" w:space="0" w:color="auto"/>
        <w:right w:val="none" w:sz="0" w:space="0" w:color="auto"/>
      </w:divBdr>
    </w:div>
    <w:div w:id="1006513484">
      <w:bodyDiv w:val="1"/>
      <w:marLeft w:val="0"/>
      <w:marRight w:val="0"/>
      <w:marTop w:val="0"/>
      <w:marBottom w:val="0"/>
      <w:divBdr>
        <w:top w:val="none" w:sz="0" w:space="0" w:color="auto"/>
        <w:left w:val="none" w:sz="0" w:space="0" w:color="auto"/>
        <w:bottom w:val="none" w:sz="0" w:space="0" w:color="auto"/>
        <w:right w:val="none" w:sz="0" w:space="0" w:color="auto"/>
      </w:divBdr>
    </w:div>
    <w:div w:id="1082291599">
      <w:bodyDiv w:val="1"/>
      <w:marLeft w:val="0"/>
      <w:marRight w:val="0"/>
      <w:marTop w:val="0"/>
      <w:marBottom w:val="0"/>
      <w:divBdr>
        <w:top w:val="none" w:sz="0" w:space="0" w:color="auto"/>
        <w:left w:val="none" w:sz="0" w:space="0" w:color="auto"/>
        <w:bottom w:val="none" w:sz="0" w:space="0" w:color="auto"/>
        <w:right w:val="none" w:sz="0" w:space="0" w:color="auto"/>
      </w:divBdr>
    </w:div>
    <w:div w:id="1094745365">
      <w:bodyDiv w:val="1"/>
      <w:marLeft w:val="0"/>
      <w:marRight w:val="0"/>
      <w:marTop w:val="0"/>
      <w:marBottom w:val="0"/>
      <w:divBdr>
        <w:top w:val="none" w:sz="0" w:space="0" w:color="auto"/>
        <w:left w:val="none" w:sz="0" w:space="0" w:color="auto"/>
        <w:bottom w:val="none" w:sz="0" w:space="0" w:color="auto"/>
        <w:right w:val="none" w:sz="0" w:space="0" w:color="auto"/>
      </w:divBdr>
    </w:div>
    <w:div w:id="1217014405">
      <w:bodyDiv w:val="1"/>
      <w:marLeft w:val="0"/>
      <w:marRight w:val="0"/>
      <w:marTop w:val="0"/>
      <w:marBottom w:val="0"/>
      <w:divBdr>
        <w:top w:val="none" w:sz="0" w:space="0" w:color="auto"/>
        <w:left w:val="none" w:sz="0" w:space="0" w:color="auto"/>
        <w:bottom w:val="none" w:sz="0" w:space="0" w:color="auto"/>
        <w:right w:val="none" w:sz="0" w:space="0" w:color="auto"/>
      </w:divBdr>
    </w:div>
    <w:div w:id="1226329794">
      <w:bodyDiv w:val="1"/>
      <w:marLeft w:val="0"/>
      <w:marRight w:val="0"/>
      <w:marTop w:val="0"/>
      <w:marBottom w:val="0"/>
      <w:divBdr>
        <w:top w:val="none" w:sz="0" w:space="0" w:color="auto"/>
        <w:left w:val="none" w:sz="0" w:space="0" w:color="auto"/>
        <w:bottom w:val="none" w:sz="0" w:space="0" w:color="auto"/>
        <w:right w:val="none" w:sz="0" w:space="0" w:color="auto"/>
      </w:divBdr>
    </w:div>
    <w:div w:id="1395274602">
      <w:bodyDiv w:val="1"/>
      <w:marLeft w:val="0"/>
      <w:marRight w:val="0"/>
      <w:marTop w:val="0"/>
      <w:marBottom w:val="0"/>
      <w:divBdr>
        <w:top w:val="none" w:sz="0" w:space="0" w:color="auto"/>
        <w:left w:val="none" w:sz="0" w:space="0" w:color="auto"/>
        <w:bottom w:val="none" w:sz="0" w:space="0" w:color="auto"/>
        <w:right w:val="none" w:sz="0" w:space="0" w:color="auto"/>
      </w:divBdr>
    </w:div>
    <w:div w:id="1570847777">
      <w:bodyDiv w:val="1"/>
      <w:marLeft w:val="0"/>
      <w:marRight w:val="0"/>
      <w:marTop w:val="0"/>
      <w:marBottom w:val="0"/>
      <w:divBdr>
        <w:top w:val="none" w:sz="0" w:space="0" w:color="auto"/>
        <w:left w:val="none" w:sz="0" w:space="0" w:color="auto"/>
        <w:bottom w:val="none" w:sz="0" w:space="0" w:color="auto"/>
        <w:right w:val="none" w:sz="0" w:space="0" w:color="auto"/>
      </w:divBdr>
    </w:div>
    <w:div w:id="1572695538">
      <w:bodyDiv w:val="1"/>
      <w:marLeft w:val="0"/>
      <w:marRight w:val="0"/>
      <w:marTop w:val="0"/>
      <w:marBottom w:val="0"/>
      <w:divBdr>
        <w:top w:val="none" w:sz="0" w:space="0" w:color="auto"/>
        <w:left w:val="none" w:sz="0" w:space="0" w:color="auto"/>
        <w:bottom w:val="none" w:sz="0" w:space="0" w:color="auto"/>
        <w:right w:val="none" w:sz="0" w:space="0" w:color="auto"/>
      </w:divBdr>
    </w:div>
    <w:div w:id="193963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41EAE-5DFB-4041-BD40-DB4CA4D92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1643</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10993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lynnej01</cp:lastModifiedBy>
  <cp:revision>4</cp:revision>
  <cp:lastPrinted>2016-05-11T07:57:00Z</cp:lastPrinted>
  <dcterms:created xsi:type="dcterms:W3CDTF">2016-05-06T09:41:00Z</dcterms:created>
  <dcterms:modified xsi:type="dcterms:W3CDTF">2016-05-11T15:01:00Z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-1345798177</vt:i4>
  </property>
</Properties>
</file>