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F2" w:rsidRPr="00297630" w:rsidRDefault="002F2367" w:rsidP="00D619F2">
      <w:pPr>
        <w:pStyle w:val="Heading2"/>
      </w:pPr>
      <w:r w:rsidRPr="00297630">
        <w:t>Acute MLC Review: Formula Impact Assessment</w:t>
      </w:r>
    </w:p>
    <w:p w:rsidR="002B0502" w:rsidRPr="00297630" w:rsidRDefault="002B0502" w:rsidP="002B0502">
      <w:pPr>
        <w:pStyle w:val="Heading2"/>
      </w:pPr>
      <w:proofErr w:type="gramStart"/>
      <w:r w:rsidRPr="00297630">
        <w:t>TAGRA(</w:t>
      </w:r>
      <w:proofErr w:type="gramEnd"/>
      <w:r w:rsidRPr="00297630">
        <w:t>20</w:t>
      </w:r>
      <w:r w:rsidR="002F2367" w:rsidRPr="00297630">
        <w:t>16</w:t>
      </w:r>
      <w:r w:rsidRPr="00297630">
        <w:t>)XX</w:t>
      </w:r>
    </w:p>
    <w:p w:rsidR="0030414C" w:rsidRPr="00297630" w:rsidRDefault="0030414C" w:rsidP="0030414C">
      <w:pPr>
        <w:spacing w:before="100" w:beforeAutospacing="1" w:after="100"/>
        <w:rPr>
          <w:rFonts w:cs="Arial"/>
          <w:b/>
          <w:bCs/>
          <w:color w:val="FF0000"/>
        </w:rPr>
      </w:pPr>
      <w:r w:rsidRPr="00297630">
        <w:rPr>
          <w:rFonts w:cs="Arial"/>
          <w:b/>
          <w:color w:val="FF0000"/>
        </w:rPr>
        <w:t xml:space="preserve">Official Statistics; please treat as restricted until publication on </w:t>
      </w:r>
      <w:r w:rsidRPr="00297630">
        <w:rPr>
          <w:rFonts w:cs="Arial"/>
          <w:b/>
          <w:bCs/>
          <w:color w:val="FF0000"/>
        </w:rPr>
        <w:t>09:30 Tuesday 13 December 2016</w:t>
      </w:r>
      <w:r w:rsidRPr="00297630">
        <w:rPr>
          <w:rFonts w:cs="Arial"/>
          <w:b/>
          <w:color w:val="FF0000"/>
        </w:rPr>
        <w:t xml:space="preserve">. Please contact the Statistical Governance Team (email to: </w:t>
      </w:r>
      <w:hyperlink r:id="rId8" w:history="1">
        <w:r w:rsidRPr="00297630">
          <w:rPr>
            <w:rStyle w:val="Hyperlink"/>
            <w:rFonts w:cs="Arial"/>
            <w:b/>
            <w:color w:val="FF0000"/>
          </w:rPr>
          <w:t>NSS.nssstatsgov@nhs.net</w:t>
        </w:r>
      </w:hyperlink>
      <w:r w:rsidRPr="00297630">
        <w:rPr>
          <w:rFonts w:cs="Arial"/>
          <w:b/>
          <w:color w:val="FF0000"/>
        </w:rPr>
        <w:t>) should you become aware of any accidental or wrongful release.</w:t>
      </w:r>
    </w:p>
    <w:p w:rsidR="0030414C" w:rsidRPr="00297630" w:rsidRDefault="0030414C" w:rsidP="0030414C">
      <w:pPr>
        <w:spacing w:before="100" w:after="100"/>
        <w:rPr>
          <w:rFonts w:cs="Arial"/>
          <w:b/>
          <w:color w:val="FF0000"/>
        </w:rPr>
      </w:pPr>
      <w:r w:rsidRPr="00297630">
        <w:rPr>
          <w:rFonts w:cs="Arial"/>
          <w:b/>
          <w:color w:val="FF0000"/>
        </w:rPr>
        <w:t xml:space="preserve">Access is restricted only to named individuals for the sole purpose of ensuring that your organisation can comment on an informed basis at the time of release. </w:t>
      </w:r>
    </w:p>
    <w:p w:rsidR="00E71C9F" w:rsidRPr="00297630" w:rsidRDefault="00D619F2" w:rsidP="00D619F2">
      <w:pPr>
        <w:pStyle w:val="Heading2"/>
      </w:pPr>
      <w:r w:rsidRPr="00297630">
        <w:t xml:space="preserve">1. </w:t>
      </w:r>
      <w:r w:rsidR="002B0502" w:rsidRPr="00297630">
        <w:t>Introduction</w:t>
      </w:r>
    </w:p>
    <w:p w:rsidR="00D619F2" w:rsidRPr="00297630" w:rsidRDefault="002F2367" w:rsidP="00D619F2">
      <w:r w:rsidRPr="00297630">
        <w:t>At the August 2016 TAGRA meeting, the final report from the review of NRAC’s Acute Morbidity and Life Circumstances (MLC) component was presented. This recommended several changes to the Acute MLC model</w:t>
      </w:r>
      <w:r w:rsidR="00367AEC" w:rsidRPr="00297630">
        <w:t xml:space="preserve"> (listed in Annex A)</w:t>
      </w:r>
      <w:r w:rsidRPr="00297630">
        <w:t>, and TAGRA agreed in principle to accept t</w:t>
      </w:r>
      <w:r w:rsidR="00367AEC" w:rsidRPr="00297630">
        <w:t>he recommendations. Because of the</w:t>
      </w:r>
      <w:r w:rsidRPr="00297630">
        <w:t xml:space="preserve"> </w:t>
      </w:r>
      <w:r w:rsidR="00367AEC" w:rsidRPr="00297630">
        <w:t xml:space="preserve">SG Finance </w:t>
      </w:r>
      <w:r w:rsidRPr="00297630">
        <w:t xml:space="preserve">decision to switch to a three-year allocation regime, it was decided that implementation of the changes in the NRAC formula would be carried out in time </w:t>
      </w:r>
      <w:r w:rsidR="00367AEC" w:rsidRPr="00297630">
        <w:t>to inform</w:t>
      </w:r>
      <w:r w:rsidRPr="00297630">
        <w:t xml:space="preserve"> the 2017/18 shares, a year earlier than </w:t>
      </w:r>
      <w:proofErr w:type="gramStart"/>
      <w:r w:rsidRPr="00297630">
        <w:t>originally</w:t>
      </w:r>
      <w:proofErr w:type="gramEnd"/>
      <w:r w:rsidRPr="00297630">
        <w:t xml:space="preserve"> intended, in order to avoid having to wait a further three years to incorporate these changes. However, it was also agreed that an impact assessment of the changes would be carried out to allow TAGRA </w:t>
      </w:r>
      <w:r w:rsidR="00D94376" w:rsidRPr="00297630">
        <w:t xml:space="preserve">a fuller understanding of </w:t>
      </w:r>
      <w:r w:rsidRPr="00297630">
        <w:t>the effects of the various changes</w:t>
      </w:r>
      <w:r w:rsidR="00367AEC" w:rsidRPr="00297630">
        <w:t xml:space="preserve"> to the formula</w:t>
      </w:r>
      <w:r w:rsidR="00E51AE8" w:rsidRPr="00297630">
        <w:t xml:space="preserve"> in this update</w:t>
      </w:r>
      <w:r w:rsidRPr="00297630">
        <w:t>.</w:t>
      </w:r>
    </w:p>
    <w:p w:rsidR="002F2367" w:rsidRPr="00297630" w:rsidRDefault="002F2367" w:rsidP="00D619F2">
      <w:r w:rsidRPr="00297630">
        <w:t xml:space="preserve">This paper presents </w:t>
      </w:r>
      <w:r w:rsidR="00D94376" w:rsidRPr="00297630">
        <w:t>the impact assessment. We compare the results at NHS Board level for three different runs:</w:t>
      </w:r>
    </w:p>
    <w:p w:rsidR="00D94376" w:rsidRPr="00297630" w:rsidRDefault="00D94376" w:rsidP="00D619F2">
      <w:r w:rsidRPr="00297630">
        <w:rPr>
          <w:b/>
        </w:rPr>
        <w:t>Run 1</w:t>
      </w:r>
      <w:r w:rsidRPr="00297630">
        <w:t xml:space="preserve">: A “population-only” update for 2017/18 using the Age-Sex costs per head, the MLC indices, and the Excess Costs indices from the 2016/17 update, combined with </w:t>
      </w:r>
      <w:r w:rsidR="00C84D41" w:rsidRPr="00297630">
        <w:t>the 2017 population projections.</w:t>
      </w:r>
    </w:p>
    <w:p w:rsidR="00C84D41" w:rsidRPr="00297630" w:rsidRDefault="00C84D41" w:rsidP="00D619F2">
      <w:r w:rsidRPr="00297630">
        <w:rPr>
          <w:b/>
        </w:rPr>
        <w:t>Run 2</w:t>
      </w:r>
      <w:r w:rsidRPr="00297630">
        <w:t>: A fuller update for 2017/18 in which the new 2011 geographies are used, and the MLC indices are fully recalculated – but without incorporating the recommendations of the review for Acute. The Age-Sex costs per head, and the Excess Costs unit costs by urban-rural category, are retained from the 2016/17 update</w:t>
      </w:r>
      <w:r w:rsidR="00367AEC" w:rsidRPr="00297630">
        <w:t xml:space="preserve"> and applied to the new data zones</w:t>
      </w:r>
      <w:r w:rsidRPr="00297630">
        <w:t>.</w:t>
      </w:r>
    </w:p>
    <w:p w:rsidR="00C84D41" w:rsidRPr="00297630" w:rsidRDefault="00C84D41" w:rsidP="00D619F2">
      <w:r w:rsidRPr="00297630">
        <w:rPr>
          <w:b/>
        </w:rPr>
        <w:t>Run 3</w:t>
      </w:r>
      <w:r w:rsidRPr="00297630">
        <w:t>: Same as run 2 but with the Acute MLC review recommendations implemented.</w:t>
      </w:r>
      <w:r w:rsidR="00367AEC" w:rsidRPr="00297630">
        <w:t xml:space="preserve"> This run represents the official target shares for 2017/18.</w:t>
      </w:r>
    </w:p>
    <w:p w:rsidR="00C84D41" w:rsidRPr="00297630" w:rsidRDefault="00C84D41" w:rsidP="00D619F2">
      <w:r w:rsidRPr="00297630">
        <w:t>These runs</w:t>
      </w:r>
      <w:r w:rsidR="00367AEC" w:rsidRPr="00297630">
        <w:t xml:space="preserve"> together</w:t>
      </w:r>
      <w:r w:rsidRPr="00297630">
        <w:t xml:space="preserve"> allow the effects of </w:t>
      </w:r>
      <w:r w:rsidR="008D6E98" w:rsidRPr="00297630">
        <w:t xml:space="preserve">implementing the review recommendations to be observed separately from </w:t>
      </w:r>
      <w:r w:rsidRPr="00297630">
        <w:t>changing the geography basis</w:t>
      </w:r>
      <w:r w:rsidR="008D6E98" w:rsidRPr="00297630">
        <w:t xml:space="preserve"> and </w:t>
      </w:r>
      <w:r w:rsidRPr="00297630">
        <w:t>refreshing the MLC indices.</w:t>
      </w:r>
      <w:r w:rsidR="00367AEC" w:rsidRPr="00297630">
        <w:t xml:space="preserve"> Section 2 shows the changes to all MLC regression coefficients resulting from refreshing the data (run 2) and including the recommendations of the Acute review (run 3). Section 3 looks at the effects of refreshing the MLC models and moving to the 2011 geographies, by comparing Board-level indices for run 1 and run 2. Section 4 then shows the further effect of incorporating the review recommendations, by examining</w:t>
      </w:r>
      <w:r w:rsidR="00E51AE8" w:rsidRPr="00297630">
        <w:t xml:space="preserve"> the results of</w:t>
      </w:r>
      <w:r w:rsidR="00367AEC" w:rsidRPr="00297630">
        <w:t xml:space="preserve"> run 3.</w:t>
      </w:r>
    </w:p>
    <w:p w:rsidR="00D619F2" w:rsidRPr="00297630" w:rsidRDefault="00D619F2" w:rsidP="00D619F2">
      <w:pPr>
        <w:pStyle w:val="Heading2"/>
      </w:pPr>
      <w:r w:rsidRPr="00297630">
        <w:lastRenderedPageBreak/>
        <w:t xml:space="preserve">2. </w:t>
      </w:r>
      <w:r w:rsidR="00B374EA" w:rsidRPr="00297630">
        <w:t>Needs index coefficients</w:t>
      </w:r>
    </w:p>
    <w:p w:rsidR="00D619F2" w:rsidRPr="00297630" w:rsidRDefault="00262338" w:rsidP="00D619F2">
      <w:r w:rsidRPr="00297630">
        <w:t>The</w:t>
      </w:r>
      <w:r w:rsidR="00D93962" w:rsidRPr="00297630">
        <w:t xml:space="preserve"> regression</w:t>
      </w:r>
      <w:r w:rsidRPr="00297630">
        <w:t xml:space="preserve"> coefficients of the needs index for each care programme in each run are shown below. Coefficients have mostly increased in moving to the new geography and refreshing the data (runs 2 &amp; 3). </w:t>
      </w:r>
      <w:r w:rsidR="00B374EA" w:rsidRPr="00297630">
        <w:t xml:space="preserve">This was noted in the Acute MLC review, when results at the 2001 and 2011 geographies were compared. </w:t>
      </w:r>
      <w:r w:rsidR="0010746A" w:rsidRPr="00297630">
        <w:t xml:space="preserve">It is at least partly a result of greater variance in the measured cost ratios at the new geography, which implies better differentiation of need between areas in the redrawn geography. </w:t>
      </w:r>
      <w:r w:rsidRPr="00297630">
        <w:t xml:space="preserve">For Acute, the bigger increases in run 3 are due to the switch from intermediate zones to data zones – </w:t>
      </w:r>
      <w:r w:rsidR="00B374EA" w:rsidRPr="00297630">
        <w:t>again, this effect was noted in the review.</w:t>
      </w:r>
    </w:p>
    <w:p w:rsidR="00297630" w:rsidRPr="00297630" w:rsidRDefault="00297630" w:rsidP="00297630">
      <w:pPr>
        <w:pStyle w:val="Caption"/>
        <w:rPr>
          <w:i w:val="0"/>
          <w:szCs w:val="20"/>
          <w:lang w:val="en-GB"/>
        </w:rPr>
      </w:pPr>
      <w:r w:rsidRPr="00297630">
        <w:rPr>
          <w:lang w:val="en-GB"/>
        </w:rPr>
        <w:t xml:space="preserve">Table </w:t>
      </w:r>
      <w:r w:rsidR="00C30E9C" w:rsidRPr="00297630">
        <w:rPr>
          <w:lang w:val="en-GB"/>
        </w:rPr>
        <w:fldChar w:fldCharType="begin"/>
      </w:r>
      <w:r w:rsidRPr="00297630">
        <w:rPr>
          <w:lang w:val="en-GB"/>
        </w:rPr>
        <w:instrText xml:space="preserve"> SEQ Table \* ARABIC </w:instrText>
      </w:r>
      <w:r w:rsidR="00C30E9C" w:rsidRPr="00297630">
        <w:rPr>
          <w:lang w:val="en-GB"/>
        </w:rPr>
        <w:fldChar w:fldCharType="separate"/>
      </w:r>
      <w:r w:rsidR="00DD2FF9">
        <w:rPr>
          <w:noProof/>
          <w:lang w:val="en-GB"/>
        </w:rPr>
        <w:t>1</w:t>
      </w:r>
      <w:r w:rsidR="00C30E9C" w:rsidRPr="00297630">
        <w:rPr>
          <w:lang w:val="en-GB"/>
        </w:rPr>
        <w:fldChar w:fldCharType="end"/>
      </w:r>
      <w:r w:rsidRPr="00297630">
        <w:rPr>
          <w:lang w:val="en-GB"/>
        </w:rPr>
        <w:t>: Needs index coefficients for each care programme – runs 1, 2, and 3.</w:t>
      </w:r>
    </w:p>
    <w:tbl>
      <w:tblPr>
        <w:tblStyle w:val="TableGrid"/>
        <w:tblW w:w="0" w:type="auto"/>
        <w:tblInd w:w="-176" w:type="dxa"/>
        <w:tblLook w:val="04A0"/>
      </w:tblPr>
      <w:tblGrid>
        <w:gridCol w:w="615"/>
        <w:gridCol w:w="905"/>
        <w:gridCol w:w="733"/>
        <w:gridCol w:w="1106"/>
        <w:gridCol w:w="765"/>
        <w:gridCol w:w="755"/>
        <w:gridCol w:w="1328"/>
        <w:gridCol w:w="1328"/>
        <w:gridCol w:w="777"/>
        <w:gridCol w:w="1106"/>
      </w:tblGrid>
      <w:tr w:rsidR="00262338" w:rsidRPr="00297630" w:rsidTr="00D93962">
        <w:tc>
          <w:tcPr>
            <w:tcW w:w="615" w:type="dxa"/>
            <w:tcBorders>
              <w:top w:val="nil"/>
              <w:left w:val="nil"/>
              <w:bottom w:val="nil"/>
            </w:tcBorders>
            <w:vAlign w:val="center"/>
          </w:tcPr>
          <w:p w:rsidR="00262338" w:rsidRPr="00297630" w:rsidRDefault="00262338" w:rsidP="00262338">
            <w:pPr>
              <w:jc w:val="center"/>
            </w:pPr>
          </w:p>
        </w:tc>
        <w:tc>
          <w:tcPr>
            <w:tcW w:w="6920" w:type="dxa"/>
            <w:gridSpan w:val="7"/>
            <w:vAlign w:val="center"/>
          </w:tcPr>
          <w:p w:rsidR="00262338" w:rsidRPr="00297630" w:rsidRDefault="00262338" w:rsidP="00262338">
            <w:pPr>
              <w:jc w:val="center"/>
              <w:rPr>
                <w:b/>
              </w:rPr>
            </w:pPr>
            <w:r w:rsidRPr="00297630">
              <w:rPr>
                <w:b/>
              </w:rPr>
              <w:t>Acute</w:t>
            </w:r>
          </w:p>
        </w:tc>
        <w:tc>
          <w:tcPr>
            <w:tcW w:w="777" w:type="dxa"/>
            <w:vMerge w:val="restart"/>
            <w:tcBorders>
              <w:top w:val="single" w:sz="4" w:space="0" w:color="auto"/>
              <w:right w:val="single" w:sz="4" w:space="0" w:color="auto"/>
            </w:tcBorders>
            <w:vAlign w:val="center"/>
          </w:tcPr>
          <w:p w:rsidR="00262338" w:rsidRPr="00297630" w:rsidRDefault="00262338" w:rsidP="00262338">
            <w:pPr>
              <w:jc w:val="center"/>
            </w:pPr>
            <w:r w:rsidRPr="00297630">
              <w:rPr>
                <w:b/>
              </w:rPr>
              <w:t>COTE</w:t>
            </w:r>
          </w:p>
        </w:tc>
        <w:tc>
          <w:tcPr>
            <w:tcW w:w="1106" w:type="dxa"/>
            <w:vMerge w:val="restart"/>
            <w:tcBorders>
              <w:top w:val="single" w:sz="4" w:space="0" w:color="auto"/>
              <w:left w:val="single" w:sz="4" w:space="0" w:color="auto"/>
              <w:right w:val="single" w:sz="4" w:space="0" w:color="auto"/>
            </w:tcBorders>
            <w:vAlign w:val="center"/>
          </w:tcPr>
          <w:p w:rsidR="00262338" w:rsidRPr="00297630" w:rsidRDefault="00262338" w:rsidP="00262338">
            <w:pPr>
              <w:jc w:val="center"/>
            </w:pPr>
            <w:r w:rsidRPr="00297630">
              <w:rPr>
                <w:b/>
              </w:rPr>
              <w:t>Maternity</w:t>
            </w:r>
          </w:p>
        </w:tc>
      </w:tr>
      <w:tr w:rsidR="00262338" w:rsidRPr="00297630" w:rsidTr="00D93962">
        <w:tc>
          <w:tcPr>
            <w:tcW w:w="615" w:type="dxa"/>
            <w:tcBorders>
              <w:top w:val="nil"/>
              <w:left w:val="nil"/>
            </w:tcBorders>
            <w:vAlign w:val="center"/>
          </w:tcPr>
          <w:p w:rsidR="00262338" w:rsidRPr="00297630" w:rsidRDefault="00262338" w:rsidP="00262338">
            <w:pPr>
              <w:jc w:val="center"/>
            </w:pPr>
          </w:p>
        </w:tc>
        <w:tc>
          <w:tcPr>
            <w:tcW w:w="905" w:type="dxa"/>
            <w:vAlign w:val="center"/>
          </w:tcPr>
          <w:p w:rsidR="00262338" w:rsidRPr="00297630" w:rsidRDefault="00262338" w:rsidP="00262338">
            <w:pPr>
              <w:jc w:val="center"/>
              <w:rPr>
                <w:b/>
              </w:rPr>
            </w:pPr>
            <w:r w:rsidRPr="00297630">
              <w:rPr>
                <w:b/>
              </w:rPr>
              <w:t>Cancer</w:t>
            </w:r>
          </w:p>
        </w:tc>
        <w:tc>
          <w:tcPr>
            <w:tcW w:w="733" w:type="dxa"/>
            <w:vAlign w:val="center"/>
          </w:tcPr>
          <w:p w:rsidR="00262338" w:rsidRPr="00297630" w:rsidRDefault="00262338" w:rsidP="00262338">
            <w:pPr>
              <w:jc w:val="center"/>
              <w:rPr>
                <w:b/>
              </w:rPr>
            </w:pPr>
            <w:r w:rsidRPr="00297630">
              <w:rPr>
                <w:b/>
              </w:rPr>
              <w:t>Heart</w:t>
            </w:r>
          </w:p>
        </w:tc>
        <w:tc>
          <w:tcPr>
            <w:tcW w:w="1106" w:type="dxa"/>
            <w:vAlign w:val="center"/>
          </w:tcPr>
          <w:p w:rsidR="00262338" w:rsidRPr="00297630" w:rsidRDefault="00262338" w:rsidP="00262338">
            <w:pPr>
              <w:jc w:val="center"/>
              <w:rPr>
                <w:b/>
              </w:rPr>
            </w:pPr>
            <w:r w:rsidRPr="00297630">
              <w:rPr>
                <w:b/>
              </w:rPr>
              <w:t>Digestive</w:t>
            </w:r>
          </w:p>
        </w:tc>
        <w:tc>
          <w:tcPr>
            <w:tcW w:w="765" w:type="dxa"/>
            <w:vAlign w:val="center"/>
          </w:tcPr>
          <w:p w:rsidR="00262338" w:rsidRPr="00297630" w:rsidRDefault="00262338" w:rsidP="00262338">
            <w:pPr>
              <w:jc w:val="center"/>
              <w:rPr>
                <w:b/>
              </w:rPr>
            </w:pPr>
            <w:r w:rsidRPr="00297630">
              <w:rPr>
                <w:b/>
              </w:rPr>
              <w:t>Injury</w:t>
            </w:r>
          </w:p>
        </w:tc>
        <w:tc>
          <w:tcPr>
            <w:tcW w:w="755" w:type="dxa"/>
            <w:vAlign w:val="center"/>
          </w:tcPr>
          <w:p w:rsidR="00262338" w:rsidRPr="00297630" w:rsidRDefault="00262338" w:rsidP="00262338">
            <w:pPr>
              <w:jc w:val="center"/>
              <w:rPr>
                <w:b/>
              </w:rPr>
            </w:pPr>
            <w:r w:rsidRPr="00297630">
              <w:rPr>
                <w:b/>
              </w:rPr>
              <w:t>Other</w:t>
            </w:r>
          </w:p>
        </w:tc>
        <w:tc>
          <w:tcPr>
            <w:tcW w:w="1328" w:type="dxa"/>
            <w:vAlign w:val="center"/>
          </w:tcPr>
          <w:p w:rsidR="00262338" w:rsidRPr="00297630" w:rsidRDefault="00262338" w:rsidP="00262338">
            <w:pPr>
              <w:jc w:val="center"/>
              <w:rPr>
                <w:b/>
              </w:rPr>
            </w:pPr>
            <w:r w:rsidRPr="00297630">
              <w:rPr>
                <w:b/>
              </w:rPr>
              <w:t>Respiratory</w:t>
            </w:r>
          </w:p>
        </w:tc>
        <w:tc>
          <w:tcPr>
            <w:tcW w:w="1328" w:type="dxa"/>
            <w:vAlign w:val="center"/>
          </w:tcPr>
          <w:p w:rsidR="00262338" w:rsidRPr="00297630" w:rsidRDefault="00262338" w:rsidP="00262338">
            <w:pPr>
              <w:jc w:val="center"/>
              <w:rPr>
                <w:b/>
              </w:rPr>
            </w:pPr>
            <w:r w:rsidRPr="00297630">
              <w:rPr>
                <w:b/>
              </w:rPr>
              <w:t>Outpatients</w:t>
            </w:r>
          </w:p>
        </w:tc>
        <w:tc>
          <w:tcPr>
            <w:tcW w:w="777" w:type="dxa"/>
            <w:vMerge/>
            <w:tcBorders>
              <w:top w:val="nil"/>
            </w:tcBorders>
          </w:tcPr>
          <w:p w:rsidR="00262338" w:rsidRPr="00297630" w:rsidRDefault="00262338" w:rsidP="00262338">
            <w:pPr>
              <w:jc w:val="center"/>
              <w:rPr>
                <w:b/>
              </w:rPr>
            </w:pPr>
          </w:p>
        </w:tc>
        <w:tc>
          <w:tcPr>
            <w:tcW w:w="1106" w:type="dxa"/>
            <w:vMerge/>
            <w:tcBorders>
              <w:top w:val="nil"/>
            </w:tcBorders>
          </w:tcPr>
          <w:p w:rsidR="00262338" w:rsidRPr="00297630" w:rsidRDefault="00262338" w:rsidP="00262338">
            <w:pPr>
              <w:jc w:val="center"/>
              <w:rPr>
                <w:b/>
              </w:rPr>
            </w:pPr>
          </w:p>
        </w:tc>
      </w:tr>
      <w:tr w:rsidR="00262338" w:rsidRPr="00297630" w:rsidTr="00D93962">
        <w:tc>
          <w:tcPr>
            <w:tcW w:w="615" w:type="dxa"/>
            <w:vAlign w:val="center"/>
          </w:tcPr>
          <w:p w:rsidR="00262338" w:rsidRPr="00297630" w:rsidRDefault="00262338" w:rsidP="00262338">
            <w:pPr>
              <w:spacing w:before="120" w:after="120"/>
              <w:jc w:val="center"/>
              <w:rPr>
                <w:b/>
              </w:rPr>
            </w:pPr>
            <w:r w:rsidRPr="00297630">
              <w:rPr>
                <w:b/>
              </w:rPr>
              <w:t>Run 1</w:t>
            </w:r>
          </w:p>
        </w:tc>
        <w:tc>
          <w:tcPr>
            <w:tcW w:w="905" w:type="dxa"/>
            <w:vAlign w:val="center"/>
          </w:tcPr>
          <w:p w:rsidR="00262338" w:rsidRPr="00297630" w:rsidRDefault="00262338" w:rsidP="00262338">
            <w:pPr>
              <w:spacing w:before="120" w:after="120"/>
              <w:jc w:val="center"/>
            </w:pPr>
            <w:r w:rsidRPr="00297630">
              <w:t>0.036</w:t>
            </w:r>
          </w:p>
        </w:tc>
        <w:tc>
          <w:tcPr>
            <w:tcW w:w="733" w:type="dxa"/>
            <w:vAlign w:val="center"/>
          </w:tcPr>
          <w:p w:rsidR="00262338" w:rsidRPr="00297630" w:rsidRDefault="00262338" w:rsidP="00262338">
            <w:pPr>
              <w:spacing w:before="120" w:after="120"/>
              <w:jc w:val="center"/>
            </w:pPr>
            <w:r w:rsidRPr="00297630">
              <w:t>0.096</w:t>
            </w:r>
          </w:p>
        </w:tc>
        <w:tc>
          <w:tcPr>
            <w:tcW w:w="1106" w:type="dxa"/>
            <w:vAlign w:val="center"/>
          </w:tcPr>
          <w:p w:rsidR="00262338" w:rsidRPr="00297630" w:rsidRDefault="00262338" w:rsidP="00262338">
            <w:pPr>
              <w:spacing w:before="120" w:after="120"/>
              <w:jc w:val="center"/>
            </w:pPr>
            <w:r w:rsidRPr="00297630">
              <w:t>0.107</w:t>
            </w:r>
          </w:p>
        </w:tc>
        <w:tc>
          <w:tcPr>
            <w:tcW w:w="765" w:type="dxa"/>
            <w:vAlign w:val="center"/>
          </w:tcPr>
          <w:p w:rsidR="00262338" w:rsidRPr="00297630" w:rsidRDefault="00262338" w:rsidP="00262338">
            <w:pPr>
              <w:spacing w:before="120" w:after="120"/>
              <w:jc w:val="center"/>
            </w:pPr>
            <w:r w:rsidRPr="00297630">
              <w:t>0.100</w:t>
            </w:r>
          </w:p>
        </w:tc>
        <w:tc>
          <w:tcPr>
            <w:tcW w:w="755" w:type="dxa"/>
            <w:vAlign w:val="center"/>
          </w:tcPr>
          <w:p w:rsidR="00262338" w:rsidRPr="00297630" w:rsidRDefault="00262338" w:rsidP="00262338">
            <w:pPr>
              <w:spacing w:before="120" w:after="120"/>
              <w:jc w:val="center"/>
            </w:pPr>
            <w:r w:rsidRPr="00297630">
              <w:t>0.085</w:t>
            </w:r>
          </w:p>
        </w:tc>
        <w:tc>
          <w:tcPr>
            <w:tcW w:w="1328" w:type="dxa"/>
            <w:vAlign w:val="center"/>
          </w:tcPr>
          <w:p w:rsidR="00262338" w:rsidRPr="00297630" w:rsidRDefault="00262338" w:rsidP="00262338">
            <w:pPr>
              <w:spacing w:before="120" w:after="120"/>
              <w:jc w:val="center"/>
            </w:pPr>
            <w:r w:rsidRPr="00297630">
              <w:t>0.168</w:t>
            </w:r>
          </w:p>
        </w:tc>
        <w:tc>
          <w:tcPr>
            <w:tcW w:w="1328" w:type="dxa"/>
            <w:vAlign w:val="center"/>
          </w:tcPr>
          <w:p w:rsidR="00262338" w:rsidRPr="00297630" w:rsidRDefault="00262338" w:rsidP="00262338">
            <w:pPr>
              <w:spacing w:before="120" w:after="120"/>
              <w:jc w:val="center"/>
            </w:pPr>
            <w:r w:rsidRPr="00297630">
              <w:t>0.031</w:t>
            </w:r>
          </w:p>
        </w:tc>
        <w:tc>
          <w:tcPr>
            <w:tcW w:w="777" w:type="dxa"/>
            <w:vAlign w:val="center"/>
          </w:tcPr>
          <w:p w:rsidR="00262338" w:rsidRPr="00297630" w:rsidRDefault="00262338" w:rsidP="00262338">
            <w:pPr>
              <w:spacing w:before="120" w:after="120"/>
              <w:jc w:val="center"/>
            </w:pPr>
            <w:r w:rsidRPr="00297630">
              <w:t>0.083</w:t>
            </w:r>
          </w:p>
        </w:tc>
        <w:tc>
          <w:tcPr>
            <w:tcW w:w="1106" w:type="dxa"/>
            <w:vAlign w:val="center"/>
          </w:tcPr>
          <w:p w:rsidR="00262338" w:rsidRPr="00297630" w:rsidRDefault="00262338" w:rsidP="00262338">
            <w:pPr>
              <w:spacing w:before="120" w:after="120"/>
              <w:jc w:val="center"/>
            </w:pPr>
            <w:r w:rsidRPr="00297630">
              <w:t>-0.027</w:t>
            </w:r>
          </w:p>
        </w:tc>
      </w:tr>
      <w:tr w:rsidR="00262338" w:rsidRPr="00297630" w:rsidTr="00D93962">
        <w:tc>
          <w:tcPr>
            <w:tcW w:w="615" w:type="dxa"/>
            <w:vAlign w:val="center"/>
          </w:tcPr>
          <w:p w:rsidR="00262338" w:rsidRPr="00297630" w:rsidRDefault="00262338" w:rsidP="00262338">
            <w:pPr>
              <w:spacing w:before="120" w:after="120"/>
              <w:jc w:val="center"/>
              <w:rPr>
                <w:b/>
              </w:rPr>
            </w:pPr>
            <w:r w:rsidRPr="00297630">
              <w:rPr>
                <w:b/>
              </w:rPr>
              <w:t>Run 2</w:t>
            </w:r>
          </w:p>
        </w:tc>
        <w:tc>
          <w:tcPr>
            <w:tcW w:w="905" w:type="dxa"/>
            <w:vAlign w:val="center"/>
          </w:tcPr>
          <w:p w:rsidR="00262338" w:rsidRPr="00297630" w:rsidRDefault="00262338" w:rsidP="00262338">
            <w:pPr>
              <w:jc w:val="center"/>
              <w:rPr>
                <w:rFonts w:cs="Arial"/>
                <w:szCs w:val="20"/>
              </w:rPr>
            </w:pPr>
            <w:r w:rsidRPr="00297630">
              <w:rPr>
                <w:rFonts w:cs="Arial"/>
                <w:szCs w:val="20"/>
              </w:rPr>
              <w:t>0.042</w:t>
            </w:r>
          </w:p>
        </w:tc>
        <w:tc>
          <w:tcPr>
            <w:tcW w:w="733" w:type="dxa"/>
            <w:vAlign w:val="center"/>
          </w:tcPr>
          <w:p w:rsidR="00262338" w:rsidRPr="00297630" w:rsidRDefault="00262338" w:rsidP="00262338">
            <w:pPr>
              <w:jc w:val="center"/>
              <w:rPr>
                <w:rFonts w:cs="Arial"/>
                <w:szCs w:val="20"/>
              </w:rPr>
            </w:pPr>
            <w:r w:rsidRPr="00297630">
              <w:rPr>
                <w:rFonts w:cs="Arial"/>
                <w:szCs w:val="20"/>
              </w:rPr>
              <w:t>0.095</w:t>
            </w:r>
          </w:p>
        </w:tc>
        <w:tc>
          <w:tcPr>
            <w:tcW w:w="1106" w:type="dxa"/>
            <w:vAlign w:val="center"/>
          </w:tcPr>
          <w:p w:rsidR="00262338" w:rsidRPr="00297630" w:rsidRDefault="00262338" w:rsidP="00262338">
            <w:pPr>
              <w:jc w:val="center"/>
              <w:rPr>
                <w:rFonts w:cs="Arial"/>
                <w:szCs w:val="20"/>
              </w:rPr>
            </w:pPr>
            <w:r w:rsidRPr="00297630">
              <w:rPr>
                <w:rFonts w:cs="Arial"/>
                <w:szCs w:val="20"/>
              </w:rPr>
              <w:t>0.100</w:t>
            </w:r>
          </w:p>
        </w:tc>
        <w:tc>
          <w:tcPr>
            <w:tcW w:w="765" w:type="dxa"/>
            <w:vAlign w:val="center"/>
          </w:tcPr>
          <w:p w:rsidR="00262338" w:rsidRPr="00297630" w:rsidRDefault="00262338" w:rsidP="00262338">
            <w:pPr>
              <w:jc w:val="center"/>
              <w:rPr>
                <w:rFonts w:cs="Arial"/>
                <w:szCs w:val="20"/>
              </w:rPr>
            </w:pPr>
            <w:r w:rsidRPr="00297630">
              <w:rPr>
                <w:rFonts w:cs="Arial"/>
                <w:szCs w:val="20"/>
              </w:rPr>
              <w:t>0.103</w:t>
            </w:r>
          </w:p>
        </w:tc>
        <w:tc>
          <w:tcPr>
            <w:tcW w:w="755" w:type="dxa"/>
            <w:vAlign w:val="center"/>
          </w:tcPr>
          <w:p w:rsidR="00262338" w:rsidRPr="00297630" w:rsidRDefault="00262338" w:rsidP="00262338">
            <w:pPr>
              <w:jc w:val="center"/>
              <w:rPr>
                <w:rFonts w:cs="Arial"/>
                <w:szCs w:val="20"/>
              </w:rPr>
            </w:pPr>
            <w:r w:rsidRPr="00297630">
              <w:rPr>
                <w:rFonts w:cs="Arial"/>
                <w:szCs w:val="20"/>
              </w:rPr>
              <w:t>0.091</w:t>
            </w:r>
          </w:p>
        </w:tc>
        <w:tc>
          <w:tcPr>
            <w:tcW w:w="1328" w:type="dxa"/>
            <w:vAlign w:val="center"/>
          </w:tcPr>
          <w:p w:rsidR="00262338" w:rsidRPr="00297630" w:rsidRDefault="00262338" w:rsidP="00262338">
            <w:pPr>
              <w:jc w:val="center"/>
              <w:rPr>
                <w:rFonts w:cs="Arial"/>
                <w:szCs w:val="20"/>
              </w:rPr>
            </w:pPr>
            <w:r w:rsidRPr="00297630">
              <w:rPr>
                <w:rFonts w:cs="Arial"/>
                <w:szCs w:val="20"/>
              </w:rPr>
              <w:t>0.156</w:t>
            </w:r>
          </w:p>
        </w:tc>
        <w:tc>
          <w:tcPr>
            <w:tcW w:w="1328" w:type="dxa"/>
            <w:vAlign w:val="center"/>
          </w:tcPr>
          <w:p w:rsidR="00262338" w:rsidRPr="00297630" w:rsidRDefault="00262338" w:rsidP="00262338">
            <w:pPr>
              <w:jc w:val="center"/>
              <w:rPr>
                <w:rFonts w:cs="Arial"/>
                <w:szCs w:val="20"/>
              </w:rPr>
            </w:pPr>
            <w:r w:rsidRPr="00297630">
              <w:rPr>
                <w:rFonts w:cs="Arial"/>
                <w:szCs w:val="20"/>
              </w:rPr>
              <w:t>0.032</w:t>
            </w:r>
          </w:p>
        </w:tc>
        <w:tc>
          <w:tcPr>
            <w:tcW w:w="777" w:type="dxa"/>
            <w:vAlign w:val="center"/>
          </w:tcPr>
          <w:p w:rsidR="00262338" w:rsidRPr="00297630" w:rsidRDefault="00262338" w:rsidP="00262338">
            <w:pPr>
              <w:spacing w:before="120" w:after="120"/>
              <w:jc w:val="center"/>
            </w:pPr>
            <w:r w:rsidRPr="00297630">
              <w:t>0.117</w:t>
            </w:r>
          </w:p>
        </w:tc>
        <w:tc>
          <w:tcPr>
            <w:tcW w:w="1106" w:type="dxa"/>
            <w:vAlign w:val="center"/>
          </w:tcPr>
          <w:p w:rsidR="00262338" w:rsidRPr="00297630" w:rsidRDefault="00262338" w:rsidP="00262338">
            <w:pPr>
              <w:spacing w:before="120" w:after="120"/>
              <w:jc w:val="center"/>
            </w:pPr>
            <w:r w:rsidRPr="00297630">
              <w:t>-0.044</w:t>
            </w:r>
          </w:p>
        </w:tc>
      </w:tr>
      <w:tr w:rsidR="00262338" w:rsidRPr="00297630" w:rsidTr="00D93962">
        <w:tc>
          <w:tcPr>
            <w:tcW w:w="615" w:type="dxa"/>
            <w:vAlign w:val="center"/>
          </w:tcPr>
          <w:p w:rsidR="00262338" w:rsidRPr="00297630" w:rsidRDefault="00262338" w:rsidP="00262338">
            <w:pPr>
              <w:spacing w:before="120" w:after="120"/>
              <w:jc w:val="center"/>
              <w:rPr>
                <w:b/>
              </w:rPr>
            </w:pPr>
            <w:r w:rsidRPr="00297630">
              <w:rPr>
                <w:b/>
              </w:rPr>
              <w:t>Run 3</w:t>
            </w:r>
          </w:p>
        </w:tc>
        <w:tc>
          <w:tcPr>
            <w:tcW w:w="905" w:type="dxa"/>
            <w:vAlign w:val="center"/>
          </w:tcPr>
          <w:p w:rsidR="00262338" w:rsidRPr="00297630" w:rsidRDefault="00262338" w:rsidP="00262338">
            <w:pPr>
              <w:spacing w:before="120" w:after="120"/>
              <w:jc w:val="center"/>
            </w:pPr>
            <w:r w:rsidRPr="00297630">
              <w:t>0.062</w:t>
            </w:r>
          </w:p>
        </w:tc>
        <w:tc>
          <w:tcPr>
            <w:tcW w:w="733" w:type="dxa"/>
            <w:vAlign w:val="center"/>
          </w:tcPr>
          <w:p w:rsidR="00262338" w:rsidRPr="00297630" w:rsidRDefault="00262338" w:rsidP="00262338">
            <w:pPr>
              <w:spacing w:before="120" w:after="120"/>
              <w:jc w:val="center"/>
            </w:pPr>
            <w:r w:rsidRPr="00297630">
              <w:t>0.137</w:t>
            </w:r>
          </w:p>
        </w:tc>
        <w:tc>
          <w:tcPr>
            <w:tcW w:w="1106" w:type="dxa"/>
            <w:vAlign w:val="center"/>
          </w:tcPr>
          <w:p w:rsidR="00262338" w:rsidRPr="00297630" w:rsidRDefault="00262338" w:rsidP="00262338">
            <w:pPr>
              <w:spacing w:before="120" w:after="120"/>
              <w:jc w:val="center"/>
            </w:pPr>
            <w:r w:rsidRPr="00297630">
              <w:t>0.115</w:t>
            </w:r>
          </w:p>
        </w:tc>
        <w:tc>
          <w:tcPr>
            <w:tcW w:w="765" w:type="dxa"/>
            <w:vAlign w:val="center"/>
          </w:tcPr>
          <w:p w:rsidR="00262338" w:rsidRPr="00297630" w:rsidRDefault="00262338" w:rsidP="00262338">
            <w:pPr>
              <w:spacing w:before="120" w:after="120"/>
              <w:jc w:val="center"/>
            </w:pPr>
            <w:r w:rsidRPr="00297630">
              <w:t>0.120</w:t>
            </w:r>
          </w:p>
        </w:tc>
        <w:tc>
          <w:tcPr>
            <w:tcW w:w="755" w:type="dxa"/>
            <w:vAlign w:val="center"/>
          </w:tcPr>
          <w:p w:rsidR="00262338" w:rsidRPr="00297630" w:rsidRDefault="00262338" w:rsidP="00262338">
            <w:pPr>
              <w:spacing w:before="120" w:after="120"/>
              <w:jc w:val="center"/>
            </w:pPr>
            <w:r w:rsidRPr="00297630">
              <w:t>0.113</w:t>
            </w:r>
          </w:p>
        </w:tc>
        <w:tc>
          <w:tcPr>
            <w:tcW w:w="1328" w:type="dxa"/>
            <w:vAlign w:val="center"/>
          </w:tcPr>
          <w:p w:rsidR="00262338" w:rsidRPr="00297630" w:rsidRDefault="00262338" w:rsidP="00262338">
            <w:pPr>
              <w:spacing w:before="120" w:after="120"/>
              <w:jc w:val="center"/>
            </w:pPr>
            <w:r w:rsidRPr="00297630">
              <w:t>0.172</w:t>
            </w:r>
          </w:p>
        </w:tc>
        <w:tc>
          <w:tcPr>
            <w:tcW w:w="1328" w:type="dxa"/>
            <w:vAlign w:val="center"/>
          </w:tcPr>
          <w:p w:rsidR="00262338" w:rsidRPr="00297630" w:rsidRDefault="00262338" w:rsidP="00262338">
            <w:pPr>
              <w:spacing w:before="120" w:after="120"/>
              <w:jc w:val="center"/>
            </w:pPr>
            <w:r w:rsidRPr="00297630">
              <w:t>0.037</w:t>
            </w:r>
          </w:p>
        </w:tc>
        <w:tc>
          <w:tcPr>
            <w:tcW w:w="777" w:type="dxa"/>
            <w:vAlign w:val="center"/>
          </w:tcPr>
          <w:p w:rsidR="00262338" w:rsidRPr="00297630" w:rsidRDefault="00262338" w:rsidP="00262338">
            <w:pPr>
              <w:spacing w:before="120" w:after="120"/>
              <w:jc w:val="center"/>
            </w:pPr>
            <w:r w:rsidRPr="00297630">
              <w:t>0.117</w:t>
            </w:r>
          </w:p>
        </w:tc>
        <w:tc>
          <w:tcPr>
            <w:tcW w:w="1106" w:type="dxa"/>
            <w:vAlign w:val="center"/>
          </w:tcPr>
          <w:p w:rsidR="00262338" w:rsidRPr="00297630" w:rsidRDefault="00262338" w:rsidP="00262338">
            <w:pPr>
              <w:spacing w:before="120" w:after="120"/>
              <w:jc w:val="center"/>
            </w:pPr>
            <w:r w:rsidRPr="00297630">
              <w:t>-0.044</w:t>
            </w:r>
          </w:p>
        </w:tc>
      </w:tr>
    </w:tbl>
    <w:p w:rsidR="00262338" w:rsidRPr="00297630" w:rsidRDefault="00262338" w:rsidP="00262338">
      <w:pPr>
        <w:spacing w:after="0"/>
      </w:pPr>
    </w:p>
    <w:tbl>
      <w:tblPr>
        <w:tblStyle w:val="TableGrid"/>
        <w:tblW w:w="0" w:type="auto"/>
        <w:tblInd w:w="-176" w:type="dxa"/>
        <w:tblLayout w:type="fixed"/>
        <w:tblLook w:val="04A0"/>
      </w:tblPr>
      <w:tblGrid>
        <w:gridCol w:w="710"/>
        <w:gridCol w:w="850"/>
        <w:gridCol w:w="851"/>
        <w:gridCol w:w="1134"/>
        <w:gridCol w:w="1134"/>
        <w:gridCol w:w="1134"/>
        <w:gridCol w:w="1275"/>
        <w:gridCol w:w="1546"/>
        <w:gridCol w:w="1133"/>
      </w:tblGrid>
      <w:tr w:rsidR="00262338" w:rsidRPr="00297630" w:rsidTr="00262338">
        <w:tc>
          <w:tcPr>
            <w:tcW w:w="710" w:type="dxa"/>
            <w:tcBorders>
              <w:top w:val="nil"/>
              <w:left w:val="nil"/>
              <w:bottom w:val="nil"/>
            </w:tcBorders>
          </w:tcPr>
          <w:p w:rsidR="00262338" w:rsidRPr="00297630" w:rsidRDefault="00262338" w:rsidP="00262338"/>
        </w:tc>
        <w:tc>
          <w:tcPr>
            <w:tcW w:w="1701" w:type="dxa"/>
            <w:gridSpan w:val="2"/>
            <w:vAlign w:val="center"/>
          </w:tcPr>
          <w:p w:rsidR="00262338" w:rsidRPr="00297630" w:rsidRDefault="00262338" w:rsidP="00262338">
            <w:pPr>
              <w:jc w:val="center"/>
              <w:rPr>
                <w:b/>
              </w:rPr>
            </w:pPr>
            <w:r w:rsidRPr="00297630">
              <w:rPr>
                <w:b/>
              </w:rPr>
              <w:t>MHLD</w:t>
            </w:r>
          </w:p>
        </w:tc>
        <w:tc>
          <w:tcPr>
            <w:tcW w:w="7356" w:type="dxa"/>
            <w:gridSpan w:val="6"/>
            <w:vAlign w:val="center"/>
          </w:tcPr>
          <w:p w:rsidR="00262338" w:rsidRPr="00297630" w:rsidRDefault="00262338" w:rsidP="00262338">
            <w:pPr>
              <w:jc w:val="center"/>
              <w:rPr>
                <w:b/>
              </w:rPr>
            </w:pPr>
            <w:r w:rsidRPr="00297630">
              <w:rPr>
                <w:b/>
              </w:rPr>
              <w:t>GP Prescribing</w:t>
            </w:r>
          </w:p>
        </w:tc>
      </w:tr>
      <w:tr w:rsidR="00262338" w:rsidRPr="00297630" w:rsidTr="00262338">
        <w:tc>
          <w:tcPr>
            <w:tcW w:w="710" w:type="dxa"/>
            <w:tcBorders>
              <w:top w:val="nil"/>
              <w:left w:val="nil"/>
            </w:tcBorders>
          </w:tcPr>
          <w:p w:rsidR="00262338" w:rsidRPr="00297630" w:rsidRDefault="00262338" w:rsidP="00262338"/>
        </w:tc>
        <w:tc>
          <w:tcPr>
            <w:tcW w:w="850" w:type="dxa"/>
            <w:vAlign w:val="center"/>
          </w:tcPr>
          <w:p w:rsidR="00262338" w:rsidRPr="00297630" w:rsidRDefault="00262338" w:rsidP="00262338">
            <w:pPr>
              <w:jc w:val="center"/>
              <w:rPr>
                <w:b/>
              </w:rPr>
            </w:pPr>
            <w:r w:rsidRPr="00297630">
              <w:rPr>
                <w:b/>
              </w:rPr>
              <w:t>&lt; 65</w:t>
            </w:r>
          </w:p>
        </w:tc>
        <w:tc>
          <w:tcPr>
            <w:tcW w:w="851" w:type="dxa"/>
            <w:vAlign w:val="center"/>
          </w:tcPr>
          <w:p w:rsidR="00262338" w:rsidRPr="00297630" w:rsidRDefault="00262338" w:rsidP="00262338">
            <w:pPr>
              <w:jc w:val="center"/>
              <w:rPr>
                <w:b/>
              </w:rPr>
            </w:pPr>
            <w:r w:rsidRPr="00297630">
              <w:rPr>
                <w:rFonts w:cs="Arial"/>
                <w:b/>
              </w:rPr>
              <w:t xml:space="preserve">≥ </w:t>
            </w:r>
            <w:r w:rsidRPr="00297630">
              <w:rPr>
                <w:b/>
              </w:rPr>
              <w:t>65</w:t>
            </w:r>
          </w:p>
        </w:tc>
        <w:tc>
          <w:tcPr>
            <w:tcW w:w="1134" w:type="dxa"/>
            <w:vAlign w:val="center"/>
          </w:tcPr>
          <w:p w:rsidR="00262338" w:rsidRPr="00297630" w:rsidRDefault="00262338" w:rsidP="00262338">
            <w:pPr>
              <w:jc w:val="center"/>
              <w:rPr>
                <w:b/>
              </w:rPr>
            </w:pPr>
            <w:r w:rsidRPr="00297630">
              <w:rPr>
                <w:b/>
              </w:rPr>
              <w:t>Cardio</w:t>
            </w:r>
          </w:p>
        </w:tc>
        <w:tc>
          <w:tcPr>
            <w:tcW w:w="1134" w:type="dxa"/>
            <w:vAlign w:val="center"/>
          </w:tcPr>
          <w:p w:rsidR="00262338" w:rsidRPr="00297630" w:rsidRDefault="00262338" w:rsidP="00262338">
            <w:pPr>
              <w:jc w:val="center"/>
              <w:rPr>
                <w:b/>
              </w:rPr>
            </w:pPr>
            <w:r w:rsidRPr="00297630">
              <w:rPr>
                <w:b/>
              </w:rPr>
              <w:t>CNS</w:t>
            </w:r>
          </w:p>
        </w:tc>
        <w:tc>
          <w:tcPr>
            <w:tcW w:w="1134" w:type="dxa"/>
            <w:vAlign w:val="center"/>
          </w:tcPr>
          <w:p w:rsidR="00262338" w:rsidRPr="00297630" w:rsidRDefault="00262338" w:rsidP="00262338">
            <w:pPr>
              <w:jc w:val="center"/>
              <w:rPr>
                <w:b/>
              </w:rPr>
            </w:pPr>
            <w:r w:rsidRPr="00297630">
              <w:rPr>
                <w:b/>
              </w:rPr>
              <w:t>Gastro</w:t>
            </w:r>
          </w:p>
        </w:tc>
        <w:tc>
          <w:tcPr>
            <w:tcW w:w="1275" w:type="dxa"/>
            <w:vAlign w:val="center"/>
          </w:tcPr>
          <w:p w:rsidR="00262338" w:rsidRPr="00297630" w:rsidRDefault="00262338" w:rsidP="00262338">
            <w:pPr>
              <w:jc w:val="center"/>
              <w:rPr>
                <w:b/>
              </w:rPr>
            </w:pPr>
            <w:r w:rsidRPr="00297630">
              <w:rPr>
                <w:b/>
              </w:rPr>
              <w:t>Infections</w:t>
            </w:r>
          </w:p>
        </w:tc>
        <w:tc>
          <w:tcPr>
            <w:tcW w:w="1546" w:type="dxa"/>
            <w:vAlign w:val="center"/>
          </w:tcPr>
          <w:p w:rsidR="00262338" w:rsidRPr="00297630" w:rsidRDefault="00262338" w:rsidP="00262338">
            <w:pPr>
              <w:jc w:val="center"/>
              <w:rPr>
                <w:b/>
              </w:rPr>
            </w:pPr>
            <w:proofErr w:type="spellStart"/>
            <w:r w:rsidRPr="00297630">
              <w:rPr>
                <w:b/>
              </w:rPr>
              <w:t>Musc</w:t>
            </w:r>
            <w:proofErr w:type="spellEnd"/>
            <w:r w:rsidRPr="00297630">
              <w:rPr>
                <w:b/>
              </w:rPr>
              <w:t xml:space="preserve"> &amp; Joint</w:t>
            </w:r>
          </w:p>
        </w:tc>
        <w:tc>
          <w:tcPr>
            <w:tcW w:w="1133" w:type="dxa"/>
            <w:vAlign w:val="center"/>
          </w:tcPr>
          <w:p w:rsidR="00262338" w:rsidRPr="00297630" w:rsidRDefault="00262338" w:rsidP="00262338">
            <w:pPr>
              <w:jc w:val="center"/>
              <w:rPr>
                <w:b/>
              </w:rPr>
            </w:pPr>
            <w:r w:rsidRPr="00297630">
              <w:rPr>
                <w:b/>
              </w:rPr>
              <w:t>Other</w:t>
            </w:r>
          </w:p>
        </w:tc>
      </w:tr>
      <w:tr w:rsidR="00262338" w:rsidRPr="00297630" w:rsidTr="00262338">
        <w:tc>
          <w:tcPr>
            <w:tcW w:w="710" w:type="dxa"/>
            <w:vAlign w:val="center"/>
          </w:tcPr>
          <w:p w:rsidR="00262338" w:rsidRPr="00297630" w:rsidRDefault="00262338" w:rsidP="00262338">
            <w:pPr>
              <w:spacing w:before="120" w:after="120"/>
              <w:jc w:val="center"/>
              <w:rPr>
                <w:b/>
              </w:rPr>
            </w:pPr>
            <w:r w:rsidRPr="00297630">
              <w:rPr>
                <w:b/>
              </w:rPr>
              <w:t>Run 1</w:t>
            </w:r>
          </w:p>
        </w:tc>
        <w:tc>
          <w:tcPr>
            <w:tcW w:w="850" w:type="dxa"/>
            <w:vAlign w:val="center"/>
          </w:tcPr>
          <w:p w:rsidR="00262338" w:rsidRPr="00297630" w:rsidRDefault="00262338" w:rsidP="00262338">
            <w:pPr>
              <w:spacing w:before="120" w:after="120"/>
              <w:jc w:val="center"/>
            </w:pPr>
            <w:r w:rsidRPr="00297630">
              <w:t>0.114</w:t>
            </w:r>
          </w:p>
        </w:tc>
        <w:tc>
          <w:tcPr>
            <w:tcW w:w="851" w:type="dxa"/>
            <w:vAlign w:val="center"/>
          </w:tcPr>
          <w:p w:rsidR="00262338" w:rsidRPr="00297630" w:rsidRDefault="00262338" w:rsidP="00262338">
            <w:pPr>
              <w:spacing w:before="120" w:after="120"/>
              <w:jc w:val="center"/>
            </w:pPr>
            <w:r w:rsidRPr="00297630">
              <w:t>0.092</w:t>
            </w:r>
          </w:p>
        </w:tc>
        <w:tc>
          <w:tcPr>
            <w:tcW w:w="1134" w:type="dxa"/>
            <w:vAlign w:val="center"/>
          </w:tcPr>
          <w:p w:rsidR="00262338" w:rsidRPr="00297630" w:rsidRDefault="00262338" w:rsidP="00262338">
            <w:pPr>
              <w:spacing w:before="120" w:after="120"/>
              <w:jc w:val="center"/>
            </w:pPr>
            <w:r w:rsidRPr="00297630">
              <w:t>0.068</w:t>
            </w:r>
          </w:p>
        </w:tc>
        <w:tc>
          <w:tcPr>
            <w:tcW w:w="1134" w:type="dxa"/>
            <w:vAlign w:val="center"/>
          </w:tcPr>
          <w:p w:rsidR="00262338" w:rsidRPr="00297630" w:rsidRDefault="00262338" w:rsidP="00262338">
            <w:pPr>
              <w:spacing w:before="120" w:after="120"/>
              <w:jc w:val="center"/>
            </w:pPr>
            <w:r w:rsidRPr="00297630">
              <w:t>0.129</w:t>
            </w:r>
          </w:p>
        </w:tc>
        <w:tc>
          <w:tcPr>
            <w:tcW w:w="1134" w:type="dxa"/>
            <w:vAlign w:val="center"/>
          </w:tcPr>
          <w:p w:rsidR="00262338" w:rsidRPr="00297630" w:rsidRDefault="00262338" w:rsidP="00262338">
            <w:pPr>
              <w:spacing w:before="120" w:after="120"/>
              <w:jc w:val="center"/>
            </w:pPr>
            <w:r w:rsidRPr="00297630">
              <w:t>0.068</w:t>
            </w:r>
          </w:p>
        </w:tc>
        <w:tc>
          <w:tcPr>
            <w:tcW w:w="1275" w:type="dxa"/>
            <w:vAlign w:val="center"/>
          </w:tcPr>
          <w:p w:rsidR="00262338" w:rsidRPr="00297630" w:rsidRDefault="00262338" w:rsidP="00262338">
            <w:pPr>
              <w:spacing w:before="120" w:after="120"/>
              <w:jc w:val="center"/>
            </w:pPr>
            <w:r w:rsidRPr="00297630">
              <w:t>0.025</w:t>
            </w:r>
          </w:p>
        </w:tc>
        <w:tc>
          <w:tcPr>
            <w:tcW w:w="1546" w:type="dxa"/>
            <w:vAlign w:val="center"/>
          </w:tcPr>
          <w:p w:rsidR="00262338" w:rsidRPr="00297630" w:rsidRDefault="00262338" w:rsidP="00262338">
            <w:pPr>
              <w:spacing w:before="120" w:after="120"/>
              <w:jc w:val="center"/>
            </w:pPr>
            <w:r w:rsidRPr="00297630">
              <w:t>0.122</w:t>
            </w:r>
          </w:p>
        </w:tc>
        <w:tc>
          <w:tcPr>
            <w:tcW w:w="1133" w:type="dxa"/>
            <w:vAlign w:val="center"/>
          </w:tcPr>
          <w:p w:rsidR="00262338" w:rsidRPr="00297630" w:rsidRDefault="00262338" w:rsidP="00262338">
            <w:pPr>
              <w:spacing w:before="120" w:after="120"/>
              <w:jc w:val="center"/>
            </w:pPr>
            <w:r w:rsidRPr="00297630">
              <w:t>0.077</w:t>
            </w:r>
          </w:p>
        </w:tc>
      </w:tr>
      <w:tr w:rsidR="00262338" w:rsidRPr="00297630" w:rsidTr="00262338">
        <w:tc>
          <w:tcPr>
            <w:tcW w:w="710" w:type="dxa"/>
            <w:vAlign w:val="center"/>
          </w:tcPr>
          <w:p w:rsidR="00262338" w:rsidRPr="00297630" w:rsidRDefault="00262338" w:rsidP="00262338">
            <w:pPr>
              <w:spacing w:before="120" w:after="120"/>
              <w:jc w:val="center"/>
              <w:rPr>
                <w:b/>
              </w:rPr>
            </w:pPr>
            <w:r w:rsidRPr="00297630">
              <w:rPr>
                <w:b/>
              </w:rPr>
              <w:t>Run 2</w:t>
            </w:r>
          </w:p>
        </w:tc>
        <w:tc>
          <w:tcPr>
            <w:tcW w:w="850" w:type="dxa"/>
            <w:vAlign w:val="center"/>
          </w:tcPr>
          <w:p w:rsidR="00262338" w:rsidRPr="00297630" w:rsidRDefault="00262338" w:rsidP="00262338">
            <w:pPr>
              <w:spacing w:before="120" w:after="120"/>
              <w:jc w:val="center"/>
            </w:pPr>
            <w:r w:rsidRPr="00297630">
              <w:t>0.125</w:t>
            </w:r>
          </w:p>
        </w:tc>
        <w:tc>
          <w:tcPr>
            <w:tcW w:w="851" w:type="dxa"/>
            <w:vAlign w:val="center"/>
          </w:tcPr>
          <w:p w:rsidR="00262338" w:rsidRPr="00297630" w:rsidRDefault="00262338" w:rsidP="00262338">
            <w:pPr>
              <w:spacing w:before="120" w:after="120"/>
              <w:jc w:val="center"/>
            </w:pPr>
            <w:r w:rsidRPr="00297630">
              <w:t>0.167</w:t>
            </w:r>
          </w:p>
        </w:tc>
        <w:tc>
          <w:tcPr>
            <w:tcW w:w="1134" w:type="dxa"/>
            <w:vAlign w:val="center"/>
          </w:tcPr>
          <w:p w:rsidR="00262338" w:rsidRPr="00297630" w:rsidRDefault="00262338" w:rsidP="00262338">
            <w:pPr>
              <w:spacing w:before="120" w:after="120"/>
              <w:jc w:val="center"/>
            </w:pPr>
            <w:r w:rsidRPr="00297630">
              <w:rPr>
                <w:rFonts w:eastAsia="Times New Roman" w:cs="Arial"/>
                <w:szCs w:val="20"/>
                <w:lang w:eastAsia="en-GB"/>
              </w:rPr>
              <w:t>0.083</w:t>
            </w:r>
          </w:p>
        </w:tc>
        <w:tc>
          <w:tcPr>
            <w:tcW w:w="1134" w:type="dxa"/>
            <w:vAlign w:val="center"/>
          </w:tcPr>
          <w:p w:rsidR="00262338" w:rsidRPr="00297630" w:rsidRDefault="00262338" w:rsidP="00262338">
            <w:pPr>
              <w:spacing w:before="120" w:after="120"/>
              <w:jc w:val="center"/>
            </w:pPr>
            <w:r w:rsidRPr="00297630">
              <w:rPr>
                <w:rFonts w:eastAsia="Times New Roman" w:cs="Arial"/>
                <w:szCs w:val="20"/>
                <w:lang w:eastAsia="en-GB"/>
              </w:rPr>
              <w:t>0.159</w:t>
            </w:r>
          </w:p>
        </w:tc>
        <w:tc>
          <w:tcPr>
            <w:tcW w:w="1134" w:type="dxa"/>
            <w:vAlign w:val="center"/>
          </w:tcPr>
          <w:p w:rsidR="00262338" w:rsidRPr="00297630" w:rsidRDefault="00262338" w:rsidP="00262338">
            <w:pPr>
              <w:spacing w:before="120" w:after="120"/>
              <w:jc w:val="center"/>
            </w:pPr>
            <w:r w:rsidRPr="00297630">
              <w:rPr>
                <w:rFonts w:eastAsia="Times New Roman" w:cs="Arial"/>
                <w:szCs w:val="20"/>
                <w:lang w:eastAsia="en-GB"/>
              </w:rPr>
              <w:t>0.080</w:t>
            </w:r>
          </w:p>
        </w:tc>
        <w:tc>
          <w:tcPr>
            <w:tcW w:w="1275" w:type="dxa"/>
            <w:vAlign w:val="center"/>
          </w:tcPr>
          <w:p w:rsidR="00262338" w:rsidRPr="00297630" w:rsidRDefault="00262338" w:rsidP="00262338">
            <w:pPr>
              <w:spacing w:before="120" w:after="120"/>
              <w:jc w:val="center"/>
            </w:pPr>
            <w:r w:rsidRPr="00297630">
              <w:rPr>
                <w:rFonts w:eastAsia="Times New Roman" w:cs="Arial"/>
                <w:szCs w:val="20"/>
                <w:lang w:eastAsia="en-GB"/>
              </w:rPr>
              <w:t>0.063</w:t>
            </w:r>
          </w:p>
        </w:tc>
        <w:tc>
          <w:tcPr>
            <w:tcW w:w="1546" w:type="dxa"/>
            <w:vAlign w:val="center"/>
          </w:tcPr>
          <w:p w:rsidR="00262338" w:rsidRPr="00297630" w:rsidRDefault="00262338" w:rsidP="00262338">
            <w:pPr>
              <w:spacing w:before="120" w:after="120"/>
              <w:jc w:val="center"/>
            </w:pPr>
            <w:r w:rsidRPr="00297630">
              <w:rPr>
                <w:rFonts w:eastAsia="Times New Roman" w:cs="Arial"/>
                <w:szCs w:val="20"/>
                <w:lang w:eastAsia="en-GB"/>
              </w:rPr>
              <w:t>0.137</w:t>
            </w:r>
          </w:p>
        </w:tc>
        <w:tc>
          <w:tcPr>
            <w:tcW w:w="1133" w:type="dxa"/>
            <w:vAlign w:val="center"/>
          </w:tcPr>
          <w:p w:rsidR="00262338" w:rsidRPr="00297630" w:rsidRDefault="00262338" w:rsidP="00262338">
            <w:pPr>
              <w:spacing w:before="120" w:after="120"/>
              <w:jc w:val="center"/>
            </w:pPr>
            <w:r w:rsidRPr="00297630">
              <w:rPr>
                <w:rFonts w:eastAsia="Times New Roman" w:cs="Arial"/>
                <w:szCs w:val="20"/>
                <w:lang w:eastAsia="en-GB"/>
              </w:rPr>
              <w:t>0.091</w:t>
            </w:r>
          </w:p>
        </w:tc>
      </w:tr>
      <w:tr w:rsidR="00262338" w:rsidRPr="00297630" w:rsidTr="00262338">
        <w:tc>
          <w:tcPr>
            <w:tcW w:w="710" w:type="dxa"/>
            <w:vAlign w:val="center"/>
          </w:tcPr>
          <w:p w:rsidR="00262338" w:rsidRPr="00297630" w:rsidRDefault="00262338" w:rsidP="00262338">
            <w:pPr>
              <w:spacing w:before="120" w:after="120"/>
              <w:jc w:val="center"/>
              <w:rPr>
                <w:b/>
              </w:rPr>
            </w:pPr>
            <w:r w:rsidRPr="00297630">
              <w:rPr>
                <w:b/>
              </w:rPr>
              <w:t>Run 3</w:t>
            </w:r>
          </w:p>
        </w:tc>
        <w:tc>
          <w:tcPr>
            <w:tcW w:w="850" w:type="dxa"/>
            <w:vAlign w:val="center"/>
          </w:tcPr>
          <w:p w:rsidR="00262338" w:rsidRPr="00297630" w:rsidRDefault="00262338" w:rsidP="00262338">
            <w:pPr>
              <w:spacing w:before="120" w:after="120"/>
              <w:jc w:val="center"/>
            </w:pPr>
            <w:r w:rsidRPr="00297630">
              <w:t>0.125</w:t>
            </w:r>
          </w:p>
        </w:tc>
        <w:tc>
          <w:tcPr>
            <w:tcW w:w="851" w:type="dxa"/>
            <w:vAlign w:val="center"/>
          </w:tcPr>
          <w:p w:rsidR="00262338" w:rsidRPr="00297630" w:rsidRDefault="00262338" w:rsidP="00262338">
            <w:pPr>
              <w:spacing w:before="120" w:after="120"/>
              <w:jc w:val="center"/>
            </w:pPr>
            <w:r w:rsidRPr="00297630">
              <w:t>0.167</w:t>
            </w:r>
          </w:p>
        </w:tc>
        <w:tc>
          <w:tcPr>
            <w:tcW w:w="1134" w:type="dxa"/>
            <w:vAlign w:val="center"/>
          </w:tcPr>
          <w:p w:rsidR="00262338" w:rsidRPr="00297630" w:rsidRDefault="00262338" w:rsidP="00262338">
            <w:pPr>
              <w:spacing w:before="120" w:after="120"/>
              <w:jc w:val="center"/>
            </w:pPr>
            <w:r w:rsidRPr="00297630">
              <w:rPr>
                <w:rFonts w:eastAsia="Times New Roman" w:cs="Arial"/>
                <w:szCs w:val="20"/>
                <w:lang w:eastAsia="en-GB"/>
              </w:rPr>
              <w:t>0.089</w:t>
            </w:r>
          </w:p>
        </w:tc>
        <w:tc>
          <w:tcPr>
            <w:tcW w:w="1134" w:type="dxa"/>
            <w:vAlign w:val="center"/>
          </w:tcPr>
          <w:p w:rsidR="00262338" w:rsidRPr="00297630" w:rsidRDefault="00262338" w:rsidP="00262338">
            <w:pPr>
              <w:spacing w:before="120" w:after="120"/>
              <w:jc w:val="center"/>
            </w:pPr>
            <w:r w:rsidRPr="00297630">
              <w:rPr>
                <w:rFonts w:eastAsia="Times New Roman" w:cs="Arial"/>
                <w:szCs w:val="20"/>
                <w:lang w:eastAsia="en-GB"/>
              </w:rPr>
              <w:t>0.207</w:t>
            </w:r>
          </w:p>
        </w:tc>
        <w:tc>
          <w:tcPr>
            <w:tcW w:w="1134" w:type="dxa"/>
            <w:vAlign w:val="center"/>
          </w:tcPr>
          <w:p w:rsidR="00262338" w:rsidRPr="00297630" w:rsidRDefault="00262338" w:rsidP="00262338">
            <w:pPr>
              <w:spacing w:before="120" w:after="120"/>
              <w:jc w:val="center"/>
            </w:pPr>
            <w:r w:rsidRPr="00297630">
              <w:rPr>
                <w:rFonts w:eastAsia="Times New Roman" w:cs="Arial"/>
                <w:szCs w:val="20"/>
                <w:lang w:eastAsia="en-GB"/>
              </w:rPr>
              <w:t>0.095</w:t>
            </w:r>
          </w:p>
        </w:tc>
        <w:tc>
          <w:tcPr>
            <w:tcW w:w="1275" w:type="dxa"/>
            <w:vAlign w:val="center"/>
          </w:tcPr>
          <w:p w:rsidR="00262338" w:rsidRPr="00297630" w:rsidRDefault="00262338" w:rsidP="00262338">
            <w:pPr>
              <w:spacing w:before="120" w:after="120"/>
              <w:jc w:val="center"/>
            </w:pPr>
            <w:r w:rsidRPr="00297630">
              <w:rPr>
                <w:rFonts w:eastAsia="Times New Roman" w:cs="Arial"/>
                <w:szCs w:val="20"/>
                <w:lang w:eastAsia="en-GB"/>
              </w:rPr>
              <w:t>0.083</w:t>
            </w:r>
          </w:p>
        </w:tc>
        <w:tc>
          <w:tcPr>
            <w:tcW w:w="1546" w:type="dxa"/>
            <w:vAlign w:val="center"/>
          </w:tcPr>
          <w:p w:rsidR="00262338" w:rsidRPr="00297630" w:rsidRDefault="00262338" w:rsidP="00262338">
            <w:pPr>
              <w:spacing w:before="120" w:after="120"/>
              <w:jc w:val="center"/>
            </w:pPr>
            <w:r w:rsidRPr="00297630">
              <w:rPr>
                <w:rFonts w:eastAsia="Times New Roman" w:cs="Arial"/>
                <w:szCs w:val="20"/>
                <w:lang w:eastAsia="en-GB"/>
              </w:rPr>
              <w:t>0.164</w:t>
            </w:r>
          </w:p>
        </w:tc>
        <w:tc>
          <w:tcPr>
            <w:tcW w:w="1133" w:type="dxa"/>
            <w:vAlign w:val="center"/>
          </w:tcPr>
          <w:p w:rsidR="00262338" w:rsidRPr="00297630" w:rsidRDefault="00262338" w:rsidP="00262338">
            <w:pPr>
              <w:spacing w:before="120" w:after="120"/>
              <w:jc w:val="center"/>
            </w:pPr>
            <w:r w:rsidRPr="00297630">
              <w:rPr>
                <w:rFonts w:eastAsia="Times New Roman" w:cs="Arial"/>
                <w:szCs w:val="20"/>
                <w:lang w:eastAsia="en-GB"/>
              </w:rPr>
              <w:t>0.109</w:t>
            </w:r>
          </w:p>
        </w:tc>
      </w:tr>
    </w:tbl>
    <w:p w:rsidR="00262338" w:rsidRPr="00297630" w:rsidRDefault="00262338" w:rsidP="00D619F2"/>
    <w:p w:rsidR="005E25EF" w:rsidRPr="00297630" w:rsidRDefault="005E25EF" w:rsidP="00D619F2"/>
    <w:p w:rsidR="005E25EF" w:rsidRPr="00297630" w:rsidRDefault="005E25EF" w:rsidP="00D619F2"/>
    <w:p w:rsidR="005E25EF" w:rsidRPr="00297630" w:rsidRDefault="005E25EF" w:rsidP="00D619F2"/>
    <w:p w:rsidR="005E25EF" w:rsidRPr="00297630" w:rsidRDefault="005E25EF" w:rsidP="00D619F2"/>
    <w:p w:rsidR="005E25EF" w:rsidRPr="00297630" w:rsidRDefault="005E25EF" w:rsidP="00D619F2"/>
    <w:p w:rsidR="005E25EF" w:rsidRPr="00297630" w:rsidRDefault="005E25EF" w:rsidP="00D619F2"/>
    <w:p w:rsidR="005E25EF" w:rsidRPr="00297630" w:rsidRDefault="005E25EF" w:rsidP="00D619F2"/>
    <w:p w:rsidR="00D619F2" w:rsidRPr="00297630" w:rsidRDefault="00B374EA" w:rsidP="00B374EA">
      <w:pPr>
        <w:pStyle w:val="Heading2"/>
        <w:rPr>
          <w:lang w:bidi="en-US"/>
        </w:rPr>
      </w:pPr>
      <w:r w:rsidRPr="00297630">
        <w:rPr>
          <w:lang w:bidi="en-US"/>
        </w:rPr>
        <w:lastRenderedPageBreak/>
        <w:t xml:space="preserve">3. Effect of updating </w:t>
      </w:r>
      <w:r w:rsidR="00BD0144" w:rsidRPr="00297630">
        <w:rPr>
          <w:lang w:bidi="en-US"/>
        </w:rPr>
        <w:t xml:space="preserve">the </w:t>
      </w:r>
      <w:r w:rsidRPr="00297630">
        <w:rPr>
          <w:lang w:bidi="en-US"/>
        </w:rPr>
        <w:t xml:space="preserve">geography and refreshing </w:t>
      </w:r>
      <w:r w:rsidR="00BD0144" w:rsidRPr="00297630">
        <w:rPr>
          <w:lang w:bidi="en-US"/>
        </w:rPr>
        <w:t xml:space="preserve">the </w:t>
      </w:r>
      <w:r w:rsidRPr="00297630">
        <w:rPr>
          <w:lang w:bidi="en-US"/>
        </w:rPr>
        <w:t>MLC indices</w:t>
      </w:r>
    </w:p>
    <w:p w:rsidR="00B374EA" w:rsidRPr="00297630" w:rsidRDefault="00C30E9C" w:rsidP="00B374EA">
      <w:pPr>
        <w:rPr>
          <w:lang w:bidi="en-US"/>
        </w:rPr>
      </w:pPr>
      <w:r w:rsidRPr="00297630">
        <w:rPr>
          <w:lang w:bidi="en-US"/>
        </w:rPr>
        <w:fldChar w:fldCharType="begin"/>
      </w:r>
      <w:r w:rsidR="000D6673" w:rsidRPr="00297630">
        <w:rPr>
          <w:lang w:bidi="en-US"/>
        </w:rPr>
        <w:instrText xml:space="preserve"> REF _Ref467077561 \h </w:instrText>
      </w:r>
      <w:r w:rsidRPr="00297630">
        <w:rPr>
          <w:lang w:bidi="en-US"/>
        </w:rPr>
      </w:r>
      <w:r w:rsidRPr="00297630">
        <w:rPr>
          <w:lang w:bidi="en-US"/>
        </w:rPr>
        <w:fldChar w:fldCharType="separate"/>
      </w:r>
      <w:r w:rsidR="00DD2FF9" w:rsidRPr="00297630">
        <w:t xml:space="preserve">Table </w:t>
      </w:r>
      <w:r w:rsidR="00DD2FF9">
        <w:rPr>
          <w:noProof/>
        </w:rPr>
        <w:t>2</w:t>
      </w:r>
      <w:r w:rsidRPr="00297630">
        <w:rPr>
          <w:lang w:bidi="en-US"/>
        </w:rPr>
        <w:fldChar w:fldCharType="end"/>
      </w:r>
      <w:r w:rsidR="000D6673" w:rsidRPr="00297630">
        <w:rPr>
          <w:lang w:bidi="en-US"/>
        </w:rPr>
        <w:t xml:space="preserve"> and </w:t>
      </w:r>
      <w:r w:rsidRPr="00297630">
        <w:rPr>
          <w:lang w:bidi="en-US"/>
        </w:rPr>
        <w:fldChar w:fldCharType="begin"/>
      </w:r>
      <w:r w:rsidR="000D6673" w:rsidRPr="00297630">
        <w:rPr>
          <w:lang w:bidi="en-US"/>
        </w:rPr>
        <w:instrText xml:space="preserve"> REF _Ref467077565 \h </w:instrText>
      </w:r>
      <w:r w:rsidRPr="00297630">
        <w:rPr>
          <w:lang w:bidi="en-US"/>
        </w:rPr>
      </w:r>
      <w:r w:rsidRPr="00297630">
        <w:rPr>
          <w:lang w:bidi="en-US"/>
        </w:rPr>
        <w:fldChar w:fldCharType="separate"/>
      </w:r>
      <w:r w:rsidR="00DD2FF9" w:rsidRPr="00297630">
        <w:t xml:space="preserve">Table </w:t>
      </w:r>
      <w:r w:rsidR="00DD2FF9">
        <w:rPr>
          <w:noProof/>
        </w:rPr>
        <w:t>3</w:t>
      </w:r>
      <w:r w:rsidRPr="00297630">
        <w:rPr>
          <w:lang w:bidi="en-US"/>
        </w:rPr>
        <w:fldChar w:fldCharType="end"/>
      </w:r>
      <w:r w:rsidR="000D6673" w:rsidRPr="00297630">
        <w:rPr>
          <w:lang w:bidi="en-US"/>
        </w:rPr>
        <w:t xml:space="preserve"> </w:t>
      </w:r>
      <w:r w:rsidR="008E090E" w:rsidRPr="00297630">
        <w:rPr>
          <w:lang w:bidi="en-US"/>
        </w:rPr>
        <w:t xml:space="preserve">show the </w:t>
      </w:r>
      <w:r w:rsidR="00E51AE8" w:rsidRPr="00297630">
        <w:rPr>
          <w:lang w:bidi="en-US"/>
        </w:rPr>
        <w:t xml:space="preserve">overall </w:t>
      </w:r>
      <w:r w:rsidR="008E090E" w:rsidRPr="00297630">
        <w:rPr>
          <w:lang w:bidi="en-US"/>
        </w:rPr>
        <w:t>Age-Sex, MLC and Excess Costs indices at NHS Board level for run</w:t>
      </w:r>
      <w:r w:rsidR="000D6673" w:rsidRPr="00297630">
        <w:rPr>
          <w:lang w:bidi="en-US"/>
        </w:rPr>
        <w:t>s</w:t>
      </w:r>
      <w:r w:rsidR="008E090E" w:rsidRPr="00297630">
        <w:rPr>
          <w:lang w:bidi="en-US"/>
        </w:rPr>
        <w:t xml:space="preserve"> 1 and 2, respectively.</w:t>
      </w:r>
      <w:r w:rsidR="00BE3587" w:rsidRPr="00297630">
        <w:rPr>
          <w:lang w:bidi="en-US"/>
        </w:rPr>
        <w:t xml:space="preserve"> The changes to the Age-Sex indices are minimal – there are no differences at two decimal places. </w:t>
      </w:r>
      <w:r w:rsidR="00BD0144" w:rsidRPr="00297630">
        <w:rPr>
          <w:lang w:bidi="en-US"/>
        </w:rPr>
        <w:t>The MLC indices, as expected, have changed a bit more. The Excess Costs indices also show some bigger changes</w:t>
      </w:r>
      <w:r w:rsidR="00D93962" w:rsidRPr="00297630">
        <w:rPr>
          <w:lang w:bidi="en-US"/>
        </w:rPr>
        <w:t>.</w:t>
      </w:r>
    </w:p>
    <w:p w:rsidR="008E090E" w:rsidRPr="00297630" w:rsidRDefault="008E090E" w:rsidP="008E090E">
      <w:pPr>
        <w:pStyle w:val="Caption"/>
        <w:rPr>
          <w:lang w:val="en-GB"/>
        </w:rPr>
      </w:pPr>
      <w:bookmarkStart w:id="0" w:name="_Ref467077561"/>
      <w:proofErr w:type="gramStart"/>
      <w:r w:rsidRPr="00297630">
        <w:rPr>
          <w:lang w:val="en-GB"/>
        </w:rPr>
        <w:t xml:space="preserve">Table </w:t>
      </w:r>
      <w:r w:rsidR="00C30E9C" w:rsidRPr="00297630">
        <w:rPr>
          <w:lang w:val="en-GB"/>
        </w:rPr>
        <w:fldChar w:fldCharType="begin"/>
      </w:r>
      <w:r w:rsidR="008B5D7E" w:rsidRPr="00297630">
        <w:rPr>
          <w:lang w:val="en-GB"/>
        </w:rPr>
        <w:instrText xml:space="preserve"> SEQ Table \* ARABIC </w:instrText>
      </w:r>
      <w:r w:rsidR="00C30E9C" w:rsidRPr="00297630">
        <w:rPr>
          <w:lang w:val="en-GB"/>
        </w:rPr>
        <w:fldChar w:fldCharType="separate"/>
      </w:r>
      <w:r w:rsidR="00DD2FF9">
        <w:rPr>
          <w:noProof/>
          <w:lang w:val="en-GB"/>
        </w:rPr>
        <w:t>2</w:t>
      </w:r>
      <w:r w:rsidR="00C30E9C" w:rsidRPr="00297630">
        <w:rPr>
          <w:noProof/>
          <w:lang w:val="en-GB"/>
        </w:rPr>
        <w:fldChar w:fldCharType="end"/>
      </w:r>
      <w:bookmarkEnd w:id="0"/>
      <w:r w:rsidRPr="00297630">
        <w:rPr>
          <w:lang w:val="en-GB"/>
        </w:rPr>
        <w:t>: NHS Board indices for run 1.</w:t>
      </w:r>
      <w:proofErr w:type="gramEnd"/>
    </w:p>
    <w:tbl>
      <w:tblPr>
        <w:tblStyle w:val="TableGrid"/>
        <w:tblW w:w="0" w:type="auto"/>
        <w:tblLook w:val="04A0"/>
      </w:tblPr>
      <w:tblGrid>
        <w:gridCol w:w="2310"/>
        <w:gridCol w:w="2310"/>
        <w:gridCol w:w="2311"/>
        <w:gridCol w:w="2311"/>
      </w:tblGrid>
      <w:tr w:rsidR="008E090E" w:rsidRPr="00297630" w:rsidTr="008E090E">
        <w:tc>
          <w:tcPr>
            <w:tcW w:w="2310" w:type="dxa"/>
            <w:vAlign w:val="center"/>
          </w:tcPr>
          <w:p w:rsidR="008E090E" w:rsidRPr="00297630" w:rsidRDefault="008E090E" w:rsidP="008E090E">
            <w:pPr>
              <w:rPr>
                <w:b/>
                <w:lang w:bidi="en-US"/>
              </w:rPr>
            </w:pPr>
            <w:r w:rsidRPr="00297630">
              <w:rPr>
                <w:b/>
                <w:lang w:bidi="en-US"/>
              </w:rPr>
              <w:t>NHS Board</w:t>
            </w:r>
          </w:p>
        </w:tc>
        <w:tc>
          <w:tcPr>
            <w:tcW w:w="2310" w:type="dxa"/>
            <w:vAlign w:val="center"/>
          </w:tcPr>
          <w:p w:rsidR="008E090E" w:rsidRPr="00297630" w:rsidRDefault="008E090E" w:rsidP="008E090E">
            <w:pPr>
              <w:jc w:val="center"/>
              <w:rPr>
                <w:b/>
                <w:lang w:bidi="en-US"/>
              </w:rPr>
            </w:pPr>
            <w:r w:rsidRPr="00297630">
              <w:rPr>
                <w:b/>
                <w:lang w:bidi="en-US"/>
              </w:rPr>
              <w:t>Age-Sex index</w:t>
            </w:r>
          </w:p>
        </w:tc>
        <w:tc>
          <w:tcPr>
            <w:tcW w:w="2311" w:type="dxa"/>
            <w:vAlign w:val="center"/>
          </w:tcPr>
          <w:p w:rsidR="008E090E" w:rsidRPr="00297630" w:rsidRDefault="008E090E" w:rsidP="008E090E">
            <w:pPr>
              <w:jc w:val="center"/>
              <w:rPr>
                <w:b/>
                <w:lang w:bidi="en-US"/>
              </w:rPr>
            </w:pPr>
            <w:r w:rsidRPr="00297630">
              <w:rPr>
                <w:b/>
                <w:lang w:bidi="en-US"/>
              </w:rPr>
              <w:t>MLC index</w:t>
            </w:r>
          </w:p>
        </w:tc>
        <w:tc>
          <w:tcPr>
            <w:tcW w:w="2311" w:type="dxa"/>
            <w:vAlign w:val="center"/>
          </w:tcPr>
          <w:p w:rsidR="008E090E" w:rsidRPr="00297630" w:rsidRDefault="008E090E" w:rsidP="008E090E">
            <w:pPr>
              <w:jc w:val="center"/>
              <w:rPr>
                <w:b/>
                <w:lang w:bidi="en-US"/>
              </w:rPr>
            </w:pPr>
            <w:r w:rsidRPr="00297630">
              <w:rPr>
                <w:b/>
                <w:lang w:bidi="en-US"/>
              </w:rPr>
              <w:t>Excess Costs index</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Ayrshire &amp; Arran</w:t>
            </w:r>
          </w:p>
        </w:tc>
        <w:tc>
          <w:tcPr>
            <w:tcW w:w="2310" w:type="dxa"/>
            <w:vAlign w:val="center"/>
          </w:tcPr>
          <w:p w:rsidR="008E090E" w:rsidRPr="00297630" w:rsidRDefault="008E090E" w:rsidP="008E090E">
            <w:pPr>
              <w:jc w:val="center"/>
              <w:rPr>
                <w:rFonts w:cs="Arial"/>
                <w:szCs w:val="20"/>
              </w:rPr>
            </w:pPr>
            <w:r w:rsidRPr="00297630">
              <w:rPr>
                <w:rFonts w:cs="Arial"/>
                <w:szCs w:val="20"/>
              </w:rPr>
              <w:t>1.056</w:t>
            </w:r>
          </w:p>
        </w:tc>
        <w:tc>
          <w:tcPr>
            <w:tcW w:w="2311" w:type="dxa"/>
            <w:vAlign w:val="center"/>
          </w:tcPr>
          <w:p w:rsidR="008E090E" w:rsidRPr="00297630" w:rsidRDefault="008E090E" w:rsidP="008E090E">
            <w:pPr>
              <w:jc w:val="center"/>
              <w:rPr>
                <w:rFonts w:cs="Arial"/>
                <w:szCs w:val="20"/>
              </w:rPr>
            </w:pPr>
            <w:r w:rsidRPr="00297630">
              <w:rPr>
                <w:rFonts w:cs="Arial"/>
                <w:szCs w:val="20"/>
              </w:rPr>
              <w:t>1.022</w:t>
            </w:r>
          </w:p>
        </w:tc>
        <w:tc>
          <w:tcPr>
            <w:tcW w:w="2311" w:type="dxa"/>
            <w:vAlign w:val="center"/>
          </w:tcPr>
          <w:p w:rsidR="008E090E" w:rsidRPr="00297630" w:rsidRDefault="008E090E" w:rsidP="008E090E">
            <w:pPr>
              <w:jc w:val="center"/>
              <w:rPr>
                <w:rFonts w:cs="Arial"/>
                <w:szCs w:val="20"/>
              </w:rPr>
            </w:pPr>
            <w:r w:rsidRPr="00297630">
              <w:rPr>
                <w:rFonts w:cs="Arial"/>
                <w:szCs w:val="20"/>
              </w:rPr>
              <w:t>0.989</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Borders</w:t>
            </w:r>
          </w:p>
        </w:tc>
        <w:tc>
          <w:tcPr>
            <w:tcW w:w="2310" w:type="dxa"/>
            <w:vAlign w:val="center"/>
          </w:tcPr>
          <w:p w:rsidR="008E090E" w:rsidRPr="00297630" w:rsidRDefault="008E090E" w:rsidP="008E090E">
            <w:pPr>
              <w:jc w:val="center"/>
              <w:rPr>
                <w:rFonts w:cs="Arial"/>
                <w:szCs w:val="20"/>
              </w:rPr>
            </w:pPr>
            <w:r w:rsidRPr="00297630">
              <w:rPr>
                <w:rFonts w:cs="Arial"/>
                <w:szCs w:val="20"/>
              </w:rPr>
              <w:t>1.099</w:t>
            </w:r>
          </w:p>
        </w:tc>
        <w:tc>
          <w:tcPr>
            <w:tcW w:w="2311" w:type="dxa"/>
            <w:vAlign w:val="center"/>
          </w:tcPr>
          <w:p w:rsidR="008E090E" w:rsidRPr="00297630" w:rsidRDefault="008E090E" w:rsidP="008E090E">
            <w:pPr>
              <w:jc w:val="center"/>
              <w:rPr>
                <w:rFonts w:cs="Arial"/>
                <w:szCs w:val="20"/>
              </w:rPr>
            </w:pPr>
            <w:r w:rsidRPr="00297630">
              <w:rPr>
                <w:rFonts w:cs="Arial"/>
                <w:szCs w:val="20"/>
              </w:rPr>
              <w:t>0.896</w:t>
            </w:r>
          </w:p>
        </w:tc>
        <w:tc>
          <w:tcPr>
            <w:tcW w:w="2311" w:type="dxa"/>
            <w:vAlign w:val="center"/>
          </w:tcPr>
          <w:p w:rsidR="008E090E" w:rsidRPr="00297630" w:rsidRDefault="008E090E" w:rsidP="008E090E">
            <w:pPr>
              <w:jc w:val="center"/>
              <w:rPr>
                <w:rFonts w:cs="Arial"/>
                <w:szCs w:val="20"/>
              </w:rPr>
            </w:pPr>
            <w:r w:rsidRPr="00297630">
              <w:rPr>
                <w:rFonts w:cs="Arial"/>
                <w:szCs w:val="20"/>
              </w:rPr>
              <w:t>1.009</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Fife</w:t>
            </w:r>
          </w:p>
        </w:tc>
        <w:tc>
          <w:tcPr>
            <w:tcW w:w="2310" w:type="dxa"/>
            <w:vAlign w:val="center"/>
          </w:tcPr>
          <w:p w:rsidR="008E090E" w:rsidRPr="00297630" w:rsidRDefault="008E090E" w:rsidP="008E090E">
            <w:pPr>
              <w:jc w:val="center"/>
              <w:rPr>
                <w:rFonts w:cs="Arial"/>
                <w:szCs w:val="20"/>
              </w:rPr>
            </w:pPr>
            <w:r w:rsidRPr="00297630">
              <w:rPr>
                <w:rFonts w:cs="Arial"/>
                <w:szCs w:val="20"/>
              </w:rPr>
              <w:t>1.019</w:t>
            </w:r>
          </w:p>
        </w:tc>
        <w:tc>
          <w:tcPr>
            <w:tcW w:w="2311" w:type="dxa"/>
            <w:vAlign w:val="center"/>
          </w:tcPr>
          <w:p w:rsidR="008E090E" w:rsidRPr="00297630" w:rsidRDefault="008E090E" w:rsidP="008E090E">
            <w:pPr>
              <w:jc w:val="center"/>
              <w:rPr>
                <w:rFonts w:cs="Arial"/>
                <w:szCs w:val="20"/>
              </w:rPr>
            </w:pPr>
            <w:r w:rsidRPr="00297630">
              <w:rPr>
                <w:rFonts w:cs="Arial"/>
                <w:szCs w:val="20"/>
              </w:rPr>
              <w:t>0.974</w:t>
            </w:r>
          </w:p>
        </w:tc>
        <w:tc>
          <w:tcPr>
            <w:tcW w:w="2311" w:type="dxa"/>
            <w:vAlign w:val="center"/>
          </w:tcPr>
          <w:p w:rsidR="008E090E" w:rsidRPr="00297630" w:rsidRDefault="008E090E" w:rsidP="008E090E">
            <w:pPr>
              <w:jc w:val="center"/>
              <w:rPr>
                <w:rFonts w:cs="Arial"/>
                <w:szCs w:val="20"/>
              </w:rPr>
            </w:pPr>
            <w:r w:rsidRPr="00297630">
              <w:rPr>
                <w:rFonts w:cs="Arial"/>
                <w:szCs w:val="20"/>
              </w:rPr>
              <w:t>0.982</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Greater Glasgow &amp; Clyde</w:t>
            </w:r>
          </w:p>
        </w:tc>
        <w:tc>
          <w:tcPr>
            <w:tcW w:w="2310" w:type="dxa"/>
            <w:vAlign w:val="center"/>
          </w:tcPr>
          <w:p w:rsidR="008E090E" w:rsidRPr="00297630" w:rsidRDefault="008E090E" w:rsidP="008E090E">
            <w:pPr>
              <w:jc w:val="center"/>
              <w:rPr>
                <w:rFonts w:cs="Arial"/>
                <w:szCs w:val="20"/>
              </w:rPr>
            </w:pPr>
            <w:r w:rsidRPr="00297630">
              <w:rPr>
                <w:rFonts w:cs="Arial"/>
                <w:szCs w:val="20"/>
              </w:rPr>
              <w:t>0.970</w:t>
            </w:r>
          </w:p>
        </w:tc>
        <w:tc>
          <w:tcPr>
            <w:tcW w:w="2311" w:type="dxa"/>
            <w:vAlign w:val="center"/>
          </w:tcPr>
          <w:p w:rsidR="008E090E" w:rsidRPr="00297630" w:rsidRDefault="008E090E" w:rsidP="008E090E">
            <w:pPr>
              <w:jc w:val="center"/>
              <w:rPr>
                <w:rFonts w:cs="Arial"/>
                <w:szCs w:val="20"/>
              </w:rPr>
            </w:pPr>
            <w:r w:rsidRPr="00297630">
              <w:rPr>
                <w:rFonts w:cs="Arial"/>
                <w:szCs w:val="20"/>
              </w:rPr>
              <w:t>1.100</w:t>
            </w:r>
          </w:p>
        </w:tc>
        <w:tc>
          <w:tcPr>
            <w:tcW w:w="2311" w:type="dxa"/>
            <w:vAlign w:val="center"/>
          </w:tcPr>
          <w:p w:rsidR="008E090E" w:rsidRPr="00297630" w:rsidRDefault="008E090E" w:rsidP="008E090E">
            <w:pPr>
              <w:jc w:val="center"/>
              <w:rPr>
                <w:rFonts w:cs="Arial"/>
                <w:szCs w:val="20"/>
              </w:rPr>
            </w:pPr>
            <w:r w:rsidRPr="00297630">
              <w:rPr>
                <w:rFonts w:cs="Arial"/>
                <w:szCs w:val="20"/>
              </w:rPr>
              <w:t>0.991</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Highland</w:t>
            </w:r>
          </w:p>
        </w:tc>
        <w:tc>
          <w:tcPr>
            <w:tcW w:w="2310" w:type="dxa"/>
            <w:vAlign w:val="center"/>
          </w:tcPr>
          <w:p w:rsidR="008E090E" w:rsidRPr="00297630" w:rsidRDefault="008E090E" w:rsidP="008E090E">
            <w:pPr>
              <w:jc w:val="center"/>
              <w:rPr>
                <w:rFonts w:cs="Arial"/>
                <w:szCs w:val="20"/>
              </w:rPr>
            </w:pPr>
            <w:r w:rsidRPr="00297630">
              <w:rPr>
                <w:rFonts w:cs="Arial"/>
                <w:szCs w:val="20"/>
              </w:rPr>
              <w:t>1.066</w:t>
            </w:r>
          </w:p>
        </w:tc>
        <w:tc>
          <w:tcPr>
            <w:tcW w:w="2311" w:type="dxa"/>
            <w:vAlign w:val="center"/>
          </w:tcPr>
          <w:p w:rsidR="008E090E" w:rsidRPr="00297630" w:rsidRDefault="008E090E" w:rsidP="008E090E">
            <w:pPr>
              <w:jc w:val="center"/>
              <w:rPr>
                <w:rFonts w:cs="Arial"/>
                <w:szCs w:val="20"/>
              </w:rPr>
            </w:pPr>
            <w:r w:rsidRPr="00297630">
              <w:rPr>
                <w:rFonts w:cs="Arial"/>
                <w:szCs w:val="20"/>
              </w:rPr>
              <w:t>0.952</w:t>
            </w:r>
          </w:p>
        </w:tc>
        <w:tc>
          <w:tcPr>
            <w:tcW w:w="2311" w:type="dxa"/>
            <w:vAlign w:val="center"/>
          </w:tcPr>
          <w:p w:rsidR="008E090E" w:rsidRPr="00297630" w:rsidRDefault="008E090E" w:rsidP="008E090E">
            <w:pPr>
              <w:jc w:val="center"/>
              <w:rPr>
                <w:rFonts w:cs="Arial"/>
                <w:szCs w:val="20"/>
              </w:rPr>
            </w:pPr>
            <w:r w:rsidRPr="00297630">
              <w:rPr>
                <w:rFonts w:cs="Arial"/>
                <w:szCs w:val="20"/>
              </w:rPr>
              <w:t>1.084</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Lanarkshire</w:t>
            </w:r>
          </w:p>
        </w:tc>
        <w:tc>
          <w:tcPr>
            <w:tcW w:w="2310" w:type="dxa"/>
            <w:vAlign w:val="center"/>
          </w:tcPr>
          <w:p w:rsidR="008E090E" w:rsidRPr="00297630" w:rsidRDefault="008E090E" w:rsidP="008E090E">
            <w:pPr>
              <w:jc w:val="center"/>
              <w:rPr>
                <w:rFonts w:cs="Arial"/>
                <w:szCs w:val="20"/>
              </w:rPr>
            </w:pPr>
            <w:r w:rsidRPr="00297630">
              <w:rPr>
                <w:rFonts w:cs="Arial"/>
                <w:szCs w:val="20"/>
              </w:rPr>
              <w:t>0.985</w:t>
            </w:r>
          </w:p>
        </w:tc>
        <w:tc>
          <w:tcPr>
            <w:tcW w:w="2311" w:type="dxa"/>
            <w:vAlign w:val="center"/>
          </w:tcPr>
          <w:p w:rsidR="008E090E" w:rsidRPr="00297630" w:rsidRDefault="008E090E" w:rsidP="008E090E">
            <w:pPr>
              <w:jc w:val="center"/>
              <w:rPr>
                <w:rFonts w:cs="Arial"/>
                <w:szCs w:val="20"/>
              </w:rPr>
            </w:pPr>
            <w:r w:rsidRPr="00297630">
              <w:rPr>
                <w:rFonts w:cs="Arial"/>
                <w:szCs w:val="20"/>
              </w:rPr>
              <w:t>1.052</w:t>
            </w:r>
          </w:p>
        </w:tc>
        <w:tc>
          <w:tcPr>
            <w:tcW w:w="2311" w:type="dxa"/>
            <w:vAlign w:val="center"/>
          </w:tcPr>
          <w:p w:rsidR="008E090E" w:rsidRPr="00297630" w:rsidRDefault="008E090E" w:rsidP="008E090E">
            <w:pPr>
              <w:jc w:val="center"/>
              <w:rPr>
                <w:rFonts w:cs="Arial"/>
                <w:szCs w:val="20"/>
              </w:rPr>
            </w:pPr>
            <w:r w:rsidRPr="00297630">
              <w:rPr>
                <w:rFonts w:cs="Arial"/>
                <w:szCs w:val="20"/>
              </w:rPr>
              <w:t>0.981</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Grampian</w:t>
            </w:r>
          </w:p>
        </w:tc>
        <w:tc>
          <w:tcPr>
            <w:tcW w:w="2310" w:type="dxa"/>
            <w:vAlign w:val="center"/>
          </w:tcPr>
          <w:p w:rsidR="008E090E" w:rsidRPr="00297630" w:rsidRDefault="008E090E" w:rsidP="008E090E">
            <w:pPr>
              <w:jc w:val="center"/>
              <w:rPr>
                <w:rFonts w:cs="Arial"/>
                <w:szCs w:val="20"/>
              </w:rPr>
            </w:pPr>
            <w:r w:rsidRPr="00297630">
              <w:rPr>
                <w:rFonts w:cs="Arial"/>
                <w:szCs w:val="20"/>
              </w:rPr>
              <w:t>0.976</w:t>
            </w:r>
          </w:p>
        </w:tc>
        <w:tc>
          <w:tcPr>
            <w:tcW w:w="2311" w:type="dxa"/>
            <w:vAlign w:val="center"/>
          </w:tcPr>
          <w:p w:rsidR="008E090E" w:rsidRPr="00297630" w:rsidRDefault="008E090E" w:rsidP="008E090E">
            <w:pPr>
              <w:jc w:val="center"/>
              <w:rPr>
                <w:rFonts w:cs="Arial"/>
                <w:szCs w:val="20"/>
              </w:rPr>
            </w:pPr>
            <w:r w:rsidRPr="00297630">
              <w:rPr>
                <w:rFonts w:cs="Arial"/>
                <w:szCs w:val="20"/>
              </w:rPr>
              <w:t>0.925</w:t>
            </w:r>
          </w:p>
        </w:tc>
        <w:tc>
          <w:tcPr>
            <w:tcW w:w="2311" w:type="dxa"/>
            <w:vAlign w:val="center"/>
          </w:tcPr>
          <w:p w:rsidR="008E090E" w:rsidRPr="00297630" w:rsidRDefault="008E090E" w:rsidP="008E090E">
            <w:pPr>
              <w:jc w:val="center"/>
              <w:rPr>
                <w:rFonts w:cs="Arial"/>
                <w:szCs w:val="20"/>
              </w:rPr>
            </w:pPr>
            <w:r w:rsidRPr="00297630">
              <w:rPr>
                <w:rFonts w:cs="Arial"/>
                <w:szCs w:val="20"/>
              </w:rPr>
              <w:t>1.003</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Orkney</w:t>
            </w:r>
          </w:p>
        </w:tc>
        <w:tc>
          <w:tcPr>
            <w:tcW w:w="2310" w:type="dxa"/>
            <w:vAlign w:val="center"/>
          </w:tcPr>
          <w:p w:rsidR="008E090E" w:rsidRPr="00297630" w:rsidRDefault="008E090E" w:rsidP="008E090E">
            <w:pPr>
              <w:jc w:val="center"/>
              <w:rPr>
                <w:rFonts w:cs="Arial"/>
                <w:szCs w:val="20"/>
              </w:rPr>
            </w:pPr>
            <w:r w:rsidRPr="00297630">
              <w:rPr>
                <w:rFonts w:cs="Arial"/>
                <w:szCs w:val="20"/>
              </w:rPr>
              <w:t>1.074</w:t>
            </w:r>
          </w:p>
        </w:tc>
        <w:tc>
          <w:tcPr>
            <w:tcW w:w="2311" w:type="dxa"/>
            <w:vAlign w:val="center"/>
          </w:tcPr>
          <w:p w:rsidR="008E090E" w:rsidRPr="00297630" w:rsidRDefault="008E090E" w:rsidP="008E090E">
            <w:pPr>
              <w:jc w:val="center"/>
              <w:rPr>
                <w:rFonts w:cs="Arial"/>
                <w:szCs w:val="20"/>
              </w:rPr>
            </w:pPr>
            <w:r w:rsidRPr="00297630">
              <w:rPr>
                <w:rFonts w:cs="Arial"/>
                <w:szCs w:val="20"/>
              </w:rPr>
              <w:t>0.933</w:t>
            </w:r>
          </w:p>
        </w:tc>
        <w:tc>
          <w:tcPr>
            <w:tcW w:w="2311" w:type="dxa"/>
            <w:vAlign w:val="center"/>
          </w:tcPr>
          <w:p w:rsidR="008E090E" w:rsidRPr="00297630" w:rsidRDefault="008E090E" w:rsidP="008E090E">
            <w:pPr>
              <w:jc w:val="center"/>
              <w:rPr>
                <w:rFonts w:cs="Arial"/>
                <w:szCs w:val="20"/>
              </w:rPr>
            </w:pPr>
            <w:r w:rsidRPr="00297630">
              <w:rPr>
                <w:rFonts w:cs="Arial"/>
                <w:szCs w:val="20"/>
              </w:rPr>
              <w:t>1.212</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Lothian</w:t>
            </w:r>
          </w:p>
        </w:tc>
        <w:tc>
          <w:tcPr>
            <w:tcW w:w="2310" w:type="dxa"/>
            <w:vAlign w:val="center"/>
          </w:tcPr>
          <w:p w:rsidR="008E090E" w:rsidRPr="00297630" w:rsidRDefault="008E090E" w:rsidP="008E090E">
            <w:pPr>
              <w:jc w:val="center"/>
              <w:rPr>
                <w:rFonts w:cs="Arial"/>
                <w:szCs w:val="20"/>
              </w:rPr>
            </w:pPr>
            <w:r w:rsidRPr="00297630">
              <w:rPr>
                <w:rFonts w:cs="Arial"/>
                <w:szCs w:val="20"/>
              </w:rPr>
              <w:t>0.957</w:t>
            </w:r>
          </w:p>
        </w:tc>
        <w:tc>
          <w:tcPr>
            <w:tcW w:w="2311" w:type="dxa"/>
            <w:vAlign w:val="center"/>
          </w:tcPr>
          <w:p w:rsidR="008E090E" w:rsidRPr="00297630" w:rsidRDefault="008E090E" w:rsidP="008E090E">
            <w:pPr>
              <w:jc w:val="center"/>
              <w:rPr>
                <w:rFonts w:cs="Arial"/>
                <w:szCs w:val="20"/>
              </w:rPr>
            </w:pPr>
            <w:r w:rsidRPr="00297630">
              <w:rPr>
                <w:rFonts w:cs="Arial"/>
                <w:szCs w:val="20"/>
              </w:rPr>
              <w:t>0.957</w:t>
            </w:r>
          </w:p>
        </w:tc>
        <w:tc>
          <w:tcPr>
            <w:tcW w:w="2311" w:type="dxa"/>
            <w:vAlign w:val="center"/>
          </w:tcPr>
          <w:p w:rsidR="008E090E" w:rsidRPr="00297630" w:rsidRDefault="008E090E" w:rsidP="008E090E">
            <w:pPr>
              <w:jc w:val="center"/>
              <w:rPr>
                <w:rFonts w:cs="Arial"/>
                <w:szCs w:val="20"/>
              </w:rPr>
            </w:pPr>
            <w:r w:rsidRPr="00297630">
              <w:rPr>
                <w:rFonts w:cs="Arial"/>
                <w:szCs w:val="20"/>
              </w:rPr>
              <w:t>0.989</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Tayside</w:t>
            </w:r>
          </w:p>
        </w:tc>
        <w:tc>
          <w:tcPr>
            <w:tcW w:w="2310" w:type="dxa"/>
            <w:vAlign w:val="center"/>
          </w:tcPr>
          <w:p w:rsidR="008E090E" w:rsidRPr="00297630" w:rsidRDefault="008E090E" w:rsidP="008E090E">
            <w:pPr>
              <w:jc w:val="center"/>
              <w:rPr>
                <w:rFonts w:cs="Arial"/>
                <w:szCs w:val="20"/>
              </w:rPr>
            </w:pPr>
            <w:r w:rsidRPr="00297630">
              <w:rPr>
                <w:rFonts w:cs="Arial"/>
                <w:szCs w:val="20"/>
              </w:rPr>
              <w:t>1.038</w:t>
            </w:r>
          </w:p>
        </w:tc>
        <w:tc>
          <w:tcPr>
            <w:tcW w:w="2311" w:type="dxa"/>
            <w:vAlign w:val="center"/>
          </w:tcPr>
          <w:p w:rsidR="008E090E" w:rsidRPr="00297630" w:rsidRDefault="008E090E" w:rsidP="008E090E">
            <w:pPr>
              <w:jc w:val="center"/>
              <w:rPr>
                <w:rFonts w:cs="Arial"/>
                <w:szCs w:val="20"/>
              </w:rPr>
            </w:pPr>
            <w:r w:rsidRPr="00297630">
              <w:rPr>
                <w:rFonts w:cs="Arial"/>
                <w:szCs w:val="20"/>
              </w:rPr>
              <w:t>0.961</w:t>
            </w:r>
          </w:p>
        </w:tc>
        <w:tc>
          <w:tcPr>
            <w:tcW w:w="2311" w:type="dxa"/>
            <w:vAlign w:val="center"/>
          </w:tcPr>
          <w:p w:rsidR="008E090E" w:rsidRPr="00297630" w:rsidRDefault="008E090E" w:rsidP="008E090E">
            <w:pPr>
              <w:jc w:val="center"/>
              <w:rPr>
                <w:rFonts w:cs="Arial"/>
                <w:szCs w:val="20"/>
              </w:rPr>
            </w:pPr>
            <w:r w:rsidRPr="00297630">
              <w:rPr>
                <w:rFonts w:cs="Arial"/>
                <w:szCs w:val="20"/>
              </w:rPr>
              <w:t>0.999</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Forth Vall</w:t>
            </w:r>
            <w:r w:rsidR="00D93962" w:rsidRPr="00297630">
              <w:rPr>
                <w:rFonts w:cs="Arial"/>
                <w:bCs/>
                <w:szCs w:val="20"/>
              </w:rPr>
              <w:t>e</w:t>
            </w:r>
            <w:r w:rsidRPr="00297630">
              <w:rPr>
                <w:rFonts w:cs="Arial"/>
                <w:bCs/>
                <w:szCs w:val="20"/>
              </w:rPr>
              <w:t>y</w:t>
            </w:r>
          </w:p>
        </w:tc>
        <w:tc>
          <w:tcPr>
            <w:tcW w:w="2310" w:type="dxa"/>
            <w:vAlign w:val="center"/>
          </w:tcPr>
          <w:p w:rsidR="008E090E" w:rsidRPr="00297630" w:rsidRDefault="008E090E" w:rsidP="008E090E">
            <w:pPr>
              <w:jc w:val="center"/>
              <w:rPr>
                <w:rFonts w:cs="Arial"/>
                <w:szCs w:val="20"/>
              </w:rPr>
            </w:pPr>
            <w:r w:rsidRPr="00297630">
              <w:rPr>
                <w:rFonts w:cs="Arial"/>
                <w:szCs w:val="20"/>
              </w:rPr>
              <w:t>0.994</w:t>
            </w:r>
          </w:p>
        </w:tc>
        <w:tc>
          <w:tcPr>
            <w:tcW w:w="2311" w:type="dxa"/>
            <w:vAlign w:val="center"/>
          </w:tcPr>
          <w:p w:rsidR="008E090E" w:rsidRPr="00297630" w:rsidRDefault="008E090E" w:rsidP="008E090E">
            <w:pPr>
              <w:jc w:val="center"/>
              <w:rPr>
                <w:rFonts w:cs="Arial"/>
                <w:szCs w:val="20"/>
              </w:rPr>
            </w:pPr>
            <w:r w:rsidRPr="00297630">
              <w:rPr>
                <w:rFonts w:cs="Arial"/>
                <w:szCs w:val="20"/>
              </w:rPr>
              <w:t>0.984</w:t>
            </w:r>
          </w:p>
        </w:tc>
        <w:tc>
          <w:tcPr>
            <w:tcW w:w="2311" w:type="dxa"/>
            <w:vAlign w:val="center"/>
          </w:tcPr>
          <w:p w:rsidR="008E090E" w:rsidRPr="00297630" w:rsidRDefault="008E090E" w:rsidP="008E090E">
            <w:pPr>
              <w:jc w:val="center"/>
              <w:rPr>
                <w:rFonts w:cs="Arial"/>
                <w:szCs w:val="20"/>
              </w:rPr>
            </w:pPr>
            <w:r w:rsidRPr="00297630">
              <w:rPr>
                <w:rFonts w:cs="Arial"/>
                <w:szCs w:val="20"/>
              </w:rPr>
              <w:t>0.983</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Western Isles</w:t>
            </w:r>
          </w:p>
        </w:tc>
        <w:tc>
          <w:tcPr>
            <w:tcW w:w="2310" w:type="dxa"/>
            <w:vAlign w:val="center"/>
          </w:tcPr>
          <w:p w:rsidR="008E090E" w:rsidRPr="00297630" w:rsidRDefault="008E090E" w:rsidP="008E090E">
            <w:pPr>
              <w:jc w:val="center"/>
              <w:rPr>
                <w:rFonts w:cs="Arial"/>
                <w:szCs w:val="20"/>
              </w:rPr>
            </w:pPr>
            <w:r w:rsidRPr="00297630">
              <w:rPr>
                <w:rFonts w:cs="Arial"/>
                <w:szCs w:val="20"/>
              </w:rPr>
              <w:t>1.123</w:t>
            </w:r>
          </w:p>
        </w:tc>
        <w:tc>
          <w:tcPr>
            <w:tcW w:w="2311" w:type="dxa"/>
            <w:vAlign w:val="center"/>
          </w:tcPr>
          <w:p w:rsidR="008E090E" w:rsidRPr="00297630" w:rsidRDefault="008E090E" w:rsidP="008E090E">
            <w:pPr>
              <w:jc w:val="center"/>
              <w:rPr>
                <w:rFonts w:cs="Arial"/>
                <w:szCs w:val="20"/>
              </w:rPr>
            </w:pPr>
            <w:r w:rsidRPr="00297630">
              <w:rPr>
                <w:rFonts w:cs="Arial"/>
                <w:szCs w:val="20"/>
              </w:rPr>
              <w:t>0.987</w:t>
            </w:r>
          </w:p>
        </w:tc>
        <w:tc>
          <w:tcPr>
            <w:tcW w:w="2311" w:type="dxa"/>
            <w:vAlign w:val="center"/>
          </w:tcPr>
          <w:p w:rsidR="008E090E" w:rsidRPr="00297630" w:rsidRDefault="008E090E" w:rsidP="008E090E">
            <w:pPr>
              <w:jc w:val="center"/>
              <w:rPr>
                <w:rFonts w:cs="Arial"/>
                <w:szCs w:val="20"/>
              </w:rPr>
            </w:pPr>
            <w:r w:rsidRPr="00297630">
              <w:rPr>
                <w:rFonts w:cs="Arial"/>
                <w:szCs w:val="20"/>
              </w:rPr>
              <w:t>1.235</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Dumfries &amp; Galloway</w:t>
            </w:r>
          </w:p>
        </w:tc>
        <w:tc>
          <w:tcPr>
            <w:tcW w:w="2310" w:type="dxa"/>
            <w:vAlign w:val="center"/>
          </w:tcPr>
          <w:p w:rsidR="008E090E" w:rsidRPr="00297630" w:rsidRDefault="008E090E" w:rsidP="008E090E">
            <w:pPr>
              <w:jc w:val="center"/>
              <w:rPr>
                <w:rFonts w:cs="Arial"/>
                <w:szCs w:val="20"/>
              </w:rPr>
            </w:pPr>
            <w:r w:rsidRPr="00297630">
              <w:rPr>
                <w:rFonts w:cs="Arial"/>
                <w:szCs w:val="20"/>
              </w:rPr>
              <w:t>1.111</w:t>
            </w:r>
          </w:p>
        </w:tc>
        <w:tc>
          <w:tcPr>
            <w:tcW w:w="2311" w:type="dxa"/>
            <w:vAlign w:val="center"/>
          </w:tcPr>
          <w:p w:rsidR="008E090E" w:rsidRPr="00297630" w:rsidRDefault="008E090E" w:rsidP="008E090E">
            <w:pPr>
              <w:jc w:val="center"/>
              <w:rPr>
                <w:rFonts w:cs="Arial"/>
                <w:szCs w:val="20"/>
              </w:rPr>
            </w:pPr>
            <w:r w:rsidRPr="00297630">
              <w:rPr>
                <w:rFonts w:cs="Arial"/>
                <w:szCs w:val="20"/>
              </w:rPr>
              <w:t>0.944</w:t>
            </w:r>
          </w:p>
        </w:tc>
        <w:tc>
          <w:tcPr>
            <w:tcW w:w="2311" w:type="dxa"/>
            <w:vAlign w:val="center"/>
          </w:tcPr>
          <w:p w:rsidR="008E090E" w:rsidRPr="00297630" w:rsidRDefault="008E090E" w:rsidP="008E090E">
            <w:pPr>
              <w:jc w:val="center"/>
              <w:rPr>
                <w:rFonts w:cs="Arial"/>
                <w:szCs w:val="20"/>
              </w:rPr>
            </w:pPr>
            <w:r w:rsidRPr="00297630">
              <w:rPr>
                <w:rFonts w:cs="Arial"/>
                <w:szCs w:val="20"/>
              </w:rPr>
              <w:t>1.015</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Shetland</w:t>
            </w:r>
          </w:p>
        </w:tc>
        <w:tc>
          <w:tcPr>
            <w:tcW w:w="2310" w:type="dxa"/>
            <w:vAlign w:val="center"/>
          </w:tcPr>
          <w:p w:rsidR="008E090E" w:rsidRPr="00297630" w:rsidRDefault="008E090E" w:rsidP="008E090E">
            <w:pPr>
              <w:jc w:val="center"/>
              <w:rPr>
                <w:rFonts w:cs="Arial"/>
                <w:szCs w:val="20"/>
              </w:rPr>
            </w:pPr>
            <w:r w:rsidRPr="00297630">
              <w:rPr>
                <w:rFonts w:cs="Arial"/>
                <w:szCs w:val="20"/>
              </w:rPr>
              <w:t>1.014</w:t>
            </w:r>
          </w:p>
        </w:tc>
        <w:tc>
          <w:tcPr>
            <w:tcW w:w="2311" w:type="dxa"/>
            <w:vAlign w:val="center"/>
          </w:tcPr>
          <w:p w:rsidR="008E090E" w:rsidRPr="00297630" w:rsidRDefault="008E090E" w:rsidP="008E090E">
            <w:pPr>
              <w:jc w:val="center"/>
              <w:rPr>
                <w:rFonts w:cs="Arial"/>
                <w:szCs w:val="20"/>
              </w:rPr>
            </w:pPr>
            <w:r w:rsidRPr="00297630">
              <w:rPr>
                <w:rFonts w:cs="Arial"/>
                <w:szCs w:val="20"/>
              </w:rPr>
              <w:t>0.907</w:t>
            </w:r>
          </w:p>
        </w:tc>
        <w:tc>
          <w:tcPr>
            <w:tcW w:w="2311" w:type="dxa"/>
            <w:vAlign w:val="center"/>
          </w:tcPr>
          <w:p w:rsidR="008E090E" w:rsidRPr="00297630" w:rsidRDefault="008E090E" w:rsidP="008E090E">
            <w:pPr>
              <w:jc w:val="center"/>
              <w:rPr>
                <w:rFonts w:cs="Arial"/>
                <w:szCs w:val="20"/>
              </w:rPr>
            </w:pPr>
            <w:r w:rsidRPr="00297630">
              <w:rPr>
                <w:rFonts w:cs="Arial"/>
                <w:szCs w:val="20"/>
              </w:rPr>
              <w:t>1.225</w:t>
            </w:r>
          </w:p>
        </w:tc>
      </w:tr>
    </w:tbl>
    <w:p w:rsidR="008E090E" w:rsidRPr="00297630" w:rsidRDefault="008E090E" w:rsidP="008E090E">
      <w:pPr>
        <w:rPr>
          <w:lang w:bidi="en-US"/>
        </w:rPr>
      </w:pPr>
    </w:p>
    <w:p w:rsidR="008E090E" w:rsidRPr="00297630" w:rsidRDefault="008E090E" w:rsidP="008E090E">
      <w:pPr>
        <w:pStyle w:val="Caption"/>
        <w:rPr>
          <w:lang w:val="en-GB"/>
        </w:rPr>
      </w:pPr>
      <w:bookmarkStart w:id="1" w:name="_Ref467077565"/>
      <w:proofErr w:type="gramStart"/>
      <w:r w:rsidRPr="00297630">
        <w:rPr>
          <w:lang w:val="en-GB"/>
        </w:rPr>
        <w:t xml:space="preserve">Table </w:t>
      </w:r>
      <w:r w:rsidR="00C30E9C" w:rsidRPr="00297630">
        <w:rPr>
          <w:lang w:val="en-GB"/>
        </w:rPr>
        <w:fldChar w:fldCharType="begin"/>
      </w:r>
      <w:r w:rsidRPr="00297630">
        <w:rPr>
          <w:lang w:val="en-GB"/>
        </w:rPr>
        <w:instrText xml:space="preserve"> SEQ Table \* ARABIC </w:instrText>
      </w:r>
      <w:r w:rsidR="00C30E9C" w:rsidRPr="00297630">
        <w:rPr>
          <w:lang w:val="en-GB"/>
        </w:rPr>
        <w:fldChar w:fldCharType="separate"/>
      </w:r>
      <w:r w:rsidR="00DD2FF9">
        <w:rPr>
          <w:noProof/>
          <w:lang w:val="en-GB"/>
        </w:rPr>
        <w:t>3</w:t>
      </w:r>
      <w:r w:rsidR="00C30E9C" w:rsidRPr="00297630">
        <w:rPr>
          <w:lang w:val="en-GB"/>
        </w:rPr>
        <w:fldChar w:fldCharType="end"/>
      </w:r>
      <w:bookmarkEnd w:id="1"/>
      <w:r w:rsidRPr="00297630">
        <w:rPr>
          <w:lang w:val="en-GB"/>
        </w:rPr>
        <w:t>: NHS Board indices for run 2.</w:t>
      </w:r>
      <w:proofErr w:type="gramEnd"/>
    </w:p>
    <w:tbl>
      <w:tblPr>
        <w:tblStyle w:val="TableGrid"/>
        <w:tblW w:w="0" w:type="auto"/>
        <w:tblLook w:val="04A0"/>
      </w:tblPr>
      <w:tblGrid>
        <w:gridCol w:w="2310"/>
        <w:gridCol w:w="2310"/>
        <w:gridCol w:w="2311"/>
        <w:gridCol w:w="2311"/>
      </w:tblGrid>
      <w:tr w:rsidR="008E090E" w:rsidRPr="00297630" w:rsidTr="008E090E">
        <w:tc>
          <w:tcPr>
            <w:tcW w:w="2310" w:type="dxa"/>
            <w:vAlign w:val="center"/>
          </w:tcPr>
          <w:p w:rsidR="008E090E" w:rsidRPr="00297630" w:rsidRDefault="008E090E" w:rsidP="008E090E">
            <w:pPr>
              <w:rPr>
                <w:b/>
                <w:lang w:bidi="en-US"/>
              </w:rPr>
            </w:pPr>
            <w:r w:rsidRPr="00297630">
              <w:rPr>
                <w:b/>
                <w:lang w:bidi="en-US"/>
              </w:rPr>
              <w:t>NHS Board</w:t>
            </w:r>
          </w:p>
        </w:tc>
        <w:tc>
          <w:tcPr>
            <w:tcW w:w="2310" w:type="dxa"/>
            <w:vAlign w:val="center"/>
          </w:tcPr>
          <w:p w:rsidR="008E090E" w:rsidRPr="00297630" w:rsidRDefault="008E090E" w:rsidP="008E090E">
            <w:pPr>
              <w:jc w:val="center"/>
              <w:rPr>
                <w:b/>
                <w:lang w:bidi="en-US"/>
              </w:rPr>
            </w:pPr>
            <w:r w:rsidRPr="00297630">
              <w:rPr>
                <w:b/>
                <w:lang w:bidi="en-US"/>
              </w:rPr>
              <w:t>Age-Sex index</w:t>
            </w:r>
          </w:p>
        </w:tc>
        <w:tc>
          <w:tcPr>
            <w:tcW w:w="2311" w:type="dxa"/>
            <w:vAlign w:val="center"/>
          </w:tcPr>
          <w:p w:rsidR="008E090E" w:rsidRPr="00297630" w:rsidRDefault="008E090E" w:rsidP="008E090E">
            <w:pPr>
              <w:jc w:val="center"/>
              <w:rPr>
                <w:b/>
                <w:lang w:bidi="en-US"/>
              </w:rPr>
            </w:pPr>
            <w:r w:rsidRPr="00297630">
              <w:rPr>
                <w:b/>
                <w:lang w:bidi="en-US"/>
              </w:rPr>
              <w:t>MLC index</w:t>
            </w:r>
          </w:p>
        </w:tc>
        <w:tc>
          <w:tcPr>
            <w:tcW w:w="2311" w:type="dxa"/>
            <w:vAlign w:val="center"/>
          </w:tcPr>
          <w:p w:rsidR="008E090E" w:rsidRPr="00297630" w:rsidRDefault="008E090E" w:rsidP="008E090E">
            <w:pPr>
              <w:jc w:val="center"/>
              <w:rPr>
                <w:b/>
                <w:lang w:bidi="en-US"/>
              </w:rPr>
            </w:pPr>
            <w:r w:rsidRPr="00297630">
              <w:rPr>
                <w:b/>
                <w:lang w:bidi="en-US"/>
              </w:rPr>
              <w:t>Excess Costs index</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Ayrshire &amp; Arran</w:t>
            </w:r>
          </w:p>
        </w:tc>
        <w:tc>
          <w:tcPr>
            <w:tcW w:w="2310" w:type="dxa"/>
            <w:vAlign w:val="center"/>
          </w:tcPr>
          <w:p w:rsidR="008E090E" w:rsidRPr="00297630" w:rsidRDefault="008E090E" w:rsidP="008E090E">
            <w:pPr>
              <w:jc w:val="center"/>
              <w:rPr>
                <w:rFonts w:cs="Arial"/>
                <w:szCs w:val="20"/>
              </w:rPr>
            </w:pPr>
            <w:r w:rsidRPr="00297630">
              <w:rPr>
                <w:rFonts w:cs="Arial"/>
                <w:szCs w:val="20"/>
              </w:rPr>
              <w:t>1.058</w:t>
            </w:r>
          </w:p>
        </w:tc>
        <w:tc>
          <w:tcPr>
            <w:tcW w:w="2311" w:type="dxa"/>
            <w:vAlign w:val="center"/>
          </w:tcPr>
          <w:p w:rsidR="008E090E" w:rsidRPr="00297630" w:rsidRDefault="008E090E" w:rsidP="008E090E">
            <w:pPr>
              <w:jc w:val="center"/>
              <w:rPr>
                <w:rFonts w:cs="Arial"/>
                <w:szCs w:val="20"/>
              </w:rPr>
            </w:pPr>
            <w:r w:rsidRPr="00297630">
              <w:rPr>
                <w:rFonts w:cs="Arial"/>
                <w:szCs w:val="20"/>
              </w:rPr>
              <w:t>1.033</w:t>
            </w:r>
          </w:p>
        </w:tc>
        <w:tc>
          <w:tcPr>
            <w:tcW w:w="2311" w:type="dxa"/>
            <w:vAlign w:val="center"/>
          </w:tcPr>
          <w:p w:rsidR="008E090E" w:rsidRPr="00297630" w:rsidRDefault="008E090E" w:rsidP="008E090E">
            <w:pPr>
              <w:jc w:val="center"/>
              <w:rPr>
                <w:rFonts w:cs="Arial"/>
                <w:szCs w:val="20"/>
              </w:rPr>
            </w:pPr>
            <w:r w:rsidRPr="00297630">
              <w:rPr>
                <w:rFonts w:cs="Arial"/>
                <w:szCs w:val="20"/>
              </w:rPr>
              <w:t>0.991</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Borders</w:t>
            </w:r>
          </w:p>
        </w:tc>
        <w:tc>
          <w:tcPr>
            <w:tcW w:w="2310" w:type="dxa"/>
            <w:vAlign w:val="center"/>
          </w:tcPr>
          <w:p w:rsidR="008E090E" w:rsidRPr="00297630" w:rsidRDefault="008E090E" w:rsidP="008E090E">
            <w:pPr>
              <w:jc w:val="center"/>
              <w:rPr>
                <w:rFonts w:cs="Arial"/>
                <w:szCs w:val="20"/>
              </w:rPr>
            </w:pPr>
            <w:r w:rsidRPr="00297630">
              <w:rPr>
                <w:rFonts w:cs="Arial"/>
                <w:szCs w:val="20"/>
              </w:rPr>
              <w:t>1.096</w:t>
            </w:r>
          </w:p>
        </w:tc>
        <w:tc>
          <w:tcPr>
            <w:tcW w:w="2311" w:type="dxa"/>
            <w:vAlign w:val="center"/>
          </w:tcPr>
          <w:p w:rsidR="008E090E" w:rsidRPr="00297630" w:rsidRDefault="008E090E" w:rsidP="008E090E">
            <w:pPr>
              <w:jc w:val="center"/>
              <w:rPr>
                <w:rFonts w:cs="Arial"/>
                <w:szCs w:val="20"/>
              </w:rPr>
            </w:pPr>
            <w:r w:rsidRPr="00297630">
              <w:rPr>
                <w:rFonts w:cs="Arial"/>
                <w:szCs w:val="20"/>
              </w:rPr>
              <w:t>0.892</w:t>
            </w:r>
          </w:p>
        </w:tc>
        <w:tc>
          <w:tcPr>
            <w:tcW w:w="2311" w:type="dxa"/>
            <w:vAlign w:val="center"/>
          </w:tcPr>
          <w:p w:rsidR="008E090E" w:rsidRPr="00297630" w:rsidRDefault="008E090E" w:rsidP="008E090E">
            <w:pPr>
              <w:jc w:val="center"/>
              <w:rPr>
                <w:rFonts w:cs="Arial"/>
                <w:szCs w:val="20"/>
              </w:rPr>
            </w:pPr>
            <w:r w:rsidRPr="00297630">
              <w:rPr>
                <w:rFonts w:cs="Arial"/>
                <w:szCs w:val="20"/>
              </w:rPr>
              <w:t>1.007</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Fife</w:t>
            </w:r>
          </w:p>
        </w:tc>
        <w:tc>
          <w:tcPr>
            <w:tcW w:w="2310" w:type="dxa"/>
            <w:vAlign w:val="center"/>
          </w:tcPr>
          <w:p w:rsidR="008E090E" w:rsidRPr="00297630" w:rsidRDefault="008E090E" w:rsidP="008E090E">
            <w:pPr>
              <w:jc w:val="center"/>
              <w:rPr>
                <w:rFonts w:cs="Arial"/>
                <w:szCs w:val="20"/>
              </w:rPr>
            </w:pPr>
            <w:r w:rsidRPr="00297630">
              <w:rPr>
                <w:rFonts w:cs="Arial"/>
                <w:szCs w:val="20"/>
              </w:rPr>
              <w:t>1.021</w:t>
            </w:r>
          </w:p>
        </w:tc>
        <w:tc>
          <w:tcPr>
            <w:tcW w:w="2311" w:type="dxa"/>
            <w:vAlign w:val="center"/>
          </w:tcPr>
          <w:p w:rsidR="008E090E" w:rsidRPr="00297630" w:rsidRDefault="008E090E" w:rsidP="008E090E">
            <w:pPr>
              <w:jc w:val="center"/>
              <w:rPr>
                <w:rFonts w:cs="Arial"/>
                <w:szCs w:val="20"/>
              </w:rPr>
            </w:pPr>
            <w:r w:rsidRPr="00297630">
              <w:rPr>
                <w:rFonts w:cs="Arial"/>
                <w:szCs w:val="20"/>
              </w:rPr>
              <w:t>0.989</w:t>
            </w:r>
          </w:p>
        </w:tc>
        <w:tc>
          <w:tcPr>
            <w:tcW w:w="2311" w:type="dxa"/>
            <w:vAlign w:val="center"/>
          </w:tcPr>
          <w:p w:rsidR="008E090E" w:rsidRPr="00297630" w:rsidRDefault="008E090E" w:rsidP="008E090E">
            <w:pPr>
              <w:jc w:val="center"/>
              <w:rPr>
                <w:rFonts w:cs="Arial"/>
                <w:szCs w:val="20"/>
              </w:rPr>
            </w:pPr>
            <w:r w:rsidRPr="00297630">
              <w:rPr>
                <w:rFonts w:cs="Arial"/>
                <w:szCs w:val="20"/>
              </w:rPr>
              <w:t>0.984</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Greater Glasgow &amp; Clyde</w:t>
            </w:r>
          </w:p>
        </w:tc>
        <w:tc>
          <w:tcPr>
            <w:tcW w:w="2310" w:type="dxa"/>
            <w:vAlign w:val="center"/>
          </w:tcPr>
          <w:p w:rsidR="008E090E" w:rsidRPr="00297630" w:rsidRDefault="008E090E" w:rsidP="008E090E">
            <w:pPr>
              <w:jc w:val="center"/>
              <w:rPr>
                <w:rFonts w:cs="Arial"/>
                <w:szCs w:val="20"/>
              </w:rPr>
            </w:pPr>
            <w:r w:rsidRPr="00297630">
              <w:rPr>
                <w:rFonts w:cs="Arial"/>
                <w:szCs w:val="20"/>
              </w:rPr>
              <w:t>0.967</w:t>
            </w:r>
          </w:p>
        </w:tc>
        <w:tc>
          <w:tcPr>
            <w:tcW w:w="2311" w:type="dxa"/>
            <w:vAlign w:val="center"/>
          </w:tcPr>
          <w:p w:rsidR="008E090E" w:rsidRPr="00297630" w:rsidRDefault="008E090E" w:rsidP="008E090E">
            <w:pPr>
              <w:jc w:val="center"/>
              <w:rPr>
                <w:rFonts w:cs="Arial"/>
                <w:szCs w:val="20"/>
              </w:rPr>
            </w:pPr>
            <w:r w:rsidRPr="00297630">
              <w:rPr>
                <w:rFonts w:cs="Arial"/>
                <w:szCs w:val="20"/>
              </w:rPr>
              <w:t>1.096</w:t>
            </w:r>
          </w:p>
        </w:tc>
        <w:tc>
          <w:tcPr>
            <w:tcW w:w="2311" w:type="dxa"/>
            <w:vAlign w:val="center"/>
          </w:tcPr>
          <w:p w:rsidR="008E090E" w:rsidRPr="00297630" w:rsidRDefault="008E090E" w:rsidP="008E090E">
            <w:pPr>
              <w:jc w:val="center"/>
              <w:rPr>
                <w:rFonts w:cs="Arial"/>
                <w:szCs w:val="20"/>
              </w:rPr>
            </w:pPr>
            <w:r w:rsidRPr="00297630">
              <w:rPr>
                <w:rFonts w:cs="Arial"/>
                <w:szCs w:val="20"/>
              </w:rPr>
              <w:t>0.993</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Highland</w:t>
            </w:r>
          </w:p>
        </w:tc>
        <w:tc>
          <w:tcPr>
            <w:tcW w:w="2310" w:type="dxa"/>
            <w:vAlign w:val="center"/>
          </w:tcPr>
          <w:p w:rsidR="008E090E" w:rsidRPr="00297630" w:rsidRDefault="008E090E" w:rsidP="008E090E">
            <w:pPr>
              <w:jc w:val="center"/>
              <w:rPr>
                <w:rFonts w:cs="Arial"/>
                <w:szCs w:val="20"/>
              </w:rPr>
            </w:pPr>
            <w:r w:rsidRPr="00297630">
              <w:rPr>
                <w:rFonts w:cs="Arial"/>
                <w:szCs w:val="20"/>
              </w:rPr>
              <w:t>1.071</w:t>
            </w:r>
          </w:p>
        </w:tc>
        <w:tc>
          <w:tcPr>
            <w:tcW w:w="2311" w:type="dxa"/>
            <w:vAlign w:val="center"/>
          </w:tcPr>
          <w:p w:rsidR="008E090E" w:rsidRPr="00297630" w:rsidRDefault="008E090E" w:rsidP="008E090E">
            <w:pPr>
              <w:jc w:val="center"/>
              <w:rPr>
                <w:rFonts w:cs="Arial"/>
                <w:szCs w:val="20"/>
              </w:rPr>
            </w:pPr>
            <w:r w:rsidRPr="00297630">
              <w:rPr>
                <w:rFonts w:cs="Arial"/>
                <w:szCs w:val="20"/>
              </w:rPr>
              <w:t>0.936</w:t>
            </w:r>
          </w:p>
        </w:tc>
        <w:tc>
          <w:tcPr>
            <w:tcW w:w="2311" w:type="dxa"/>
            <w:vAlign w:val="center"/>
          </w:tcPr>
          <w:p w:rsidR="008E090E" w:rsidRPr="00297630" w:rsidRDefault="008E090E" w:rsidP="008E090E">
            <w:pPr>
              <w:jc w:val="center"/>
              <w:rPr>
                <w:rFonts w:cs="Arial"/>
                <w:szCs w:val="20"/>
              </w:rPr>
            </w:pPr>
            <w:r w:rsidRPr="00297630">
              <w:rPr>
                <w:rFonts w:cs="Arial"/>
                <w:szCs w:val="20"/>
              </w:rPr>
              <w:t>1.074</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Lanarkshire</w:t>
            </w:r>
          </w:p>
        </w:tc>
        <w:tc>
          <w:tcPr>
            <w:tcW w:w="2310" w:type="dxa"/>
            <w:vAlign w:val="center"/>
          </w:tcPr>
          <w:p w:rsidR="008E090E" w:rsidRPr="00297630" w:rsidRDefault="008E090E" w:rsidP="008E090E">
            <w:pPr>
              <w:jc w:val="center"/>
              <w:rPr>
                <w:rFonts w:cs="Arial"/>
                <w:szCs w:val="20"/>
              </w:rPr>
            </w:pPr>
            <w:r w:rsidRPr="00297630">
              <w:rPr>
                <w:rFonts w:cs="Arial"/>
                <w:szCs w:val="20"/>
              </w:rPr>
              <w:t>0.987</w:t>
            </w:r>
          </w:p>
        </w:tc>
        <w:tc>
          <w:tcPr>
            <w:tcW w:w="2311" w:type="dxa"/>
            <w:vAlign w:val="center"/>
          </w:tcPr>
          <w:p w:rsidR="008E090E" w:rsidRPr="00297630" w:rsidRDefault="008E090E" w:rsidP="008E090E">
            <w:pPr>
              <w:jc w:val="center"/>
              <w:rPr>
                <w:rFonts w:cs="Arial"/>
                <w:szCs w:val="20"/>
              </w:rPr>
            </w:pPr>
            <w:r w:rsidRPr="00297630">
              <w:rPr>
                <w:rFonts w:cs="Arial"/>
                <w:szCs w:val="20"/>
              </w:rPr>
              <w:t>1.055</w:t>
            </w:r>
          </w:p>
        </w:tc>
        <w:tc>
          <w:tcPr>
            <w:tcW w:w="2311" w:type="dxa"/>
            <w:vAlign w:val="center"/>
          </w:tcPr>
          <w:p w:rsidR="008E090E" w:rsidRPr="00297630" w:rsidRDefault="008E090E" w:rsidP="008E090E">
            <w:pPr>
              <w:jc w:val="center"/>
              <w:rPr>
                <w:rFonts w:cs="Arial"/>
                <w:szCs w:val="20"/>
              </w:rPr>
            </w:pPr>
            <w:r w:rsidRPr="00297630">
              <w:rPr>
                <w:rFonts w:cs="Arial"/>
                <w:szCs w:val="20"/>
              </w:rPr>
              <w:t>0.984</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Grampian</w:t>
            </w:r>
          </w:p>
        </w:tc>
        <w:tc>
          <w:tcPr>
            <w:tcW w:w="2310" w:type="dxa"/>
            <w:vAlign w:val="center"/>
          </w:tcPr>
          <w:p w:rsidR="008E090E" w:rsidRPr="00297630" w:rsidRDefault="008E090E" w:rsidP="008E090E">
            <w:pPr>
              <w:jc w:val="center"/>
              <w:rPr>
                <w:rFonts w:cs="Arial"/>
                <w:szCs w:val="20"/>
              </w:rPr>
            </w:pPr>
            <w:r w:rsidRPr="00297630">
              <w:rPr>
                <w:rFonts w:cs="Arial"/>
                <w:szCs w:val="20"/>
              </w:rPr>
              <w:t>0.977</w:t>
            </w:r>
          </w:p>
        </w:tc>
        <w:tc>
          <w:tcPr>
            <w:tcW w:w="2311" w:type="dxa"/>
            <w:vAlign w:val="center"/>
          </w:tcPr>
          <w:p w:rsidR="008E090E" w:rsidRPr="00297630" w:rsidRDefault="008E090E" w:rsidP="008E090E">
            <w:pPr>
              <w:jc w:val="center"/>
              <w:rPr>
                <w:rFonts w:cs="Arial"/>
                <w:szCs w:val="20"/>
              </w:rPr>
            </w:pPr>
            <w:r w:rsidRPr="00297630">
              <w:rPr>
                <w:rFonts w:cs="Arial"/>
                <w:szCs w:val="20"/>
              </w:rPr>
              <w:t>0.912</w:t>
            </w:r>
          </w:p>
        </w:tc>
        <w:tc>
          <w:tcPr>
            <w:tcW w:w="2311" w:type="dxa"/>
            <w:vAlign w:val="center"/>
          </w:tcPr>
          <w:p w:rsidR="008E090E" w:rsidRPr="00297630" w:rsidRDefault="008E090E" w:rsidP="008E090E">
            <w:pPr>
              <w:jc w:val="center"/>
              <w:rPr>
                <w:rFonts w:cs="Arial"/>
                <w:szCs w:val="20"/>
              </w:rPr>
            </w:pPr>
            <w:r w:rsidRPr="00297630">
              <w:rPr>
                <w:rFonts w:cs="Arial"/>
                <w:szCs w:val="20"/>
              </w:rPr>
              <w:t>1.003</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Orkney</w:t>
            </w:r>
          </w:p>
        </w:tc>
        <w:tc>
          <w:tcPr>
            <w:tcW w:w="2310" w:type="dxa"/>
            <w:vAlign w:val="center"/>
          </w:tcPr>
          <w:p w:rsidR="008E090E" w:rsidRPr="00297630" w:rsidRDefault="008E090E" w:rsidP="008E090E">
            <w:pPr>
              <w:jc w:val="center"/>
              <w:rPr>
                <w:rFonts w:cs="Arial"/>
                <w:szCs w:val="20"/>
              </w:rPr>
            </w:pPr>
            <w:r w:rsidRPr="00297630">
              <w:rPr>
                <w:rFonts w:cs="Arial"/>
                <w:szCs w:val="20"/>
              </w:rPr>
              <w:t>1.078</w:t>
            </w:r>
          </w:p>
        </w:tc>
        <w:tc>
          <w:tcPr>
            <w:tcW w:w="2311" w:type="dxa"/>
            <w:vAlign w:val="center"/>
          </w:tcPr>
          <w:p w:rsidR="008E090E" w:rsidRPr="00297630" w:rsidRDefault="008E090E" w:rsidP="008E090E">
            <w:pPr>
              <w:jc w:val="center"/>
              <w:rPr>
                <w:rFonts w:cs="Arial"/>
                <w:szCs w:val="20"/>
              </w:rPr>
            </w:pPr>
            <w:r w:rsidRPr="00297630">
              <w:rPr>
                <w:rFonts w:cs="Arial"/>
                <w:szCs w:val="20"/>
              </w:rPr>
              <w:t>0.933</w:t>
            </w:r>
          </w:p>
        </w:tc>
        <w:tc>
          <w:tcPr>
            <w:tcW w:w="2311" w:type="dxa"/>
            <w:vAlign w:val="center"/>
          </w:tcPr>
          <w:p w:rsidR="008E090E" w:rsidRPr="00297630" w:rsidRDefault="008E090E" w:rsidP="008E090E">
            <w:pPr>
              <w:jc w:val="center"/>
              <w:rPr>
                <w:rFonts w:cs="Arial"/>
                <w:szCs w:val="20"/>
              </w:rPr>
            </w:pPr>
            <w:r w:rsidRPr="00297630">
              <w:rPr>
                <w:rFonts w:cs="Arial"/>
                <w:szCs w:val="20"/>
              </w:rPr>
              <w:t>1.184</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Lothian</w:t>
            </w:r>
          </w:p>
        </w:tc>
        <w:tc>
          <w:tcPr>
            <w:tcW w:w="2310" w:type="dxa"/>
            <w:vAlign w:val="center"/>
          </w:tcPr>
          <w:p w:rsidR="008E090E" w:rsidRPr="00297630" w:rsidRDefault="008E090E" w:rsidP="008E090E">
            <w:pPr>
              <w:jc w:val="center"/>
              <w:rPr>
                <w:rFonts w:cs="Arial"/>
                <w:szCs w:val="20"/>
              </w:rPr>
            </w:pPr>
            <w:r w:rsidRPr="00297630">
              <w:rPr>
                <w:rFonts w:cs="Arial"/>
                <w:szCs w:val="20"/>
              </w:rPr>
              <w:t>0.955</w:t>
            </w:r>
          </w:p>
        </w:tc>
        <w:tc>
          <w:tcPr>
            <w:tcW w:w="2311" w:type="dxa"/>
            <w:vAlign w:val="center"/>
          </w:tcPr>
          <w:p w:rsidR="008E090E" w:rsidRPr="00297630" w:rsidRDefault="008E090E" w:rsidP="008E090E">
            <w:pPr>
              <w:jc w:val="center"/>
              <w:rPr>
                <w:rFonts w:cs="Arial"/>
                <w:szCs w:val="20"/>
              </w:rPr>
            </w:pPr>
            <w:r w:rsidRPr="00297630">
              <w:rPr>
                <w:rFonts w:cs="Arial"/>
                <w:szCs w:val="20"/>
              </w:rPr>
              <w:t>0.959</w:t>
            </w:r>
          </w:p>
        </w:tc>
        <w:tc>
          <w:tcPr>
            <w:tcW w:w="2311" w:type="dxa"/>
            <w:vAlign w:val="center"/>
          </w:tcPr>
          <w:p w:rsidR="008E090E" w:rsidRPr="00297630" w:rsidRDefault="008E090E" w:rsidP="008E090E">
            <w:pPr>
              <w:jc w:val="center"/>
              <w:rPr>
                <w:rFonts w:cs="Arial"/>
                <w:szCs w:val="20"/>
              </w:rPr>
            </w:pPr>
            <w:r w:rsidRPr="00297630">
              <w:rPr>
                <w:rFonts w:cs="Arial"/>
                <w:szCs w:val="20"/>
              </w:rPr>
              <w:t>0.991</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Tayside</w:t>
            </w:r>
          </w:p>
        </w:tc>
        <w:tc>
          <w:tcPr>
            <w:tcW w:w="2310" w:type="dxa"/>
            <w:vAlign w:val="center"/>
          </w:tcPr>
          <w:p w:rsidR="008E090E" w:rsidRPr="00297630" w:rsidRDefault="008E090E" w:rsidP="008E090E">
            <w:pPr>
              <w:jc w:val="center"/>
              <w:rPr>
                <w:rFonts w:cs="Arial"/>
                <w:szCs w:val="20"/>
              </w:rPr>
            </w:pPr>
            <w:r w:rsidRPr="00297630">
              <w:rPr>
                <w:rFonts w:cs="Arial"/>
                <w:szCs w:val="20"/>
              </w:rPr>
              <w:t>1.039</w:t>
            </w:r>
          </w:p>
        </w:tc>
        <w:tc>
          <w:tcPr>
            <w:tcW w:w="2311" w:type="dxa"/>
            <w:vAlign w:val="center"/>
          </w:tcPr>
          <w:p w:rsidR="008E090E" w:rsidRPr="00297630" w:rsidRDefault="008E090E" w:rsidP="008E090E">
            <w:pPr>
              <w:jc w:val="center"/>
              <w:rPr>
                <w:rFonts w:cs="Arial"/>
                <w:szCs w:val="20"/>
              </w:rPr>
            </w:pPr>
            <w:r w:rsidRPr="00297630">
              <w:rPr>
                <w:rFonts w:cs="Arial"/>
                <w:szCs w:val="20"/>
              </w:rPr>
              <w:t>0.973</w:t>
            </w:r>
          </w:p>
        </w:tc>
        <w:tc>
          <w:tcPr>
            <w:tcW w:w="2311" w:type="dxa"/>
            <w:vAlign w:val="center"/>
          </w:tcPr>
          <w:p w:rsidR="008E090E" w:rsidRPr="00297630" w:rsidRDefault="008E090E" w:rsidP="008E090E">
            <w:pPr>
              <w:jc w:val="center"/>
              <w:rPr>
                <w:rFonts w:cs="Arial"/>
                <w:szCs w:val="20"/>
              </w:rPr>
            </w:pPr>
            <w:r w:rsidRPr="00297630">
              <w:rPr>
                <w:rFonts w:cs="Arial"/>
                <w:szCs w:val="20"/>
              </w:rPr>
              <w:t>0.999</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Forth Vall</w:t>
            </w:r>
            <w:r w:rsidR="008419DA" w:rsidRPr="00297630">
              <w:rPr>
                <w:rFonts w:cs="Arial"/>
                <w:bCs/>
                <w:szCs w:val="20"/>
              </w:rPr>
              <w:t>e</w:t>
            </w:r>
            <w:r w:rsidRPr="00297630">
              <w:rPr>
                <w:rFonts w:cs="Arial"/>
                <w:bCs/>
                <w:szCs w:val="20"/>
              </w:rPr>
              <w:t>y</w:t>
            </w:r>
          </w:p>
        </w:tc>
        <w:tc>
          <w:tcPr>
            <w:tcW w:w="2310" w:type="dxa"/>
            <w:vAlign w:val="center"/>
          </w:tcPr>
          <w:p w:rsidR="008E090E" w:rsidRPr="00297630" w:rsidRDefault="008E090E" w:rsidP="008E090E">
            <w:pPr>
              <w:jc w:val="center"/>
              <w:rPr>
                <w:rFonts w:cs="Arial"/>
                <w:szCs w:val="20"/>
              </w:rPr>
            </w:pPr>
            <w:r w:rsidRPr="00297630">
              <w:rPr>
                <w:rFonts w:cs="Arial"/>
                <w:szCs w:val="20"/>
              </w:rPr>
              <w:t>0.995</w:t>
            </w:r>
          </w:p>
        </w:tc>
        <w:tc>
          <w:tcPr>
            <w:tcW w:w="2311" w:type="dxa"/>
            <w:vAlign w:val="center"/>
          </w:tcPr>
          <w:p w:rsidR="008E090E" w:rsidRPr="00297630" w:rsidRDefault="008E090E" w:rsidP="008E090E">
            <w:pPr>
              <w:jc w:val="center"/>
              <w:rPr>
                <w:rFonts w:cs="Arial"/>
                <w:szCs w:val="20"/>
              </w:rPr>
            </w:pPr>
            <w:r w:rsidRPr="00297630">
              <w:rPr>
                <w:rFonts w:cs="Arial"/>
                <w:szCs w:val="20"/>
              </w:rPr>
              <w:t>0.978</w:t>
            </w:r>
          </w:p>
        </w:tc>
        <w:tc>
          <w:tcPr>
            <w:tcW w:w="2311" w:type="dxa"/>
            <w:vAlign w:val="center"/>
          </w:tcPr>
          <w:p w:rsidR="008E090E" w:rsidRPr="00297630" w:rsidRDefault="008E090E" w:rsidP="008E090E">
            <w:pPr>
              <w:jc w:val="center"/>
              <w:rPr>
                <w:rFonts w:cs="Arial"/>
                <w:szCs w:val="20"/>
              </w:rPr>
            </w:pPr>
            <w:r w:rsidRPr="00297630">
              <w:rPr>
                <w:rFonts w:cs="Arial"/>
                <w:szCs w:val="20"/>
              </w:rPr>
              <w:t>0.985</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Western Isles</w:t>
            </w:r>
          </w:p>
        </w:tc>
        <w:tc>
          <w:tcPr>
            <w:tcW w:w="2310" w:type="dxa"/>
            <w:vAlign w:val="center"/>
          </w:tcPr>
          <w:p w:rsidR="008E090E" w:rsidRPr="00297630" w:rsidRDefault="008E090E" w:rsidP="008E090E">
            <w:pPr>
              <w:jc w:val="center"/>
              <w:rPr>
                <w:rFonts w:cs="Arial"/>
                <w:szCs w:val="20"/>
              </w:rPr>
            </w:pPr>
            <w:r w:rsidRPr="00297630">
              <w:rPr>
                <w:rFonts w:cs="Arial"/>
                <w:szCs w:val="20"/>
              </w:rPr>
              <w:t>1.123</w:t>
            </w:r>
          </w:p>
        </w:tc>
        <w:tc>
          <w:tcPr>
            <w:tcW w:w="2311" w:type="dxa"/>
            <w:vAlign w:val="center"/>
          </w:tcPr>
          <w:p w:rsidR="008E090E" w:rsidRPr="00297630" w:rsidRDefault="008E090E" w:rsidP="008E090E">
            <w:pPr>
              <w:jc w:val="center"/>
              <w:rPr>
                <w:rFonts w:cs="Arial"/>
                <w:szCs w:val="20"/>
              </w:rPr>
            </w:pPr>
            <w:r w:rsidRPr="00297630">
              <w:rPr>
                <w:rFonts w:cs="Arial"/>
                <w:szCs w:val="20"/>
              </w:rPr>
              <w:t>0.970</w:t>
            </w:r>
          </w:p>
        </w:tc>
        <w:tc>
          <w:tcPr>
            <w:tcW w:w="2311" w:type="dxa"/>
            <w:vAlign w:val="center"/>
          </w:tcPr>
          <w:p w:rsidR="008E090E" w:rsidRPr="00297630" w:rsidRDefault="008E090E" w:rsidP="008E090E">
            <w:pPr>
              <w:jc w:val="center"/>
              <w:rPr>
                <w:rFonts w:cs="Arial"/>
                <w:szCs w:val="20"/>
              </w:rPr>
            </w:pPr>
            <w:r w:rsidRPr="00297630">
              <w:rPr>
                <w:rFonts w:cs="Arial"/>
                <w:szCs w:val="20"/>
              </w:rPr>
              <w:t>1.205</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Dumfries &amp; Galloway</w:t>
            </w:r>
          </w:p>
        </w:tc>
        <w:tc>
          <w:tcPr>
            <w:tcW w:w="2310" w:type="dxa"/>
            <w:vAlign w:val="bottom"/>
          </w:tcPr>
          <w:p w:rsidR="008E090E" w:rsidRPr="00297630" w:rsidRDefault="008E090E">
            <w:pPr>
              <w:jc w:val="center"/>
              <w:rPr>
                <w:rFonts w:cs="Arial"/>
                <w:szCs w:val="20"/>
              </w:rPr>
            </w:pPr>
            <w:r w:rsidRPr="00297630">
              <w:rPr>
                <w:rFonts w:cs="Arial"/>
                <w:szCs w:val="20"/>
              </w:rPr>
              <w:t>1.113</w:t>
            </w:r>
          </w:p>
        </w:tc>
        <w:tc>
          <w:tcPr>
            <w:tcW w:w="2311" w:type="dxa"/>
            <w:vAlign w:val="bottom"/>
          </w:tcPr>
          <w:p w:rsidR="008E090E" w:rsidRPr="00297630" w:rsidRDefault="008E090E">
            <w:pPr>
              <w:jc w:val="center"/>
              <w:rPr>
                <w:rFonts w:cs="Arial"/>
                <w:szCs w:val="20"/>
              </w:rPr>
            </w:pPr>
            <w:r w:rsidRPr="00297630">
              <w:rPr>
                <w:rFonts w:cs="Arial"/>
                <w:szCs w:val="20"/>
              </w:rPr>
              <w:t>0.952</w:t>
            </w:r>
          </w:p>
        </w:tc>
        <w:tc>
          <w:tcPr>
            <w:tcW w:w="2311" w:type="dxa"/>
            <w:vAlign w:val="bottom"/>
          </w:tcPr>
          <w:p w:rsidR="008E090E" w:rsidRPr="00297630" w:rsidRDefault="008E090E">
            <w:pPr>
              <w:jc w:val="center"/>
              <w:rPr>
                <w:rFonts w:cs="Arial"/>
                <w:szCs w:val="20"/>
              </w:rPr>
            </w:pPr>
            <w:r w:rsidRPr="00297630">
              <w:rPr>
                <w:rFonts w:cs="Arial"/>
                <w:szCs w:val="20"/>
              </w:rPr>
              <w:t>1.012</w:t>
            </w:r>
          </w:p>
        </w:tc>
      </w:tr>
      <w:tr w:rsidR="008E090E" w:rsidRPr="00297630" w:rsidTr="008E090E">
        <w:tc>
          <w:tcPr>
            <w:tcW w:w="2310" w:type="dxa"/>
            <w:vAlign w:val="center"/>
          </w:tcPr>
          <w:p w:rsidR="008E090E" w:rsidRPr="00297630" w:rsidRDefault="008E090E" w:rsidP="008E090E">
            <w:pPr>
              <w:rPr>
                <w:rFonts w:cs="Arial"/>
                <w:bCs/>
                <w:szCs w:val="20"/>
              </w:rPr>
            </w:pPr>
            <w:r w:rsidRPr="00297630">
              <w:rPr>
                <w:rFonts w:cs="Arial"/>
                <w:bCs/>
                <w:szCs w:val="20"/>
              </w:rPr>
              <w:t>Shetland</w:t>
            </w:r>
          </w:p>
        </w:tc>
        <w:tc>
          <w:tcPr>
            <w:tcW w:w="2310" w:type="dxa"/>
            <w:vAlign w:val="bottom"/>
          </w:tcPr>
          <w:p w:rsidR="008E090E" w:rsidRPr="00297630" w:rsidRDefault="008E090E">
            <w:pPr>
              <w:jc w:val="center"/>
              <w:rPr>
                <w:rFonts w:cs="Arial"/>
                <w:szCs w:val="20"/>
              </w:rPr>
            </w:pPr>
            <w:r w:rsidRPr="00297630">
              <w:rPr>
                <w:rFonts w:cs="Arial"/>
                <w:szCs w:val="20"/>
              </w:rPr>
              <w:t>1.010</w:t>
            </w:r>
          </w:p>
        </w:tc>
        <w:tc>
          <w:tcPr>
            <w:tcW w:w="2311" w:type="dxa"/>
            <w:vAlign w:val="bottom"/>
          </w:tcPr>
          <w:p w:rsidR="008E090E" w:rsidRPr="00297630" w:rsidRDefault="008E090E">
            <w:pPr>
              <w:jc w:val="center"/>
              <w:rPr>
                <w:rFonts w:cs="Arial"/>
                <w:szCs w:val="20"/>
              </w:rPr>
            </w:pPr>
            <w:r w:rsidRPr="00297630">
              <w:rPr>
                <w:rFonts w:cs="Arial"/>
                <w:szCs w:val="20"/>
              </w:rPr>
              <w:t>0.929</w:t>
            </w:r>
          </w:p>
        </w:tc>
        <w:tc>
          <w:tcPr>
            <w:tcW w:w="2311" w:type="dxa"/>
            <w:vAlign w:val="bottom"/>
          </w:tcPr>
          <w:p w:rsidR="008E090E" w:rsidRPr="00297630" w:rsidRDefault="008E090E">
            <w:pPr>
              <w:jc w:val="center"/>
              <w:rPr>
                <w:rFonts w:cs="Arial"/>
                <w:szCs w:val="20"/>
              </w:rPr>
            </w:pPr>
            <w:r w:rsidRPr="00297630">
              <w:rPr>
                <w:rFonts w:cs="Arial"/>
                <w:szCs w:val="20"/>
              </w:rPr>
              <w:t>1.194</w:t>
            </w:r>
          </w:p>
        </w:tc>
      </w:tr>
    </w:tbl>
    <w:p w:rsidR="00DD2FF9" w:rsidRDefault="00DD2FF9">
      <w:pPr>
        <w:rPr>
          <w:lang w:bidi="en-US"/>
        </w:rPr>
      </w:pPr>
    </w:p>
    <w:p w:rsidR="00DD2FF9" w:rsidRDefault="00DD2FF9">
      <w:pPr>
        <w:rPr>
          <w:lang w:bidi="en-US"/>
        </w:rPr>
      </w:pPr>
    </w:p>
    <w:p w:rsidR="00DD2FF9" w:rsidRDefault="00DD2FF9">
      <w:pPr>
        <w:rPr>
          <w:lang w:bidi="en-US"/>
        </w:rPr>
      </w:pPr>
    </w:p>
    <w:p w:rsidR="00DD2FF9" w:rsidRDefault="00DD2FF9">
      <w:pPr>
        <w:rPr>
          <w:lang w:bidi="en-US"/>
        </w:rPr>
      </w:pPr>
    </w:p>
    <w:p w:rsidR="00DD2FF9" w:rsidRDefault="00DD2FF9">
      <w:pPr>
        <w:rPr>
          <w:lang w:bidi="en-US"/>
        </w:rPr>
      </w:pPr>
    </w:p>
    <w:p w:rsidR="00DD2FF9" w:rsidRDefault="00DD2FF9">
      <w:pPr>
        <w:rPr>
          <w:lang w:bidi="en-US"/>
        </w:rPr>
      </w:pPr>
    </w:p>
    <w:p w:rsidR="00DD2FF9" w:rsidRPr="0010593D" w:rsidRDefault="00C30E9C">
      <w:pPr>
        <w:rPr>
          <w:lang w:bidi="en-US"/>
        </w:rPr>
      </w:pPr>
      <w:r>
        <w:rPr>
          <w:lang w:bidi="en-US"/>
        </w:rPr>
        <w:fldChar w:fldCharType="begin"/>
      </w:r>
      <w:r w:rsidR="00D85B39">
        <w:rPr>
          <w:lang w:bidi="en-US"/>
        </w:rPr>
        <w:instrText xml:space="preserve"> REF _Ref468179379 \h </w:instrText>
      </w:r>
      <w:r>
        <w:rPr>
          <w:lang w:bidi="en-US"/>
        </w:rPr>
      </w:r>
      <w:r>
        <w:rPr>
          <w:lang w:bidi="en-US"/>
        </w:rPr>
        <w:fldChar w:fldCharType="separate"/>
      </w:r>
    </w:p>
    <w:p w:rsidR="00D85B39" w:rsidRPr="0010593D" w:rsidRDefault="00DD2FF9">
      <w:pPr>
        <w:rPr>
          <w:lang w:bidi="en-US"/>
        </w:rPr>
      </w:pPr>
      <w:r>
        <w:lastRenderedPageBreak/>
        <w:t xml:space="preserve">Figure </w:t>
      </w:r>
      <w:r>
        <w:rPr>
          <w:noProof/>
        </w:rPr>
        <w:t>1</w:t>
      </w:r>
      <w:r w:rsidR="00C30E9C">
        <w:rPr>
          <w:lang w:bidi="en-US"/>
        </w:rPr>
        <w:fldChar w:fldCharType="end"/>
      </w:r>
      <w:r w:rsidR="00D85B39">
        <w:rPr>
          <w:lang w:bidi="en-US"/>
        </w:rPr>
        <w:t xml:space="preserve"> </w:t>
      </w:r>
      <w:r w:rsidR="00A84AF6">
        <w:rPr>
          <w:lang w:bidi="en-US"/>
        </w:rPr>
        <w:t xml:space="preserve">and </w:t>
      </w:r>
      <w:r w:rsidR="00C30E9C">
        <w:rPr>
          <w:lang w:bidi="en-US"/>
        </w:rPr>
        <w:fldChar w:fldCharType="begin"/>
      </w:r>
      <w:r w:rsidR="00D85B39">
        <w:rPr>
          <w:lang w:bidi="en-US"/>
        </w:rPr>
        <w:instrText xml:space="preserve"> REF _Ref468179382 \h </w:instrText>
      </w:r>
      <w:r w:rsidR="00C30E9C">
        <w:rPr>
          <w:lang w:bidi="en-US"/>
        </w:rPr>
      </w:r>
      <w:r w:rsidR="00C30E9C">
        <w:rPr>
          <w:lang w:bidi="en-US"/>
        </w:rPr>
        <w:fldChar w:fldCharType="separate"/>
      </w:r>
      <w:r>
        <w:t xml:space="preserve">Figure </w:t>
      </w:r>
      <w:r>
        <w:rPr>
          <w:noProof/>
        </w:rPr>
        <w:t>2</w:t>
      </w:r>
      <w:r w:rsidR="00C30E9C">
        <w:rPr>
          <w:lang w:bidi="en-US"/>
        </w:rPr>
        <w:fldChar w:fldCharType="end"/>
      </w:r>
      <w:r w:rsidR="00D85B39">
        <w:rPr>
          <w:lang w:bidi="en-US"/>
        </w:rPr>
        <w:t xml:space="preserve"> </w:t>
      </w:r>
      <w:r w:rsidR="00D85B39" w:rsidRPr="00297630">
        <w:rPr>
          <w:lang w:bidi="en-US"/>
        </w:rPr>
        <w:t xml:space="preserve">illustrate the changes due to </w:t>
      </w:r>
      <w:r w:rsidR="00D85B39">
        <w:rPr>
          <w:lang w:bidi="en-US"/>
        </w:rPr>
        <w:t>updating the geography and refreshing the MLC models</w:t>
      </w:r>
      <w:r w:rsidR="00D85B39" w:rsidRPr="00297630">
        <w:rPr>
          <w:lang w:bidi="en-US"/>
        </w:rPr>
        <w:t>, on the overall MLC index and (more specifically) the Acute MLC index, respectively</w:t>
      </w:r>
      <w:r w:rsidR="00D85B39">
        <w:rPr>
          <w:lang w:bidi="en-US"/>
        </w:rPr>
        <w:t xml:space="preserve">. </w:t>
      </w:r>
      <w:r w:rsidR="0010593D" w:rsidRPr="00297630">
        <w:rPr>
          <w:lang w:bidi="en-US"/>
        </w:rPr>
        <w:t xml:space="preserve">In addition, </w:t>
      </w:r>
      <w:r w:rsidR="00C30E9C">
        <w:rPr>
          <w:lang w:bidi="en-US"/>
        </w:rPr>
        <w:fldChar w:fldCharType="begin"/>
      </w:r>
      <w:r w:rsidR="0010593D">
        <w:rPr>
          <w:lang w:bidi="en-US"/>
        </w:rPr>
        <w:instrText xml:space="preserve"> REF _Ref468180525 \h </w:instrText>
      </w:r>
      <w:r w:rsidR="00C30E9C">
        <w:rPr>
          <w:lang w:bidi="en-US"/>
        </w:rPr>
      </w:r>
      <w:r w:rsidR="00C30E9C">
        <w:rPr>
          <w:lang w:bidi="en-US"/>
        </w:rPr>
        <w:fldChar w:fldCharType="separate"/>
      </w:r>
      <w:r>
        <w:t xml:space="preserve">Figure </w:t>
      </w:r>
      <w:r>
        <w:rPr>
          <w:noProof/>
        </w:rPr>
        <w:t>3</w:t>
      </w:r>
      <w:r w:rsidR="00C30E9C">
        <w:rPr>
          <w:lang w:bidi="en-US"/>
        </w:rPr>
        <w:fldChar w:fldCharType="end"/>
      </w:r>
      <w:r w:rsidR="0010593D">
        <w:rPr>
          <w:lang w:bidi="en-US"/>
        </w:rPr>
        <w:t xml:space="preserve"> </w:t>
      </w:r>
      <w:r w:rsidR="0010593D" w:rsidRPr="00297630">
        <w:rPr>
          <w:lang w:bidi="en-US"/>
        </w:rPr>
        <w:t>shows the proportional change in the overall NRAC target share (including the Out of Hours Adjustment) for each Board.</w:t>
      </w:r>
      <w:r w:rsidR="0010593D">
        <w:rPr>
          <w:lang w:bidi="en-US"/>
        </w:rPr>
        <w:t xml:space="preserve"> </w:t>
      </w:r>
      <w:r w:rsidR="00D85B39" w:rsidRPr="00297630">
        <w:rPr>
          <w:lang w:bidi="en-US"/>
        </w:rPr>
        <w:t xml:space="preserve">These changes </w:t>
      </w:r>
      <w:r w:rsidR="00D85B39">
        <w:rPr>
          <w:lang w:bidi="en-US"/>
        </w:rPr>
        <w:t>partly reflect</w:t>
      </w:r>
      <w:r w:rsidR="00D85B39" w:rsidRPr="00297630">
        <w:rPr>
          <w:lang w:bidi="en-US"/>
        </w:rPr>
        <w:t xml:space="preserve"> changes in the </w:t>
      </w:r>
      <w:r w:rsidR="00D85B39">
        <w:rPr>
          <w:lang w:bidi="en-US"/>
        </w:rPr>
        <w:t xml:space="preserve">distribution of </w:t>
      </w:r>
      <w:r w:rsidR="00D85B39" w:rsidRPr="00297630">
        <w:rPr>
          <w:lang w:bidi="en-US"/>
        </w:rPr>
        <w:t xml:space="preserve">values of the needs </w:t>
      </w:r>
      <w:r w:rsidR="00D85B39">
        <w:rPr>
          <w:lang w:bidi="en-US"/>
        </w:rPr>
        <w:t xml:space="preserve">indicator </w:t>
      </w:r>
      <w:r w:rsidR="00D85B39" w:rsidRPr="00297630">
        <w:rPr>
          <w:lang w:bidi="en-US"/>
        </w:rPr>
        <w:t xml:space="preserve">variables </w:t>
      </w:r>
      <w:r w:rsidR="00D85B39">
        <w:rPr>
          <w:lang w:bidi="en-US"/>
        </w:rPr>
        <w:t xml:space="preserve">in each Health Board </w:t>
      </w:r>
      <w:r w:rsidR="00D85B39" w:rsidRPr="00297630">
        <w:rPr>
          <w:lang w:bidi="en-US"/>
        </w:rPr>
        <w:t>(SMR&lt;75 has improved to varying degrees in each NHS board since 2006, with the largest improvement being in NHS Greater Glasgow &amp; Clyde</w:t>
      </w:r>
      <w:r w:rsidR="00D85B39" w:rsidRPr="00297630">
        <w:rPr>
          <w:rStyle w:val="FootnoteReference"/>
          <w:lang w:bidi="en-US"/>
        </w:rPr>
        <w:footnoteReference w:id="1"/>
      </w:r>
      <w:r w:rsidR="00D85B39">
        <w:rPr>
          <w:lang w:bidi="en-US"/>
        </w:rPr>
        <w:t xml:space="preserve"> - this is consistent with the decrease in GGC’s Acute MLC index</w:t>
      </w:r>
      <w:r w:rsidR="00D85B39" w:rsidRPr="00297630">
        <w:rPr>
          <w:lang w:bidi="en-US"/>
        </w:rPr>
        <w:t>).</w:t>
      </w:r>
      <w:bookmarkStart w:id="2" w:name="_Ref468179379"/>
    </w:p>
    <w:p w:rsidR="00D85B39" w:rsidRDefault="00D85B39" w:rsidP="00D85B39">
      <w:pPr>
        <w:pStyle w:val="Caption"/>
      </w:pPr>
      <w:r>
        <w:t xml:space="preserve">Figure </w:t>
      </w:r>
      <w:r w:rsidR="00C30E9C">
        <w:fldChar w:fldCharType="begin"/>
      </w:r>
      <w:r w:rsidR="0050751D">
        <w:instrText xml:space="preserve"> SEQ Figure \* ARABIC </w:instrText>
      </w:r>
      <w:r w:rsidR="00C30E9C">
        <w:fldChar w:fldCharType="separate"/>
      </w:r>
      <w:r w:rsidR="00DD2FF9">
        <w:rPr>
          <w:noProof/>
        </w:rPr>
        <w:t>1</w:t>
      </w:r>
      <w:r w:rsidR="00C30E9C">
        <w:rPr>
          <w:noProof/>
        </w:rPr>
        <w:fldChar w:fldCharType="end"/>
      </w:r>
      <w:bookmarkEnd w:id="2"/>
      <w:r>
        <w:t>:</w:t>
      </w:r>
      <w:r w:rsidRPr="00D85B39">
        <w:rPr>
          <w:lang w:val="en-GB"/>
        </w:rPr>
        <w:t xml:space="preserve"> </w:t>
      </w:r>
      <w:r w:rsidRPr="00297630">
        <w:rPr>
          <w:lang w:val="en-GB"/>
        </w:rPr>
        <w:t xml:space="preserve">Overall MLC index by Board, comparing run </w:t>
      </w:r>
      <w:r>
        <w:rPr>
          <w:lang w:val="en-GB"/>
        </w:rPr>
        <w:t>2</w:t>
      </w:r>
      <w:r w:rsidRPr="00297630">
        <w:rPr>
          <w:lang w:val="en-GB"/>
        </w:rPr>
        <w:t xml:space="preserve"> against run </w:t>
      </w:r>
      <w:r>
        <w:rPr>
          <w:lang w:val="en-GB"/>
        </w:rPr>
        <w:t>1</w:t>
      </w:r>
      <w:r w:rsidRPr="00297630">
        <w:rPr>
          <w:lang w:val="en-GB"/>
        </w:rPr>
        <w:t>. The Scottish average index is equal to 1.</w:t>
      </w:r>
    </w:p>
    <w:p w:rsidR="00D85B39" w:rsidRDefault="00D85B39" w:rsidP="00D85B39">
      <w:pPr>
        <w:rPr>
          <w:lang w:val="en-US" w:bidi="en-US"/>
        </w:rPr>
      </w:pPr>
      <w:r>
        <w:rPr>
          <w:noProof/>
          <w:lang w:eastAsia="en-GB"/>
        </w:rPr>
        <w:drawing>
          <wp:inline distT="0" distB="0" distL="0" distR="0">
            <wp:extent cx="5182235" cy="357886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82235" cy="3578860"/>
                    </a:xfrm>
                    <a:prstGeom prst="rect">
                      <a:avLst/>
                    </a:prstGeom>
                    <a:noFill/>
                  </pic:spPr>
                </pic:pic>
              </a:graphicData>
            </a:graphic>
          </wp:inline>
        </w:drawing>
      </w:r>
    </w:p>
    <w:p w:rsidR="0010593D" w:rsidRDefault="0010593D">
      <w:pPr>
        <w:rPr>
          <w:rFonts w:eastAsiaTheme="majorEastAsia" w:cstheme="majorBidi"/>
          <w:bCs/>
          <w:i/>
          <w:sz w:val="20"/>
          <w:szCs w:val="18"/>
          <w:lang w:val="en-US" w:bidi="en-US"/>
        </w:rPr>
      </w:pPr>
      <w:bookmarkStart w:id="3" w:name="_Ref468179382"/>
      <w:r>
        <w:br w:type="page"/>
      </w:r>
    </w:p>
    <w:p w:rsidR="00D85B39" w:rsidRDefault="00D85B39" w:rsidP="00D85B39">
      <w:pPr>
        <w:pStyle w:val="Caption"/>
      </w:pPr>
      <w:r>
        <w:lastRenderedPageBreak/>
        <w:t xml:space="preserve">Figure </w:t>
      </w:r>
      <w:r w:rsidR="00C30E9C">
        <w:fldChar w:fldCharType="begin"/>
      </w:r>
      <w:r w:rsidR="0050751D">
        <w:instrText xml:space="preserve"> SEQ Figure \* ARABIC </w:instrText>
      </w:r>
      <w:r w:rsidR="00C30E9C">
        <w:fldChar w:fldCharType="separate"/>
      </w:r>
      <w:r w:rsidR="00DD2FF9">
        <w:rPr>
          <w:noProof/>
        </w:rPr>
        <w:t>2</w:t>
      </w:r>
      <w:r w:rsidR="00C30E9C">
        <w:rPr>
          <w:noProof/>
        </w:rPr>
        <w:fldChar w:fldCharType="end"/>
      </w:r>
      <w:bookmarkEnd w:id="3"/>
      <w:r>
        <w:t>:</w:t>
      </w:r>
      <w:r w:rsidRPr="00D85B39">
        <w:rPr>
          <w:lang w:val="en-GB"/>
        </w:rPr>
        <w:t xml:space="preserve"> </w:t>
      </w:r>
      <w:r>
        <w:rPr>
          <w:lang w:val="en-GB"/>
        </w:rPr>
        <w:t>Acute</w:t>
      </w:r>
      <w:r w:rsidRPr="00297630">
        <w:rPr>
          <w:lang w:val="en-GB"/>
        </w:rPr>
        <w:t xml:space="preserve"> MLC index by Board, comparing run </w:t>
      </w:r>
      <w:r>
        <w:rPr>
          <w:lang w:val="en-GB"/>
        </w:rPr>
        <w:t>2</w:t>
      </w:r>
      <w:r w:rsidRPr="00297630">
        <w:rPr>
          <w:lang w:val="en-GB"/>
        </w:rPr>
        <w:t xml:space="preserve"> against run </w:t>
      </w:r>
      <w:r>
        <w:rPr>
          <w:lang w:val="en-GB"/>
        </w:rPr>
        <w:t>1</w:t>
      </w:r>
      <w:r w:rsidRPr="00297630">
        <w:rPr>
          <w:lang w:val="en-GB"/>
        </w:rPr>
        <w:t>. The Scottish average index is equal to 1.</w:t>
      </w:r>
    </w:p>
    <w:p w:rsidR="00D85B39" w:rsidRPr="00D85B39" w:rsidRDefault="00D85B39" w:rsidP="00D85B39">
      <w:pPr>
        <w:rPr>
          <w:lang w:val="en-US" w:bidi="en-US"/>
        </w:rPr>
      </w:pPr>
      <w:r>
        <w:rPr>
          <w:noProof/>
          <w:lang w:eastAsia="en-GB"/>
        </w:rPr>
        <w:drawing>
          <wp:inline distT="0" distB="0" distL="0" distR="0">
            <wp:extent cx="5170170" cy="367030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170170" cy="3670300"/>
                    </a:xfrm>
                    <a:prstGeom prst="rect">
                      <a:avLst/>
                    </a:prstGeom>
                    <a:noFill/>
                  </pic:spPr>
                </pic:pic>
              </a:graphicData>
            </a:graphic>
          </wp:inline>
        </w:drawing>
      </w:r>
    </w:p>
    <w:p w:rsidR="00297630" w:rsidRPr="00A84AF6" w:rsidRDefault="00A84AF6" w:rsidP="00A84AF6">
      <w:pPr>
        <w:pStyle w:val="Caption"/>
        <w:rPr>
          <w:noProof/>
          <w:lang w:val="en-GB"/>
        </w:rPr>
      </w:pPr>
      <w:bookmarkStart w:id="4" w:name="_Ref468180525"/>
      <w:r>
        <w:t xml:space="preserve">Figure </w:t>
      </w:r>
      <w:r w:rsidR="00C30E9C">
        <w:fldChar w:fldCharType="begin"/>
      </w:r>
      <w:r w:rsidR="0050751D">
        <w:instrText xml:space="preserve"> SEQ Figure \* ARABIC </w:instrText>
      </w:r>
      <w:r w:rsidR="00C30E9C">
        <w:fldChar w:fldCharType="separate"/>
      </w:r>
      <w:r w:rsidR="00DD2FF9">
        <w:rPr>
          <w:noProof/>
        </w:rPr>
        <w:t>3</w:t>
      </w:r>
      <w:r w:rsidR="00C30E9C">
        <w:rPr>
          <w:noProof/>
        </w:rPr>
        <w:fldChar w:fldCharType="end"/>
      </w:r>
      <w:bookmarkEnd w:id="4"/>
      <w:r>
        <w:t>:</w:t>
      </w:r>
      <w:r w:rsidRPr="00A84AF6">
        <w:rPr>
          <w:lang w:val="en-GB"/>
        </w:rPr>
        <w:t xml:space="preserve"> </w:t>
      </w:r>
      <w:r w:rsidRPr="00297630">
        <w:rPr>
          <w:lang w:val="en-GB"/>
        </w:rPr>
        <w:t xml:space="preserve">Proportional change in overall target share </w:t>
      </w:r>
      <w:r w:rsidRPr="00297630">
        <w:rPr>
          <w:noProof/>
          <w:lang w:val="en-GB"/>
        </w:rPr>
        <w:t xml:space="preserve">(including Out of Hours Adjustment) by Board, due to </w:t>
      </w:r>
      <w:r>
        <w:rPr>
          <w:noProof/>
          <w:lang w:val="en-GB"/>
        </w:rPr>
        <w:t>updating the geography and refreshing the MLC models</w:t>
      </w:r>
      <w:r w:rsidRPr="00297630">
        <w:rPr>
          <w:noProof/>
          <w:lang w:val="en-GB"/>
        </w:rPr>
        <w:t xml:space="preserve">, based on using run </w:t>
      </w:r>
      <w:r>
        <w:rPr>
          <w:noProof/>
          <w:lang w:val="en-GB"/>
        </w:rPr>
        <w:t>1</w:t>
      </w:r>
      <w:r w:rsidRPr="00297630">
        <w:rPr>
          <w:noProof/>
          <w:lang w:val="en-GB"/>
        </w:rPr>
        <w:t xml:space="preserve"> as a baseline</w:t>
      </w:r>
      <w:r>
        <w:rPr>
          <w:noProof/>
          <w:lang w:val="en-GB"/>
        </w:rPr>
        <w:t>.</w:t>
      </w:r>
    </w:p>
    <w:p w:rsidR="00A84AF6" w:rsidRPr="00A84AF6" w:rsidRDefault="00A84AF6" w:rsidP="00A84AF6">
      <w:pPr>
        <w:rPr>
          <w:lang w:val="en-US" w:bidi="en-US"/>
        </w:rPr>
      </w:pPr>
      <w:r>
        <w:rPr>
          <w:noProof/>
          <w:lang w:eastAsia="en-GB"/>
        </w:rPr>
        <w:drawing>
          <wp:inline distT="0" distB="0" distL="0" distR="0">
            <wp:extent cx="4816475" cy="3578860"/>
            <wp:effectExtent l="19050" t="0" r="317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816475" cy="3578860"/>
                    </a:xfrm>
                    <a:prstGeom prst="rect">
                      <a:avLst/>
                    </a:prstGeom>
                    <a:noFill/>
                  </pic:spPr>
                </pic:pic>
              </a:graphicData>
            </a:graphic>
          </wp:inline>
        </w:drawing>
      </w:r>
    </w:p>
    <w:p w:rsidR="008D6E98" w:rsidRPr="00297630" w:rsidRDefault="008D6E98">
      <w:pPr>
        <w:rPr>
          <w:rFonts w:eastAsiaTheme="majorEastAsia" w:cstheme="majorBidi"/>
          <w:b/>
          <w:bCs/>
          <w:sz w:val="24"/>
          <w:szCs w:val="26"/>
          <w:lang w:bidi="en-US"/>
        </w:rPr>
      </w:pPr>
      <w:r w:rsidRPr="00297630">
        <w:rPr>
          <w:lang w:bidi="en-US"/>
        </w:rPr>
        <w:br w:type="page"/>
      </w:r>
    </w:p>
    <w:p w:rsidR="000D6673" w:rsidRPr="00297630" w:rsidRDefault="00D93962" w:rsidP="00D93962">
      <w:pPr>
        <w:pStyle w:val="Heading2"/>
        <w:rPr>
          <w:lang w:bidi="en-US"/>
        </w:rPr>
      </w:pPr>
      <w:r w:rsidRPr="00297630">
        <w:rPr>
          <w:lang w:bidi="en-US"/>
        </w:rPr>
        <w:lastRenderedPageBreak/>
        <w:t>4. Effect of implementing the Acute MLC review recommendations</w:t>
      </w:r>
    </w:p>
    <w:p w:rsidR="000D6673" w:rsidRPr="00297630" w:rsidRDefault="00C30E9C" w:rsidP="008E090E">
      <w:pPr>
        <w:rPr>
          <w:lang w:bidi="en-US"/>
        </w:rPr>
      </w:pPr>
      <w:r w:rsidRPr="00297630">
        <w:rPr>
          <w:lang w:bidi="en-US"/>
        </w:rPr>
        <w:fldChar w:fldCharType="begin"/>
      </w:r>
      <w:r w:rsidR="00D93962" w:rsidRPr="00297630">
        <w:rPr>
          <w:lang w:bidi="en-US"/>
        </w:rPr>
        <w:instrText xml:space="preserve"> REF _Ref467081746 \h </w:instrText>
      </w:r>
      <w:r w:rsidRPr="00297630">
        <w:rPr>
          <w:lang w:bidi="en-US"/>
        </w:rPr>
      </w:r>
      <w:r w:rsidRPr="00297630">
        <w:rPr>
          <w:lang w:bidi="en-US"/>
        </w:rPr>
        <w:fldChar w:fldCharType="separate"/>
      </w:r>
      <w:r w:rsidR="00DD2FF9" w:rsidRPr="00297630">
        <w:t xml:space="preserve">Table </w:t>
      </w:r>
      <w:r w:rsidR="00DD2FF9">
        <w:rPr>
          <w:noProof/>
        </w:rPr>
        <w:t>4</w:t>
      </w:r>
      <w:r w:rsidRPr="00297630">
        <w:rPr>
          <w:lang w:bidi="en-US"/>
        </w:rPr>
        <w:fldChar w:fldCharType="end"/>
      </w:r>
      <w:r w:rsidR="00D93962" w:rsidRPr="00297630">
        <w:rPr>
          <w:lang w:bidi="en-US"/>
        </w:rPr>
        <w:t xml:space="preserve"> shows the indices from run 3, in which the review recommendations have been implemented.</w:t>
      </w:r>
    </w:p>
    <w:p w:rsidR="000D6673" w:rsidRPr="00297630" w:rsidRDefault="000D6673" w:rsidP="000D6673">
      <w:pPr>
        <w:pStyle w:val="Caption"/>
        <w:rPr>
          <w:lang w:val="en-GB"/>
        </w:rPr>
      </w:pPr>
      <w:bookmarkStart w:id="5" w:name="_Ref467081746"/>
      <w:proofErr w:type="gramStart"/>
      <w:r w:rsidRPr="00297630">
        <w:rPr>
          <w:lang w:val="en-GB"/>
        </w:rPr>
        <w:t xml:space="preserve">Table </w:t>
      </w:r>
      <w:r w:rsidR="00C30E9C" w:rsidRPr="00297630">
        <w:rPr>
          <w:lang w:val="en-GB"/>
        </w:rPr>
        <w:fldChar w:fldCharType="begin"/>
      </w:r>
      <w:r w:rsidR="008B5D7E" w:rsidRPr="00297630">
        <w:rPr>
          <w:lang w:val="en-GB"/>
        </w:rPr>
        <w:instrText xml:space="preserve"> SEQ Table \* ARABIC </w:instrText>
      </w:r>
      <w:r w:rsidR="00C30E9C" w:rsidRPr="00297630">
        <w:rPr>
          <w:lang w:val="en-GB"/>
        </w:rPr>
        <w:fldChar w:fldCharType="separate"/>
      </w:r>
      <w:r w:rsidR="00DD2FF9">
        <w:rPr>
          <w:noProof/>
          <w:lang w:val="en-GB"/>
        </w:rPr>
        <w:t>4</w:t>
      </w:r>
      <w:r w:rsidR="00C30E9C" w:rsidRPr="00297630">
        <w:rPr>
          <w:noProof/>
          <w:lang w:val="en-GB"/>
        </w:rPr>
        <w:fldChar w:fldCharType="end"/>
      </w:r>
      <w:bookmarkEnd w:id="5"/>
      <w:r w:rsidRPr="00297630">
        <w:rPr>
          <w:lang w:val="en-GB"/>
        </w:rPr>
        <w:t>: NHS Board indices for run 3.</w:t>
      </w:r>
      <w:proofErr w:type="gramEnd"/>
    </w:p>
    <w:tbl>
      <w:tblPr>
        <w:tblStyle w:val="TableGrid"/>
        <w:tblW w:w="0" w:type="auto"/>
        <w:tblLook w:val="04A0"/>
      </w:tblPr>
      <w:tblGrid>
        <w:gridCol w:w="2310"/>
        <w:gridCol w:w="2310"/>
        <w:gridCol w:w="2311"/>
        <w:gridCol w:w="2311"/>
      </w:tblGrid>
      <w:tr w:rsidR="000D6673" w:rsidRPr="00297630" w:rsidTr="000D6673">
        <w:tc>
          <w:tcPr>
            <w:tcW w:w="2310" w:type="dxa"/>
            <w:vAlign w:val="center"/>
          </w:tcPr>
          <w:p w:rsidR="000D6673" w:rsidRPr="00297630" w:rsidRDefault="000D6673" w:rsidP="000D6673">
            <w:pPr>
              <w:rPr>
                <w:b/>
                <w:lang w:bidi="en-US"/>
              </w:rPr>
            </w:pPr>
            <w:r w:rsidRPr="00297630">
              <w:rPr>
                <w:b/>
                <w:lang w:bidi="en-US"/>
              </w:rPr>
              <w:t>NHS Board</w:t>
            </w:r>
          </w:p>
        </w:tc>
        <w:tc>
          <w:tcPr>
            <w:tcW w:w="2310" w:type="dxa"/>
            <w:vAlign w:val="center"/>
          </w:tcPr>
          <w:p w:rsidR="000D6673" w:rsidRPr="00297630" w:rsidRDefault="000D6673" w:rsidP="000D6673">
            <w:pPr>
              <w:jc w:val="center"/>
              <w:rPr>
                <w:b/>
                <w:lang w:bidi="en-US"/>
              </w:rPr>
            </w:pPr>
            <w:r w:rsidRPr="00297630">
              <w:rPr>
                <w:b/>
                <w:lang w:bidi="en-US"/>
              </w:rPr>
              <w:t>Age-Sex index</w:t>
            </w:r>
          </w:p>
        </w:tc>
        <w:tc>
          <w:tcPr>
            <w:tcW w:w="2311" w:type="dxa"/>
            <w:vAlign w:val="center"/>
          </w:tcPr>
          <w:p w:rsidR="000D6673" w:rsidRPr="00297630" w:rsidRDefault="000D6673" w:rsidP="000D6673">
            <w:pPr>
              <w:jc w:val="center"/>
              <w:rPr>
                <w:b/>
                <w:lang w:bidi="en-US"/>
              </w:rPr>
            </w:pPr>
            <w:r w:rsidRPr="00297630">
              <w:rPr>
                <w:b/>
                <w:lang w:bidi="en-US"/>
              </w:rPr>
              <w:t>MLC index</w:t>
            </w:r>
          </w:p>
        </w:tc>
        <w:tc>
          <w:tcPr>
            <w:tcW w:w="2311" w:type="dxa"/>
            <w:vAlign w:val="center"/>
          </w:tcPr>
          <w:p w:rsidR="000D6673" w:rsidRPr="00297630" w:rsidRDefault="000D6673" w:rsidP="000D6673">
            <w:pPr>
              <w:jc w:val="center"/>
              <w:rPr>
                <w:b/>
                <w:lang w:bidi="en-US"/>
              </w:rPr>
            </w:pPr>
            <w:r w:rsidRPr="00297630">
              <w:rPr>
                <w:b/>
                <w:lang w:bidi="en-US"/>
              </w:rPr>
              <w:t>Excess Costs index</w:t>
            </w:r>
          </w:p>
        </w:tc>
      </w:tr>
      <w:tr w:rsidR="000D6673" w:rsidRPr="00297630" w:rsidTr="000D6673">
        <w:tc>
          <w:tcPr>
            <w:tcW w:w="2310" w:type="dxa"/>
            <w:vAlign w:val="center"/>
          </w:tcPr>
          <w:p w:rsidR="000D6673" w:rsidRPr="00297630" w:rsidRDefault="000D6673" w:rsidP="000D6673">
            <w:pPr>
              <w:rPr>
                <w:rFonts w:cs="Arial"/>
                <w:bCs/>
                <w:szCs w:val="20"/>
              </w:rPr>
            </w:pPr>
            <w:r w:rsidRPr="00297630">
              <w:rPr>
                <w:rFonts w:cs="Arial"/>
                <w:bCs/>
                <w:szCs w:val="20"/>
              </w:rPr>
              <w:t>Ayrshire &amp; Arran</w:t>
            </w:r>
          </w:p>
        </w:tc>
        <w:tc>
          <w:tcPr>
            <w:tcW w:w="2310" w:type="dxa"/>
            <w:vAlign w:val="center"/>
          </w:tcPr>
          <w:p w:rsidR="000D6673" w:rsidRPr="00297630" w:rsidRDefault="000D6673" w:rsidP="000D6673">
            <w:pPr>
              <w:jc w:val="center"/>
              <w:rPr>
                <w:rFonts w:cs="Arial"/>
                <w:szCs w:val="20"/>
              </w:rPr>
            </w:pPr>
            <w:r w:rsidRPr="00297630">
              <w:rPr>
                <w:rFonts w:cs="Arial"/>
                <w:szCs w:val="20"/>
              </w:rPr>
              <w:t>1.058</w:t>
            </w:r>
          </w:p>
        </w:tc>
        <w:tc>
          <w:tcPr>
            <w:tcW w:w="2311" w:type="dxa"/>
            <w:vAlign w:val="center"/>
          </w:tcPr>
          <w:p w:rsidR="000D6673" w:rsidRPr="00297630" w:rsidRDefault="000D6673" w:rsidP="000D6673">
            <w:pPr>
              <w:jc w:val="center"/>
              <w:rPr>
                <w:rFonts w:cs="Arial"/>
                <w:szCs w:val="20"/>
              </w:rPr>
            </w:pPr>
            <w:r w:rsidRPr="00297630">
              <w:rPr>
                <w:rFonts w:cs="Arial"/>
                <w:szCs w:val="20"/>
              </w:rPr>
              <w:t>1.036</w:t>
            </w:r>
          </w:p>
        </w:tc>
        <w:tc>
          <w:tcPr>
            <w:tcW w:w="2311" w:type="dxa"/>
            <w:vAlign w:val="center"/>
          </w:tcPr>
          <w:p w:rsidR="000D6673" w:rsidRPr="00297630" w:rsidRDefault="000D6673" w:rsidP="000D6673">
            <w:pPr>
              <w:jc w:val="center"/>
              <w:rPr>
                <w:rFonts w:cs="Arial"/>
                <w:szCs w:val="20"/>
              </w:rPr>
            </w:pPr>
            <w:r w:rsidRPr="00297630">
              <w:rPr>
                <w:rFonts w:cs="Arial"/>
                <w:szCs w:val="20"/>
              </w:rPr>
              <w:t>0.991</w:t>
            </w:r>
          </w:p>
        </w:tc>
      </w:tr>
      <w:tr w:rsidR="000D6673" w:rsidRPr="00297630" w:rsidTr="000D6673">
        <w:tc>
          <w:tcPr>
            <w:tcW w:w="2310" w:type="dxa"/>
            <w:vAlign w:val="center"/>
          </w:tcPr>
          <w:p w:rsidR="000D6673" w:rsidRPr="00297630" w:rsidRDefault="000D6673" w:rsidP="000D6673">
            <w:pPr>
              <w:rPr>
                <w:rFonts w:cs="Arial"/>
                <w:bCs/>
                <w:szCs w:val="20"/>
              </w:rPr>
            </w:pPr>
            <w:r w:rsidRPr="00297630">
              <w:rPr>
                <w:rFonts w:cs="Arial"/>
                <w:bCs/>
                <w:szCs w:val="20"/>
              </w:rPr>
              <w:t>Borders</w:t>
            </w:r>
          </w:p>
        </w:tc>
        <w:tc>
          <w:tcPr>
            <w:tcW w:w="2310" w:type="dxa"/>
            <w:vAlign w:val="center"/>
          </w:tcPr>
          <w:p w:rsidR="000D6673" w:rsidRPr="00297630" w:rsidRDefault="000D6673" w:rsidP="000D6673">
            <w:pPr>
              <w:jc w:val="center"/>
              <w:rPr>
                <w:rFonts w:cs="Arial"/>
                <w:szCs w:val="20"/>
              </w:rPr>
            </w:pPr>
            <w:r w:rsidRPr="00297630">
              <w:rPr>
                <w:rFonts w:cs="Arial"/>
                <w:szCs w:val="20"/>
              </w:rPr>
              <w:t>1.096</w:t>
            </w:r>
          </w:p>
        </w:tc>
        <w:tc>
          <w:tcPr>
            <w:tcW w:w="2311" w:type="dxa"/>
            <w:vAlign w:val="center"/>
          </w:tcPr>
          <w:p w:rsidR="000D6673" w:rsidRPr="00297630" w:rsidRDefault="000D6673" w:rsidP="000D6673">
            <w:pPr>
              <w:jc w:val="center"/>
              <w:rPr>
                <w:rFonts w:cs="Arial"/>
                <w:szCs w:val="20"/>
              </w:rPr>
            </w:pPr>
            <w:r w:rsidRPr="00297630">
              <w:rPr>
                <w:rFonts w:cs="Arial"/>
                <w:szCs w:val="20"/>
              </w:rPr>
              <w:t>0.901</w:t>
            </w:r>
          </w:p>
        </w:tc>
        <w:tc>
          <w:tcPr>
            <w:tcW w:w="2311" w:type="dxa"/>
            <w:vAlign w:val="center"/>
          </w:tcPr>
          <w:p w:rsidR="000D6673" w:rsidRPr="00297630" w:rsidRDefault="000D6673" w:rsidP="000D6673">
            <w:pPr>
              <w:jc w:val="center"/>
              <w:rPr>
                <w:rFonts w:cs="Arial"/>
                <w:szCs w:val="20"/>
              </w:rPr>
            </w:pPr>
            <w:r w:rsidRPr="00297630">
              <w:rPr>
                <w:rFonts w:cs="Arial"/>
                <w:szCs w:val="20"/>
              </w:rPr>
              <w:t>1.007</w:t>
            </w:r>
          </w:p>
        </w:tc>
      </w:tr>
      <w:tr w:rsidR="000D6673" w:rsidRPr="00297630" w:rsidTr="000D6673">
        <w:tc>
          <w:tcPr>
            <w:tcW w:w="2310" w:type="dxa"/>
            <w:vAlign w:val="center"/>
          </w:tcPr>
          <w:p w:rsidR="000D6673" w:rsidRPr="00297630" w:rsidRDefault="000D6673" w:rsidP="000D6673">
            <w:pPr>
              <w:rPr>
                <w:rFonts w:cs="Arial"/>
                <w:bCs/>
                <w:szCs w:val="20"/>
              </w:rPr>
            </w:pPr>
            <w:r w:rsidRPr="00297630">
              <w:rPr>
                <w:rFonts w:cs="Arial"/>
                <w:bCs/>
                <w:szCs w:val="20"/>
              </w:rPr>
              <w:t>Fife</w:t>
            </w:r>
          </w:p>
        </w:tc>
        <w:tc>
          <w:tcPr>
            <w:tcW w:w="2310" w:type="dxa"/>
            <w:vAlign w:val="center"/>
          </w:tcPr>
          <w:p w:rsidR="000D6673" w:rsidRPr="00297630" w:rsidRDefault="000D6673" w:rsidP="000D6673">
            <w:pPr>
              <w:jc w:val="center"/>
              <w:rPr>
                <w:rFonts w:cs="Arial"/>
                <w:szCs w:val="20"/>
              </w:rPr>
            </w:pPr>
            <w:r w:rsidRPr="00297630">
              <w:rPr>
                <w:rFonts w:cs="Arial"/>
                <w:szCs w:val="20"/>
              </w:rPr>
              <w:t>1.021</w:t>
            </w:r>
          </w:p>
        </w:tc>
        <w:tc>
          <w:tcPr>
            <w:tcW w:w="2311" w:type="dxa"/>
            <w:vAlign w:val="center"/>
          </w:tcPr>
          <w:p w:rsidR="000D6673" w:rsidRPr="00297630" w:rsidRDefault="000D6673" w:rsidP="000D6673">
            <w:pPr>
              <w:jc w:val="center"/>
              <w:rPr>
                <w:rFonts w:cs="Arial"/>
                <w:szCs w:val="20"/>
              </w:rPr>
            </w:pPr>
            <w:r w:rsidRPr="00297630">
              <w:rPr>
                <w:rFonts w:cs="Arial"/>
                <w:szCs w:val="20"/>
              </w:rPr>
              <w:t>0.990</w:t>
            </w:r>
          </w:p>
        </w:tc>
        <w:tc>
          <w:tcPr>
            <w:tcW w:w="2311" w:type="dxa"/>
            <w:vAlign w:val="center"/>
          </w:tcPr>
          <w:p w:rsidR="000D6673" w:rsidRPr="00297630" w:rsidRDefault="000D6673" w:rsidP="000D6673">
            <w:pPr>
              <w:jc w:val="center"/>
              <w:rPr>
                <w:rFonts w:cs="Arial"/>
                <w:szCs w:val="20"/>
              </w:rPr>
            </w:pPr>
            <w:r w:rsidRPr="00297630">
              <w:rPr>
                <w:rFonts w:cs="Arial"/>
                <w:szCs w:val="20"/>
              </w:rPr>
              <w:t>0.984</w:t>
            </w:r>
          </w:p>
        </w:tc>
      </w:tr>
      <w:tr w:rsidR="000D6673" w:rsidRPr="00297630" w:rsidTr="000D6673">
        <w:tc>
          <w:tcPr>
            <w:tcW w:w="2310" w:type="dxa"/>
            <w:vAlign w:val="center"/>
          </w:tcPr>
          <w:p w:rsidR="000D6673" w:rsidRPr="00297630" w:rsidRDefault="000D6673" w:rsidP="000D6673">
            <w:pPr>
              <w:rPr>
                <w:rFonts w:cs="Arial"/>
                <w:bCs/>
                <w:szCs w:val="20"/>
              </w:rPr>
            </w:pPr>
            <w:r w:rsidRPr="00297630">
              <w:rPr>
                <w:rFonts w:cs="Arial"/>
                <w:bCs/>
                <w:szCs w:val="20"/>
              </w:rPr>
              <w:t>Greater Glasgow &amp; Clyde</w:t>
            </w:r>
          </w:p>
        </w:tc>
        <w:tc>
          <w:tcPr>
            <w:tcW w:w="2310" w:type="dxa"/>
            <w:vAlign w:val="center"/>
          </w:tcPr>
          <w:p w:rsidR="000D6673" w:rsidRPr="00297630" w:rsidRDefault="000D6673" w:rsidP="000D6673">
            <w:pPr>
              <w:jc w:val="center"/>
              <w:rPr>
                <w:rFonts w:cs="Arial"/>
                <w:szCs w:val="20"/>
              </w:rPr>
            </w:pPr>
            <w:r w:rsidRPr="00297630">
              <w:rPr>
                <w:rFonts w:cs="Arial"/>
                <w:szCs w:val="20"/>
              </w:rPr>
              <w:t>0.967</w:t>
            </w:r>
          </w:p>
        </w:tc>
        <w:tc>
          <w:tcPr>
            <w:tcW w:w="2311" w:type="dxa"/>
            <w:vAlign w:val="center"/>
          </w:tcPr>
          <w:p w:rsidR="000D6673" w:rsidRPr="00297630" w:rsidRDefault="000D6673" w:rsidP="000D6673">
            <w:pPr>
              <w:jc w:val="center"/>
              <w:rPr>
                <w:rFonts w:cs="Arial"/>
                <w:szCs w:val="20"/>
              </w:rPr>
            </w:pPr>
            <w:r w:rsidRPr="00297630">
              <w:rPr>
                <w:rFonts w:cs="Arial"/>
                <w:szCs w:val="20"/>
              </w:rPr>
              <w:t>1.094</w:t>
            </w:r>
          </w:p>
        </w:tc>
        <w:tc>
          <w:tcPr>
            <w:tcW w:w="2311" w:type="dxa"/>
            <w:vAlign w:val="center"/>
          </w:tcPr>
          <w:p w:rsidR="000D6673" w:rsidRPr="00297630" w:rsidRDefault="000D6673" w:rsidP="000D6673">
            <w:pPr>
              <w:jc w:val="center"/>
              <w:rPr>
                <w:rFonts w:cs="Arial"/>
                <w:szCs w:val="20"/>
              </w:rPr>
            </w:pPr>
            <w:r w:rsidRPr="00297630">
              <w:rPr>
                <w:rFonts w:cs="Arial"/>
                <w:szCs w:val="20"/>
              </w:rPr>
              <w:t>0.992</w:t>
            </w:r>
          </w:p>
        </w:tc>
      </w:tr>
      <w:tr w:rsidR="000D6673" w:rsidRPr="00297630" w:rsidTr="000D6673">
        <w:tc>
          <w:tcPr>
            <w:tcW w:w="2310" w:type="dxa"/>
            <w:vAlign w:val="center"/>
          </w:tcPr>
          <w:p w:rsidR="000D6673" w:rsidRPr="00297630" w:rsidRDefault="000D6673" w:rsidP="000D6673">
            <w:pPr>
              <w:rPr>
                <w:rFonts w:cs="Arial"/>
                <w:bCs/>
                <w:szCs w:val="20"/>
              </w:rPr>
            </w:pPr>
            <w:r w:rsidRPr="00297630">
              <w:rPr>
                <w:rFonts w:cs="Arial"/>
                <w:bCs/>
                <w:szCs w:val="20"/>
              </w:rPr>
              <w:t>Highland</w:t>
            </w:r>
          </w:p>
        </w:tc>
        <w:tc>
          <w:tcPr>
            <w:tcW w:w="2310" w:type="dxa"/>
            <w:vAlign w:val="center"/>
          </w:tcPr>
          <w:p w:rsidR="000D6673" w:rsidRPr="00297630" w:rsidRDefault="000D6673" w:rsidP="000D6673">
            <w:pPr>
              <w:jc w:val="center"/>
              <w:rPr>
                <w:rFonts w:cs="Arial"/>
                <w:szCs w:val="20"/>
              </w:rPr>
            </w:pPr>
            <w:r w:rsidRPr="00297630">
              <w:rPr>
                <w:rFonts w:cs="Arial"/>
                <w:szCs w:val="20"/>
              </w:rPr>
              <w:t>1.071</w:t>
            </w:r>
          </w:p>
        </w:tc>
        <w:tc>
          <w:tcPr>
            <w:tcW w:w="2311" w:type="dxa"/>
            <w:vAlign w:val="center"/>
          </w:tcPr>
          <w:p w:rsidR="000D6673" w:rsidRPr="00297630" w:rsidRDefault="000D6673" w:rsidP="000D6673">
            <w:pPr>
              <w:jc w:val="center"/>
              <w:rPr>
                <w:rFonts w:cs="Arial"/>
                <w:szCs w:val="20"/>
              </w:rPr>
            </w:pPr>
            <w:r w:rsidRPr="00297630">
              <w:rPr>
                <w:rFonts w:cs="Arial"/>
                <w:szCs w:val="20"/>
              </w:rPr>
              <w:t>0.940</w:t>
            </w:r>
          </w:p>
        </w:tc>
        <w:tc>
          <w:tcPr>
            <w:tcW w:w="2311" w:type="dxa"/>
            <w:vAlign w:val="center"/>
          </w:tcPr>
          <w:p w:rsidR="000D6673" w:rsidRPr="00297630" w:rsidRDefault="000D6673" w:rsidP="000D6673">
            <w:pPr>
              <w:jc w:val="center"/>
              <w:rPr>
                <w:rFonts w:cs="Arial"/>
                <w:szCs w:val="20"/>
              </w:rPr>
            </w:pPr>
            <w:r w:rsidRPr="00297630">
              <w:rPr>
                <w:rFonts w:cs="Arial"/>
                <w:szCs w:val="20"/>
              </w:rPr>
              <w:t>1.074</w:t>
            </w:r>
          </w:p>
        </w:tc>
      </w:tr>
      <w:tr w:rsidR="000D6673" w:rsidRPr="00297630" w:rsidTr="000D6673">
        <w:tc>
          <w:tcPr>
            <w:tcW w:w="2310" w:type="dxa"/>
            <w:vAlign w:val="center"/>
          </w:tcPr>
          <w:p w:rsidR="000D6673" w:rsidRPr="00297630" w:rsidRDefault="000D6673" w:rsidP="000D6673">
            <w:pPr>
              <w:rPr>
                <w:rFonts w:cs="Arial"/>
                <w:bCs/>
                <w:szCs w:val="20"/>
              </w:rPr>
            </w:pPr>
            <w:r w:rsidRPr="00297630">
              <w:rPr>
                <w:rFonts w:cs="Arial"/>
                <w:bCs/>
                <w:szCs w:val="20"/>
              </w:rPr>
              <w:t>Lanarkshire</w:t>
            </w:r>
          </w:p>
        </w:tc>
        <w:tc>
          <w:tcPr>
            <w:tcW w:w="2310" w:type="dxa"/>
            <w:vAlign w:val="center"/>
          </w:tcPr>
          <w:p w:rsidR="000D6673" w:rsidRPr="00297630" w:rsidRDefault="000D6673" w:rsidP="000D6673">
            <w:pPr>
              <w:jc w:val="center"/>
              <w:rPr>
                <w:rFonts w:cs="Arial"/>
                <w:szCs w:val="20"/>
              </w:rPr>
            </w:pPr>
            <w:r w:rsidRPr="00297630">
              <w:rPr>
                <w:rFonts w:cs="Arial"/>
                <w:szCs w:val="20"/>
              </w:rPr>
              <w:t>0.987</w:t>
            </w:r>
          </w:p>
        </w:tc>
        <w:tc>
          <w:tcPr>
            <w:tcW w:w="2311" w:type="dxa"/>
            <w:vAlign w:val="center"/>
          </w:tcPr>
          <w:p w:rsidR="000D6673" w:rsidRPr="00297630" w:rsidRDefault="000D6673" w:rsidP="000D6673">
            <w:pPr>
              <w:jc w:val="center"/>
              <w:rPr>
                <w:rFonts w:cs="Arial"/>
                <w:szCs w:val="20"/>
              </w:rPr>
            </w:pPr>
            <w:r w:rsidRPr="00297630">
              <w:rPr>
                <w:rFonts w:cs="Arial"/>
                <w:szCs w:val="20"/>
              </w:rPr>
              <w:t>1.053</w:t>
            </w:r>
          </w:p>
        </w:tc>
        <w:tc>
          <w:tcPr>
            <w:tcW w:w="2311" w:type="dxa"/>
            <w:vAlign w:val="center"/>
          </w:tcPr>
          <w:p w:rsidR="000D6673" w:rsidRPr="00297630" w:rsidRDefault="000D6673" w:rsidP="000D6673">
            <w:pPr>
              <w:jc w:val="center"/>
              <w:rPr>
                <w:rFonts w:cs="Arial"/>
                <w:szCs w:val="20"/>
              </w:rPr>
            </w:pPr>
            <w:r w:rsidRPr="00297630">
              <w:rPr>
                <w:rFonts w:cs="Arial"/>
                <w:szCs w:val="20"/>
              </w:rPr>
              <w:t>0.984</w:t>
            </w:r>
          </w:p>
        </w:tc>
      </w:tr>
      <w:tr w:rsidR="000D6673" w:rsidRPr="00297630" w:rsidTr="000D6673">
        <w:tc>
          <w:tcPr>
            <w:tcW w:w="2310" w:type="dxa"/>
            <w:vAlign w:val="center"/>
          </w:tcPr>
          <w:p w:rsidR="000D6673" w:rsidRPr="00297630" w:rsidRDefault="000D6673" w:rsidP="000D6673">
            <w:pPr>
              <w:rPr>
                <w:rFonts w:cs="Arial"/>
                <w:bCs/>
                <w:szCs w:val="20"/>
              </w:rPr>
            </w:pPr>
            <w:r w:rsidRPr="00297630">
              <w:rPr>
                <w:rFonts w:cs="Arial"/>
                <w:bCs/>
                <w:szCs w:val="20"/>
              </w:rPr>
              <w:t>Grampian</w:t>
            </w:r>
          </w:p>
        </w:tc>
        <w:tc>
          <w:tcPr>
            <w:tcW w:w="2310" w:type="dxa"/>
            <w:vAlign w:val="center"/>
          </w:tcPr>
          <w:p w:rsidR="000D6673" w:rsidRPr="00297630" w:rsidRDefault="000D6673" w:rsidP="000D6673">
            <w:pPr>
              <w:jc w:val="center"/>
              <w:rPr>
                <w:rFonts w:cs="Arial"/>
                <w:szCs w:val="20"/>
              </w:rPr>
            </w:pPr>
            <w:r w:rsidRPr="00297630">
              <w:rPr>
                <w:rFonts w:cs="Arial"/>
                <w:szCs w:val="20"/>
              </w:rPr>
              <w:t>0.977</w:t>
            </w:r>
          </w:p>
        </w:tc>
        <w:tc>
          <w:tcPr>
            <w:tcW w:w="2311" w:type="dxa"/>
            <w:vAlign w:val="center"/>
          </w:tcPr>
          <w:p w:rsidR="000D6673" w:rsidRPr="00297630" w:rsidRDefault="000D6673" w:rsidP="000D6673">
            <w:pPr>
              <w:jc w:val="center"/>
              <w:rPr>
                <w:rFonts w:cs="Arial"/>
                <w:szCs w:val="20"/>
              </w:rPr>
            </w:pPr>
            <w:r w:rsidRPr="00297630">
              <w:rPr>
                <w:rFonts w:cs="Arial"/>
                <w:szCs w:val="20"/>
              </w:rPr>
              <w:t>0.911</w:t>
            </w:r>
          </w:p>
        </w:tc>
        <w:tc>
          <w:tcPr>
            <w:tcW w:w="2311" w:type="dxa"/>
            <w:vAlign w:val="center"/>
          </w:tcPr>
          <w:p w:rsidR="000D6673" w:rsidRPr="00297630" w:rsidRDefault="000D6673" w:rsidP="000D6673">
            <w:pPr>
              <w:jc w:val="center"/>
              <w:rPr>
                <w:rFonts w:cs="Arial"/>
                <w:szCs w:val="20"/>
              </w:rPr>
            </w:pPr>
            <w:r w:rsidRPr="00297630">
              <w:rPr>
                <w:rFonts w:cs="Arial"/>
                <w:szCs w:val="20"/>
              </w:rPr>
              <w:t>1.003</w:t>
            </w:r>
          </w:p>
        </w:tc>
      </w:tr>
      <w:tr w:rsidR="000D6673" w:rsidRPr="00297630" w:rsidTr="000D6673">
        <w:tc>
          <w:tcPr>
            <w:tcW w:w="2310" w:type="dxa"/>
            <w:vAlign w:val="center"/>
          </w:tcPr>
          <w:p w:rsidR="000D6673" w:rsidRPr="00297630" w:rsidRDefault="000D6673" w:rsidP="000D6673">
            <w:pPr>
              <w:rPr>
                <w:rFonts w:cs="Arial"/>
                <w:bCs/>
                <w:szCs w:val="20"/>
              </w:rPr>
            </w:pPr>
            <w:r w:rsidRPr="00297630">
              <w:rPr>
                <w:rFonts w:cs="Arial"/>
                <w:bCs/>
                <w:szCs w:val="20"/>
              </w:rPr>
              <w:t>Orkney</w:t>
            </w:r>
          </w:p>
        </w:tc>
        <w:tc>
          <w:tcPr>
            <w:tcW w:w="2310" w:type="dxa"/>
            <w:vAlign w:val="center"/>
          </w:tcPr>
          <w:p w:rsidR="000D6673" w:rsidRPr="00297630" w:rsidRDefault="000D6673" w:rsidP="000D6673">
            <w:pPr>
              <w:jc w:val="center"/>
              <w:rPr>
                <w:rFonts w:cs="Arial"/>
                <w:szCs w:val="20"/>
              </w:rPr>
            </w:pPr>
            <w:r w:rsidRPr="00297630">
              <w:rPr>
                <w:rFonts w:cs="Arial"/>
                <w:szCs w:val="20"/>
              </w:rPr>
              <w:t>1.078</w:t>
            </w:r>
          </w:p>
        </w:tc>
        <w:tc>
          <w:tcPr>
            <w:tcW w:w="2311" w:type="dxa"/>
            <w:vAlign w:val="center"/>
          </w:tcPr>
          <w:p w:rsidR="000D6673" w:rsidRPr="00297630" w:rsidRDefault="000D6673" w:rsidP="000D6673">
            <w:pPr>
              <w:jc w:val="center"/>
              <w:rPr>
                <w:rFonts w:cs="Arial"/>
                <w:szCs w:val="20"/>
              </w:rPr>
            </w:pPr>
            <w:r w:rsidRPr="00297630">
              <w:rPr>
                <w:rFonts w:cs="Arial"/>
                <w:szCs w:val="20"/>
              </w:rPr>
              <w:t>0.931</w:t>
            </w:r>
          </w:p>
        </w:tc>
        <w:tc>
          <w:tcPr>
            <w:tcW w:w="2311" w:type="dxa"/>
            <w:vAlign w:val="center"/>
          </w:tcPr>
          <w:p w:rsidR="000D6673" w:rsidRPr="00297630" w:rsidRDefault="000D6673" w:rsidP="000D6673">
            <w:pPr>
              <w:jc w:val="center"/>
              <w:rPr>
                <w:rFonts w:cs="Arial"/>
                <w:szCs w:val="20"/>
              </w:rPr>
            </w:pPr>
            <w:r w:rsidRPr="00297630">
              <w:rPr>
                <w:rFonts w:cs="Arial"/>
                <w:szCs w:val="20"/>
              </w:rPr>
              <w:t>1.184</w:t>
            </w:r>
          </w:p>
        </w:tc>
      </w:tr>
      <w:tr w:rsidR="000D6673" w:rsidRPr="00297630" w:rsidTr="000D6673">
        <w:tc>
          <w:tcPr>
            <w:tcW w:w="2310" w:type="dxa"/>
            <w:vAlign w:val="center"/>
          </w:tcPr>
          <w:p w:rsidR="000D6673" w:rsidRPr="00297630" w:rsidRDefault="000D6673" w:rsidP="000D6673">
            <w:pPr>
              <w:rPr>
                <w:rFonts w:cs="Arial"/>
                <w:bCs/>
                <w:szCs w:val="20"/>
              </w:rPr>
            </w:pPr>
            <w:r w:rsidRPr="00297630">
              <w:rPr>
                <w:rFonts w:cs="Arial"/>
                <w:bCs/>
                <w:szCs w:val="20"/>
              </w:rPr>
              <w:t>Lothian</w:t>
            </w:r>
          </w:p>
        </w:tc>
        <w:tc>
          <w:tcPr>
            <w:tcW w:w="2310" w:type="dxa"/>
            <w:vAlign w:val="center"/>
          </w:tcPr>
          <w:p w:rsidR="000D6673" w:rsidRPr="00297630" w:rsidRDefault="000D6673" w:rsidP="000D6673">
            <w:pPr>
              <w:jc w:val="center"/>
              <w:rPr>
                <w:rFonts w:cs="Arial"/>
                <w:szCs w:val="20"/>
              </w:rPr>
            </w:pPr>
            <w:r w:rsidRPr="00297630">
              <w:rPr>
                <w:rFonts w:cs="Arial"/>
                <w:szCs w:val="20"/>
              </w:rPr>
              <w:t>0.955</w:t>
            </w:r>
          </w:p>
        </w:tc>
        <w:tc>
          <w:tcPr>
            <w:tcW w:w="2311" w:type="dxa"/>
            <w:vAlign w:val="center"/>
          </w:tcPr>
          <w:p w:rsidR="000D6673" w:rsidRPr="00297630" w:rsidRDefault="000D6673" w:rsidP="000D6673">
            <w:pPr>
              <w:jc w:val="center"/>
              <w:rPr>
                <w:rFonts w:cs="Arial"/>
                <w:szCs w:val="20"/>
              </w:rPr>
            </w:pPr>
            <w:r w:rsidRPr="00297630">
              <w:rPr>
                <w:rFonts w:cs="Arial"/>
                <w:szCs w:val="20"/>
              </w:rPr>
              <w:t>0.957</w:t>
            </w:r>
          </w:p>
        </w:tc>
        <w:tc>
          <w:tcPr>
            <w:tcW w:w="2311" w:type="dxa"/>
            <w:vAlign w:val="center"/>
          </w:tcPr>
          <w:p w:rsidR="000D6673" w:rsidRPr="00297630" w:rsidRDefault="000D6673" w:rsidP="000D6673">
            <w:pPr>
              <w:jc w:val="center"/>
              <w:rPr>
                <w:rFonts w:cs="Arial"/>
                <w:szCs w:val="20"/>
              </w:rPr>
            </w:pPr>
            <w:r w:rsidRPr="00297630">
              <w:rPr>
                <w:rFonts w:cs="Arial"/>
                <w:szCs w:val="20"/>
              </w:rPr>
              <w:t>0.991</w:t>
            </w:r>
          </w:p>
        </w:tc>
      </w:tr>
      <w:tr w:rsidR="000D6673" w:rsidRPr="00297630" w:rsidTr="000D6673">
        <w:tc>
          <w:tcPr>
            <w:tcW w:w="2310" w:type="dxa"/>
            <w:vAlign w:val="center"/>
          </w:tcPr>
          <w:p w:rsidR="000D6673" w:rsidRPr="00297630" w:rsidRDefault="000D6673" w:rsidP="000D6673">
            <w:pPr>
              <w:rPr>
                <w:rFonts w:cs="Arial"/>
                <w:bCs/>
                <w:szCs w:val="20"/>
              </w:rPr>
            </w:pPr>
            <w:r w:rsidRPr="00297630">
              <w:rPr>
                <w:rFonts w:cs="Arial"/>
                <w:bCs/>
                <w:szCs w:val="20"/>
              </w:rPr>
              <w:t>Tayside</w:t>
            </w:r>
          </w:p>
        </w:tc>
        <w:tc>
          <w:tcPr>
            <w:tcW w:w="2310" w:type="dxa"/>
            <w:vAlign w:val="center"/>
          </w:tcPr>
          <w:p w:rsidR="000D6673" w:rsidRPr="00297630" w:rsidRDefault="000D6673" w:rsidP="000D6673">
            <w:pPr>
              <w:jc w:val="center"/>
              <w:rPr>
                <w:rFonts w:cs="Arial"/>
                <w:szCs w:val="20"/>
              </w:rPr>
            </w:pPr>
            <w:r w:rsidRPr="00297630">
              <w:rPr>
                <w:rFonts w:cs="Arial"/>
                <w:szCs w:val="20"/>
              </w:rPr>
              <w:t>1.039</w:t>
            </w:r>
          </w:p>
        </w:tc>
        <w:tc>
          <w:tcPr>
            <w:tcW w:w="2311" w:type="dxa"/>
            <w:vAlign w:val="center"/>
          </w:tcPr>
          <w:p w:rsidR="000D6673" w:rsidRPr="00297630" w:rsidRDefault="000D6673" w:rsidP="000D6673">
            <w:pPr>
              <w:jc w:val="center"/>
              <w:rPr>
                <w:rFonts w:cs="Arial"/>
                <w:szCs w:val="20"/>
              </w:rPr>
            </w:pPr>
            <w:r w:rsidRPr="00297630">
              <w:rPr>
                <w:rFonts w:cs="Arial"/>
                <w:szCs w:val="20"/>
              </w:rPr>
              <w:t>0.975</w:t>
            </w:r>
          </w:p>
        </w:tc>
        <w:tc>
          <w:tcPr>
            <w:tcW w:w="2311" w:type="dxa"/>
            <w:vAlign w:val="center"/>
          </w:tcPr>
          <w:p w:rsidR="000D6673" w:rsidRPr="00297630" w:rsidRDefault="000D6673" w:rsidP="000D6673">
            <w:pPr>
              <w:jc w:val="center"/>
              <w:rPr>
                <w:rFonts w:cs="Arial"/>
                <w:szCs w:val="20"/>
              </w:rPr>
            </w:pPr>
            <w:r w:rsidRPr="00297630">
              <w:rPr>
                <w:rFonts w:cs="Arial"/>
                <w:szCs w:val="20"/>
              </w:rPr>
              <w:t>0.999</w:t>
            </w:r>
          </w:p>
        </w:tc>
      </w:tr>
      <w:tr w:rsidR="000D6673" w:rsidRPr="00297630" w:rsidTr="000D6673">
        <w:tc>
          <w:tcPr>
            <w:tcW w:w="2310" w:type="dxa"/>
            <w:vAlign w:val="center"/>
          </w:tcPr>
          <w:p w:rsidR="000D6673" w:rsidRPr="00297630" w:rsidRDefault="000D6673" w:rsidP="000D6673">
            <w:pPr>
              <w:rPr>
                <w:rFonts w:cs="Arial"/>
                <w:bCs/>
                <w:szCs w:val="20"/>
              </w:rPr>
            </w:pPr>
            <w:r w:rsidRPr="00297630">
              <w:rPr>
                <w:rFonts w:cs="Arial"/>
                <w:bCs/>
                <w:szCs w:val="20"/>
              </w:rPr>
              <w:t>Forth Vall</w:t>
            </w:r>
            <w:r w:rsidR="008419DA" w:rsidRPr="00297630">
              <w:rPr>
                <w:rFonts w:cs="Arial"/>
                <w:bCs/>
                <w:szCs w:val="20"/>
              </w:rPr>
              <w:t>e</w:t>
            </w:r>
            <w:r w:rsidRPr="00297630">
              <w:rPr>
                <w:rFonts w:cs="Arial"/>
                <w:bCs/>
                <w:szCs w:val="20"/>
              </w:rPr>
              <w:t>y</w:t>
            </w:r>
          </w:p>
        </w:tc>
        <w:tc>
          <w:tcPr>
            <w:tcW w:w="2310" w:type="dxa"/>
            <w:vAlign w:val="center"/>
          </w:tcPr>
          <w:p w:rsidR="000D6673" w:rsidRPr="00297630" w:rsidRDefault="000D6673" w:rsidP="000D6673">
            <w:pPr>
              <w:jc w:val="center"/>
              <w:rPr>
                <w:rFonts w:cs="Arial"/>
                <w:szCs w:val="20"/>
              </w:rPr>
            </w:pPr>
            <w:r w:rsidRPr="00297630">
              <w:rPr>
                <w:rFonts w:cs="Arial"/>
                <w:szCs w:val="20"/>
              </w:rPr>
              <w:t>0.995</w:t>
            </w:r>
          </w:p>
        </w:tc>
        <w:tc>
          <w:tcPr>
            <w:tcW w:w="2311" w:type="dxa"/>
            <w:vAlign w:val="center"/>
          </w:tcPr>
          <w:p w:rsidR="000D6673" w:rsidRPr="00297630" w:rsidRDefault="000D6673" w:rsidP="000D6673">
            <w:pPr>
              <w:jc w:val="center"/>
              <w:rPr>
                <w:rFonts w:cs="Arial"/>
                <w:szCs w:val="20"/>
              </w:rPr>
            </w:pPr>
            <w:r w:rsidRPr="00297630">
              <w:rPr>
                <w:rFonts w:cs="Arial"/>
                <w:szCs w:val="20"/>
              </w:rPr>
              <w:t>0.977</w:t>
            </w:r>
          </w:p>
        </w:tc>
        <w:tc>
          <w:tcPr>
            <w:tcW w:w="2311" w:type="dxa"/>
            <w:vAlign w:val="center"/>
          </w:tcPr>
          <w:p w:rsidR="000D6673" w:rsidRPr="00297630" w:rsidRDefault="000D6673" w:rsidP="000D6673">
            <w:pPr>
              <w:jc w:val="center"/>
              <w:rPr>
                <w:rFonts w:cs="Arial"/>
                <w:szCs w:val="20"/>
              </w:rPr>
            </w:pPr>
            <w:r w:rsidRPr="00297630">
              <w:rPr>
                <w:rFonts w:cs="Arial"/>
                <w:szCs w:val="20"/>
              </w:rPr>
              <w:t>0.985</w:t>
            </w:r>
          </w:p>
        </w:tc>
      </w:tr>
      <w:tr w:rsidR="000D6673" w:rsidRPr="00297630" w:rsidTr="000D6673">
        <w:tc>
          <w:tcPr>
            <w:tcW w:w="2310" w:type="dxa"/>
            <w:vAlign w:val="center"/>
          </w:tcPr>
          <w:p w:rsidR="000D6673" w:rsidRPr="00297630" w:rsidRDefault="000D6673" w:rsidP="000D6673">
            <w:pPr>
              <w:rPr>
                <w:rFonts w:cs="Arial"/>
                <w:bCs/>
                <w:szCs w:val="20"/>
              </w:rPr>
            </w:pPr>
            <w:r w:rsidRPr="00297630">
              <w:rPr>
                <w:rFonts w:cs="Arial"/>
                <w:bCs/>
                <w:szCs w:val="20"/>
              </w:rPr>
              <w:t>Western Isles</w:t>
            </w:r>
          </w:p>
        </w:tc>
        <w:tc>
          <w:tcPr>
            <w:tcW w:w="2310" w:type="dxa"/>
            <w:vAlign w:val="center"/>
          </w:tcPr>
          <w:p w:rsidR="000D6673" w:rsidRPr="00297630" w:rsidRDefault="000D6673" w:rsidP="000D6673">
            <w:pPr>
              <w:jc w:val="center"/>
              <w:rPr>
                <w:rFonts w:cs="Arial"/>
                <w:szCs w:val="20"/>
              </w:rPr>
            </w:pPr>
            <w:r w:rsidRPr="00297630">
              <w:rPr>
                <w:rFonts w:cs="Arial"/>
                <w:szCs w:val="20"/>
              </w:rPr>
              <w:t>1.123</w:t>
            </w:r>
          </w:p>
        </w:tc>
        <w:tc>
          <w:tcPr>
            <w:tcW w:w="2311" w:type="dxa"/>
            <w:vAlign w:val="center"/>
          </w:tcPr>
          <w:p w:rsidR="000D6673" w:rsidRPr="00297630" w:rsidRDefault="000D6673" w:rsidP="000D6673">
            <w:pPr>
              <w:jc w:val="center"/>
              <w:rPr>
                <w:rFonts w:cs="Arial"/>
                <w:szCs w:val="20"/>
              </w:rPr>
            </w:pPr>
            <w:r w:rsidRPr="00297630">
              <w:rPr>
                <w:rFonts w:cs="Arial"/>
                <w:szCs w:val="20"/>
              </w:rPr>
              <w:t>0.979</w:t>
            </w:r>
          </w:p>
        </w:tc>
        <w:tc>
          <w:tcPr>
            <w:tcW w:w="2311" w:type="dxa"/>
            <w:vAlign w:val="center"/>
          </w:tcPr>
          <w:p w:rsidR="000D6673" w:rsidRPr="00297630" w:rsidRDefault="000D6673" w:rsidP="000D6673">
            <w:pPr>
              <w:jc w:val="center"/>
              <w:rPr>
                <w:rFonts w:cs="Arial"/>
                <w:szCs w:val="20"/>
              </w:rPr>
            </w:pPr>
            <w:r w:rsidRPr="00297630">
              <w:rPr>
                <w:rFonts w:cs="Arial"/>
                <w:szCs w:val="20"/>
              </w:rPr>
              <w:t>1.204</w:t>
            </w:r>
          </w:p>
        </w:tc>
      </w:tr>
      <w:tr w:rsidR="000D6673" w:rsidRPr="00297630" w:rsidTr="000D6673">
        <w:tc>
          <w:tcPr>
            <w:tcW w:w="2310" w:type="dxa"/>
            <w:vAlign w:val="center"/>
          </w:tcPr>
          <w:p w:rsidR="000D6673" w:rsidRPr="00297630" w:rsidRDefault="000D6673" w:rsidP="000D6673">
            <w:pPr>
              <w:rPr>
                <w:rFonts w:cs="Arial"/>
                <w:bCs/>
                <w:szCs w:val="20"/>
              </w:rPr>
            </w:pPr>
            <w:r w:rsidRPr="00297630">
              <w:rPr>
                <w:rFonts w:cs="Arial"/>
                <w:bCs/>
                <w:szCs w:val="20"/>
              </w:rPr>
              <w:t>Dumfries &amp; Galloway</w:t>
            </w:r>
          </w:p>
        </w:tc>
        <w:tc>
          <w:tcPr>
            <w:tcW w:w="2310" w:type="dxa"/>
            <w:vAlign w:val="center"/>
          </w:tcPr>
          <w:p w:rsidR="000D6673" w:rsidRPr="00297630" w:rsidRDefault="000D6673" w:rsidP="000D6673">
            <w:pPr>
              <w:jc w:val="center"/>
              <w:rPr>
                <w:rFonts w:cs="Arial"/>
                <w:szCs w:val="20"/>
              </w:rPr>
            </w:pPr>
            <w:r w:rsidRPr="00297630">
              <w:rPr>
                <w:rFonts w:cs="Arial"/>
                <w:szCs w:val="20"/>
              </w:rPr>
              <w:t>1.113</w:t>
            </w:r>
          </w:p>
        </w:tc>
        <w:tc>
          <w:tcPr>
            <w:tcW w:w="2311" w:type="dxa"/>
            <w:vAlign w:val="center"/>
          </w:tcPr>
          <w:p w:rsidR="000D6673" w:rsidRPr="00297630" w:rsidRDefault="000D6673" w:rsidP="000D6673">
            <w:pPr>
              <w:jc w:val="center"/>
              <w:rPr>
                <w:rFonts w:cs="Arial"/>
                <w:szCs w:val="20"/>
              </w:rPr>
            </w:pPr>
            <w:r w:rsidRPr="00297630">
              <w:rPr>
                <w:rFonts w:cs="Arial"/>
                <w:szCs w:val="20"/>
              </w:rPr>
              <w:t>0.958</w:t>
            </w:r>
          </w:p>
        </w:tc>
        <w:tc>
          <w:tcPr>
            <w:tcW w:w="2311" w:type="dxa"/>
            <w:vAlign w:val="center"/>
          </w:tcPr>
          <w:p w:rsidR="000D6673" w:rsidRPr="00297630" w:rsidRDefault="000D6673" w:rsidP="000D6673">
            <w:pPr>
              <w:jc w:val="center"/>
              <w:rPr>
                <w:rFonts w:cs="Arial"/>
                <w:szCs w:val="20"/>
              </w:rPr>
            </w:pPr>
            <w:r w:rsidRPr="00297630">
              <w:rPr>
                <w:rFonts w:cs="Arial"/>
                <w:szCs w:val="20"/>
              </w:rPr>
              <w:t>1.012</w:t>
            </w:r>
          </w:p>
        </w:tc>
      </w:tr>
      <w:tr w:rsidR="000D6673" w:rsidRPr="00297630" w:rsidTr="000D6673">
        <w:tc>
          <w:tcPr>
            <w:tcW w:w="2310" w:type="dxa"/>
            <w:vAlign w:val="center"/>
          </w:tcPr>
          <w:p w:rsidR="000D6673" w:rsidRPr="00297630" w:rsidRDefault="000D6673" w:rsidP="000D6673">
            <w:pPr>
              <w:rPr>
                <w:rFonts w:cs="Arial"/>
                <w:bCs/>
                <w:szCs w:val="20"/>
              </w:rPr>
            </w:pPr>
            <w:r w:rsidRPr="00297630">
              <w:rPr>
                <w:rFonts w:cs="Arial"/>
                <w:bCs/>
                <w:szCs w:val="20"/>
              </w:rPr>
              <w:t>Shetland</w:t>
            </w:r>
          </w:p>
        </w:tc>
        <w:tc>
          <w:tcPr>
            <w:tcW w:w="2310" w:type="dxa"/>
            <w:vAlign w:val="center"/>
          </w:tcPr>
          <w:p w:rsidR="000D6673" w:rsidRPr="00297630" w:rsidRDefault="000D6673" w:rsidP="000D6673">
            <w:pPr>
              <w:jc w:val="center"/>
              <w:rPr>
                <w:rFonts w:cs="Arial"/>
                <w:szCs w:val="20"/>
              </w:rPr>
            </w:pPr>
            <w:r w:rsidRPr="00297630">
              <w:rPr>
                <w:rFonts w:cs="Arial"/>
                <w:szCs w:val="20"/>
              </w:rPr>
              <w:t>1.010</w:t>
            </w:r>
          </w:p>
        </w:tc>
        <w:tc>
          <w:tcPr>
            <w:tcW w:w="2311" w:type="dxa"/>
            <w:vAlign w:val="center"/>
          </w:tcPr>
          <w:p w:rsidR="000D6673" w:rsidRPr="00297630" w:rsidRDefault="000D6673" w:rsidP="000D6673">
            <w:pPr>
              <w:jc w:val="center"/>
              <w:rPr>
                <w:rFonts w:cs="Arial"/>
                <w:szCs w:val="20"/>
              </w:rPr>
            </w:pPr>
            <w:r w:rsidRPr="00297630">
              <w:rPr>
                <w:rFonts w:cs="Arial"/>
                <w:szCs w:val="20"/>
              </w:rPr>
              <w:t>0.930</w:t>
            </w:r>
          </w:p>
        </w:tc>
        <w:tc>
          <w:tcPr>
            <w:tcW w:w="2311" w:type="dxa"/>
            <w:vAlign w:val="center"/>
          </w:tcPr>
          <w:p w:rsidR="000D6673" w:rsidRPr="00297630" w:rsidRDefault="000D6673" w:rsidP="000D6673">
            <w:pPr>
              <w:jc w:val="center"/>
              <w:rPr>
                <w:rFonts w:cs="Arial"/>
                <w:szCs w:val="20"/>
              </w:rPr>
            </w:pPr>
            <w:r w:rsidRPr="00297630">
              <w:rPr>
                <w:rFonts w:cs="Arial"/>
                <w:szCs w:val="20"/>
              </w:rPr>
              <w:t>1.194</w:t>
            </w:r>
          </w:p>
        </w:tc>
      </w:tr>
    </w:tbl>
    <w:p w:rsidR="000D6673" w:rsidRPr="00297630" w:rsidRDefault="000D6673" w:rsidP="000D6673">
      <w:pPr>
        <w:rPr>
          <w:lang w:bidi="en-US"/>
        </w:rPr>
      </w:pPr>
    </w:p>
    <w:p w:rsidR="00AA742D" w:rsidRPr="00297630" w:rsidRDefault="00AA742D" w:rsidP="000D6673">
      <w:pPr>
        <w:rPr>
          <w:lang w:bidi="en-US"/>
        </w:rPr>
      </w:pPr>
      <w:r w:rsidRPr="00297630">
        <w:rPr>
          <w:lang w:bidi="en-US"/>
        </w:rPr>
        <w:t>The Age-Sex indices are identical between run 2 and run 3, and the Excess Cost</w:t>
      </w:r>
      <w:r w:rsidR="00486D9F" w:rsidRPr="00297630">
        <w:rPr>
          <w:lang w:bidi="en-US"/>
        </w:rPr>
        <w:t>s indices are almost identical</w:t>
      </w:r>
      <w:r w:rsidRPr="00297630">
        <w:rPr>
          <w:lang w:bidi="en-US"/>
        </w:rPr>
        <w:t>. There are some changes in the MLC indices</w:t>
      </w:r>
      <w:r w:rsidR="00B60B71" w:rsidRPr="00297630">
        <w:rPr>
          <w:lang w:bidi="en-US"/>
        </w:rPr>
        <w:t xml:space="preserve"> due to the changes to the Acute model (GP Prescribing is also affected, since the Acute needs index is now mapped from data zones to practices rather than from intermediate zones to practices)</w:t>
      </w:r>
      <w:r w:rsidRPr="00297630">
        <w:rPr>
          <w:lang w:bidi="en-US"/>
        </w:rPr>
        <w:t xml:space="preserve"> but </w:t>
      </w:r>
      <w:r w:rsidR="00057822" w:rsidRPr="00297630">
        <w:rPr>
          <w:lang w:bidi="en-US"/>
        </w:rPr>
        <w:t>the</w:t>
      </w:r>
      <w:r w:rsidRPr="00297630">
        <w:rPr>
          <w:lang w:bidi="en-US"/>
        </w:rPr>
        <w:t xml:space="preserve"> differences </w:t>
      </w:r>
      <w:r w:rsidR="00057822" w:rsidRPr="00297630">
        <w:rPr>
          <w:lang w:bidi="en-US"/>
        </w:rPr>
        <w:t xml:space="preserve">between run 2 and run 3 are smaller in magnitude than those between either of these runs and </w:t>
      </w:r>
      <w:r w:rsidRPr="00297630">
        <w:rPr>
          <w:lang w:bidi="en-US"/>
        </w:rPr>
        <w:t>run 1.</w:t>
      </w:r>
      <w:r w:rsidR="00057822" w:rsidRPr="00297630">
        <w:rPr>
          <w:lang w:bidi="en-US"/>
        </w:rPr>
        <w:t xml:space="preserve"> In other words, the changes due to the Acute MLC review are smaller than </w:t>
      </w:r>
      <w:r w:rsidR="00E51AE8" w:rsidRPr="00297630">
        <w:rPr>
          <w:lang w:bidi="en-US"/>
        </w:rPr>
        <w:t>those due to</w:t>
      </w:r>
      <w:r w:rsidR="00057822" w:rsidRPr="00297630">
        <w:rPr>
          <w:lang w:bidi="en-US"/>
        </w:rPr>
        <w:t xml:space="preserve"> simply refreshing the MLC regression models.</w:t>
      </w:r>
    </w:p>
    <w:p w:rsidR="00486D9F" w:rsidRPr="00A84AF6" w:rsidRDefault="00C30E9C" w:rsidP="000D6673">
      <w:pPr>
        <w:rPr>
          <w:rFonts w:eastAsiaTheme="majorEastAsia" w:cstheme="majorBidi"/>
          <w:bCs/>
          <w:i/>
          <w:sz w:val="20"/>
          <w:szCs w:val="18"/>
          <w:lang w:bidi="en-US"/>
        </w:rPr>
      </w:pPr>
      <w:r w:rsidRPr="00297630">
        <w:rPr>
          <w:lang w:bidi="en-US"/>
        </w:rPr>
        <w:fldChar w:fldCharType="begin"/>
      </w:r>
      <w:r w:rsidR="00486D9F" w:rsidRPr="00297630">
        <w:rPr>
          <w:lang w:bidi="en-US"/>
        </w:rPr>
        <w:instrText xml:space="preserve"> REF _Ref467684612 \h </w:instrText>
      </w:r>
      <w:r w:rsidRPr="00297630">
        <w:rPr>
          <w:lang w:bidi="en-US"/>
        </w:rPr>
      </w:r>
      <w:r w:rsidRPr="00297630">
        <w:rPr>
          <w:lang w:bidi="en-US"/>
        </w:rPr>
        <w:fldChar w:fldCharType="separate"/>
      </w:r>
      <w:r w:rsidR="00DD2FF9" w:rsidRPr="00297630">
        <w:t xml:space="preserve">Figure </w:t>
      </w:r>
      <w:r w:rsidR="00DD2FF9">
        <w:rPr>
          <w:noProof/>
        </w:rPr>
        <w:t>4</w:t>
      </w:r>
      <w:r w:rsidRPr="00297630">
        <w:rPr>
          <w:lang w:bidi="en-US"/>
        </w:rPr>
        <w:fldChar w:fldCharType="end"/>
      </w:r>
      <w:r w:rsidR="00F92594" w:rsidRPr="00297630">
        <w:rPr>
          <w:lang w:bidi="en-US"/>
        </w:rPr>
        <w:t xml:space="preserve"> and</w:t>
      </w:r>
      <w:r w:rsidR="00486D9F" w:rsidRPr="00297630">
        <w:rPr>
          <w:lang w:bidi="en-US"/>
        </w:rPr>
        <w:t xml:space="preserve"> </w:t>
      </w:r>
      <w:r>
        <w:rPr>
          <w:lang w:bidi="en-US"/>
        </w:rPr>
        <w:fldChar w:fldCharType="begin"/>
      </w:r>
      <w:r w:rsidR="00D85B39">
        <w:rPr>
          <w:lang w:bidi="en-US"/>
        </w:rPr>
        <w:instrText xml:space="preserve"> REF _Ref467684615 \h </w:instrText>
      </w:r>
      <w:r>
        <w:rPr>
          <w:lang w:bidi="en-US"/>
        </w:rPr>
      </w:r>
      <w:r>
        <w:rPr>
          <w:lang w:bidi="en-US"/>
        </w:rPr>
        <w:fldChar w:fldCharType="separate"/>
      </w:r>
      <w:r w:rsidR="00DD2FF9" w:rsidRPr="00297630">
        <w:t xml:space="preserve">Figure </w:t>
      </w:r>
      <w:r w:rsidR="00DD2FF9">
        <w:rPr>
          <w:noProof/>
        </w:rPr>
        <w:t>5</w:t>
      </w:r>
      <w:r>
        <w:rPr>
          <w:lang w:bidi="en-US"/>
        </w:rPr>
        <w:fldChar w:fldCharType="end"/>
      </w:r>
      <w:r w:rsidR="00486D9F" w:rsidRPr="00297630">
        <w:rPr>
          <w:lang w:bidi="en-US"/>
        </w:rPr>
        <w:t xml:space="preserve"> illustrate the changes due to the Acute MLC review, on the overall MLC index and </w:t>
      </w:r>
      <w:r w:rsidR="00F92594" w:rsidRPr="00297630">
        <w:rPr>
          <w:lang w:bidi="en-US"/>
        </w:rPr>
        <w:t>(</w:t>
      </w:r>
      <w:r w:rsidR="00486D9F" w:rsidRPr="00297630">
        <w:rPr>
          <w:lang w:bidi="en-US"/>
        </w:rPr>
        <w:t>more specifically</w:t>
      </w:r>
      <w:r w:rsidR="00F92594" w:rsidRPr="00297630">
        <w:rPr>
          <w:lang w:bidi="en-US"/>
        </w:rPr>
        <w:t>)</w:t>
      </w:r>
      <w:r w:rsidR="00486D9F" w:rsidRPr="00297630">
        <w:rPr>
          <w:lang w:bidi="en-US"/>
        </w:rPr>
        <w:t xml:space="preserve"> the Acute MLC index, respectively. In addition</w:t>
      </w:r>
      <w:proofErr w:type="gramStart"/>
      <w:r w:rsidR="00EE1EDB">
        <w:rPr>
          <w:lang w:bidi="en-US"/>
        </w:rPr>
        <w:t>,</w:t>
      </w:r>
      <w:bookmarkStart w:id="6" w:name="_GoBack"/>
      <w:bookmarkEnd w:id="6"/>
      <w:r w:rsidR="00EE1EDB">
        <w:rPr>
          <w:lang w:bidi="en-US"/>
        </w:rPr>
        <w:t xml:space="preserve">  </w:t>
      </w:r>
      <w:proofErr w:type="gramEnd"/>
      <w:r w:rsidRPr="00297630">
        <w:rPr>
          <w:lang w:bidi="en-US"/>
        </w:rPr>
        <w:fldChar w:fldCharType="begin"/>
      </w:r>
      <w:r w:rsidR="00F92594" w:rsidRPr="00297630">
        <w:rPr>
          <w:lang w:bidi="en-US"/>
        </w:rPr>
        <w:instrText xml:space="preserve"> REF _Ref467684641 \h </w:instrText>
      </w:r>
      <w:r w:rsidRPr="00297630">
        <w:rPr>
          <w:lang w:bidi="en-US"/>
        </w:rPr>
      </w:r>
      <w:r w:rsidRPr="00297630">
        <w:rPr>
          <w:lang w:bidi="en-US"/>
        </w:rPr>
        <w:fldChar w:fldCharType="separate"/>
      </w:r>
      <w:r w:rsidR="00DD2FF9" w:rsidRPr="00297630">
        <w:t xml:space="preserve">Figure </w:t>
      </w:r>
      <w:r w:rsidR="00DD2FF9">
        <w:rPr>
          <w:noProof/>
        </w:rPr>
        <w:t>6</w:t>
      </w:r>
      <w:r w:rsidRPr="00297630">
        <w:rPr>
          <w:lang w:bidi="en-US"/>
        </w:rPr>
        <w:fldChar w:fldCharType="end"/>
      </w:r>
      <w:r w:rsidR="00486D9F" w:rsidRPr="00297630">
        <w:rPr>
          <w:lang w:bidi="en-US"/>
        </w:rPr>
        <w:t xml:space="preserve"> shows the proportional change in the overall NRAC target share (including the Out of Hours Adjustment) for each Board</w:t>
      </w:r>
      <w:r w:rsidR="0010593D">
        <w:rPr>
          <w:lang w:bidi="en-US"/>
        </w:rPr>
        <w:t xml:space="preserve">, on the same scale as </w:t>
      </w:r>
      <w:r>
        <w:rPr>
          <w:lang w:bidi="en-US"/>
        </w:rPr>
        <w:fldChar w:fldCharType="begin"/>
      </w:r>
      <w:r w:rsidR="0010593D">
        <w:rPr>
          <w:lang w:bidi="en-US"/>
        </w:rPr>
        <w:instrText xml:space="preserve"> REF _Ref468180525 \h </w:instrText>
      </w:r>
      <w:r>
        <w:rPr>
          <w:lang w:bidi="en-US"/>
        </w:rPr>
      </w:r>
      <w:r>
        <w:rPr>
          <w:lang w:bidi="en-US"/>
        </w:rPr>
        <w:fldChar w:fldCharType="separate"/>
      </w:r>
      <w:r w:rsidR="00DD2FF9">
        <w:t xml:space="preserve">Figure </w:t>
      </w:r>
      <w:r w:rsidR="00DD2FF9">
        <w:rPr>
          <w:noProof/>
        </w:rPr>
        <w:t>3</w:t>
      </w:r>
      <w:r>
        <w:rPr>
          <w:lang w:bidi="en-US"/>
        </w:rPr>
        <w:fldChar w:fldCharType="end"/>
      </w:r>
      <w:r w:rsidR="00486D9F" w:rsidRPr="00297630">
        <w:rPr>
          <w:lang w:bidi="en-US"/>
        </w:rPr>
        <w:t>.</w:t>
      </w:r>
      <w:r w:rsidR="00B61545" w:rsidRPr="00297630">
        <w:rPr>
          <w:lang w:bidi="en-US"/>
        </w:rPr>
        <w:t xml:space="preserve"> </w:t>
      </w:r>
      <w:r w:rsidR="00C8484A">
        <w:rPr>
          <w:lang w:bidi="en-US"/>
        </w:rPr>
        <w:t>It is clear that the changes arising from implementing the review recommendations are much smaller than those due to updating the geography and refreshing the data (</w:t>
      </w:r>
      <w:r>
        <w:rPr>
          <w:lang w:bidi="en-US"/>
        </w:rPr>
        <w:fldChar w:fldCharType="begin"/>
      </w:r>
      <w:r w:rsidR="00C8484A">
        <w:rPr>
          <w:lang w:bidi="en-US"/>
        </w:rPr>
        <w:instrText xml:space="preserve"> REF _Ref468180525 \h </w:instrText>
      </w:r>
      <w:r>
        <w:rPr>
          <w:lang w:bidi="en-US"/>
        </w:rPr>
      </w:r>
      <w:r>
        <w:rPr>
          <w:lang w:bidi="en-US"/>
        </w:rPr>
        <w:fldChar w:fldCharType="separate"/>
      </w:r>
      <w:r w:rsidR="00DD2FF9">
        <w:t xml:space="preserve">Figure </w:t>
      </w:r>
      <w:r w:rsidR="00DD2FF9">
        <w:rPr>
          <w:noProof/>
        </w:rPr>
        <w:t>3</w:t>
      </w:r>
      <w:r>
        <w:rPr>
          <w:lang w:bidi="en-US"/>
        </w:rPr>
        <w:fldChar w:fldCharType="end"/>
      </w:r>
      <w:r w:rsidR="00C8484A">
        <w:rPr>
          <w:lang w:bidi="en-US"/>
        </w:rPr>
        <w:t>).</w:t>
      </w:r>
    </w:p>
    <w:p w:rsidR="008D6E98" w:rsidRPr="00297630" w:rsidRDefault="008D6E98">
      <w:pPr>
        <w:rPr>
          <w:lang w:bidi="en-US"/>
        </w:rPr>
      </w:pPr>
      <w:r w:rsidRPr="00297630">
        <w:rPr>
          <w:lang w:bidi="en-US"/>
        </w:rPr>
        <w:br w:type="page"/>
      </w:r>
    </w:p>
    <w:p w:rsidR="00486D9F" w:rsidRPr="00297630" w:rsidRDefault="00486D9F" w:rsidP="00486D9F">
      <w:pPr>
        <w:pStyle w:val="Caption"/>
        <w:rPr>
          <w:lang w:val="en-GB"/>
        </w:rPr>
      </w:pPr>
      <w:bookmarkStart w:id="7" w:name="_Ref467684612"/>
      <w:r w:rsidRPr="00297630">
        <w:rPr>
          <w:lang w:val="en-GB"/>
        </w:rPr>
        <w:lastRenderedPageBreak/>
        <w:t xml:space="preserve">Figure </w:t>
      </w:r>
      <w:r w:rsidR="00C30E9C" w:rsidRPr="00297630">
        <w:rPr>
          <w:lang w:val="en-GB"/>
        </w:rPr>
        <w:fldChar w:fldCharType="begin"/>
      </w:r>
      <w:r w:rsidR="008D6E98" w:rsidRPr="00297630">
        <w:rPr>
          <w:lang w:val="en-GB"/>
        </w:rPr>
        <w:instrText xml:space="preserve"> SEQ Figure \* ARABIC </w:instrText>
      </w:r>
      <w:r w:rsidR="00C30E9C" w:rsidRPr="00297630">
        <w:rPr>
          <w:lang w:val="en-GB"/>
        </w:rPr>
        <w:fldChar w:fldCharType="separate"/>
      </w:r>
      <w:r w:rsidR="00DD2FF9">
        <w:rPr>
          <w:noProof/>
          <w:lang w:val="en-GB"/>
        </w:rPr>
        <w:t>4</w:t>
      </w:r>
      <w:r w:rsidR="00C30E9C" w:rsidRPr="00297630">
        <w:rPr>
          <w:noProof/>
          <w:lang w:val="en-GB"/>
        </w:rPr>
        <w:fldChar w:fldCharType="end"/>
      </w:r>
      <w:bookmarkEnd w:id="7"/>
      <w:r w:rsidRPr="00297630">
        <w:rPr>
          <w:lang w:val="en-GB"/>
        </w:rPr>
        <w:t>: Overall MLC index by Board, comparing run 3 against run 2. The Scottish average index is equal to 1.</w:t>
      </w:r>
    </w:p>
    <w:p w:rsidR="00486D9F" w:rsidRPr="00297630" w:rsidRDefault="00486D9F" w:rsidP="00486D9F">
      <w:pPr>
        <w:rPr>
          <w:lang w:bidi="en-US"/>
        </w:rPr>
      </w:pPr>
      <w:r w:rsidRPr="00297630">
        <w:rPr>
          <w:noProof/>
          <w:lang w:eastAsia="en-GB"/>
        </w:rPr>
        <w:drawing>
          <wp:inline distT="0" distB="0" distL="0" distR="0">
            <wp:extent cx="5182235" cy="35788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182235" cy="3578860"/>
                    </a:xfrm>
                    <a:prstGeom prst="rect">
                      <a:avLst/>
                    </a:prstGeom>
                    <a:noFill/>
                  </pic:spPr>
                </pic:pic>
              </a:graphicData>
            </a:graphic>
          </wp:inline>
        </w:drawing>
      </w:r>
    </w:p>
    <w:p w:rsidR="00486D9F" w:rsidRPr="00297630" w:rsidRDefault="00486D9F" w:rsidP="00486D9F">
      <w:pPr>
        <w:pStyle w:val="Caption"/>
        <w:rPr>
          <w:lang w:val="en-GB"/>
        </w:rPr>
      </w:pPr>
      <w:bookmarkStart w:id="8" w:name="_Ref467684615"/>
      <w:r w:rsidRPr="00297630">
        <w:rPr>
          <w:lang w:val="en-GB"/>
        </w:rPr>
        <w:t xml:space="preserve">Figure </w:t>
      </w:r>
      <w:r w:rsidR="00C30E9C" w:rsidRPr="00297630">
        <w:rPr>
          <w:lang w:val="en-GB"/>
        </w:rPr>
        <w:fldChar w:fldCharType="begin"/>
      </w:r>
      <w:r w:rsidR="008D6E98" w:rsidRPr="00297630">
        <w:rPr>
          <w:lang w:val="en-GB"/>
        </w:rPr>
        <w:instrText xml:space="preserve"> SEQ Figure \* ARABIC </w:instrText>
      </w:r>
      <w:r w:rsidR="00C30E9C" w:rsidRPr="00297630">
        <w:rPr>
          <w:lang w:val="en-GB"/>
        </w:rPr>
        <w:fldChar w:fldCharType="separate"/>
      </w:r>
      <w:r w:rsidR="00DD2FF9">
        <w:rPr>
          <w:noProof/>
          <w:lang w:val="en-GB"/>
        </w:rPr>
        <w:t>5</w:t>
      </w:r>
      <w:r w:rsidR="00C30E9C" w:rsidRPr="00297630">
        <w:rPr>
          <w:noProof/>
          <w:lang w:val="en-GB"/>
        </w:rPr>
        <w:fldChar w:fldCharType="end"/>
      </w:r>
      <w:bookmarkEnd w:id="8"/>
      <w:r w:rsidRPr="00297630">
        <w:rPr>
          <w:lang w:val="en-GB"/>
        </w:rPr>
        <w:t>: Acute MLC index by Board, comparing run 3 against run 2. The Scottish average index is equal to 1.</w:t>
      </w:r>
    </w:p>
    <w:p w:rsidR="00486D9F" w:rsidRPr="00297630" w:rsidRDefault="00486D9F" w:rsidP="00486D9F">
      <w:pPr>
        <w:rPr>
          <w:lang w:bidi="en-US"/>
        </w:rPr>
      </w:pPr>
      <w:r w:rsidRPr="00297630">
        <w:rPr>
          <w:noProof/>
          <w:lang w:eastAsia="en-GB"/>
        </w:rPr>
        <w:drawing>
          <wp:inline distT="0" distB="0" distL="0" distR="0">
            <wp:extent cx="5170170" cy="36703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170170" cy="3670300"/>
                    </a:xfrm>
                    <a:prstGeom prst="rect">
                      <a:avLst/>
                    </a:prstGeom>
                    <a:noFill/>
                  </pic:spPr>
                </pic:pic>
              </a:graphicData>
            </a:graphic>
          </wp:inline>
        </w:drawing>
      </w:r>
    </w:p>
    <w:p w:rsidR="00297630" w:rsidRDefault="00297630">
      <w:pPr>
        <w:rPr>
          <w:rFonts w:eastAsiaTheme="majorEastAsia" w:cstheme="majorBidi"/>
          <w:bCs/>
          <w:i/>
          <w:sz w:val="20"/>
          <w:szCs w:val="18"/>
          <w:lang w:bidi="en-US"/>
        </w:rPr>
      </w:pPr>
      <w:bookmarkStart w:id="9" w:name="_Ref467684641"/>
      <w:r>
        <w:br w:type="page"/>
      </w:r>
    </w:p>
    <w:p w:rsidR="00486D9F" w:rsidRPr="00297630" w:rsidRDefault="00486D9F" w:rsidP="00486D9F">
      <w:pPr>
        <w:pStyle w:val="Caption"/>
        <w:rPr>
          <w:noProof/>
          <w:lang w:val="en-GB"/>
        </w:rPr>
      </w:pPr>
      <w:r w:rsidRPr="00297630">
        <w:rPr>
          <w:lang w:val="en-GB"/>
        </w:rPr>
        <w:lastRenderedPageBreak/>
        <w:t xml:space="preserve">Figure </w:t>
      </w:r>
      <w:r w:rsidR="00C30E9C" w:rsidRPr="00297630">
        <w:rPr>
          <w:lang w:val="en-GB"/>
        </w:rPr>
        <w:fldChar w:fldCharType="begin"/>
      </w:r>
      <w:r w:rsidR="008D6E98" w:rsidRPr="00297630">
        <w:rPr>
          <w:lang w:val="en-GB"/>
        </w:rPr>
        <w:instrText xml:space="preserve"> SEQ Figure \* ARABIC </w:instrText>
      </w:r>
      <w:r w:rsidR="00C30E9C" w:rsidRPr="00297630">
        <w:rPr>
          <w:lang w:val="en-GB"/>
        </w:rPr>
        <w:fldChar w:fldCharType="separate"/>
      </w:r>
      <w:r w:rsidR="00DD2FF9">
        <w:rPr>
          <w:noProof/>
          <w:lang w:val="en-GB"/>
        </w:rPr>
        <w:t>6</w:t>
      </w:r>
      <w:r w:rsidR="00C30E9C" w:rsidRPr="00297630">
        <w:rPr>
          <w:noProof/>
          <w:lang w:val="en-GB"/>
        </w:rPr>
        <w:fldChar w:fldCharType="end"/>
      </w:r>
      <w:bookmarkEnd w:id="9"/>
      <w:r w:rsidRPr="00297630">
        <w:rPr>
          <w:lang w:val="en-GB"/>
        </w:rPr>
        <w:t xml:space="preserve">: Proportional change in overall target share </w:t>
      </w:r>
      <w:r w:rsidRPr="00297630">
        <w:rPr>
          <w:noProof/>
          <w:lang w:val="en-GB"/>
        </w:rPr>
        <w:t>(including Out of Hours Adjustment) by Board, due to the Acute MLC review</w:t>
      </w:r>
      <w:r w:rsidR="00F92594" w:rsidRPr="00297630">
        <w:rPr>
          <w:noProof/>
          <w:lang w:val="en-GB"/>
        </w:rPr>
        <w:t>, based on using run 2 as a baseline</w:t>
      </w:r>
      <w:r w:rsidRPr="00297630">
        <w:rPr>
          <w:noProof/>
          <w:lang w:val="en-GB"/>
        </w:rPr>
        <w:t>.</w:t>
      </w:r>
    </w:p>
    <w:p w:rsidR="00486D9F" w:rsidRPr="00297630" w:rsidRDefault="00A84AF6" w:rsidP="00486D9F">
      <w:pPr>
        <w:rPr>
          <w:lang w:bidi="en-US"/>
        </w:rPr>
      </w:pPr>
      <w:r>
        <w:rPr>
          <w:noProof/>
          <w:lang w:eastAsia="en-GB"/>
        </w:rPr>
        <w:drawing>
          <wp:inline distT="0" distB="0" distL="0" distR="0">
            <wp:extent cx="4816475" cy="3578860"/>
            <wp:effectExtent l="19050" t="0" r="317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816475" cy="3578860"/>
                    </a:xfrm>
                    <a:prstGeom prst="rect">
                      <a:avLst/>
                    </a:prstGeom>
                    <a:noFill/>
                  </pic:spPr>
                </pic:pic>
              </a:graphicData>
            </a:graphic>
          </wp:inline>
        </w:drawing>
      </w:r>
    </w:p>
    <w:p w:rsidR="00367AEC" w:rsidRPr="00297630" w:rsidRDefault="00367AEC">
      <w:pPr>
        <w:rPr>
          <w:lang w:bidi="en-US"/>
        </w:rPr>
      </w:pPr>
      <w:r w:rsidRPr="00297630">
        <w:rPr>
          <w:lang w:bidi="en-US"/>
        </w:rPr>
        <w:br w:type="page"/>
      </w:r>
    </w:p>
    <w:p w:rsidR="00367AEC" w:rsidRPr="00297630" w:rsidRDefault="00367AEC" w:rsidP="00367AEC">
      <w:pPr>
        <w:pStyle w:val="Heading2"/>
        <w:rPr>
          <w:lang w:bidi="en-US"/>
        </w:rPr>
      </w:pPr>
      <w:r w:rsidRPr="00297630">
        <w:rPr>
          <w:lang w:bidi="en-US"/>
        </w:rPr>
        <w:lastRenderedPageBreak/>
        <w:t>Annex A: Recommendations from the Acute MLC review</w:t>
      </w:r>
    </w:p>
    <w:p w:rsidR="00367AEC" w:rsidRPr="00297630" w:rsidRDefault="00367AEC" w:rsidP="00367AEC">
      <w:pPr>
        <w:rPr>
          <w:rFonts w:cs="Arial"/>
        </w:rPr>
      </w:pPr>
      <w:r w:rsidRPr="00297630">
        <w:rPr>
          <w:rFonts w:cs="Arial"/>
        </w:rPr>
        <w:t>The main recommendations resulting from the Acute MLC review are listed below.</w:t>
      </w:r>
    </w:p>
    <w:tbl>
      <w:tblPr>
        <w:tblStyle w:val="TableGrid"/>
        <w:tblW w:w="0" w:type="auto"/>
        <w:tblLook w:val="04A0"/>
      </w:tblPr>
      <w:tblGrid>
        <w:gridCol w:w="7796"/>
      </w:tblGrid>
      <w:tr w:rsidR="00367AEC" w:rsidRPr="00297630" w:rsidTr="00367AEC">
        <w:trPr>
          <w:trHeight w:val="851"/>
        </w:trPr>
        <w:tc>
          <w:tcPr>
            <w:tcW w:w="7796" w:type="dxa"/>
            <w:vAlign w:val="center"/>
          </w:tcPr>
          <w:p w:rsidR="00367AEC" w:rsidRPr="00297630" w:rsidRDefault="00367AEC" w:rsidP="00367AEC">
            <w:pPr>
              <w:rPr>
                <w:rFonts w:cs="Arial"/>
                <w:sz w:val="22"/>
                <w:lang w:bidi="en-US"/>
              </w:rPr>
            </w:pPr>
            <w:r w:rsidRPr="00297630">
              <w:rPr>
                <w:rFonts w:cs="Arial"/>
                <w:sz w:val="22"/>
                <w:lang w:bidi="en-US"/>
              </w:rPr>
              <w:t>Recommendation 1: retain the NRAC costing method, but with the case-mix adjustment derived from summing PLICS components by specialty.</w:t>
            </w:r>
          </w:p>
        </w:tc>
      </w:tr>
      <w:tr w:rsidR="00367AEC" w:rsidRPr="00297630" w:rsidTr="00367AEC">
        <w:trPr>
          <w:trHeight w:val="851"/>
        </w:trPr>
        <w:tc>
          <w:tcPr>
            <w:tcW w:w="7796" w:type="dxa"/>
            <w:vAlign w:val="center"/>
          </w:tcPr>
          <w:p w:rsidR="00367AEC" w:rsidRPr="00297630" w:rsidRDefault="00367AEC" w:rsidP="00367AEC">
            <w:pPr>
              <w:rPr>
                <w:rFonts w:cs="Arial"/>
                <w:sz w:val="22"/>
                <w:lang w:bidi="en-US"/>
              </w:rPr>
            </w:pPr>
            <w:r w:rsidRPr="00297630">
              <w:rPr>
                <w:rFonts w:cs="Arial"/>
                <w:sz w:val="22"/>
                <w:lang w:bidi="en-US"/>
              </w:rPr>
              <w:t>Recommendation 2: retain the linear functional form.</w:t>
            </w:r>
          </w:p>
        </w:tc>
      </w:tr>
      <w:tr w:rsidR="00367AEC" w:rsidRPr="00297630" w:rsidTr="00367AEC">
        <w:trPr>
          <w:trHeight w:val="851"/>
        </w:trPr>
        <w:tc>
          <w:tcPr>
            <w:tcW w:w="7796" w:type="dxa"/>
            <w:vAlign w:val="center"/>
          </w:tcPr>
          <w:p w:rsidR="00367AEC" w:rsidRPr="00297630" w:rsidRDefault="00367AEC" w:rsidP="00367AEC">
            <w:pPr>
              <w:rPr>
                <w:rFonts w:cs="Arial"/>
                <w:sz w:val="22"/>
                <w:lang w:bidi="en-US"/>
              </w:rPr>
            </w:pPr>
            <w:r w:rsidRPr="00297630">
              <w:rPr>
                <w:rFonts w:cs="Arial"/>
                <w:sz w:val="22"/>
                <w:lang w:bidi="en-US"/>
              </w:rPr>
              <w:t>Recommendation 3: change the time span of the Acute MLC cost ratios from 1 year to 3 years.</w:t>
            </w:r>
          </w:p>
        </w:tc>
      </w:tr>
      <w:tr w:rsidR="00367AEC" w:rsidRPr="00297630" w:rsidTr="00367AEC">
        <w:trPr>
          <w:trHeight w:val="851"/>
        </w:trPr>
        <w:tc>
          <w:tcPr>
            <w:tcW w:w="7796" w:type="dxa"/>
            <w:vAlign w:val="center"/>
          </w:tcPr>
          <w:p w:rsidR="00367AEC" w:rsidRPr="00297630" w:rsidRDefault="00367AEC" w:rsidP="00367AEC">
            <w:pPr>
              <w:rPr>
                <w:rFonts w:cs="Arial"/>
                <w:sz w:val="22"/>
                <w:lang w:bidi="en-US"/>
              </w:rPr>
            </w:pPr>
            <w:r w:rsidRPr="00297630">
              <w:rPr>
                <w:rFonts w:cs="Arial"/>
                <w:sz w:val="22"/>
                <w:lang w:bidi="en-US"/>
              </w:rPr>
              <w:t>Recommendation 4: change the geography basis of the Acute MLC adjustment from intermediate zones to data zones.</w:t>
            </w:r>
          </w:p>
        </w:tc>
      </w:tr>
      <w:tr w:rsidR="00367AEC" w:rsidRPr="00297630" w:rsidTr="00367AEC">
        <w:trPr>
          <w:trHeight w:val="851"/>
        </w:trPr>
        <w:tc>
          <w:tcPr>
            <w:tcW w:w="7796" w:type="dxa"/>
            <w:vAlign w:val="center"/>
          </w:tcPr>
          <w:p w:rsidR="00367AEC" w:rsidRPr="00297630" w:rsidRDefault="00367AEC" w:rsidP="00367AEC">
            <w:pPr>
              <w:rPr>
                <w:rFonts w:cs="Arial"/>
                <w:sz w:val="22"/>
                <w:lang w:bidi="en-US"/>
              </w:rPr>
            </w:pPr>
            <w:r w:rsidRPr="00297630">
              <w:rPr>
                <w:rFonts w:cs="Arial"/>
                <w:sz w:val="22"/>
                <w:lang w:bidi="en-US"/>
              </w:rPr>
              <w:t>Recommendation 5: retain the Acute diagnostic groups.</w:t>
            </w:r>
          </w:p>
        </w:tc>
      </w:tr>
      <w:tr w:rsidR="00367AEC" w:rsidRPr="00297630" w:rsidTr="00367AEC">
        <w:trPr>
          <w:trHeight w:val="851"/>
        </w:trPr>
        <w:tc>
          <w:tcPr>
            <w:tcW w:w="7796" w:type="dxa"/>
            <w:vAlign w:val="center"/>
          </w:tcPr>
          <w:p w:rsidR="00367AEC" w:rsidRPr="00297630" w:rsidRDefault="00367AEC" w:rsidP="00367AEC">
            <w:pPr>
              <w:rPr>
                <w:rFonts w:cs="Arial"/>
                <w:sz w:val="22"/>
                <w:lang w:bidi="en-US"/>
              </w:rPr>
            </w:pPr>
            <w:r w:rsidRPr="00297630">
              <w:rPr>
                <w:rFonts w:cs="Arial"/>
                <w:sz w:val="22"/>
                <w:lang w:bidi="en-US"/>
              </w:rPr>
              <w:t>Recommendation 6: continue to model all ages together for the Acute MLC adjustment.</w:t>
            </w:r>
          </w:p>
        </w:tc>
      </w:tr>
      <w:tr w:rsidR="00367AEC" w:rsidRPr="00297630" w:rsidTr="00367AEC">
        <w:trPr>
          <w:trHeight w:val="851"/>
        </w:trPr>
        <w:tc>
          <w:tcPr>
            <w:tcW w:w="7796" w:type="dxa"/>
            <w:vAlign w:val="center"/>
          </w:tcPr>
          <w:p w:rsidR="00367AEC" w:rsidRPr="00297630" w:rsidRDefault="00367AEC" w:rsidP="00367AEC">
            <w:pPr>
              <w:rPr>
                <w:rFonts w:cs="Arial"/>
                <w:sz w:val="22"/>
                <w:lang w:bidi="en-US"/>
              </w:rPr>
            </w:pPr>
            <w:r w:rsidRPr="00297630">
              <w:rPr>
                <w:rFonts w:cs="Arial"/>
                <w:sz w:val="22"/>
                <w:lang w:bidi="en-US"/>
              </w:rPr>
              <w:t xml:space="preserve">Recommendation 7: continue to use IPACX and OPACX as the supply variables, along with the health board dummies, but use </w:t>
            </w:r>
            <w:r w:rsidRPr="00297630">
              <w:rPr>
                <w:rFonts w:cs="Arial"/>
                <w:i/>
                <w:sz w:val="22"/>
                <w:lang w:bidi="en-US"/>
              </w:rPr>
              <w:t>only</w:t>
            </w:r>
            <w:r w:rsidRPr="00297630">
              <w:rPr>
                <w:rFonts w:cs="Arial"/>
                <w:sz w:val="22"/>
                <w:lang w:bidi="en-US"/>
              </w:rPr>
              <w:t xml:space="preserve"> IPACX for inpatient diagnostic groups and </w:t>
            </w:r>
            <w:r w:rsidRPr="00297630">
              <w:rPr>
                <w:rFonts w:cs="Arial"/>
                <w:i/>
                <w:sz w:val="22"/>
                <w:lang w:bidi="en-US"/>
              </w:rPr>
              <w:t>only</w:t>
            </w:r>
            <w:r w:rsidRPr="00297630">
              <w:rPr>
                <w:rFonts w:cs="Arial"/>
                <w:sz w:val="22"/>
                <w:lang w:bidi="en-US"/>
              </w:rPr>
              <w:t xml:space="preserve"> OPACX for the Outpatients diagnostic group.</w:t>
            </w:r>
          </w:p>
        </w:tc>
      </w:tr>
      <w:tr w:rsidR="00367AEC" w:rsidRPr="00297630" w:rsidTr="00367AEC">
        <w:trPr>
          <w:trHeight w:val="851"/>
        </w:trPr>
        <w:tc>
          <w:tcPr>
            <w:tcW w:w="7796" w:type="dxa"/>
            <w:vAlign w:val="center"/>
          </w:tcPr>
          <w:p w:rsidR="00367AEC" w:rsidRPr="00297630" w:rsidRDefault="00367AEC" w:rsidP="00367AEC">
            <w:pPr>
              <w:rPr>
                <w:rFonts w:cs="Arial"/>
                <w:sz w:val="22"/>
                <w:lang w:bidi="en-US"/>
              </w:rPr>
            </w:pPr>
            <w:r w:rsidRPr="00297630">
              <w:rPr>
                <w:rFonts w:cs="Arial"/>
                <w:sz w:val="22"/>
                <w:lang w:bidi="en-US"/>
              </w:rPr>
              <w:t>Recommendation 8: retain Limiting Long-Term Illness and All-cause Standardised Mortality Ratio ages 0-74 as the needs indicators.</w:t>
            </w:r>
          </w:p>
        </w:tc>
      </w:tr>
      <w:tr w:rsidR="00367AEC" w:rsidRPr="00297630" w:rsidTr="00367AEC">
        <w:trPr>
          <w:trHeight w:val="851"/>
        </w:trPr>
        <w:tc>
          <w:tcPr>
            <w:tcW w:w="7796" w:type="dxa"/>
            <w:vAlign w:val="center"/>
          </w:tcPr>
          <w:p w:rsidR="00367AEC" w:rsidRPr="00297630" w:rsidRDefault="00367AEC" w:rsidP="00367AEC">
            <w:pPr>
              <w:rPr>
                <w:rFonts w:cs="Arial"/>
                <w:sz w:val="22"/>
                <w:lang w:bidi="en-US"/>
              </w:rPr>
            </w:pPr>
            <w:r w:rsidRPr="00297630">
              <w:rPr>
                <w:rFonts w:cs="Arial"/>
                <w:sz w:val="22"/>
                <w:lang w:bidi="en-US"/>
              </w:rPr>
              <w:t>Recommendation 9: introduce a prison indicator (a binary variable) for the Outpatients diagnostic group, to allow additional need associated with prisons to be allocated for.</w:t>
            </w:r>
          </w:p>
        </w:tc>
      </w:tr>
      <w:tr w:rsidR="00367AEC" w:rsidRPr="00297630" w:rsidTr="00367AEC">
        <w:trPr>
          <w:trHeight w:val="851"/>
        </w:trPr>
        <w:tc>
          <w:tcPr>
            <w:tcW w:w="7796" w:type="dxa"/>
            <w:vAlign w:val="center"/>
          </w:tcPr>
          <w:p w:rsidR="00367AEC" w:rsidRPr="00297630" w:rsidRDefault="00367AEC" w:rsidP="00367AEC">
            <w:pPr>
              <w:rPr>
                <w:rFonts w:cs="Arial"/>
                <w:sz w:val="22"/>
                <w:lang w:bidi="en-US"/>
              </w:rPr>
            </w:pPr>
            <w:r w:rsidRPr="00297630">
              <w:rPr>
                <w:rFonts w:cs="Arial"/>
                <w:sz w:val="22"/>
                <w:lang w:bidi="en-US"/>
              </w:rPr>
              <w:t>Recommendation 10: as for the current formula, do not add urban-rural category indicators in the Acute MLC model.</w:t>
            </w:r>
          </w:p>
        </w:tc>
      </w:tr>
      <w:tr w:rsidR="00367AEC" w:rsidRPr="00297630" w:rsidTr="00367AEC">
        <w:trPr>
          <w:trHeight w:val="851"/>
        </w:trPr>
        <w:tc>
          <w:tcPr>
            <w:tcW w:w="7796" w:type="dxa"/>
            <w:vAlign w:val="center"/>
          </w:tcPr>
          <w:p w:rsidR="00367AEC" w:rsidRPr="00297630" w:rsidRDefault="00367AEC" w:rsidP="00367AEC">
            <w:pPr>
              <w:rPr>
                <w:rFonts w:cs="Arial"/>
                <w:sz w:val="22"/>
                <w:lang w:bidi="en-US"/>
              </w:rPr>
            </w:pPr>
            <w:r w:rsidRPr="00297630">
              <w:rPr>
                <w:rFonts w:cs="Arial"/>
                <w:sz w:val="22"/>
                <w:lang w:bidi="en-US"/>
              </w:rPr>
              <w:t>Recommendation 11: implement two unmet need adjustments for:</w:t>
            </w:r>
          </w:p>
          <w:p w:rsidR="00367AEC" w:rsidRPr="00297630" w:rsidRDefault="00367AEC" w:rsidP="00367AEC">
            <w:pPr>
              <w:pStyle w:val="ListParagraph"/>
              <w:numPr>
                <w:ilvl w:val="0"/>
                <w:numId w:val="1"/>
              </w:numPr>
              <w:spacing w:after="0"/>
              <w:rPr>
                <w:rFonts w:cs="Arial"/>
                <w:lang w:bidi="en-US"/>
              </w:rPr>
            </w:pPr>
            <w:r w:rsidRPr="00297630">
              <w:rPr>
                <w:rFonts w:cs="Arial"/>
                <w:lang w:bidi="en-US"/>
              </w:rPr>
              <w:t>the Heart diagnostic group by excluding the 30% of data zones with the highest needs index values from the regression,</w:t>
            </w:r>
          </w:p>
          <w:p w:rsidR="00367AEC" w:rsidRPr="00297630" w:rsidRDefault="00367AEC" w:rsidP="00367AEC">
            <w:pPr>
              <w:pStyle w:val="ListParagraph"/>
              <w:numPr>
                <w:ilvl w:val="0"/>
                <w:numId w:val="1"/>
              </w:numPr>
              <w:spacing w:after="0"/>
              <w:rPr>
                <w:rFonts w:cs="Arial"/>
                <w:lang w:bidi="en-US"/>
              </w:rPr>
            </w:pPr>
            <w:proofErr w:type="gramStart"/>
            <w:r w:rsidRPr="00297630">
              <w:rPr>
                <w:rFonts w:cs="Arial"/>
                <w:lang w:bidi="en-US"/>
              </w:rPr>
              <w:t>the</w:t>
            </w:r>
            <w:proofErr w:type="gramEnd"/>
            <w:r w:rsidRPr="00297630">
              <w:rPr>
                <w:rFonts w:cs="Arial"/>
                <w:lang w:bidi="en-US"/>
              </w:rPr>
              <w:t xml:space="preserve"> Other diagnostic group by excluding the 5% of data zones with the highest needs index values from the regression.</w:t>
            </w:r>
          </w:p>
        </w:tc>
      </w:tr>
    </w:tbl>
    <w:p w:rsidR="00367AEC" w:rsidRPr="00297630" w:rsidRDefault="00367AEC" w:rsidP="00367AEC">
      <w:pPr>
        <w:rPr>
          <w:rFonts w:cs="Arial"/>
        </w:rPr>
      </w:pPr>
    </w:p>
    <w:p w:rsidR="00367AEC" w:rsidRPr="00297630" w:rsidRDefault="00367AEC" w:rsidP="00367AEC">
      <w:pPr>
        <w:rPr>
          <w:rFonts w:cs="Arial"/>
        </w:rPr>
      </w:pPr>
      <w:r w:rsidRPr="00297630">
        <w:rPr>
          <w:rFonts w:cs="Arial"/>
        </w:rPr>
        <w:t>The proposed changes to the Acute MLC adjustment are summarised as follows:</w:t>
      </w:r>
    </w:p>
    <w:p w:rsidR="00367AEC" w:rsidRPr="00297630" w:rsidRDefault="00367AEC">
      <w:r w:rsidRPr="00297630">
        <w:br w:type="page"/>
      </w:r>
    </w:p>
    <w:tbl>
      <w:tblPr>
        <w:tblStyle w:val="TableGrid"/>
        <w:tblW w:w="0" w:type="auto"/>
        <w:tblLook w:val="04A0"/>
      </w:tblPr>
      <w:tblGrid>
        <w:gridCol w:w="2127"/>
        <w:gridCol w:w="3503"/>
        <w:gridCol w:w="3504"/>
      </w:tblGrid>
      <w:tr w:rsidR="00367AEC" w:rsidRPr="00297630" w:rsidTr="00367AEC">
        <w:tc>
          <w:tcPr>
            <w:tcW w:w="2127" w:type="dxa"/>
            <w:tcBorders>
              <w:top w:val="nil"/>
              <w:left w:val="nil"/>
            </w:tcBorders>
          </w:tcPr>
          <w:p w:rsidR="00367AEC" w:rsidRPr="00297630" w:rsidRDefault="00367AEC" w:rsidP="00367AEC">
            <w:pPr>
              <w:spacing w:line="276" w:lineRule="auto"/>
              <w:rPr>
                <w:rFonts w:cs="Arial"/>
                <w:b/>
                <w:sz w:val="22"/>
                <w:lang w:bidi="en-US"/>
              </w:rPr>
            </w:pPr>
          </w:p>
        </w:tc>
        <w:tc>
          <w:tcPr>
            <w:tcW w:w="3503" w:type="dxa"/>
          </w:tcPr>
          <w:p w:rsidR="00367AEC" w:rsidRPr="00297630" w:rsidRDefault="00367AEC" w:rsidP="00367AEC">
            <w:pPr>
              <w:spacing w:line="276" w:lineRule="auto"/>
              <w:rPr>
                <w:rFonts w:cs="Arial"/>
                <w:b/>
                <w:sz w:val="22"/>
                <w:lang w:bidi="en-US"/>
              </w:rPr>
            </w:pPr>
            <w:r w:rsidRPr="00297630">
              <w:rPr>
                <w:rFonts w:cs="Arial"/>
                <w:b/>
                <w:sz w:val="22"/>
                <w:lang w:bidi="en-US"/>
              </w:rPr>
              <w:t>Current Acute MLC adjustment</w:t>
            </w:r>
          </w:p>
        </w:tc>
        <w:tc>
          <w:tcPr>
            <w:tcW w:w="3504" w:type="dxa"/>
          </w:tcPr>
          <w:p w:rsidR="00367AEC" w:rsidRPr="00297630" w:rsidRDefault="00367AEC" w:rsidP="00367AEC">
            <w:pPr>
              <w:spacing w:line="276" w:lineRule="auto"/>
              <w:rPr>
                <w:rFonts w:cs="Arial"/>
                <w:b/>
                <w:sz w:val="22"/>
                <w:lang w:bidi="en-US"/>
              </w:rPr>
            </w:pPr>
            <w:r w:rsidRPr="00297630">
              <w:rPr>
                <w:rFonts w:cs="Arial"/>
                <w:b/>
                <w:sz w:val="22"/>
                <w:lang w:bidi="en-US"/>
              </w:rPr>
              <w:t>Proposed new Acute MLC adjustment</w:t>
            </w:r>
          </w:p>
        </w:tc>
      </w:tr>
      <w:tr w:rsidR="00367AEC" w:rsidRPr="00297630" w:rsidTr="00367AEC">
        <w:tc>
          <w:tcPr>
            <w:tcW w:w="2127" w:type="dxa"/>
          </w:tcPr>
          <w:p w:rsidR="00367AEC" w:rsidRPr="00297630" w:rsidRDefault="00367AEC" w:rsidP="00367AEC">
            <w:pPr>
              <w:spacing w:line="276" w:lineRule="auto"/>
              <w:rPr>
                <w:rFonts w:cs="Arial"/>
                <w:sz w:val="22"/>
                <w:lang w:bidi="en-US"/>
              </w:rPr>
            </w:pPr>
            <w:r w:rsidRPr="00297630">
              <w:rPr>
                <w:rFonts w:cs="Arial"/>
                <w:sz w:val="22"/>
                <w:lang w:bidi="en-US"/>
              </w:rPr>
              <w:t>Geography</w:t>
            </w:r>
          </w:p>
        </w:tc>
        <w:tc>
          <w:tcPr>
            <w:tcW w:w="3503" w:type="dxa"/>
          </w:tcPr>
          <w:p w:rsidR="00367AEC" w:rsidRPr="00297630" w:rsidRDefault="00367AEC" w:rsidP="00367AEC">
            <w:pPr>
              <w:spacing w:line="276" w:lineRule="auto"/>
              <w:rPr>
                <w:rFonts w:cs="Arial"/>
                <w:sz w:val="22"/>
                <w:lang w:bidi="en-US"/>
              </w:rPr>
            </w:pPr>
            <w:r w:rsidRPr="00297630">
              <w:rPr>
                <w:rFonts w:cs="Arial"/>
                <w:sz w:val="22"/>
                <w:lang w:bidi="en-US"/>
              </w:rPr>
              <w:t xml:space="preserve">Intermediate zones </w:t>
            </w:r>
          </w:p>
        </w:tc>
        <w:tc>
          <w:tcPr>
            <w:tcW w:w="3504" w:type="dxa"/>
          </w:tcPr>
          <w:p w:rsidR="00367AEC" w:rsidRPr="00297630" w:rsidRDefault="00367AEC" w:rsidP="00367AEC">
            <w:pPr>
              <w:spacing w:line="276" w:lineRule="auto"/>
              <w:rPr>
                <w:rFonts w:cs="Arial"/>
                <w:sz w:val="22"/>
                <w:lang w:bidi="en-US"/>
              </w:rPr>
            </w:pPr>
            <w:r w:rsidRPr="00297630">
              <w:rPr>
                <w:rFonts w:cs="Arial"/>
                <w:sz w:val="22"/>
                <w:lang w:bidi="en-US"/>
              </w:rPr>
              <w:t>Data zones</w:t>
            </w:r>
          </w:p>
        </w:tc>
      </w:tr>
      <w:tr w:rsidR="00367AEC" w:rsidRPr="00297630" w:rsidTr="00367AEC">
        <w:tc>
          <w:tcPr>
            <w:tcW w:w="2127" w:type="dxa"/>
          </w:tcPr>
          <w:p w:rsidR="00367AEC" w:rsidRPr="00297630" w:rsidRDefault="00367AEC" w:rsidP="00367AEC">
            <w:pPr>
              <w:spacing w:line="276" w:lineRule="auto"/>
              <w:rPr>
                <w:rFonts w:cs="Arial"/>
                <w:sz w:val="22"/>
                <w:lang w:bidi="en-US"/>
              </w:rPr>
            </w:pPr>
            <w:r w:rsidRPr="00297630">
              <w:rPr>
                <w:rFonts w:cs="Arial"/>
                <w:sz w:val="22"/>
                <w:lang w:bidi="en-US"/>
              </w:rPr>
              <w:t>Time span</w:t>
            </w:r>
          </w:p>
        </w:tc>
        <w:tc>
          <w:tcPr>
            <w:tcW w:w="3503" w:type="dxa"/>
          </w:tcPr>
          <w:p w:rsidR="00367AEC" w:rsidRPr="00297630" w:rsidRDefault="00367AEC" w:rsidP="00367AEC">
            <w:pPr>
              <w:spacing w:line="276" w:lineRule="auto"/>
              <w:rPr>
                <w:rFonts w:cs="Arial"/>
                <w:sz w:val="22"/>
                <w:lang w:bidi="en-US"/>
              </w:rPr>
            </w:pPr>
            <w:r w:rsidRPr="00297630">
              <w:rPr>
                <w:rFonts w:cs="Arial"/>
                <w:sz w:val="22"/>
                <w:lang w:bidi="en-US"/>
              </w:rPr>
              <w:t>One year’s data is used to calculate the cost ratios</w:t>
            </w:r>
          </w:p>
        </w:tc>
        <w:tc>
          <w:tcPr>
            <w:tcW w:w="3504" w:type="dxa"/>
          </w:tcPr>
          <w:p w:rsidR="00367AEC" w:rsidRPr="00297630" w:rsidRDefault="00367AEC" w:rsidP="00367AEC">
            <w:pPr>
              <w:spacing w:line="276" w:lineRule="auto"/>
              <w:rPr>
                <w:rFonts w:cs="Arial"/>
                <w:sz w:val="22"/>
                <w:lang w:bidi="en-US"/>
              </w:rPr>
            </w:pPr>
            <w:r w:rsidRPr="00297630">
              <w:rPr>
                <w:rFonts w:cs="Arial"/>
                <w:sz w:val="22"/>
                <w:lang w:bidi="en-US"/>
              </w:rPr>
              <w:t>Three years’ data is used to calculate the cost ratios</w:t>
            </w:r>
          </w:p>
        </w:tc>
      </w:tr>
      <w:tr w:rsidR="00367AEC" w:rsidRPr="00297630" w:rsidTr="00367AEC">
        <w:tc>
          <w:tcPr>
            <w:tcW w:w="2127" w:type="dxa"/>
          </w:tcPr>
          <w:p w:rsidR="00367AEC" w:rsidRPr="00297630" w:rsidRDefault="00367AEC" w:rsidP="00367AEC">
            <w:pPr>
              <w:spacing w:line="276" w:lineRule="auto"/>
              <w:rPr>
                <w:rFonts w:cs="Arial"/>
                <w:sz w:val="22"/>
                <w:lang w:bidi="en-US"/>
              </w:rPr>
            </w:pPr>
            <w:r w:rsidRPr="00297630">
              <w:rPr>
                <w:rFonts w:cs="Arial"/>
                <w:sz w:val="22"/>
                <w:lang w:bidi="en-US"/>
              </w:rPr>
              <w:t>Diagnostic groups</w:t>
            </w:r>
          </w:p>
        </w:tc>
        <w:tc>
          <w:tcPr>
            <w:tcW w:w="3503" w:type="dxa"/>
          </w:tcPr>
          <w:p w:rsidR="00367AEC" w:rsidRPr="00297630" w:rsidRDefault="00367AEC" w:rsidP="00367AEC">
            <w:pPr>
              <w:spacing w:line="276" w:lineRule="auto"/>
              <w:rPr>
                <w:rFonts w:cs="Arial"/>
                <w:sz w:val="22"/>
                <w:lang w:bidi="en-US"/>
              </w:rPr>
            </w:pPr>
            <w:r w:rsidRPr="00297630">
              <w:rPr>
                <w:rFonts w:cs="Arial"/>
                <w:sz w:val="22"/>
                <w:lang w:bidi="en-US"/>
              </w:rPr>
              <w:t>Heart, Cancer, Respiratory, Digestive, Injuries &amp; Poisoning, Acute Outpatients and Acute Other</w:t>
            </w:r>
          </w:p>
        </w:tc>
        <w:tc>
          <w:tcPr>
            <w:tcW w:w="3504" w:type="dxa"/>
          </w:tcPr>
          <w:p w:rsidR="00367AEC" w:rsidRPr="00297630" w:rsidRDefault="00367AEC" w:rsidP="00367AEC">
            <w:pPr>
              <w:spacing w:line="276" w:lineRule="auto"/>
              <w:rPr>
                <w:rFonts w:cs="Arial"/>
                <w:sz w:val="22"/>
                <w:lang w:bidi="en-US"/>
              </w:rPr>
            </w:pPr>
            <w:r w:rsidRPr="00297630">
              <w:rPr>
                <w:rFonts w:cs="Arial"/>
                <w:sz w:val="22"/>
                <w:lang w:bidi="en-US"/>
              </w:rPr>
              <w:t>No change</w:t>
            </w:r>
          </w:p>
        </w:tc>
      </w:tr>
      <w:tr w:rsidR="00367AEC" w:rsidRPr="00297630" w:rsidTr="00367AEC">
        <w:tc>
          <w:tcPr>
            <w:tcW w:w="2127" w:type="dxa"/>
          </w:tcPr>
          <w:p w:rsidR="00367AEC" w:rsidRPr="00297630" w:rsidRDefault="00367AEC" w:rsidP="00367AEC">
            <w:pPr>
              <w:spacing w:line="276" w:lineRule="auto"/>
              <w:rPr>
                <w:rFonts w:cs="Arial"/>
                <w:sz w:val="22"/>
                <w:lang w:bidi="en-US"/>
              </w:rPr>
            </w:pPr>
            <w:r w:rsidRPr="00297630">
              <w:rPr>
                <w:rFonts w:cs="Arial"/>
                <w:sz w:val="22"/>
                <w:lang w:bidi="en-US"/>
              </w:rPr>
              <w:t>Needs indicators</w:t>
            </w:r>
          </w:p>
        </w:tc>
        <w:tc>
          <w:tcPr>
            <w:tcW w:w="3503" w:type="dxa"/>
          </w:tcPr>
          <w:p w:rsidR="00367AEC" w:rsidRPr="00297630" w:rsidRDefault="00367AEC" w:rsidP="00367AEC">
            <w:pPr>
              <w:spacing w:line="276" w:lineRule="auto"/>
              <w:rPr>
                <w:rFonts w:cs="Arial"/>
                <w:sz w:val="22"/>
                <w:lang w:bidi="en-US"/>
              </w:rPr>
            </w:pPr>
            <w:r w:rsidRPr="00297630">
              <w:rPr>
                <w:rFonts w:cs="Arial"/>
                <w:sz w:val="22"/>
                <w:lang w:bidi="en-US"/>
              </w:rPr>
              <w:t>All-cause Standardised Mortality Ratio (SMR) for ages 0-74</w:t>
            </w:r>
          </w:p>
          <w:p w:rsidR="00367AEC" w:rsidRPr="00297630" w:rsidRDefault="00367AEC" w:rsidP="00367AEC">
            <w:pPr>
              <w:spacing w:line="276" w:lineRule="auto"/>
              <w:rPr>
                <w:rFonts w:cs="Arial"/>
                <w:sz w:val="22"/>
                <w:lang w:bidi="en-US"/>
              </w:rPr>
            </w:pPr>
            <w:r w:rsidRPr="00297630">
              <w:rPr>
                <w:rFonts w:cs="Arial"/>
                <w:sz w:val="22"/>
                <w:lang w:bidi="en-US"/>
              </w:rPr>
              <w:t>Limiting long-term illness (LLTI) rate</w:t>
            </w:r>
          </w:p>
        </w:tc>
        <w:tc>
          <w:tcPr>
            <w:tcW w:w="3504" w:type="dxa"/>
          </w:tcPr>
          <w:p w:rsidR="00367AEC" w:rsidRPr="00297630" w:rsidRDefault="00367AEC" w:rsidP="00367AEC">
            <w:pPr>
              <w:spacing w:line="276" w:lineRule="auto"/>
              <w:rPr>
                <w:rFonts w:cs="Arial"/>
                <w:sz w:val="22"/>
                <w:lang w:bidi="en-US"/>
              </w:rPr>
            </w:pPr>
            <w:r w:rsidRPr="00297630">
              <w:rPr>
                <w:rFonts w:cs="Arial"/>
                <w:sz w:val="22"/>
                <w:lang w:bidi="en-US"/>
              </w:rPr>
              <w:t>Same needs indicators, plus an extra (binary) prison indicator for Acute Outpatients</w:t>
            </w:r>
          </w:p>
        </w:tc>
      </w:tr>
      <w:tr w:rsidR="00367AEC" w:rsidRPr="00297630" w:rsidTr="00367AEC">
        <w:trPr>
          <w:trHeight w:val="1301"/>
        </w:trPr>
        <w:tc>
          <w:tcPr>
            <w:tcW w:w="2127" w:type="dxa"/>
          </w:tcPr>
          <w:p w:rsidR="00367AEC" w:rsidRPr="00297630" w:rsidRDefault="00367AEC" w:rsidP="00367AEC">
            <w:pPr>
              <w:spacing w:line="276" w:lineRule="auto"/>
              <w:rPr>
                <w:rFonts w:cs="Arial"/>
                <w:sz w:val="22"/>
                <w:lang w:bidi="en-US"/>
              </w:rPr>
            </w:pPr>
            <w:r w:rsidRPr="00297630">
              <w:rPr>
                <w:rFonts w:cs="Arial"/>
                <w:sz w:val="22"/>
                <w:lang w:bidi="en-US"/>
              </w:rPr>
              <w:t>Supply variables</w:t>
            </w:r>
          </w:p>
        </w:tc>
        <w:tc>
          <w:tcPr>
            <w:tcW w:w="3503" w:type="dxa"/>
          </w:tcPr>
          <w:p w:rsidR="00367AEC" w:rsidRPr="00297630" w:rsidRDefault="00367AEC" w:rsidP="00367AEC">
            <w:pPr>
              <w:spacing w:line="276" w:lineRule="auto"/>
              <w:rPr>
                <w:rFonts w:cs="Arial"/>
                <w:sz w:val="22"/>
                <w:lang w:bidi="en-US"/>
              </w:rPr>
            </w:pPr>
            <w:r w:rsidRPr="00297630">
              <w:rPr>
                <w:rFonts w:cs="Arial"/>
                <w:sz w:val="22"/>
                <w:lang w:bidi="en-US"/>
              </w:rPr>
              <w:t>IPACX and OPACX</w:t>
            </w:r>
          </w:p>
          <w:p w:rsidR="00367AEC" w:rsidRPr="00297630" w:rsidRDefault="00367AEC" w:rsidP="00367AEC">
            <w:pPr>
              <w:spacing w:line="276" w:lineRule="auto"/>
              <w:rPr>
                <w:rFonts w:cs="Arial"/>
                <w:sz w:val="22"/>
                <w:lang w:bidi="en-US"/>
              </w:rPr>
            </w:pPr>
            <w:r w:rsidRPr="00297630">
              <w:rPr>
                <w:rFonts w:cs="Arial"/>
                <w:sz w:val="22"/>
                <w:lang w:bidi="en-US"/>
              </w:rPr>
              <w:t>Health Board dummies</w:t>
            </w:r>
          </w:p>
        </w:tc>
        <w:tc>
          <w:tcPr>
            <w:tcW w:w="3504" w:type="dxa"/>
          </w:tcPr>
          <w:p w:rsidR="00367AEC" w:rsidRPr="00297630" w:rsidRDefault="00367AEC" w:rsidP="00367AEC">
            <w:pPr>
              <w:spacing w:line="276" w:lineRule="auto"/>
              <w:rPr>
                <w:rFonts w:cs="Arial"/>
                <w:sz w:val="22"/>
                <w:lang w:bidi="en-US"/>
              </w:rPr>
            </w:pPr>
            <w:r w:rsidRPr="00297630">
              <w:rPr>
                <w:rFonts w:cs="Arial"/>
                <w:sz w:val="22"/>
                <w:lang w:bidi="en-US"/>
              </w:rPr>
              <w:t>IPACX for inpatient diagnostic groups, OPACX for Acute Outpatients</w:t>
            </w:r>
          </w:p>
          <w:p w:rsidR="00367AEC" w:rsidRPr="00297630" w:rsidRDefault="00367AEC" w:rsidP="00367AEC">
            <w:pPr>
              <w:spacing w:line="276" w:lineRule="auto"/>
              <w:rPr>
                <w:rFonts w:cs="Arial"/>
                <w:sz w:val="22"/>
                <w:lang w:bidi="en-US"/>
              </w:rPr>
            </w:pPr>
            <w:r w:rsidRPr="00297630">
              <w:rPr>
                <w:rFonts w:cs="Arial"/>
                <w:sz w:val="22"/>
                <w:lang w:bidi="en-US"/>
              </w:rPr>
              <w:t>Health Board dummies</w:t>
            </w:r>
          </w:p>
        </w:tc>
      </w:tr>
      <w:tr w:rsidR="00367AEC" w:rsidRPr="00297630" w:rsidTr="00367AEC">
        <w:tc>
          <w:tcPr>
            <w:tcW w:w="2127" w:type="dxa"/>
          </w:tcPr>
          <w:p w:rsidR="00367AEC" w:rsidRPr="00297630" w:rsidRDefault="00367AEC" w:rsidP="00367AEC">
            <w:pPr>
              <w:spacing w:line="276" w:lineRule="auto"/>
              <w:rPr>
                <w:rFonts w:cs="Arial"/>
                <w:sz w:val="22"/>
                <w:lang w:bidi="en-US"/>
              </w:rPr>
            </w:pPr>
            <w:r w:rsidRPr="00297630">
              <w:rPr>
                <w:rFonts w:cs="Arial"/>
                <w:sz w:val="22"/>
                <w:lang w:bidi="en-US"/>
              </w:rPr>
              <w:t>Unmet need</w:t>
            </w:r>
          </w:p>
        </w:tc>
        <w:tc>
          <w:tcPr>
            <w:tcW w:w="3503" w:type="dxa"/>
          </w:tcPr>
          <w:p w:rsidR="00367AEC" w:rsidRPr="00297630" w:rsidRDefault="00367AEC" w:rsidP="00367AEC">
            <w:pPr>
              <w:spacing w:line="276" w:lineRule="auto"/>
              <w:rPr>
                <w:rFonts w:cs="Arial"/>
                <w:sz w:val="22"/>
                <w:lang w:bidi="en-US"/>
              </w:rPr>
            </w:pPr>
            <w:r w:rsidRPr="00297630">
              <w:rPr>
                <w:rFonts w:cs="Arial"/>
                <w:sz w:val="22"/>
                <w:lang w:bidi="en-US"/>
              </w:rPr>
              <w:t>Adjustment for Heart based on excluding the 25% most deprived intermediate zones from the regression, as defined by SIMD income domain</w:t>
            </w:r>
          </w:p>
        </w:tc>
        <w:tc>
          <w:tcPr>
            <w:tcW w:w="3504" w:type="dxa"/>
          </w:tcPr>
          <w:p w:rsidR="00367AEC" w:rsidRPr="00297630" w:rsidRDefault="00367AEC" w:rsidP="00367AEC">
            <w:pPr>
              <w:spacing w:line="276" w:lineRule="auto"/>
              <w:rPr>
                <w:rFonts w:cs="Arial"/>
                <w:sz w:val="22"/>
                <w:lang w:bidi="en-US"/>
              </w:rPr>
            </w:pPr>
            <w:r w:rsidRPr="00297630">
              <w:rPr>
                <w:rFonts w:cs="Arial"/>
                <w:sz w:val="22"/>
                <w:lang w:bidi="en-US"/>
              </w:rPr>
              <w:t>Adjustment for Heart based on excluding the 30% of data zones with the highest needs index values and for Other based on excluding the 5% of data zones with the highest needs index values.</w:t>
            </w:r>
          </w:p>
        </w:tc>
      </w:tr>
    </w:tbl>
    <w:p w:rsidR="00367AEC" w:rsidRPr="00297630" w:rsidRDefault="00367AEC" w:rsidP="000D6673">
      <w:pPr>
        <w:rPr>
          <w:lang w:bidi="en-US"/>
        </w:rPr>
      </w:pPr>
    </w:p>
    <w:sectPr w:rsidR="00367AEC" w:rsidRPr="00297630" w:rsidSect="00E71C9F">
      <w:head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177" w:rsidRDefault="00176177" w:rsidP="00D619F2">
      <w:pPr>
        <w:spacing w:after="0" w:line="240" w:lineRule="auto"/>
      </w:pPr>
      <w:r>
        <w:separator/>
      </w:r>
    </w:p>
  </w:endnote>
  <w:endnote w:type="continuationSeparator" w:id="0">
    <w:p w:rsidR="00176177" w:rsidRDefault="00176177" w:rsidP="00D61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177" w:rsidRDefault="00176177" w:rsidP="00D619F2">
      <w:pPr>
        <w:spacing w:after="0" w:line="240" w:lineRule="auto"/>
      </w:pPr>
      <w:r>
        <w:separator/>
      </w:r>
    </w:p>
  </w:footnote>
  <w:footnote w:type="continuationSeparator" w:id="0">
    <w:p w:rsidR="00176177" w:rsidRDefault="00176177" w:rsidP="00D619F2">
      <w:pPr>
        <w:spacing w:after="0" w:line="240" w:lineRule="auto"/>
      </w:pPr>
      <w:r>
        <w:continuationSeparator/>
      </w:r>
    </w:p>
  </w:footnote>
  <w:footnote w:id="1">
    <w:p w:rsidR="0010593D" w:rsidRDefault="0010593D" w:rsidP="00D85B39">
      <w:pPr>
        <w:pStyle w:val="FootnoteText"/>
      </w:pPr>
      <w:r>
        <w:rPr>
          <w:rStyle w:val="FootnoteReference"/>
        </w:rPr>
        <w:footnoteRef/>
      </w:r>
      <w:r>
        <w:t xml:space="preserve"> </w:t>
      </w:r>
      <w:hyperlink r:id="rId1" w:history="1">
        <w:r w:rsidRPr="00E07CB5">
          <w:rPr>
            <w:rStyle w:val="Hyperlink"/>
          </w:rPr>
          <w:t>https://www.nrscotland.gov.uk/statistics-and-data/statistics/statistics-by-theme/vital-events/deaths/age-standardised-death-rates-calculated-using-the-esp</w:t>
        </w:r>
      </w:hyperlink>
      <w:r>
        <w:t xml:space="preserve"> - Table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3D" w:rsidRPr="002B0502" w:rsidRDefault="0010593D" w:rsidP="002B0502">
    <w:pPr>
      <w:tabs>
        <w:tab w:val="left" w:pos="720"/>
        <w:tab w:val="left" w:pos="1440"/>
        <w:tab w:val="left" w:pos="2160"/>
        <w:tab w:val="left" w:pos="2880"/>
        <w:tab w:val="center" w:pos="4513"/>
        <w:tab w:val="left" w:pos="4680"/>
        <w:tab w:val="left" w:pos="5400"/>
        <w:tab w:val="right" w:pos="9000"/>
        <w:tab w:val="right" w:pos="9026"/>
      </w:tabs>
      <w:spacing w:after="0" w:line="240" w:lineRule="auto"/>
      <w:jc w:val="both"/>
      <w:rPr>
        <w:rFonts w:ascii="Times New Roman" w:eastAsia="Times New Roman" w:hAnsi="Times New Roman"/>
        <w:i/>
        <w:sz w:val="24"/>
        <w:szCs w:val="20"/>
      </w:rPr>
    </w:pPr>
    <w:r w:rsidRPr="00E8798A">
      <w:rPr>
        <w:rFonts w:ascii="Times New Roman" w:eastAsia="Times New Roman" w:hAnsi="Times New Roman"/>
        <w:i/>
        <w:sz w:val="24"/>
        <w:szCs w:val="20"/>
      </w:rPr>
      <w:t xml:space="preserve">Fair Shares for Health in Scotland </w:t>
    </w:r>
    <w:r w:rsidRPr="00E8798A">
      <w:rPr>
        <w:rFonts w:ascii="Times New Roman" w:eastAsia="Times New Roman" w:hAnsi="Times New Roman"/>
        <w:i/>
        <w:sz w:val="24"/>
        <w:szCs w:val="20"/>
      </w:rPr>
      <w:tab/>
    </w:r>
    <w:r w:rsidRPr="00E8798A">
      <w:rPr>
        <w:rFonts w:ascii="Times New Roman" w:eastAsia="Times New Roman" w:hAnsi="Times New Roman"/>
        <w:i/>
        <w:sz w:val="24"/>
        <w:szCs w:val="20"/>
      </w:rPr>
      <w:tab/>
    </w:r>
    <w:r w:rsidRPr="00E8798A">
      <w:rPr>
        <w:rFonts w:ascii="Times New Roman" w:eastAsia="Times New Roman" w:hAnsi="Times New Roman"/>
        <w:i/>
        <w:sz w:val="24"/>
        <w:szCs w:val="20"/>
      </w:rPr>
      <w:tab/>
    </w:r>
    <w:r w:rsidRPr="00E8798A">
      <w:rPr>
        <w:rFonts w:ascii="Times New Roman" w:eastAsia="Times New Roman" w:hAnsi="Times New Roman"/>
        <w:i/>
        <w:sz w:val="24"/>
        <w:szCs w:val="20"/>
      </w:rPr>
      <w:tab/>
    </w:r>
    <w:proofErr w:type="gramStart"/>
    <w:r w:rsidRPr="00E8798A">
      <w:rPr>
        <w:rFonts w:ascii="Times New Roman" w:eastAsia="Times New Roman" w:hAnsi="Times New Roman"/>
        <w:i/>
        <w:sz w:val="24"/>
        <w:szCs w:val="20"/>
      </w:rPr>
      <w:t>TAGRA(</w:t>
    </w:r>
    <w:proofErr w:type="gramEnd"/>
    <w:r w:rsidRPr="00E8798A">
      <w:rPr>
        <w:rFonts w:ascii="Times New Roman" w:eastAsia="Times New Roman" w:hAnsi="Times New Roman"/>
        <w:i/>
        <w:sz w:val="24"/>
        <w:szCs w:val="20"/>
      </w:rPr>
      <w:t>2016)</w:t>
    </w:r>
    <w:r w:rsidR="0050751D">
      <w:rPr>
        <w:rFonts w:ascii="Times New Roman" w:eastAsia="Times New Roman" w:hAnsi="Times New Roman"/>
        <w:i/>
        <w:sz w:val="24"/>
        <w:szCs w:val="20"/>
      </w:rPr>
      <w:t>0</w:t>
    </w:r>
    <w:r w:rsidR="00C33584">
      <w:rPr>
        <w:rFonts w:ascii="Times New Roman" w:eastAsia="Times New Roman" w:hAnsi="Times New Roman"/>
        <w:i/>
        <w:sz w:val="24"/>
        <w:szCs w:val="20"/>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5929"/>
    <w:multiLevelType w:val="hybridMultilevel"/>
    <w:tmpl w:val="90F24142"/>
    <w:lvl w:ilvl="0" w:tplc="21146E0E">
      <w:numFmt w:val="bullet"/>
      <w:lvlText w:val="-"/>
      <w:lvlJc w:val="left"/>
      <w:pPr>
        <w:ind w:left="720" w:hanging="360"/>
      </w:pPr>
      <w:rPr>
        <w:rFonts w:ascii="Arial" w:eastAsiaTheme="minorHAns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94376"/>
    <w:rsid w:val="00040FF7"/>
    <w:rsid w:val="00042F28"/>
    <w:rsid w:val="00057822"/>
    <w:rsid w:val="00080D95"/>
    <w:rsid w:val="000D6673"/>
    <w:rsid w:val="001029E7"/>
    <w:rsid w:val="0010593D"/>
    <w:rsid w:val="0010746A"/>
    <w:rsid w:val="0012030A"/>
    <w:rsid w:val="00176177"/>
    <w:rsid w:val="00181EB1"/>
    <w:rsid w:val="0022767C"/>
    <w:rsid w:val="00253796"/>
    <w:rsid w:val="00262338"/>
    <w:rsid w:val="0029223D"/>
    <w:rsid w:val="00297630"/>
    <w:rsid w:val="002B0502"/>
    <w:rsid w:val="002B3C36"/>
    <w:rsid w:val="002B6979"/>
    <w:rsid w:val="002F2367"/>
    <w:rsid w:val="0030414C"/>
    <w:rsid w:val="00367AEC"/>
    <w:rsid w:val="00486D9F"/>
    <w:rsid w:val="004B1A36"/>
    <w:rsid w:val="004E2C14"/>
    <w:rsid w:val="004E475D"/>
    <w:rsid w:val="0050751D"/>
    <w:rsid w:val="0053251F"/>
    <w:rsid w:val="005D6723"/>
    <w:rsid w:val="005E25EF"/>
    <w:rsid w:val="006D7151"/>
    <w:rsid w:val="00722FFC"/>
    <w:rsid w:val="00783CCF"/>
    <w:rsid w:val="007A05C9"/>
    <w:rsid w:val="007F714E"/>
    <w:rsid w:val="008419DA"/>
    <w:rsid w:val="00882709"/>
    <w:rsid w:val="00893423"/>
    <w:rsid w:val="008B5D7E"/>
    <w:rsid w:val="008D6061"/>
    <w:rsid w:val="008D6E98"/>
    <w:rsid w:val="008E090E"/>
    <w:rsid w:val="008E5BB8"/>
    <w:rsid w:val="00A60F13"/>
    <w:rsid w:val="00A75D67"/>
    <w:rsid w:val="00A84AF6"/>
    <w:rsid w:val="00AA742D"/>
    <w:rsid w:val="00B374EA"/>
    <w:rsid w:val="00B60B71"/>
    <w:rsid w:val="00B61545"/>
    <w:rsid w:val="00B82F59"/>
    <w:rsid w:val="00BD0144"/>
    <w:rsid w:val="00BE3587"/>
    <w:rsid w:val="00C139AE"/>
    <w:rsid w:val="00C30E9C"/>
    <w:rsid w:val="00C33584"/>
    <w:rsid w:val="00C66A56"/>
    <w:rsid w:val="00C77D3C"/>
    <w:rsid w:val="00C8484A"/>
    <w:rsid w:val="00C84D41"/>
    <w:rsid w:val="00D11438"/>
    <w:rsid w:val="00D619F2"/>
    <w:rsid w:val="00D85B39"/>
    <w:rsid w:val="00D93962"/>
    <w:rsid w:val="00D94376"/>
    <w:rsid w:val="00DA3AD6"/>
    <w:rsid w:val="00DC449B"/>
    <w:rsid w:val="00DD2FF9"/>
    <w:rsid w:val="00DF4914"/>
    <w:rsid w:val="00E21E24"/>
    <w:rsid w:val="00E51AE8"/>
    <w:rsid w:val="00E71C9F"/>
    <w:rsid w:val="00EE1EDB"/>
    <w:rsid w:val="00F15812"/>
    <w:rsid w:val="00F92594"/>
    <w:rsid w:val="00FA6805"/>
    <w:rsid w:val="00FC21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F2"/>
    <w:rPr>
      <w:rFonts w:ascii="Arial" w:eastAsia="Calibri" w:hAnsi="Arial" w:cs="Times New Roman"/>
    </w:rPr>
  </w:style>
  <w:style w:type="paragraph" w:styleId="Heading1">
    <w:name w:val="heading 1"/>
    <w:basedOn w:val="Normal"/>
    <w:link w:val="Heading1Char"/>
    <w:qFormat/>
    <w:rsid w:val="007A05C9"/>
    <w:pPr>
      <w:keepNext/>
      <w:keepLines/>
      <w:spacing w:after="4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619F2"/>
    <w:pPr>
      <w:keepNext/>
      <w:keepLines/>
      <w:spacing w:before="4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2767C"/>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2767C"/>
    <w:pPr>
      <w:outlineLvl w:val="3"/>
    </w:pPr>
    <w:rPr>
      <w:rFonts w:eastAsiaTheme="majorEastAsia" w:cstheme="majorBidi"/>
      <w:b/>
      <w:bCs/>
      <w:spacing w:val="5"/>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767C"/>
    <w:rPr>
      <w:rFonts w:ascii="Arial" w:eastAsiaTheme="majorEastAsia" w:hAnsi="Arial" w:cstheme="majorBidi"/>
      <w:b/>
      <w:bCs/>
    </w:rPr>
  </w:style>
  <w:style w:type="character" w:customStyle="1" w:styleId="Heading1Char">
    <w:name w:val="Heading 1 Char"/>
    <w:basedOn w:val="DefaultParagraphFont"/>
    <w:link w:val="Heading1"/>
    <w:rsid w:val="007A05C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D619F2"/>
    <w:rPr>
      <w:rFonts w:ascii="Arial" w:eastAsiaTheme="majorEastAsia" w:hAnsi="Arial" w:cstheme="majorBidi"/>
      <w:b/>
      <w:bCs/>
      <w:sz w:val="24"/>
      <w:szCs w:val="26"/>
    </w:rPr>
  </w:style>
  <w:style w:type="paragraph" w:styleId="CommentText">
    <w:name w:val="annotation text"/>
    <w:basedOn w:val="Normal"/>
    <w:link w:val="CommentTextChar"/>
    <w:uiPriority w:val="99"/>
    <w:semiHidden/>
    <w:unhideWhenUsed/>
    <w:rsid w:val="007A05C9"/>
    <w:pPr>
      <w:spacing w:line="240" w:lineRule="auto"/>
    </w:pPr>
    <w:rPr>
      <w:sz w:val="20"/>
      <w:szCs w:val="20"/>
    </w:rPr>
  </w:style>
  <w:style w:type="character" w:customStyle="1" w:styleId="CommentTextChar">
    <w:name w:val="Comment Text Char"/>
    <w:basedOn w:val="DefaultParagraphFont"/>
    <w:link w:val="CommentText"/>
    <w:uiPriority w:val="99"/>
    <w:semiHidden/>
    <w:rsid w:val="007A05C9"/>
    <w:rPr>
      <w:sz w:val="20"/>
      <w:szCs w:val="20"/>
    </w:rPr>
  </w:style>
  <w:style w:type="paragraph" w:styleId="Header">
    <w:name w:val="header"/>
    <w:basedOn w:val="Normal"/>
    <w:link w:val="HeaderChar"/>
    <w:uiPriority w:val="99"/>
    <w:unhideWhenUsed/>
    <w:rsid w:val="007A0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5C9"/>
  </w:style>
  <w:style w:type="paragraph" w:styleId="Footer">
    <w:name w:val="footer"/>
    <w:basedOn w:val="Normal"/>
    <w:link w:val="FooterChar"/>
    <w:uiPriority w:val="99"/>
    <w:unhideWhenUsed/>
    <w:rsid w:val="007A0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5C9"/>
  </w:style>
  <w:style w:type="character" w:styleId="CommentReference">
    <w:name w:val="annotation reference"/>
    <w:basedOn w:val="DefaultParagraphFont"/>
    <w:uiPriority w:val="99"/>
    <w:semiHidden/>
    <w:unhideWhenUsed/>
    <w:rsid w:val="007A05C9"/>
    <w:rPr>
      <w:sz w:val="16"/>
      <w:szCs w:val="16"/>
    </w:rPr>
  </w:style>
  <w:style w:type="paragraph" w:styleId="Title">
    <w:name w:val="Title"/>
    <w:basedOn w:val="Normal"/>
    <w:next w:val="Normal"/>
    <w:link w:val="TitleChar"/>
    <w:uiPriority w:val="10"/>
    <w:qFormat/>
    <w:rsid w:val="007A05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05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A05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5C9"/>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uiPriority w:val="99"/>
    <w:semiHidden/>
    <w:unhideWhenUsed/>
    <w:rsid w:val="007A05C9"/>
    <w:rPr>
      <w:b/>
      <w:bCs/>
    </w:rPr>
  </w:style>
  <w:style w:type="character" w:customStyle="1" w:styleId="CommentSubjectChar">
    <w:name w:val="Comment Subject Char"/>
    <w:basedOn w:val="CommentTextChar"/>
    <w:link w:val="CommentSubject"/>
    <w:uiPriority w:val="99"/>
    <w:semiHidden/>
    <w:rsid w:val="007A05C9"/>
    <w:rPr>
      <w:b/>
      <w:bCs/>
      <w:sz w:val="20"/>
      <w:szCs w:val="20"/>
    </w:rPr>
  </w:style>
  <w:style w:type="paragraph" w:styleId="BalloonText">
    <w:name w:val="Balloon Text"/>
    <w:basedOn w:val="Normal"/>
    <w:link w:val="BalloonTextChar"/>
    <w:uiPriority w:val="99"/>
    <w:semiHidden/>
    <w:unhideWhenUsed/>
    <w:rsid w:val="007A0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5C9"/>
    <w:rPr>
      <w:rFonts w:ascii="Tahoma" w:hAnsi="Tahoma" w:cs="Tahoma"/>
      <w:sz w:val="16"/>
      <w:szCs w:val="16"/>
    </w:rPr>
  </w:style>
  <w:style w:type="paragraph" w:styleId="NoSpacing">
    <w:name w:val="No Spacing"/>
    <w:uiPriority w:val="1"/>
    <w:qFormat/>
    <w:rsid w:val="007A05C9"/>
    <w:pPr>
      <w:spacing w:after="0" w:line="240" w:lineRule="auto"/>
    </w:pPr>
  </w:style>
  <w:style w:type="paragraph" w:styleId="ListParagraph">
    <w:name w:val="List Paragraph"/>
    <w:basedOn w:val="Normal"/>
    <w:uiPriority w:val="34"/>
    <w:qFormat/>
    <w:rsid w:val="0022767C"/>
    <w:pPr>
      <w:spacing w:after="120"/>
      <w:ind w:left="720"/>
    </w:pPr>
  </w:style>
  <w:style w:type="table" w:styleId="TableGrid">
    <w:name w:val="Table Grid"/>
    <w:basedOn w:val="TableNormal"/>
    <w:uiPriority w:val="59"/>
    <w:rsid w:val="0022767C"/>
    <w:pPr>
      <w:spacing w:after="0" w:line="240" w:lineRule="auto"/>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rsid w:val="0022767C"/>
    <w:pPr>
      <w:spacing w:after="0" w:line="240" w:lineRule="auto"/>
    </w:pPr>
    <w:rPr>
      <w:rFonts w:eastAsiaTheme="majorEastAsia" w:cstheme="majorBidi"/>
      <w:bCs/>
      <w:i/>
      <w:sz w:val="20"/>
      <w:szCs w:val="18"/>
      <w:lang w:val="en-US" w:bidi="en-US"/>
    </w:rPr>
  </w:style>
  <w:style w:type="character" w:customStyle="1" w:styleId="Heading4Char">
    <w:name w:val="Heading 4 Char"/>
    <w:basedOn w:val="DefaultParagraphFont"/>
    <w:link w:val="Heading4"/>
    <w:uiPriority w:val="9"/>
    <w:rsid w:val="0022767C"/>
    <w:rPr>
      <w:rFonts w:ascii="Arial" w:eastAsiaTheme="majorEastAsia" w:hAnsi="Arial" w:cstheme="majorBidi"/>
      <w:b/>
      <w:bCs/>
      <w:spacing w:val="5"/>
      <w:szCs w:val="24"/>
      <w:lang w:val="en-US" w:bidi="en-US"/>
    </w:rPr>
  </w:style>
  <w:style w:type="character" w:styleId="Hyperlink">
    <w:name w:val="Hyperlink"/>
    <w:basedOn w:val="DefaultParagraphFont"/>
    <w:uiPriority w:val="99"/>
    <w:unhideWhenUsed/>
    <w:rsid w:val="00C66A56"/>
    <w:rPr>
      <w:color w:val="0000FF"/>
      <w:u w:val="single"/>
    </w:rPr>
  </w:style>
  <w:style w:type="paragraph" w:styleId="FootnoteText">
    <w:name w:val="footnote text"/>
    <w:basedOn w:val="Normal"/>
    <w:link w:val="FootnoteTextChar"/>
    <w:uiPriority w:val="99"/>
    <w:semiHidden/>
    <w:unhideWhenUsed/>
    <w:rsid w:val="006D71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151"/>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6D71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90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SS.nssstatsgov@nhs.net" TargetMode="External"/><Relationship Id="rId13" Type="http://schemas.openxmlformats.org/officeDocument/2006/relationships/image" Target="media/image5.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nrscotland.gov.uk/statistics-and-data/statistics/statistics-by-theme/vital-events/deaths/age-standardised-death-rates-calculated-using-the-e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43444-BC43-47E8-A88E-747CCFA9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Touati</dc:creator>
  <cp:lastModifiedBy>edmuna01</cp:lastModifiedBy>
  <cp:revision>2</cp:revision>
  <cp:lastPrinted>2016-11-29T11:29:00Z</cp:lastPrinted>
  <dcterms:created xsi:type="dcterms:W3CDTF">2018-09-05T10:20:00Z</dcterms:created>
  <dcterms:modified xsi:type="dcterms:W3CDTF">2018-09-05T10:20:00Z</dcterms:modified>
</cp:coreProperties>
</file>