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745" w:rsidRPr="0002430E" w:rsidRDefault="00850745" w:rsidP="00850745">
      <w:pPr>
        <w:spacing w:after="0" w:line="240" w:lineRule="auto"/>
        <w:jc w:val="both"/>
        <w:rPr>
          <w:rFonts w:ascii="Arial" w:hAnsi="Arial" w:cs="Arial"/>
          <w:b/>
        </w:rPr>
      </w:pPr>
      <w:bookmarkStart w:id="0" w:name="_GoBack"/>
      <w:bookmarkEnd w:id="0"/>
      <w:r w:rsidRPr="0002430E">
        <w:rPr>
          <w:rFonts w:ascii="Arial" w:hAnsi="Arial" w:cs="Arial"/>
          <w:b/>
        </w:rPr>
        <w:t>TECHNICAL ADVISORY GROUP ON RESOURCE ALLOCATION</w:t>
      </w:r>
    </w:p>
    <w:p w:rsidR="00850745" w:rsidRPr="0002430E" w:rsidRDefault="00850745" w:rsidP="00850745">
      <w:pPr>
        <w:spacing w:after="0" w:line="240" w:lineRule="auto"/>
        <w:jc w:val="both"/>
        <w:rPr>
          <w:rFonts w:ascii="Arial" w:hAnsi="Arial" w:cs="Arial"/>
          <w:b/>
        </w:rPr>
      </w:pPr>
    </w:p>
    <w:p w:rsidR="00850745" w:rsidRDefault="00850745" w:rsidP="00850745">
      <w:pPr>
        <w:spacing w:after="0" w:line="240" w:lineRule="auto"/>
        <w:jc w:val="both"/>
        <w:rPr>
          <w:rFonts w:ascii="Arial" w:hAnsi="Arial" w:cs="Arial"/>
          <w:b/>
        </w:rPr>
      </w:pPr>
      <w:r w:rsidRPr="0002430E">
        <w:rPr>
          <w:rFonts w:ascii="Arial" w:hAnsi="Arial" w:cs="Arial"/>
          <w:b/>
        </w:rPr>
        <w:t xml:space="preserve">Note of </w:t>
      </w:r>
      <w:r>
        <w:rPr>
          <w:rFonts w:ascii="Arial" w:hAnsi="Arial" w:cs="Arial"/>
          <w:b/>
        </w:rPr>
        <w:t>23</w:t>
      </w:r>
      <w:r>
        <w:rPr>
          <w:rFonts w:ascii="Arial" w:hAnsi="Arial" w:cs="Arial"/>
          <w:b/>
          <w:vertAlign w:val="superscript"/>
        </w:rPr>
        <w:t>rd</w:t>
      </w:r>
      <w:r w:rsidRPr="0002430E">
        <w:rPr>
          <w:rFonts w:ascii="Arial" w:hAnsi="Arial" w:cs="Arial"/>
          <w:b/>
        </w:rPr>
        <w:t xml:space="preserve"> meeting held at 13:00, </w:t>
      </w:r>
      <w:r>
        <w:rPr>
          <w:rFonts w:ascii="Arial" w:hAnsi="Arial" w:cs="Arial"/>
          <w:b/>
        </w:rPr>
        <w:t>27</w:t>
      </w:r>
      <w:r w:rsidRPr="00864027">
        <w:rPr>
          <w:rFonts w:ascii="Arial" w:hAnsi="Arial" w:cs="Arial"/>
          <w:b/>
          <w:vertAlign w:val="superscript"/>
        </w:rPr>
        <w:t>th</w:t>
      </w:r>
      <w:r>
        <w:rPr>
          <w:rFonts w:ascii="Arial" w:hAnsi="Arial" w:cs="Arial"/>
          <w:b/>
          <w:vertAlign w:val="superscript"/>
        </w:rPr>
        <w:t xml:space="preserve"> </w:t>
      </w:r>
      <w:r>
        <w:rPr>
          <w:rFonts w:ascii="Arial" w:hAnsi="Arial" w:cs="Arial"/>
          <w:b/>
        </w:rPr>
        <w:t>August 2015</w:t>
      </w:r>
    </w:p>
    <w:p w:rsidR="00850745" w:rsidRPr="0002430E" w:rsidRDefault="00850745" w:rsidP="00850745">
      <w:pPr>
        <w:spacing w:after="0" w:line="240" w:lineRule="auto"/>
        <w:jc w:val="both"/>
        <w:rPr>
          <w:rFonts w:ascii="Arial" w:hAnsi="Arial" w:cs="Arial"/>
          <w:b/>
        </w:rPr>
      </w:pPr>
      <w:r>
        <w:rPr>
          <w:rFonts w:ascii="Arial" w:hAnsi="Arial" w:cs="Arial"/>
          <w:b/>
        </w:rPr>
        <w:t>Waverley Gate, Edinburgh</w:t>
      </w:r>
    </w:p>
    <w:p w:rsidR="00850745" w:rsidRPr="0002430E" w:rsidRDefault="00850745" w:rsidP="00850745">
      <w:pPr>
        <w:spacing w:after="0" w:line="240" w:lineRule="auto"/>
        <w:jc w:val="both"/>
        <w:rPr>
          <w:rFonts w:ascii="Arial" w:hAnsi="Arial" w:cs="Arial"/>
          <w:b/>
        </w:rPr>
      </w:pPr>
    </w:p>
    <w:tbl>
      <w:tblPr>
        <w:tblW w:w="0" w:type="auto"/>
        <w:tblLayout w:type="fixed"/>
        <w:tblLook w:val="04A0" w:firstRow="1" w:lastRow="0" w:firstColumn="1" w:lastColumn="0" w:noHBand="0" w:noVBand="1"/>
      </w:tblPr>
      <w:tblGrid>
        <w:gridCol w:w="5353"/>
        <w:gridCol w:w="3889"/>
      </w:tblGrid>
      <w:tr w:rsidR="00850745" w:rsidRPr="000C2D4C" w:rsidTr="001B32C9">
        <w:tc>
          <w:tcPr>
            <w:tcW w:w="5353" w:type="dxa"/>
            <w:shd w:val="clear" w:color="auto" w:fill="auto"/>
          </w:tcPr>
          <w:p w:rsidR="00850745" w:rsidRPr="000C2D4C" w:rsidRDefault="00850745" w:rsidP="001B32C9">
            <w:pPr>
              <w:spacing w:after="0" w:line="240" w:lineRule="auto"/>
              <w:jc w:val="both"/>
              <w:rPr>
                <w:rFonts w:ascii="Arial" w:hAnsi="Arial" w:cs="Arial"/>
                <w:b/>
              </w:rPr>
            </w:pPr>
            <w:r w:rsidRPr="000C2D4C">
              <w:rPr>
                <w:rFonts w:ascii="Arial" w:hAnsi="Arial" w:cs="Arial"/>
                <w:b/>
              </w:rPr>
              <w:t>Attendees</w:t>
            </w:r>
            <w:r w:rsidRPr="000C2D4C">
              <w:rPr>
                <w:rFonts w:ascii="Arial" w:hAnsi="Arial" w:cs="Arial"/>
                <w:b/>
              </w:rPr>
              <w:tab/>
            </w:r>
          </w:p>
        </w:tc>
        <w:tc>
          <w:tcPr>
            <w:tcW w:w="3889" w:type="dxa"/>
            <w:shd w:val="clear" w:color="auto" w:fill="auto"/>
          </w:tcPr>
          <w:p w:rsidR="00850745" w:rsidRPr="000C2D4C" w:rsidRDefault="00850745" w:rsidP="001B32C9">
            <w:pPr>
              <w:spacing w:after="0" w:line="240" w:lineRule="auto"/>
              <w:jc w:val="both"/>
              <w:rPr>
                <w:rFonts w:ascii="Arial" w:hAnsi="Arial" w:cs="Arial"/>
                <w:b/>
              </w:rPr>
            </w:pPr>
            <w:r w:rsidRPr="000C2D4C">
              <w:rPr>
                <w:rFonts w:ascii="Arial" w:hAnsi="Arial" w:cs="Arial"/>
                <w:b/>
              </w:rPr>
              <w:t>Apologies</w:t>
            </w:r>
          </w:p>
        </w:tc>
      </w:tr>
      <w:tr w:rsidR="00850745" w:rsidRPr="000C2D4C" w:rsidTr="001B32C9">
        <w:tc>
          <w:tcPr>
            <w:tcW w:w="5353" w:type="dxa"/>
            <w:shd w:val="clear" w:color="auto" w:fill="auto"/>
          </w:tcPr>
          <w:p w:rsidR="00850745" w:rsidRPr="000C2D4C" w:rsidRDefault="00850745" w:rsidP="001B32C9">
            <w:pPr>
              <w:spacing w:after="0" w:line="240" w:lineRule="auto"/>
              <w:jc w:val="both"/>
              <w:rPr>
                <w:rFonts w:ascii="Arial" w:hAnsi="Arial" w:cs="Arial"/>
                <w:b/>
              </w:rPr>
            </w:pPr>
          </w:p>
        </w:tc>
        <w:tc>
          <w:tcPr>
            <w:tcW w:w="3889" w:type="dxa"/>
            <w:shd w:val="clear" w:color="auto" w:fill="auto"/>
          </w:tcPr>
          <w:p w:rsidR="00850745" w:rsidRPr="000C2D4C" w:rsidRDefault="00850745" w:rsidP="001B32C9">
            <w:pPr>
              <w:spacing w:after="0" w:line="240" w:lineRule="auto"/>
              <w:jc w:val="both"/>
              <w:rPr>
                <w:rFonts w:ascii="Arial" w:hAnsi="Arial" w:cs="Arial"/>
                <w:b/>
              </w:rPr>
            </w:pPr>
          </w:p>
        </w:tc>
      </w:tr>
      <w:tr w:rsidR="00850745" w:rsidRPr="000C2D4C" w:rsidTr="001B32C9">
        <w:trPr>
          <w:trHeight w:val="4036"/>
        </w:trPr>
        <w:tc>
          <w:tcPr>
            <w:tcW w:w="5353" w:type="dxa"/>
            <w:shd w:val="clear" w:color="auto" w:fill="auto"/>
          </w:tcPr>
          <w:p w:rsidR="00850745" w:rsidRPr="000C2D4C" w:rsidRDefault="00850745" w:rsidP="001B32C9">
            <w:pPr>
              <w:tabs>
                <w:tab w:val="left" w:pos="6540"/>
              </w:tabs>
              <w:spacing w:after="0" w:line="240" w:lineRule="auto"/>
              <w:jc w:val="both"/>
              <w:rPr>
                <w:rFonts w:ascii="Arial" w:hAnsi="Arial" w:cs="Arial"/>
              </w:rPr>
            </w:pPr>
            <w:r w:rsidRPr="000C2D4C">
              <w:rPr>
                <w:rFonts w:ascii="Arial" w:hAnsi="Arial" w:cs="Arial"/>
              </w:rPr>
              <w:t>John Matheson (Chair) – Scottish Government</w:t>
            </w:r>
          </w:p>
          <w:p w:rsidR="00850745" w:rsidRPr="000C2D4C" w:rsidRDefault="00850745" w:rsidP="001B32C9">
            <w:pPr>
              <w:tabs>
                <w:tab w:val="left" w:pos="6540"/>
              </w:tabs>
              <w:spacing w:after="0" w:line="240" w:lineRule="auto"/>
              <w:jc w:val="both"/>
              <w:rPr>
                <w:rFonts w:ascii="Arial" w:hAnsi="Arial" w:cs="Arial"/>
              </w:rPr>
            </w:pPr>
            <w:r w:rsidRPr="000C2D4C">
              <w:rPr>
                <w:rFonts w:ascii="Arial" w:hAnsi="Arial" w:cs="Arial"/>
              </w:rPr>
              <w:t>Angela Campbell (Co-Chair) – Scottish Government</w:t>
            </w:r>
          </w:p>
          <w:p w:rsidR="00850745" w:rsidRPr="000C2D4C" w:rsidRDefault="00850745" w:rsidP="001B32C9">
            <w:pPr>
              <w:tabs>
                <w:tab w:val="left" w:pos="6540"/>
              </w:tabs>
              <w:spacing w:after="0" w:line="240" w:lineRule="auto"/>
              <w:jc w:val="both"/>
              <w:rPr>
                <w:rFonts w:ascii="Arial" w:hAnsi="Arial" w:cs="Arial"/>
              </w:rPr>
            </w:pPr>
            <w:r w:rsidRPr="000C2D4C">
              <w:rPr>
                <w:rFonts w:ascii="Arial" w:hAnsi="Arial" w:cs="Arial"/>
              </w:rPr>
              <w:t>Paudric Osborne - Scottish Government</w:t>
            </w:r>
          </w:p>
          <w:p w:rsidR="00850745" w:rsidRPr="000C2D4C" w:rsidRDefault="00850745" w:rsidP="001B32C9">
            <w:pPr>
              <w:spacing w:after="0" w:line="240" w:lineRule="auto"/>
              <w:jc w:val="both"/>
              <w:rPr>
                <w:rFonts w:ascii="Arial" w:hAnsi="Arial" w:cs="Arial"/>
              </w:rPr>
            </w:pPr>
            <w:r w:rsidRPr="000C2D4C">
              <w:rPr>
                <w:rFonts w:ascii="Arial" w:hAnsi="Arial" w:cs="Arial"/>
              </w:rPr>
              <w:t>Chris Dodds - Scottish Government</w:t>
            </w:r>
          </w:p>
          <w:p w:rsidR="00850745" w:rsidRPr="000C2D4C" w:rsidRDefault="00850745" w:rsidP="001B32C9">
            <w:pPr>
              <w:tabs>
                <w:tab w:val="left" w:pos="6540"/>
              </w:tabs>
              <w:spacing w:after="0" w:line="240" w:lineRule="auto"/>
              <w:jc w:val="both"/>
              <w:rPr>
                <w:rFonts w:ascii="Arial" w:hAnsi="Arial" w:cs="Arial"/>
              </w:rPr>
            </w:pPr>
            <w:r w:rsidRPr="000C2D4C">
              <w:rPr>
                <w:rFonts w:ascii="Arial" w:hAnsi="Arial" w:cs="Arial"/>
              </w:rPr>
              <w:t>Lynda Nicholson – Scottish Government</w:t>
            </w:r>
          </w:p>
          <w:p w:rsidR="00850745" w:rsidRPr="000C2D4C" w:rsidRDefault="00850745" w:rsidP="001B32C9">
            <w:pPr>
              <w:tabs>
                <w:tab w:val="left" w:pos="6540"/>
              </w:tabs>
              <w:spacing w:after="0" w:line="240" w:lineRule="auto"/>
              <w:jc w:val="both"/>
              <w:rPr>
                <w:rFonts w:ascii="Arial" w:hAnsi="Arial" w:cs="Arial"/>
              </w:rPr>
            </w:pPr>
            <w:r w:rsidRPr="000C2D4C">
              <w:rPr>
                <w:rFonts w:ascii="Arial" w:hAnsi="Arial" w:cs="Arial"/>
              </w:rPr>
              <w:t>Tom Russon – Scottish Government</w:t>
            </w:r>
          </w:p>
          <w:p w:rsidR="00850745" w:rsidRPr="000C2D4C" w:rsidRDefault="00850745" w:rsidP="001B32C9">
            <w:pPr>
              <w:spacing w:after="0" w:line="240" w:lineRule="auto"/>
              <w:jc w:val="both"/>
              <w:rPr>
                <w:rFonts w:ascii="Arial" w:hAnsi="Arial" w:cs="Arial"/>
              </w:rPr>
            </w:pPr>
            <w:r w:rsidRPr="000C2D4C">
              <w:rPr>
                <w:rFonts w:ascii="Arial" w:hAnsi="Arial" w:cs="Arial"/>
              </w:rPr>
              <w:t>Kirsty MacLachlan – National Records of Scotland</w:t>
            </w:r>
          </w:p>
          <w:p w:rsidR="00850745" w:rsidRPr="000C2D4C" w:rsidRDefault="00850745" w:rsidP="001B32C9">
            <w:pPr>
              <w:spacing w:after="0" w:line="240" w:lineRule="auto"/>
              <w:jc w:val="both"/>
              <w:rPr>
                <w:rFonts w:ascii="Arial" w:hAnsi="Arial" w:cs="Arial"/>
              </w:rPr>
            </w:pPr>
            <w:r w:rsidRPr="000C2D4C">
              <w:rPr>
                <w:rFonts w:ascii="Arial" w:hAnsi="Arial" w:cs="Arial"/>
              </w:rPr>
              <w:t>Andrew Daly – NHS Greater Glasgow &amp; Clyde</w:t>
            </w:r>
          </w:p>
          <w:p w:rsidR="00850745" w:rsidRDefault="00850745" w:rsidP="001B32C9">
            <w:pPr>
              <w:spacing w:after="0" w:line="240" w:lineRule="auto"/>
              <w:jc w:val="both"/>
              <w:rPr>
                <w:rFonts w:ascii="Arial" w:hAnsi="Arial" w:cs="Arial"/>
              </w:rPr>
            </w:pPr>
            <w:r w:rsidRPr="000C2D4C">
              <w:rPr>
                <w:rFonts w:ascii="Arial" w:hAnsi="Arial" w:cs="Arial"/>
              </w:rPr>
              <w:t>Nick Kenton – NHS Highland</w:t>
            </w:r>
          </w:p>
          <w:p w:rsidR="00850745" w:rsidRPr="000C2D4C" w:rsidRDefault="00850745" w:rsidP="001B32C9">
            <w:pPr>
              <w:spacing w:after="0" w:line="240" w:lineRule="auto"/>
              <w:jc w:val="both"/>
              <w:rPr>
                <w:rFonts w:ascii="Arial" w:hAnsi="Arial" w:cs="Arial"/>
              </w:rPr>
            </w:pPr>
            <w:r w:rsidRPr="000C2D4C">
              <w:rPr>
                <w:rFonts w:ascii="Arial" w:hAnsi="Arial" w:cs="Arial"/>
              </w:rPr>
              <w:t>John Raine – NHS Borders</w:t>
            </w:r>
          </w:p>
          <w:p w:rsidR="00850745" w:rsidRPr="000C2D4C" w:rsidRDefault="00850745" w:rsidP="001B32C9">
            <w:pPr>
              <w:spacing w:after="0" w:line="240" w:lineRule="auto"/>
              <w:jc w:val="both"/>
              <w:rPr>
                <w:rFonts w:ascii="Arial" w:hAnsi="Arial" w:cs="Arial"/>
              </w:rPr>
            </w:pPr>
            <w:r w:rsidRPr="000C2D4C">
              <w:rPr>
                <w:rFonts w:ascii="Arial" w:hAnsi="Arial" w:cs="Arial"/>
              </w:rPr>
              <w:t>Alan Gray – NHS Grampian</w:t>
            </w:r>
          </w:p>
          <w:p w:rsidR="00850745" w:rsidRPr="000C2D4C" w:rsidRDefault="00850745" w:rsidP="001B32C9">
            <w:pPr>
              <w:spacing w:after="0" w:line="240" w:lineRule="auto"/>
              <w:jc w:val="both"/>
              <w:rPr>
                <w:rFonts w:ascii="Arial" w:hAnsi="Arial" w:cs="Arial"/>
              </w:rPr>
            </w:pPr>
            <w:r w:rsidRPr="000C2D4C">
              <w:rPr>
                <w:rFonts w:ascii="Arial" w:hAnsi="Arial" w:cs="Arial"/>
              </w:rPr>
              <w:t>Judith Stark - Information Services Division</w:t>
            </w:r>
          </w:p>
          <w:p w:rsidR="00850745" w:rsidRPr="000C2D4C" w:rsidRDefault="00850745" w:rsidP="001B32C9">
            <w:pPr>
              <w:spacing w:after="0" w:line="240" w:lineRule="auto"/>
              <w:jc w:val="both"/>
              <w:rPr>
                <w:rFonts w:ascii="Arial" w:hAnsi="Arial" w:cs="Arial"/>
              </w:rPr>
            </w:pPr>
            <w:r w:rsidRPr="000C2D4C">
              <w:rPr>
                <w:rFonts w:ascii="Arial" w:hAnsi="Arial" w:cs="Arial"/>
              </w:rPr>
              <w:t>Lynne Jarvis – Information Services Division</w:t>
            </w:r>
          </w:p>
          <w:p w:rsidR="00850745" w:rsidRPr="000C2D4C" w:rsidRDefault="00850745" w:rsidP="001B32C9">
            <w:pPr>
              <w:spacing w:after="0" w:line="240" w:lineRule="auto"/>
              <w:jc w:val="both"/>
              <w:rPr>
                <w:rFonts w:ascii="Arial" w:hAnsi="Arial" w:cs="Arial"/>
              </w:rPr>
            </w:pPr>
            <w:r w:rsidRPr="000C2D4C">
              <w:rPr>
                <w:rFonts w:ascii="Arial" w:hAnsi="Arial" w:cs="Arial"/>
              </w:rPr>
              <w:t>Ting Yang - Information Services Division</w:t>
            </w:r>
          </w:p>
          <w:p w:rsidR="00850745" w:rsidRPr="000C2D4C" w:rsidRDefault="00850745" w:rsidP="001B32C9">
            <w:pPr>
              <w:spacing w:after="0" w:line="240" w:lineRule="auto"/>
              <w:jc w:val="both"/>
              <w:rPr>
                <w:rFonts w:ascii="Arial" w:hAnsi="Arial" w:cs="Arial"/>
              </w:rPr>
            </w:pPr>
            <w:r w:rsidRPr="000C2D4C">
              <w:rPr>
                <w:rFonts w:ascii="Arial" w:hAnsi="Arial" w:cs="Arial"/>
              </w:rPr>
              <w:t>Roger Black - Information Services Division</w:t>
            </w:r>
          </w:p>
          <w:p w:rsidR="00850745" w:rsidRPr="000C2D4C" w:rsidRDefault="00850745" w:rsidP="001B32C9">
            <w:pPr>
              <w:spacing w:after="0" w:line="240" w:lineRule="auto"/>
              <w:jc w:val="both"/>
              <w:rPr>
                <w:rFonts w:ascii="Arial" w:hAnsi="Arial" w:cs="Arial"/>
              </w:rPr>
            </w:pPr>
            <w:r w:rsidRPr="000C2D4C">
              <w:rPr>
                <w:rFonts w:ascii="Arial" w:hAnsi="Arial" w:cs="Arial"/>
              </w:rPr>
              <w:t>Sarah Touati – Information Services</w:t>
            </w:r>
            <w:r>
              <w:rPr>
                <w:rFonts w:ascii="Arial" w:hAnsi="Arial" w:cs="Arial"/>
              </w:rPr>
              <w:t xml:space="preserve"> Division</w:t>
            </w:r>
          </w:p>
        </w:tc>
        <w:tc>
          <w:tcPr>
            <w:tcW w:w="3889" w:type="dxa"/>
            <w:shd w:val="clear" w:color="auto" w:fill="auto"/>
          </w:tcPr>
          <w:p w:rsidR="00850745" w:rsidRPr="000C2D4C" w:rsidRDefault="00850745" w:rsidP="001B32C9">
            <w:pPr>
              <w:tabs>
                <w:tab w:val="left" w:pos="6540"/>
              </w:tabs>
              <w:spacing w:after="0" w:line="240" w:lineRule="auto"/>
              <w:jc w:val="both"/>
              <w:rPr>
                <w:rFonts w:ascii="Arial" w:hAnsi="Arial" w:cs="Arial"/>
              </w:rPr>
            </w:pPr>
            <w:r w:rsidRPr="000C2D4C">
              <w:rPr>
                <w:rFonts w:ascii="Arial" w:hAnsi="Arial" w:cs="Arial"/>
              </w:rPr>
              <w:t>Matt Sutton – Uni. of Manchester</w:t>
            </w:r>
          </w:p>
          <w:p w:rsidR="00850745" w:rsidRPr="000C2D4C" w:rsidRDefault="00850745" w:rsidP="001B32C9">
            <w:pPr>
              <w:tabs>
                <w:tab w:val="left" w:pos="6540"/>
              </w:tabs>
              <w:spacing w:after="0" w:line="240" w:lineRule="auto"/>
              <w:jc w:val="both"/>
              <w:rPr>
                <w:rFonts w:ascii="Arial" w:hAnsi="Arial" w:cs="Arial"/>
              </w:rPr>
            </w:pPr>
            <w:r w:rsidRPr="000C2D4C">
              <w:rPr>
                <w:rFonts w:ascii="Arial" w:hAnsi="Arial" w:cs="Arial"/>
              </w:rPr>
              <w:t>Helene Irvine - NHS GG &amp; C</w:t>
            </w:r>
          </w:p>
          <w:p w:rsidR="00850745" w:rsidRPr="000C2D4C" w:rsidRDefault="00850745" w:rsidP="001B32C9">
            <w:pPr>
              <w:spacing w:after="0" w:line="240" w:lineRule="auto"/>
              <w:jc w:val="both"/>
              <w:rPr>
                <w:rFonts w:ascii="Arial" w:hAnsi="Arial" w:cs="Arial"/>
              </w:rPr>
            </w:pPr>
            <w:r w:rsidRPr="000C2D4C">
              <w:rPr>
                <w:rFonts w:ascii="Arial" w:hAnsi="Arial" w:cs="Arial"/>
              </w:rPr>
              <w:t>Diane Skåtun – HERU</w:t>
            </w:r>
          </w:p>
          <w:p w:rsidR="00850745" w:rsidRPr="000C2D4C" w:rsidRDefault="00850745" w:rsidP="001B32C9">
            <w:pPr>
              <w:spacing w:after="0" w:line="240" w:lineRule="auto"/>
              <w:jc w:val="both"/>
              <w:rPr>
                <w:rFonts w:ascii="Arial" w:hAnsi="Arial" w:cs="Arial"/>
              </w:rPr>
            </w:pPr>
            <w:r w:rsidRPr="000C2D4C">
              <w:rPr>
                <w:rFonts w:ascii="Arial" w:hAnsi="Arial" w:cs="Arial"/>
              </w:rPr>
              <w:t>Garry Coutts – NHS Highland</w:t>
            </w:r>
          </w:p>
          <w:p w:rsidR="00850745" w:rsidRPr="000C2D4C" w:rsidRDefault="00850745" w:rsidP="001B32C9">
            <w:pPr>
              <w:spacing w:after="0" w:line="240" w:lineRule="auto"/>
              <w:jc w:val="both"/>
              <w:rPr>
                <w:rFonts w:ascii="Arial" w:hAnsi="Arial" w:cs="Arial"/>
              </w:rPr>
            </w:pPr>
            <w:r w:rsidRPr="000C2D4C">
              <w:rPr>
                <w:rFonts w:ascii="Arial" w:hAnsi="Arial" w:cs="Arial"/>
              </w:rPr>
              <w:t>George Walker – NHS Lothian</w:t>
            </w:r>
          </w:p>
          <w:p w:rsidR="00850745" w:rsidRPr="000C2D4C" w:rsidRDefault="00850745" w:rsidP="001B32C9">
            <w:pPr>
              <w:spacing w:after="0" w:line="240" w:lineRule="auto"/>
              <w:jc w:val="both"/>
              <w:rPr>
                <w:rFonts w:ascii="Arial" w:hAnsi="Arial" w:cs="Arial"/>
              </w:rPr>
            </w:pPr>
            <w:r w:rsidRPr="000C2D4C">
              <w:rPr>
                <w:rFonts w:ascii="Arial" w:hAnsi="Arial" w:cs="Arial"/>
              </w:rPr>
              <w:t>Karen Facey – TAGRA member</w:t>
            </w:r>
          </w:p>
          <w:p w:rsidR="00850745" w:rsidRPr="000C2D4C" w:rsidRDefault="00850745" w:rsidP="001B32C9">
            <w:pPr>
              <w:spacing w:after="0" w:line="240" w:lineRule="auto"/>
              <w:jc w:val="both"/>
              <w:rPr>
                <w:rFonts w:ascii="Arial" w:hAnsi="Arial" w:cs="Arial"/>
              </w:rPr>
            </w:pPr>
            <w:r w:rsidRPr="000C2D4C">
              <w:rPr>
                <w:rFonts w:ascii="Arial" w:hAnsi="Arial" w:cs="Arial"/>
              </w:rPr>
              <w:t>Richard McCallum – Scot. Gov.</w:t>
            </w:r>
          </w:p>
        </w:tc>
      </w:tr>
    </w:tbl>
    <w:p w:rsidR="00850745" w:rsidRPr="0002430E" w:rsidRDefault="00850745" w:rsidP="00850745">
      <w:pPr>
        <w:spacing w:after="0" w:line="240" w:lineRule="auto"/>
        <w:jc w:val="both"/>
        <w:rPr>
          <w:rFonts w:ascii="Arial" w:hAnsi="Arial" w:cs="Arial"/>
        </w:rPr>
      </w:pPr>
    </w:p>
    <w:p w:rsidR="00850745" w:rsidRPr="0002430E" w:rsidRDefault="00850745" w:rsidP="00850745">
      <w:pPr>
        <w:spacing w:after="0" w:line="240" w:lineRule="auto"/>
        <w:jc w:val="both"/>
        <w:rPr>
          <w:rFonts w:ascii="Arial" w:hAnsi="Arial" w:cs="Arial"/>
          <w:b/>
        </w:rPr>
      </w:pPr>
      <w:r w:rsidRPr="0002430E">
        <w:rPr>
          <w:rFonts w:ascii="Arial" w:hAnsi="Arial" w:cs="Arial"/>
          <w:b/>
        </w:rPr>
        <w:t>By Video Conference</w:t>
      </w:r>
    </w:p>
    <w:p w:rsidR="00850745" w:rsidRDefault="00850745" w:rsidP="00850745">
      <w:pPr>
        <w:spacing w:after="0" w:line="240" w:lineRule="auto"/>
        <w:jc w:val="both"/>
        <w:rPr>
          <w:rFonts w:ascii="Arial" w:hAnsi="Arial" w:cs="Arial"/>
        </w:rPr>
      </w:pPr>
      <w:r>
        <w:rPr>
          <w:rFonts w:ascii="Arial" w:hAnsi="Arial" w:cs="Arial"/>
        </w:rPr>
        <w:t>Alan McDevitt – BMA</w:t>
      </w:r>
    </w:p>
    <w:p w:rsidR="00850745" w:rsidRDefault="00850745" w:rsidP="00850745">
      <w:pPr>
        <w:spacing w:after="0" w:line="240" w:lineRule="auto"/>
        <w:jc w:val="both"/>
        <w:rPr>
          <w:rFonts w:ascii="Arial" w:hAnsi="Arial" w:cs="Arial"/>
        </w:rPr>
      </w:pPr>
      <w:r>
        <w:rPr>
          <w:rFonts w:ascii="Arial" w:hAnsi="Arial" w:cs="Arial"/>
        </w:rPr>
        <w:t>John Ross Scott – NHS Orkney</w:t>
      </w:r>
    </w:p>
    <w:p w:rsidR="00850745" w:rsidRDefault="00850745" w:rsidP="00850745">
      <w:pPr>
        <w:spacing w:after="0" w:line="240" w:lineRule="auto"/>
        <w:jc w:val="both"/>
        <w:rPr>
          <w:rFonts w:ascii="Arial" w:hAnsi="Arial" w:cs="Arial"/>
        </w:rPr>
      </w:pPr>
    </w:p>
    <w:p w:rsidR="00850745" w:rsidRPr="0002430E" w:rsidRDefault="00850745" w:rsidP="00850745">
      <w:pPr>
        <w:spacing w:after="0"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107315</wp:posOffset>
                </wp:positionV>
                <wp:extent cx="5753100" cy="0"/>
                <wp:effectExtent l="9525" t="5080" r="9525" b="1397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5pt;margin-top:8.45pt;width:45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"/>
            </w:pict>
          </mc:Fallback>
        </mc:AlternateContent>
      </w:r>
    </w:p>
    <w:p w:rsidR="00850745" w:rsidRPr="0002430E" w:rsidRDefault="00850745" w:rsidP="00850745">
      <w:pPr>
        <w:spacing w:after="0" w:line="240" w:lineRule="auto"/>
        <w:jc w:val="both"/>
        <w:rPr>
          <w:rFonts w:ascii="Arial" w:hAnsi="Arial" w:cs="Arial"/>
          <w:b/>
        </w:rPr>
      </w:pPr>
      <w:r w:rsidRPr="0002430E">
        <w:rPr>
          <w:rFonts w:ascii="Arial" w:hAnsi="Arial" w:cs="Arial"/>
          <w:b/>
        </w:rPr>
        <w:t>AGENDA ITEM 1 – Welcome and apologies</w:t>
      </w:r>
    </w:p>
    <w:p w:rsidR="00850745" w:rsidRPr="0002430E" w:rsidRDefault="00850745" w:rsidP="00850745">
      <w:pPr>
        <w:spacing w:after="0" w:line="240" w:lineRule="auto"/>
        <w:jc w:val="both"/>
        <w:rPr>
          <w:rFonts w:ascii="Arial" w:hAnsi="Arial" w:cs="Arial"/>
          <w:b/>
        </w:rPr>
      </w:pPr>
    </w:p>
    <w:p w:rsidR="00850745" w:rsidRDefault="00850745" w:rsidP="00850745">
      <w:pPr>
        <w:spacing w:after="0" w:line="240" w:lineRule="auto"/>
        <w:jc w:val="both"/>
        <w:rPr>
          <w:rFonts w:ascii="Arial" w:hAnsi="Arial" w:cs="Arial"/>
        </w:rPr>
      </w:pPr>
      <w:r>
        <w:rPr>
          <w:rFonts w:ascii="Arial" w:hAnsi="Arial" w:cs="Arial"/>
        </w:rPr>
        <w:t>John Matheson (JM</w:t>
      </w:r>
      <w:r w:rsidRPr="0002430E">
        <w:rPr>
          <w:rFonts w:ascii="Arial" w:hAnsi="Arial" w:cs="Arial"/>
        </w:rPr>
        <w:t xml:space="preserve">) welcomed the group and noted apologies from those listed above. </w:t>
      </w:r>
      <w:r>
        <w:rPr>
          <w:rFonts w:ascii="Arial" w:hAnsi="Arial" w:cs="Arial"/>
        </w:rPr>
        <w:t>Lynne Jarvis (LJ) and Sarah Touati (ST) were welcomed as new TAGRA members and Ting Yang (TY) was welcomed as an attendee.</w:t>
      </w:r>
    </w:p>
    <w:p w:rsidR="00850745" w:rsidRDefault="00850745" w:rsidP="00850745">
      <w:pPr>
        <w:spacing w:after="0" w:line="240" w:lineRule="auto"/>
        <w:jc w:val="both"/>
        <w:rPr>
          <w:rFonts w:ascii="Arial" w:hAnsi="Arial" w:cs="Arial"/>
        </w:rPr>
      </w:pPr>
    </w:p>
    <w:p w:rsidR="00850745" w:rsidRPr="0002430E" w:rsidRDefault="00850745" w:rsidP="00850745">
      <w:pPr>
        <w:spacing w:after="0"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107315</wp:posOffset>
                </wp:positionV>
                <wp:extent cx="5753100" cy="0"/>
                <wp:effectExtent l="9525" t="5715" r="9525" b="1333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5pt;margin-top:8.45pt;width:45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"/>
            </w:pict>
          </mc:Fallback>
        </mc:AlternateContent>
      </w:r>
    </w:p>
    <w:p w:rsidR="00850745" w:rsidRPr="0002430E" w:rsidRDefault="00850745" w:rsidP="00850745">
      <w:pPr>
        <w:spacing w:after="0" w:line="240" w:lineRule="auto"/>
        <w:jc w:val="both"/>
        <w:rPr>
          <w:rFonts w:ascii="Arial" w:hAnsi="Arial" w:cs="Arial"/>
          <w:b/>
        </w:rPr>
      </w:pPr>
      <w:r>
        <w:rPr>
          <w:rFonts w:ascii="Arial" w:hAnsi="Arial" w:cs="Arial"/>
          <w:b/>
        </w:rPr>
        <w:t>AGENDA ITEM 2</w:t>
      </w:r>
      <w:r w:rsidRPr="0002430E">
        <w:rPr>
          <w:rFonts w:ascii="Arial" w:hAnsi="Arial" w:cs="Arial"/>
          <w:b/>
        </w:rPr>
        <w:t xml:space="preserve"> – </w:t>
      </w:r>
      <w:r>
        <w:rPr>
          <w:rFonts w:ascii="Arial" w:hAnsi="Arial" w:cs="Arial"/>
          <w:b/>
        </w:rPr>
        <w:t>Minutes of last meeting and updates on actions</w:t>
      </w:r>
    </w:p>
    <w:p w:rsidR="00850745" w:rsidRPr="0002430E" w:rsidRDefault="00850745" w:rsidP="00850745">
      <w:pPr>
        <w:spacing w:after="0" w:line="240" w:lineRule="auto"/>
        <w:jc w:val="both"/>
        <w:rPr>
          <w:rFonts w:ascii="Arial" w:hAnsi="Arial" w:cs="Arial"/>
          <w:b/>
        </w:rPr>
      </w:pPr>
    </w:p>
    <w:p w:rsidR="00850745" w:rsidRPr="00B526F1" w:rsidRDefault="00850745" w:rsidP="00850745">
      <w:pPr>
        <w:spacing w:after="0" w:line="240" w:lineRule="auto"/>
        <w:jc w:val="both"/>
        <w:rPr>
          <w:rFonts w:ascii="Arial" w:hAnsi="Arial" w:cs="Arial"/>
        </w:rPr>
      </w:pPr>
      <w:r w:rsidRPr="00B526F1">
        <w:rPr>
          <w:rFonts w:ascii="Arial" w:hAnsi="Arial" w:cs="Arial"/>
        </w:rPr>
        <w:t>The minutes were accepted as a clear and accurate rec</w:t>
      </w:r>
      <w:r>
        <w:rPr>
          <w:rFonts w:ascii="Arial" w:hAnsi="Arial" w:cs="Arial"/>
        </w:rPr>
        <w:t>ord of the last meeting.</w:t>
      </w:r>
    </w:p>
    <w:p w:rsidR="00850745" w:rsidRDefault="00850745" w:rsidP="00850745">
      <w:pPr>
        <w:spacing w:after="0" w:line="240" w:lineRule="auto"/>
        <w:jc w:val="both"/>
        <w:rPr>
          <w:rFonts w:ascii="Arial" w:hAnsi="Arial" w:cs="Arial"/>
        </w:rPr>
      </w:pPr>
    </w:p>
    <w:p w:rsidR="00850745" w:rsidRPr="0002430E" w:rsidRDefault="00850745" w:rsidP="00850745">
      <w:pPr>
        <w:spacing w:after="0"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5715</wp:posOffset>
                </wp:positionV>
                <wp:extent cx="5753100" cy="0"/>
                <wp:effectExtent l="9525" t="12065" r="9525" b="69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5pt;margin-top:.45pt;width:45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"/>
            </w:pict>
          </mc:Fallback>
        </mc:AlternateContent>
      </w:r>
    </w:p>
    <w:p w:rsidR="00850745" w:rsidRPr="0002430E" w:rsidRDefault="00850745" w:rsidP="00850745">
      <w:pPr>
        <w:spacing w:after="0" w:line="240" w:lineRule="auto"/>
        <w:jc w:val="both"/>
        <w:rPr>
          <w:rFonts w:ascii="Arial" w:hAnsi="Arial" w:cs="Arial"/>
          <w:b/>
        </w:rPr>
      </w:pPr>
      <w:r>
        <w:rPr>
          <w:rFonts w:ascii="Arial" w:hAnsi="Arial" w:cs="Arial"/>
          <w:b/>
        </w:rPr>
        <w:t>AGENDA ITEM 3</w:t>
      </w:r>
      <w:r w:rsidRPr="0002430E">
        <w:rPr>
          <w:rFonts w:ascii="Arial" w:hAnsi="Arial" w:cs="Arial"/>
          <w:b/>
        </w:rPr>
        <w:t xml:space="preserve"> – </w:t>
      </w:r>
      <w:r>
        <w:rPr>
          <w:rFonts w:ascii="Arial" w:hAnsi="Arial" w:cs="Arial"/>
          <w:b/>
        </w:rPr>
        <w:t>Presentation on the future of the GMS Contract</w:t>
      </w:r>
    </w:p>
    <w:p w:rsidR="00850745" w:rsidRDefault="00850745" w:rsidP="00850745">
      <w:pPr>
        <w:spacing w:after="0" w:line="240" w:lineRule="auto"/>
        <w:jc w:val="both"/>
        <w:rPr>
          <w:rFonts w:ascii="Arial" w:hAnsi="Arial" w:cs="Arial"/>
          <w:b/>
        </w:rPr>
      </w:pPr>
    </w:p>
    <w:p w:rsidR="00850745" w:rsidRDefault="00850745" w:rsidP="00850745">
      <w:pPr>
        <w:spacing w:after="0" w:line="240" w:lineRule="auto"/>
        <w:jc w:val="both"/>
        <w:rPr>
          <w:rFonts w:ascii="Arial" w:hAnsi="Arial" w:cs="Arial"/>
        </w:rPr>
      </w:pPr>
      <w:r>
        <w:rPr>
          <w:rFonts w:ascii="Arial" w:hAnsi="Arial" w:cs="Arial"/>
        </w:rPr>
        <w:t>Lynda Nicholson (LN) welcomed Dr. Alan McDevitt (AMcD) to TAGRA and explained that this presentation was in response to an offer made at the August meeting. The Scottish Government and the Scottish General Practitioners Committee (SGPC) of the BMA have been delivering joint presentations the country over the past few months on the future of the GMS contract and the current presentation will largely follow this same format. It was noted that TAGRA would have a particular interested in the Scottish Allocation Formula (SAF) aspect of the contract, but explained that the presentation was intended more as an overview on the broader landscape and future challenges.</w:t>
      </w:r>
    </w:p>
    <w:p w:rsidR="00850745" w:rsidRDefault="00850745" w:rsidP="00850745">
      <w:pPr>
        <w:spacing w:after="0" w:line="240" w:lineRule="auto"/>
        <w:jc w:val="both"/>
        <w:rPr>
          <w:rFonts w:ascii="Arial" w:hAnsi="Arial" w:cs="Arial"/>
        </w:rPr>
      </w:pPr>
    </w:p>
    <w:p w:rsidR="00850745" w:rsidRDefault="00850745" w:rsidP="00850745">
      <w:pPr>
        <w:spacing w:after="0" w:line="240" w:lineRule="auto"/>
        <w:jc w:val="both"/>
        <w:rPr>
          <w:rFonts w:ascii="Arial" w:hAnsi="Arial" w:cs="Arial"/>
        </w:rPr>
      </w:pPr>
      <w:r>
        <w:rPr>
          <w:rFonts w:ascii="Arial" w:hAnsi="Arial" w:cs="Arial"/>
        </w:rPr>
        <w:t xml:space="preserve">AMcD thanked TAGRA for the invitation to present and delivered a presentation on the SGPC view of the future of the GMS contract (slides will be circulated to TAGRA members). It was explained that this was intended as an invitation to further discussion and that the </w:t>
      </w:r>
      <w:r>
        <w:rPr>
          <w:rFonts w:ascii="Arial" w:hAnsi="Arial" w:cs="Arial"/>
        </w:rPr>
        <w:lastRenderedPageBreak/>
        <w:t>SGPC would welcome views from other parties. It was, however, noted that no substantial alternative models had been suggested to date. Key themes of the presentation included;</w:t>
      </w:r>
    </w:p>
    <w:p w:rsidR="00850745" w:rsidRDefault="00850745" w:rsidP="00850745">
      <w:pPr>
        <w:numPr>
          <w:ilvl w:val="0"/>
          <w:numId w:val="5"/>
        </w:numPr>
        <w:spacing w:after="0" w:line="240" w:lineRule="auto"/>
        <w:jc w:val="both"/>
        <w:rPr>
          <w:rFonts w:ascii="Arial" w:hAnsi="Arial" w:cs="Arial"/>
        </w:rPr>
      </w:pPr>
      <w:r>
        <w:rPr>
          <w:rFonts w:ascii="Arial" w:hAnsi="Arial" w:cs="Arial"/>
        </w:rPr>
        <w:t xml:space="preserve">The current contract model not being considered sustainable in the face of workload pressures and recruitment / retention challenges; </w:t>
      </w:r>
    </w:p>
    <w:p w:rsidR="00850745" w:rsidRPr="0098796B" w:rsidRDefault="00850745" w:rsidP="00850745">
      <w:pPr>
        <w:numPr>
          <w:ilvl w:val="0"/>
          <w:numId w:val="5"/>
        </w:numPr>
        <w:spacing w:after="0" w:line="240" w:lineRule="auto"/>
        <w:jc w:val="both"/>
        <w:rPr>
          <w:rFonts w:ascii="Arial" w:hAnsi="Arial" w:cs="Arial"/>
        </w:rPr>
      </w:pPr>
      <w:r>
        <w:rPr>
          <w:rFonts w:ascii="Arial" w:hAnsi="Arial" w:cs="Arial"/>
        </w:rPr>
        <w:t>A proposed future model in which GPs are viewed as ‘expert medical generalists’ within the wider context of IJB-led health and social care delivery. This would entail a redefinition of the role of GPs in the context of primary care teams, such that they focus on ‘undifferentiated presentations’;</w:t>
      </w:r>
    </w:p>
    <w:p w:rsidR="00850745" w:rsidRDefault="00850745" w:rsidP="00850745">
      <w:pPr>
        <w:numPr>
          <w:ilvl w:val="0"/>
          <w:numId w:val="5"/>
        </w:numPr>
        <w:spacing w:after="0" w:line="240" w:lineRule="auto"/>
        <w:jc w:val="both"/>
        <w:rPr>
          <w:rFonts w:ascii="Arial" w:hAnsi="Arial" w:cs="Arial"/>
        </w:rPr>
      </w:pPr>
      <w:r>
        <w:rPr>
          <w:rFonts w:ascii="Arial" w:hAnsi="Arial" w:cs="Arial"/>
        </w:rPr>
        <w:t>A view that an independent contractor based model should be retained, but only if a suitable model for this can be agreed upon;</w:t>
      </w:r>
    </w:p>
    <w:p w:rsidR="00850745" w:rsidRDefault="00850745" w:rsidP="00850745">
      <w:pPr>
        <w:numPr>
          <w:ilvl w:val="0"/>
          <w:numId w:val="5"/>
        </w:numPr>
        <w:spacing w:after="0" w:line="240" w:lineRule="auto"/>
        <w:jc w:val="both"/>
        <w:rPr>
          <w:rFonts w:ascii="Arial" w:hAnsi="Arial" w:cs="Arial"/>
        </w:rPr>
      </w:pPr>
      <w:r>
        <w:rPr>
          <w:rFonts w:ascii="Arial" w:hAnsi="Arial" w:cs="Arial"/>
        </w:rPr>
        <w:t>The need for a re-evaluation of the risk/reward balance for GPs, in particular that they should be involved in financial planning and decision making at IJB level if they are to retain responsibility for the care of patients discharged into the community. If such authority is not made available to them, then this responsibility should shift to the wider IJB team, with the role of a GP being defined in terms of a source of expert medical advice within such a team;</w:t>
      </w:r>
    </w:p>
    <w:p w:rsidR="00850745" w:rsidRDefault="00850745" w:rsidP="00850745">
      <w:pPr>
        <w:numPr>
          <w:ilvl w:val="0"/>
          <w:numId w:val="5"/>
        </w:numPr>
        <w:spacing w:after="0" w:line="240" w:lineRule="auto"/>
        <w:jc w:val="both"/>
        <w:rPr>
          <w:rFonts w:ascii="Arial" w:hAnsi="Arial" w:cs="Arial"/>
        </w:rPr>
      </w:pPr>
      <w:r>
        <w:rPr>
          <w:rFonts w:ascii="Arial" w:hAnsi="Arial" w:cs="Arial"/>
        </w:rPr>
        <w:t>A question as to whether even an ‘ideal’ allocation formula can provide a suitable mechanism to fund general practice, with an alternative model being elements of core funding combined with NRAC-based allocations at the IJB level.</w:t>
      </w:r>
    </w:p>
    <w:p w:rsidR="00850745" w:rsidRDefault="00850745" w:rsidP="00850745">
      <w:pPr>
        <w:spacing w:after="0" w:line="240" w:lineRule="auto"/>
        <w:jc w:val="both"/>
        <w:rPr>
          <w:rFonts w:ascii="Arial" w:hAnsi="Arial" w:cs="Arial"/>
        </w:rPr>
      </w:pPr>
    </w:p>
    <w:p w:rsidR="00850745" w:rsidRDefault="00850745" w:rsidP="00850745">
      <w:pPr>
        <w:spacing w:after="0" w:line="240" w:lineRule="auto"/>
        <w:jc w:val="both"/>
        <w:rPr>
          <w:rFonts w:ascii="Arial" w:hAnsi="Arial" w:cs="Arial"/>
        </w:rPr>
      </w:pPr>
      <w:r>
        <w:rPr>
          <w:rFonts w:ascii="Arial" w:hAnsi="Arial" w:cs="Arial"/>
        </w:rPr>
        <w:t xml:space="preserve">Chris Dodds (CD), as chair of the Expert Technical Group for the present SAF Review, observed that the present allocation formula was only used to fund core GMS services </w:t>
      </w:r>
      <w:r w:rsidRPr="0098796B">
        <w:rPr>
          <w:rFonts w:ascii="Arial" w:hAnsi="Arial" w:cs="Arial"/>
        </w:rPr>
        <w:t>as they are delivered now</w:t>
      </w:r>
      <w:r>
        <w:rPr>
          <w:rFonts w:ascii="Arial" w:hAnsi="Arial" w:cs="Arial"/>
        </w:rPr>
        <w:t>. As such, any future changes to the wider contract structure would not be captured by the formula review in itself.</w:t>
      </w:r>
    </w:p>
    <w:p w:rsidR="00850745" w:rsidRDefault="00850745" w:rsidP="00850745">
      <w:pPr>
        <w:spacing w:after="0" w:line="240" w:lineRule="auto"/>
        <w:jc w:val="both"/>
        <w:rPr>
          <w:rFonts w:ascii="Arial" w:hAnsi="Arial" w:cs="Arial"/>
        </w:rPr>
      </w:pPr>
    </w:p>
    <w:p w:rsidR="00850745" w:rsidRDefault="00850745" w:rsidP="00850745">
      <w:pPr>
        <w:spacing w:after="0" w:line="240" w:lineRule="auto"/>
        <w:jc w:val="both"/>
        <w:rPr>
          <w:rFonts w:ascii="Arial" w:hAnsi="Arial" w:cs="Arial"/>
        </w:rPr>
      </w:pPr>
      <w:r>
        <w:rPr>
          <w:rFonts w:ascii="Arial" w:hAnsi="Arial" w:cs="Arial"/>
        </w:rPr>
        <w:t>LN responded to the presentation by saying that there was an appetite for change in the Scottish Government as regards GP services. They are now working with SGPC to make this happen in practice, with the contract negotiation process due to occur over the coming year. It was emphasised that the analytical work associated with the SAF Review is helpful, as it provides a first stage towards understanding an evidence base for the issues around GMS funding. However, it was acknowledged that there will also be other pieces of evidence, outwith of the formula review, that need to be developed over the coming year to inform the wider issues raised in the presentation.</w:t>
      </w:r>
    </w:p>
    <w:p w:rsidR="00850745" w:rsidRDefault="00850745" w:rsidP="00850745">
      <w:pPr>
        <w:spacing w:after="0" w:line="240" w:lineRule="auto"/>
        <w:jc w:val="both"/>
        <w:rPr>
          <w:rFonts w:ascii="Arial" w:hAnsi="Arial" w:cs="Arial"/>
        </w:rPr>
      </w:pPr>
    </w:p>
    <w:p w:rsidR="00850745" w:rsidRDefault="00850745" w:rsidP="00850745">
      <w:pPr>
        <w:spacing w:after="0" w:line="240" w:lineRule="auto"/>
        <w:jc w:val="both"/>
        <w:rPr>
          <w:rFonts w:ascii="Arial" w:hAnsi="Arial" w:cs="Arial"/>
        </w:rPr>
      </w:pPr>
      <w:r>
        <w:rPr>
          <w:rFonts w:ascii="Arial" w:hAnsi="Arial" w:cs="Arial"/>
        </w:rPr>
        <w:t>John Raine (JR) asked to what extent it was considered realistic to save money from the acute sector, assuming that this would be required in order to raise total spend on primary care? AMcD responded that the SGPC was not saying where any additional resource should come from. It was observed that the vision outlined was unlikely to represent a cost neutral solution, but that it should be a more cost effective one.</w:t>
      </w:r>
    </w:p>
    <w:p w:rsidR="00850745" w:rsidRDefault="00850745" w:rsidP="00850745">
      <w:pPr>
        <w:spacing w:after="0" w:line="240" w:lineRule="auto"/>
        <w:jc w:val="both"/>
        <w:rPr>
          <w:rFonts w:ascii="Arial" w:hAnsi="Arial" w:cs="Arial"/>
        </w:rPr>
      </w:pPr>
    </w:p>
    <w:p w:rsidR="00850745" w:rsidRDefault="00850745" w:rsidP="00850745">
      <w:pPr>
        <w:spacing w:after="0" w:line="240" w:lineRule="auto"/>
        <w:jc w:val="both"/>
        <w:rPr>
          <w:rFonts w:ascii="Arial" w:hAnsi="Arial" w:cs="Arial"/>
        </w:rPr>
      </w:pPr>
      <w:r>
        <w:rPr>
          <w:rFonts w:ascii="Arial" w:hAnsi="Arial" w:cs="Arial"/>
        </w:rPr>
        <w:t>JM stated that any rebalancing of expenditure would be more likely to occur via a reduction the rate of increase in acute spending and/or consideration of ring-fencing of resources for primary care. It was observed that connectivity between the contract review and other strategic programmes, such as Prescription for Excellence, the Out of Hours review and the National Clinical Strategies would be important in delivering a vision for primary care.</w:t>
      </w:r>
    </w:p>
    <w:p w:rsidR="00850745" w:rsidRDefault="00850745" w:rsidP="00850745">
      <w:pPr>
        <w:spacing w:after="0" w:line="240" w:lineRule="auto"/>
        <w:jc w:val="both"/>
        <w:rPr>
          <w:rFonts w:ascii="Arial" w:hAnsi="Arial" w:cs="Arial"/>
        </w:rPr>
      </w:pPr>
    </w:p>
    <w:p w:rsidR="00850745" w:rsidRDefault="00850745" w:rsidP="00850745">
      <w:pPr>
        <w:spacing w:after="0" w:line="240" w:lineRule="auto"/>
        <w:jc w:val="both"/>
        <w:rPr>
          <w:rFonts w:ascii="Arial" w:hAnsi="Arial" w:cs="Arial"/>
        </w:rPr>
      </w:pPr>
      <w:r>
        <w:rPr>
          <w:rFonts w:ascii="Arial" w:hAnsi="Arial" w:cs="Arial"/>
        </w:rPr>
        <w:t>Nick Kenton (NK) asked for more detail on how the proposed model, in which a GP represents the expert medical generalist within a wider IJB team but does not necessarily constitute the sole source of responsibility, might work in practice? AMcD noted that team working within health and social care partnerships already exists. It was observed that there was a tension between management-led and clinical-led structures within existing organisations and that the advent of IJBs should be seen as an opportunity to develop new models for this.</w:t>
      </w:r>
    </w:p>
    <w:p w:rsidR="00850745" w:rsidRDefault="00850745" w:rsidP="00850745">
      <w:pPr>
        <w:spacing w:after="0" w:line="240" w:lineRule="auto"/>
        <w:jc w:val="both"/>
        <w:rPr>
          <w:rFonts w:ascii="Arial" w:hAnsi="Arial" w:cs="Arial"/>
        </w:rPr>
      </w:pPr>
    </w:p>
    <w:p w:rsidR="00850745" w:rsidRDefault="00850745" w:rsidP="00850745">
      <w:pPr>
        <w:spacing w:after="0" w:line="240" w:lineRule="auto"/>
        <w:jc w:val="both"/>
        <w:rPr>
          <w:rFonts w:ascii="Arial" w:hAnsi="Arial" w:cs="Arial"/>
        </w:rPr>
      </w:pPr>
      <w:r>
        <w:rPr>
          <w:rFonts w:ascii="Arial" w:hAnsi="Arial" w:cs="Arial"/>
        </w:rPr>
        <w:lastRenderedPageBreak/>
        <w:t>Alan Gray (AG) observed that some of the main issues raised relate to workforce and asked whether the model envisioned would be likely to cost more? It was acknowledged that the answer to this question may not be straightforward, as existing hospital based models should also be challenged with a view to bringing certain activities closer to the community. AMcD responded that the evidence they are aware of suggests that when other professionals take on the work traditionally done by GPs, this does not seem to lead to any net reduction in costs. It was acknowledged that if GPs are to adopt the wider leadership roles outlined in the present vision, this would necessarily reduce the proportion of patient-facing time and this would then require more GPs and some increase in net cost.</w:t>
      </w:r>
    </w:p>
    <w:p w:rsidR="00850745" w:rsidRDefault="00850745" w:rsidP="00850745">
      <w:pPr>
        <w:spacing w:after="0" w:line="240" w:lineRule="auto"/>
        <w:jc w:val="both"/>
        <w:rPr>
          <w:rFonts w:ascii="Arial" w:hAnsi="Arial" w:cs="Arial"/>
        </w:rPr>
      </w:pPr>
    </w:p>
    <w:p w:rsidR="00850745" w:rsidRDefault="00850745" w:rsidP="00850745">
      <w:pPr>
        <w:spacing w:after="0" w:line="240" w:lineRule="auto"/>
        <w:jc w:val="both"/>
        <w:rPr>
          <w:rFonts w:ascii="Arial" w:hAnsi="Arial" w:cs="Arial"/>
        </w:rPr>
      </w:pPr>
      <w:r>
        <w:rPr>
          <w:rFonts w:ascii="Arial" w:hAnsi="Arial" w:cs="Arial"/>
        </w:rPr>
        <w:t>JM queried what the role of technology might be within the SGPC vision for primary care? AMcD responded that there were large opportunities, but that these necessarily had associated developmental costs. Lots of good work exists in terms of directing people to information sources and encouraging self-management, but there is a need to balance such approaches with the face-to-face element of primary care.</w:t>
      </w:r>
    </w:p>
    <w:p w:rsidR="00850745" w:rsidRDefault="00850745" w:rsidP="00850745">
      <w:pPr>
        <w:spacing w:after="0" w:line="240" w:lineRule="auto"/>
        <w:jc w:val="both"/>
        <w:rPr>
          <w:rFonts w:ascii="Arial" w:hAnsi="Arial" w:cs="Arial"/>
        </w:rPr>
      </w:pPr>
    </w:p>
    <w:p w:rsidR="00850745" w:rsidRDefault="00850745" w:rsidP="00850745">
      <w:pPr>
        <w:spacing w:after="0" w:line="240" w:lineRule="auto"/>
        <w:jc w:val="both"/>
        <w:rPr>
          <w:rFonts w:ascii="Arial" w:hAnsi="Arial" w:cs="Arial"/>
        </w:rPr>
      </w:pPr>
      <w:r>
        <w:rPr>
          <w:rFonts w:ascii="Arial" w:hAnsi="Arial" w:cs="Arial"/>
        </w:rPr>
        <w:t>John Ross Scott (JRS) explained that his experience in Orkney supported AMcD’s statement that putting other professionals in to do the work of GPs did not prove to be any cheaper. It was also observed that video consultations had proven effective in that area and that the principal limitations were not the technology itself but infrastructure.</w:t>
      </w:r>
    </w:p>
    <w:p w:rsidR="00850745" w:rsidRDefault="00850745" w:rsidP="00850745">
      <w:pPr>
        <w:spacing w:after="0" w:line="240" w:lineRule="auto"/>
        <w:jc w:val="both"/>
        <w:rPr>
          <w:rFonts w:ascii="Arial" w:hAnsi="Arial" w:cs="Arial"/>
        </w:rPr>
      </w:pPr>
    </w:p>
    <w:p w:rsidR="00850745" w:rsidRDefault="00850745" w:rsidP="00850745">
      <w:pPr>
        <w:spacing w:after="0" w:line="240" w:lineRule="auto"/>
        <w:jc w:val="both"/>
        <w:rPr>
          <w:rFonts w:ascii="Arial" w:hAnsi="Arial" w:cs="Arial"/>
        </w:rPr>
      </w:pPr>
      <w:r>
        <w:rPr>
          <w:rFonts w:ascii="Arial" w:hAnsi="Arial" w:cs="Arial"/>
        </w:rPr>
        <w:t>JM concluded the discussion by thanking AMcD for his presentation, which had clearly stimulated interest in TAGRA. AMcD left the meeting.</w:t>
      </w:r>
    </w:p>
    <w:p w:rsidR="00850745" w:rsidRDefault="00850745" w:rsidP="00850745">
      <w:pPr>
        <w:spacing w:after="0" w:line="240" w:lineRule="auto"/>
        <w:jc w:val="both"/>
        <w:rPr>
          <w:rFonts w:ascii="Arial" w:hAnsi="Arial" w:cs="Arial"/>
        </w:rPr>
      </w:pPr>
    </w:p>
    <w:p w:rsidR="00850745" w:rsidRPr="0002430E" w:rsidRDefault="00850745" w:rsidP="00850745">
      <w:pPr>
        <w:spacing w:after="0"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5715</wp:posOffset>
                </wp:positionV>
                <wp:extent cx="5753100" cy="0"/>
                <wp:effectExtent l="9525" t="13335" r="9525"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5pt;margin-top:.45pt;width:45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DD7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"/>
            </w:pict>
          </mc:Fallback>
        </mc:AlternateContent>
      </w:r>
    </w:p>
    <w:p w:rsidR="00850745" w:rsidRDefault="00850745" w:rsidP="00850745">
      <w:pPr>
        <w:spacing w:after="0" w:line="240" w:lineRule="auto"/>
        <w:jc w:val="both"/>
        <w:rPr>
          <w:rFonts w:ascii="Arial" w:hAnsi="Arial" w:cs="Arial"/>
          <w:b/>
        </w:rPr>
      </w:pPr>
      <w:r>
        <w:rPr>
          <w:rFonts w:ascii="Arial" w:hAnsi="Arial" w:cs="Arial"/>
          <w:b/>
        </w:rPr>
        <w:t>AGENDA ITEM 4</w:t>
      </w:r>
      <w:r w:rsidRPr="0002430E">
        <w:rPr>
          <w:rFonts w:ascii="Arial" w:hAnsi="Arial" w:cs="Arial"/>
          <w:b/>
        </w:rPr>
        <w:t xml:space="preserve"> – </w:t>
      </w:r>
      <w:r>
        <w:rPr>
          <w:rFonts w:ascii="Arial" w:hAnsi="Arial" w:cs="Arial"/>
          <w:b/>
        </w:rPr>
        <w:t>Update from the SAF Review</w:t>
      </w:r>
    </w:p>
    <w:p w:rsidR="00850745" w:rsidRDefault="00850745" w:rsidP="00850745">
      <w:pPr>
        <w:spacing w:after="0" w:line="240" w:lineRule="auto"/>
        <w:jc w:val="both"/>
        <w:rPr>
          <w:rFonts w:ascii="Arial" w:hAnsi="Arial" w:cs="Arial"/>
          <w:b/>
        </w:rPr>
      </w:pPr>
    </w:p>
    <w:p w:rsidR="00850745" w:rsidRDefault="00850745" w:rsidP="00850745">
      <w:pPr>
        <w:spacing w:after="0" w:line="240" w:lineRule="auto"/>
        <w:jc w:val="both"/>
        <w:rPr>
          <w:rFonts w:ascii="Arial" w:hAnsi="Arial" w:cs="Arial"/>
        </w:rPr>
      </w:pPr>
      <w:r>
        <w:rPr>
          <w:rFonts w:ascii="Arial" w:hAnsi="Arial" w:cs="Arial"/>
        </w:rPr>
        <w:t>CD presented paper TAGRA(2015)08, explaining that the main work of the Expert technical Group for the SAF Review since it’s last update to TAGRA had been as follows; completing a review of data availability, developing resource specifications to commission academic work on the workload/need and excess costs component of the formula, undertaking an impact assessment of the formula to updating the small area reference files.</w:t>
      </w:r>
    </w:p>
    <w:p w:rsidR="00850745" w:rsidRDefault="00850745" w:rsidP="00850745">
      <w:pPr>
        <w:spacing w:after="0" w:line="240" w:lineRule="auto"/>
        <w:jc w:val="both"/>
        <w:rPr>
          <w:rFonts w:ascii="Arial" w:hAnsi="Arial" w:cs="Arial"/>
        </w:rPr>
      </w:pPr>
    </w:p>
    <w:p w:rsidR="00850745" w:rsidRDefault="00850745" w:rsidP="00850745">
      <w:pPr>
        <w:spacing w:after="0" w:line="240" w:lineRule="auto"/>
        <w:jc w:val="both"/>
        <w:rPr>
          <w:rFonts w:ascii="Arial" w:hAnsi="Arial" w:cs="Arial"/>
        </w:rPr>
      </w:pPr>
      <w:r>
        <w:rPr>
          <w:rFonts w:ascii="Arial" w:hAnsi="Arial" w:cs="Arial"/>
        </w:rPr>
        <w:t>In terms of data availability, a substantial paper summarizing this has been drawn up (available to TAGRA members on request). The previously identified risk posed by the gap in GP workload data between the PTI and SPIRE data collections remains valid, but the review is exploring two alternative sources: a one-off collection as part of an existing Scottish Government funded research project and an extract from the CPRD database.</w:t>
      </w:r>
    </w:p>
    <w:p w:rsidR="00850745" w:rsidRDefault="00850745" w:rsidP="00850745">
      <w:pPr>
        <w:spacing w:after="0" w:line="240" w:lineRule="auto"/>
        <w:jc w:val="both"/>
        <w:rPr>
          <w:rFonts w:ascii="Arial" w:hAnsi="Arial" w:cs="Arial"/>
        </w:rPr>
      </w:pPr>
    </w:p>
    <w:p w:rsidR="00850745" w:rsidRDefault="00850745" w:rsidP="00850745">
      <w:pPr>
        <w:spacing w:after="0" w:line="240" w:lineRule="auto"/>
        <w:jc w:val="both"/>
        <w:rPr>
          <w:rFonts w:ascii="Arial" w:hAnsi="Arial" w:cs="Arial"/>
        </w:rPr>
      </w:pPr>
      <w:r>
        <w:rPr>
          <w:rFonts w:ascii="Arial" w:hAnsi="Arial" w:cs="Arial"/>
        </w:rPr>
        <w:t xml:space="preserve">In terms of commissioning research, it is felt to be necessary to buy in capacity to undertake the more detailed pieces of analytical work. The research specifications will be finalized over the course of September, with a view to the projects then reporting back c. March 2016. In the meanwhile, the Expert Technical Group will function as more of a steering group for the researchers undertaking the commissioned work. </w:t>
      </w:r>
    </w:p>
    <w:p w:rsidR="00850745" w:rsidRDefault="00850745" w:rsidP="00850745">
      <w:pPr>
        <w:spacing w:after="0" w:line="240" w:lineRule="auto"/>
        <w:jc w:val="both"/>
        <w:rPr>
          <w:rFonts w:ascii="Arial" w:hAnsi="Arial" w:cs="Arial"/>
        </w:rPr>
      </w:pPr>
    </w:p>
    <w:p w:rsidR="00850745" w:rsidRDefault="00850745" w:rsidP="00850745">
      <w:pPr>
        <w:spacing w:after="0" w:line="240" w:lineRule="auto"/>
        <w:jc w:val="both"/>
        <w:rPr>
          <w:rFonts w:ascii="Arial" w:hAnsi="Arial" w:cs="Arial"/>
        </w:rPr>
      </w:pPr>
      <w:r>
        <w:rPr>
          <w:rFonts w:ascii="Arial" w:hAnsi="Arial" w:cs="Arial"/>
        </w:rPr>
        <w:t>In terms of the impact assessment, it was explained that the three updated small area reference files are the Arbuthnott Indices (as used in the Morbidity and Life Circumstances weighting) and the population density / sparsity indices (as used in the Rurality / Remoteness weighting). The purpose of this work was to test how sensitive the current formula is to updates and to provide a comparison point to other models that may be developed as the review progresses. Initial results show that the reference file update has very little impact on the distributional properties of the SAF. Further work is being undertaken to explore these results more fully, including the effect of a definitional change in the census variables that make up part of the Arbuthnott index.</w:t>
      </w:r>
    </w:p>
    <w:p w:rsidR="00850745" w:rsidRDefault="00850745" w:rsidP="00850745">
      <w:pPr>
        <w:spacing w:after="0" w:line="240" w:lineRule="auto"/>
        <w:jc w:val="both"/>
        <w:rPr>
          <w:rFonts w:ascii="Arial" w:hAnsi="Arial" w:cs="Arial"/>
        </w:rPr>
      </w:pPr>
    </w:p>
    <w:p w:rsidR="00850745" w:rsidRDefault="00850745" w:rsidP="00850745">
      <w:pPr>
        <w:spacing w:after="0" w:line="240" w:lineRule="auto"/>
        <w:jc w:val="both"/>
        <w:rPr>
          <w:rFonts w:ascii="Arial" w:hAnsi="Arial" w:cs="Arial"/>
        </w:rPr>
      </w:pPr>
      <w:r>
        <w:rPr>
          <w:rFonts w:ascii="Arial" w:hAnsi="Arial" w:cs="Arial"/>
        </w:rPr>
        <w:lastRenderedPageBreak/>
        <w:t>Andrew Daly (AD) observed that it was interesting that there were not greater systematic differences arising from the reference file update. It was, however, noted that such an update did not address whether the formula is using the right (or best) indicators. CD agreed with this comment and explained that the commissioned work would look at a range of potential indicators.</w:t>
      </w:r>
    </w:p>
    <w:p w:rsidR="00850745" w:rsidRDefault="00850745" w:rsidP="00850745">
      <w:pPr>
        <w:spacing w:after="0" w:line="240" w:lineRule="auto"/>
        <w:jc w:val="both"/>
        <w:rPr>
          <w:rFonts w:ascii="Arial" w:hAnsi="Arial" w:cs="Arial"/>
        </w:rPr>
      </w:pPr>
    </w:p>
    <w:p w:rsidR="00850745" w:rsidRDefault="00850745" w:rsidP="00850745">
      <w:pPr>
        <w:spacing w:after="0" w:line="240" w:lineRule="auto"/>
        <w:jc w:val="both"/>
        <w:rPr>
          <w:rFonts w:ascii="Arial" w:hAnsi="Arial" w:cs="Arial"/>
        </w:rPr>
      </w:pPr>
      <w:r>
        <w:rPr>
          <w:rFonts w:ascii="Arial" w:hAnsi="Arial" w:cs="Arial"/>
        </w:rPr>
        <w:t>Angela Campbell (AC) asked whether it would be useful for TAGRA to give a view on what level of geographic basis to use for the small area indicators? CD acknowledged TAGRA’s extensive experience with such matters, which the SAF Review would welcome learning from. However, the manner in which this would be sought will have to depend on the timings of the review. AC accepted this, noting that it should also be possible to obtain input directly from TAGRA members between the time of meetings. Judith Stark (JS) offered that ISD could make a presentation to the Expert Technical Group on learning from the NRAC perspective, which was welcomed by CD on behalf of the Review.</w:t>
      </w:r>
    </w:p>
    <w:p w:rsidR="00850745" w:rsidRDefault="00850745" w:rsidP="00850745">
      <w:pPr>
        <w:spacing w:after="0" w:line="240" w:lineRule="auto"/>
        <w:jc w:val="both"/>
        <w:rPr>
          <w:rFonts w:ascii="Arial" w:hAnsi="Arial" w:cs="Arial"/>
        </w:rPr>
      </w:pPr>
    </w:p>
    <w:p w:rsidR="00850745" w:rsidRDefault="00850745" w:rsidP="00850745">
      <w:pPr>
        <w:spacing w:after="0" w:line="240" w:lineRule="auto"/>
        <w:jc w:val="both"/>
        <w:rPr>
          <w:rFonts w:ascii="Arial" w:hAnsi="Arial" w:cs="Arial"/>
        </w:rPr>
      </w:pPr>
      <w:r>
        <w:rPr>
          <w:rFonts w:ascii="Arial" w:hAnsi="Arial" w:cs="Arial"/>
        </w:rPr>
        <w:t>AG queried whether the SAF Review analysts were surprised to have not seen greater changes from the present update. CD and TY emphasised that the analysis remained to be finalized, and that they were still waiting on certain responses from the organisations supplying the update data. A final version of the analytical results can be brought to a future TAGRA meeting, or circulated to members upon request.</w:t>
      </w:r>
    </w:p>
    <w:p w:rsidR="00850745" w:rsidRDefault="00850745" w:rsidP="00850745">
      <w:pPr>
        <w:spacing w:after="0" w:line="240" w:lineRule="auto"/>
        <w:jc w:val="both"/>
        <w:rPr>
          <w:rFonts w:ascii="Arial" w:hAnsi="Arial" w:cs="Arial"/>
        </w:rPr>
      </w:pPr>
    </w:p>
    <w:p w:rsidR="00850745" w:rsidRDefault="00850745" w:rsidP="00850745">
      <w:pPr>
        <w:spacing w:after="0" w:line="240" w:lineRule="auto"/>
        <w:jc w:val="both"/>
        <w:rPr>
          <w:rFonts w:ascii="Arial" w:hAnsi="Arial" w:cs="Arial"/>
          <w:b/>
        </w:rPr>
      </w:pPr>
      <w:r>
        <w:rPr>
          <w:rFonts w:ascii="Arial" w:hAnsi="Arial" w:cs="Arial"/>
          <w:b/>
        </w:rPr>
        <w:t>TAGRA noted the update.</w:t>
      </w:r>
    </w:p>
    <w:p w:rsidR="00850745" w:rsidRDefault="00850745" w:rsidP="00850745">
      <w:pPr>
        <w:spacing w:after="0" w:line="240" w:lineRule="auto"/>
        <w:jc w:val="both"/>
        <w:rPr>
          <w:rFonts w:ascii="Arial" w:hAnsi="Arial" w:cs="Arial"/>
        </w:rPr>
      </w:pPr>
    </w:p>
    <w:p w:rsidR="00850745" w:rsidRPr="008B6B7C" w:rsidRDefault="00850745" w:rsidP="00850745">
      <w:pPr>
        <w:spacing w:after="0" w:line="240" w:lineRule="auto"/>
        <w:jc w:val="both"/>
        <w:rPr>
          <w:rFonts w:ascii="Arial" w:hAnsi="Arial" w:cs="Arial"/>
        </w:rPr>
      </w:pPr>
      <w:r>
        <w:rPr>
          <w:rFonts w:ascii="Arial" w:hAnsi="Arial" w:cs="Arial"/>
        </w:rPr>
        <w:t>CD and LN left the meeting.</w:t>
      </w:r>
    </w:p>
    <w:p w:rsidR="00850745" w:rsidRPr="00A1024F" w:rsidRDefault="00850745" w:rsidP="00850745">
      <w:pPr>
        <w:spacing w:after="0" w:line="240" w:lineRule="auto"/>
        <w:jc w:val="both"/>
        <w:rPr>
          <w:rFonts w:ascii="Arial" w:hAnsi="Arial" w:cs="Arial"/>
        </w:rPr>
      </w:pPr>
    </w:p>
    <w:p w:rsidR="00850745" w:rsidRPr="0002430E" w:rsidRDefault="00850745" w:rsidP="00850745">
      <w:pPr>
        <w:spacing w:after="0"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5715</wp:posOffset>
                </wp:positionV>
                <wp:extent cx="5753100" cy="0"/>
                <wp:effectExtent l="9525" t="12065" r="9525" b="69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5pt;margin-top:.45pt;width:45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"/>
            </w:pict>
          </mc:Fallback>
        </mc:AlternateContent>
      </w:r>
    </w:p>
    <w:p w:rsidR="00850745" w:rsidRDefault="00850745" w:rsidP="00850745">
      <w:pPr>
        <w:spacing w:after="0" w:line="240" w:lineRule="auto"/>
        <w:jc w:val="both"/>
        <w:rPr>
          <w:rFonts w:ascii="Arial" w:hAnsi="Arial" w:cs="Arial"/>
          <w:b/>
        </w:rPr>
      </w:pPr>
      <w:r>
        <w:rPr>
          <w:rFonts w:ascii="Arial" w:hAnsi="Arial" w:cs="Arial"/>
          <w:b/>
        </w:rPr>
        <w:t>AGENDA ITEM 5</w:t>
      </w:r>
      <w:r w:rsidRPr="0002430E">
        <w:rPr>
          <w:rFonts w:ascii="Arial" w:hAnsi="Arial" w:cs="Arial"/>
          <w:b/>
        </w:rPr>
        <w:t xml:space="preserve"> – </w:t>
      </w:r>
      <w:r>
        <w:rPr>
          <w:rFonts w:ascii="Arial" w:hAnsi="Arial" w:cs="Arial"/>
          <w:b/>
        </w:rPr>
        <w:t>Final report from Prisoner Healthcare working group</w:t>
      </w:r>
      <w:r>
        <w:rPr>
          <w:rStyle w:val="FootnoteReference"/>
          <w:rFonts w:ascii="Arial" w:hAnsi="Arial" w:cs="Arial"/>
          <w:b/>
        </w:rPr>
        <w:footnoteReference w:id="1"/>
      </w:r>
    </w:p>
    <w:p w:rsidR="00850745" w:rsidRDefault="00850745" w:rsidP="00850745">
      <w:pPr>
        <w:spacing w:after="0" w:line="240" w:lineRule="auto"/>
        <w:jc w:val="both"/>
        <w:rPr>
          <w:rFonts w:ascii="Arial" w:hAnsi="Arial" w:cs="Arial"/>
          <w:b/>
        </w:rPr>
      </w:pPr>
    </w:p>
    <w:p w:rsidR="00850745" w:rsidRDefault="00850745" w:rsidP="00850745">
      <w:pPr>
        <w:spacing w:after="0" w:line="240" w:lineRule="auto"/>
        <w:jc w:val="both"/>
        <w:rPr>
          <w:rFonts w:ascii="Arial" w:hAnsi="Arial" w:cs="Arial"/>
        </w:rPr>
      </w:pPr>
      <w:r>
        <w:rPr>
          <w:rFonts w:ascii="Arial" w:hAnsi="Arial" w:cs="Arial"/>
        </w:rPr>
        <w:t>JS presented paper TAGRA(2015)09, which provides a summary of the findings of the Prisoner Healthcare working group. A more detailed technical report has also been produced and is available to TAGRA members upon request.</w:t>
      </w:r>
    </w:p>
    <w:p w:rsidR="00850745" w:rsidRDefault="00850745" w:rsidP="00850745">
      <w:pPr>
        <w:spacing w:after="0" w:line="240" w:lineRule="auto"/>
        <w:jc w:val="both"/>
        <w:rPr>
          <w:rFonts w:ascii="Arial" w:hAnsi="Arial" w:cs="Arial"/>
        </w:rPr>
      </w:pPr>
    </w:p>
    <w:p w:rsidR="00850745" w:rsidRPr="008B6B7C" w:rsidRDefault="00850745" w:rsidP="00850745">
      <w:pPr>
        <w:spacing w:after="0" w:line="240" w:lineRule="auto"/>
        <w:jc w:val="both"/>
        <w:rPr>
          <w:rFonts w:ascii="Arial" w:hAnsi="Arial" w:cs="Arial"/>
        </w:rPr>
      </w:pPr>
      <w:r>
        <w:rPr>
          <w:rFonts w:ascii="Arial" w:hAnsi="Arial" w:cs="Arial"/>
        </w:rPr>
        <w:t>It was explained that the group had moved away from making recommendations on a cost-per-prisoner basis in favour a cost ratio approach, consistent with the wider NRAC working method. The key recommendations are summarized in the table on page 1 of the report, with the costs for male young offenders (age 16-21) and female prisoners (age 16+), expressed as ratios to that for adult male prisoners. The mechanism by which resources could be allocated to, or transferred between, health boards is also summarized in the paper. It was acknowledged that the proposed model has many limitations, principally as a result of limitations to the availability of data.</w:t>
      </w:r>
    </w:p>
    <w:p w:rsidR="00850745" w:rsidRDefault="00850745" w:rsidP="00850745">
      <w:pPr>
        <w:spacing w:after="0" w:line="240" w:lineRule="auto"/>
        <w:jc w:val="both"/>
        <w:rPr>
          <w:rFonts w:ascii="Arial" w:hAnsi="Arial" w:cs="Arial"/>
        </w:rPr>
      </w:pPr>
    </w:p>
    <w:p w:rsidR="00850745" w:rsidRDefault="00850745" w:rsidP="00850745">
      <w:pPr>
        <w:spacing w:after="0" w:line="240" w:lineRule="auto"/>
        <w:jc w:val="both"/>
        <w:rPr>
          <w:rFonts w:ascii="Arial" w:hAnsi="Arial" w:cs="Arial"/>
        </w:rPr>
      </w:pPr>
      <w:r>
        <w:rPr>
          <w:rFonts w:ascii="Arial" w:hAnsi="Arial" w:cs="Arial"/>
        </w:rPr>
        <w:t>JM expressed surprise that the relative cost of healthcare for female prisoners was so much higher than that for men. JS and AD responded that this ratio was consistent with the expectations of Andreana Adamson (chair of the National Prisoner Healthcare Network) and that there were a range of factors that could plausibly contribute to such a difference.</w:t>
      </w:r>
    </w:p>
    <w:p w:rsidR="00850745" w:rsidRDefault="00850745" w:rsidP="00850745">
      <w:pPr>
        <w:spacing w:after="0" w:line="240" w:lineRule="auto"/>
        <w:jc w:val="both"/>
        <w:rPr>
          <w:rFonts w:ascii="Arial" w:hAnsi="Arial" w:cs="Arial"/>
        </w:rPr>
      </w:pPr>
    </w:p>
    <w:p w:rsidR="00850745" w:rsidRDefault="00850745" w:rsidP="00850745">
      <w:pPr>
        <w:spacing w:after="0" w:line="240" w:lineRule="auto"/>
        <w:jc w:val="both"/>
        <w:rPr>
          <w:rFonts w:ascii="Arial" w:hAnsi="Arial" w:cs="Arial"/>
        </w:rPr>
      </w:pPr>
      <w:r>
        <w:rPr>
          <w:rFonts w:ascii="Arial" w:hAnsi="Arial" w:cs="Arial"/>
        </w:rPr>
        <w:t xml:space="preserve">AG queried that the comparison of the model-derived allocations to baseline funding provided in the paper seemed to omit the new (post - 2014) prison at HMP Grampian? JS and AD explained that the figures shown were for a period prior to the opening of the new institution and so would not be expected to capture this. When the prison population data </w:t>
      </w:r>
      <w:r>
        <w:rPr>
          <w:rFonts w:ascii="Arial" w:hAnsi="Arial" w:cs="Arial"/>
        </w:rPr>
        <w:lastRenderedPageBreak/>
        <w:t>‘catches up’ with each reconfiguration, the proposed model is intended to capture the resource allocation implications.</w:t>
      </w:r>
    </w:p>
    <w:p w:rsidR="00850745" w:rsidRDefault="00850745" w:rsidP="00850745">
      <w:pPr>
        <w:spacing w:after="0" w:line="240" w:lineRule="auto"/>
        <w:jc w:val="both"/>
        <w:rPr>
          <w:rFonts w:ascii="Arial" w:hAnsi="Arial" w:cs="Arial"/>
        </w:rPr>
      </w:pPr>
    </w:p>
    <w:p w:rsidR="00850745" w:rsidRPr="00D224B7" w:rsidRDefault="00850745" w:rsidP="00850745">
      <w:pPr>
        <w:spacing w:after="0" w:line="240" w:lineRule="auto"/>
        <w:jc w:val="both"/>
        <w:rPr>
          <w:rFonts w:ascii="Arial" w:hAnsi="Arial" w:cs="Arial"/>
          <w:color w:val="000000"/>
        </w:rPr>
      </w:pPr>
      <w:r w:rsidRPr="00D224B7">
        <w:rPr>
          <w:rFonts w:ascii="Arial" w:hAnsi="Arial" w:cs="Arial"/>
          <w:color w:val="000000"/>
        </w:rPr>
        <w:t>A discussion then followed as to how the recommended cost-ratio model would be implemented. It was agreed that Prisoner Healthcare should remain within the NRAC baseline, effectively forming a new ‘care programme’ component within the formula. The size of this component would initially be based on the current levels of resource and then be uplifted at the same rate as the baseline as a whole. The board shares for the Prisoner Healthcare component would be updated each year, according to the most recently available prison population data and the cost-ratio model recommended here.</w:t>
      </w:r>
    </w:p>
    <w:p w:rsidR="00850745" w:rsidRDefault="00850745" w:rsidP="00850745">
      <w:pPr>
        <w:spacing w:after="0" w:line="240" w:lineRule="auto"/>
        <w:jc w:val="both"/>
        <w:rPr>
          <w:rFonts w:ascii="Arial" w:hAnsi="Arial" w:cs="Arial"/>
        </w:rPr>
      </w:pPr>
    </w:p>
    <w:p w:rsidR="00850745" w:rsidRDefault="00850745" w:rsidP="00850745">
      <w:pPr>
        <w:spacing w:after="0" w:line="240" w:lineRule="auto"/>
        <w:jc w:val="both"/>
        <w:rPr>
          <w:rFonts w:ascii="Arial" w:hAnsi="Arial" w:cs="Arial"/>
        </w:rPr>
      </w:pPr>
      <w:r>
        <w:rPr>
          <w:rFonts w:ascii="Arial" w:hAnsi="Arial" w:cs="Arial"/>
        </w:rPr>
        <w:t>JM concluded the discussion by thanking the TAGRA members on the Prisoner Healthcare working group for their contribution to this work.</w:t>
      </w:r>
    </w:p>
    <w:p w:rsidR="00850745" w:rsidRDefault="00850745" w:rsidP="00850745">
      <w:pPr>
        <w:spacing w:after="0" w:line="240" w:lineRule="auto"/>
        <w:jc w:val="both"/>
        <w:rPr>
          <w:rFonts w:ascii="Arial" w:hAnsi="Arial" w:cs="Arial"/>
        </w:rPr>
      </w:pPr>
    </w:p>
    <w:p w:rsidR="00850745" w:rsidRPr="007D1543" w:rsidRDefault="00850745" w:rsidP="00850745">
      <w:pPr>
        <w:spacing w:after="0" w:line="240" w:lineRule="auto"/>
        <w:jc w:val="both"/>
        <w:rPr>
          <w:rFonts w:ascii="Arial" w:hAnsi="Arial" w:cs="Arial"/>
          <w:b/>
        </w:rPr>
      </w:pPr>
      <w:r>
        <w:rPr>
          <w:rFonts w:ascii="Arial" w:hAnsi="Arial" w:cs="Arial"/>
          <w:b/>
        </w:rPr>
        <w:t>TAGRA accepted the recommendations of the working group.</w:t>
      </w:r>
    </w:p>
    <w:p w:rsidR="00850745" w:rsidRDefault="00850745" w:rsidP="00850745">
      <w:pPr>
        <w:spacing w:after="0" w:line="240" w:lineRule="auto"/>
        <w:jc w:val="both"/>
        <w:rPr>
          <w:rFonts w:ascii="Arial" w:hAnsi="Arial" w:cs="Arial"/>
        </w:rPr>
      </w:pPr>
    </w:p>
    <w:p w:rsidR="00850745" w:rsidRPr="0002430E" w:rsidRDefault="00850745" w:rsidP="00850745">
      <w:pPr>
        <w:spacing w:after="0" w:line="240" w:lineRule="auto"/>
        <w:jc w:val="both"/>
        <w:rPr>
          <w:rFonts w:ascii="Arial" w:hAnsi="Arial" w:cs="Arial"/>
        </w:rPr>
      </w:pPr>
      <w:r>
        <w:rPr>
          <w:rFonts w:ascii="Arial" w:hAnsi="Arial" w:cs="Arial"/>
        </w:rPr>
        <w:t xml:space="preserve"> </w:t>
      </w:r>
      <w:r>
        <w:rPr>
          <w:rFonts w:ascii="Arial" w:hAnsi="Arial" w:cs="Arial"/>
          <w:noProof/>
          <w:lang w:eastAsia="en-GB"/>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5715</wp:posOffset>
                </wp:positionV>
                <wp:extent cx="5753100" cy="0"/>
                <wp:effectExtent l="9525" t="13970" r="9525"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5pt;margin-top:.45pt;width:45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"/>
            </w:pict>
          </mc:Fallback>
        </mc:AlternateContent>
      </w:r>
    </w:p>
    <w:p w:rsidR="00850745" w:rsidRDefault="00850745" w:rsidP="00850745">
      <w:pPr>
        <w:spacing w:after="0" w:line="240" w:lineRule="auto"/>
        <w:jc w:val="both"/>
        <w:rPr>
          <w:rFonts w:ascii="Arial" w:hAnsi="Arial" w:cs="Arial"/>
          <w:b/>
        </w:rPr>
      </w:pPr>
      <w:r>
        <w:rPr>
          <w:rFonts w:ascii="Arial" w:hAnsi="Arial" w:cs="Arial"/>
          <w:b/>
        </w:rPr>
        <w:t>AGENDA ITEM 6</w:t>
      </w:r>
      <w:r w:rsidRPr="0002430E">
        <w:rPr>
          <w:rFonts w:ascii="Arial" w:hAnsi="Arial" w:cs="Arial"/>
          <w:b/>
        </w:rPr>
        <w:t xml:space="preserve"> – </w:t>
      </w:r>
      <w:r>
        <w:rPr>
          <w:rFonts w:ascii="Arial" w:hAnsi="Arial" w:cs="Arial"/>
          <w:b/>
        </w:rPr>
        <w:t>Update from Acute MLC Subgroup</w:t>
      </w:r>
    </w:p>
    <w:p w:rsidR="00850745" w:rsidRDefault="00850745" w:rsidP="00850745">
      <w:pPr>
        <w:spacing w:after="0" w:line="240" w:lineRule="auto"/>
        <w:jc w:val="both"/>
        <w:rPr>
          <w:rFonts w:ascii="Arial" w:hAnsi="Arial" w:cs="Arial"/>
          <w:b/>
        </w:rPr>
      </w:pPr>
    </w:p>
    <w:p w:rsidR="00850745" w:rsidRDefault="00850745" w:rsidP="00850745">
      <w:pPr>
        <w:spacing w:after="0" w:line="240" w:lineRule="auto"/>
        <w:jc w:val="both"/>
        <w:rPr>
          <w:rFonts w:ascii="Arial" w:hAnsi="Arial" w:cs="Arial"/>
        </w:rPr>
      </w:pPr>
      <w:r>
        <w:rPr>
          <w:rFonts w:ascii="Arial" w:hAnsi="Arial" w:cs="Arial"/>
        </w:rPr>
        <w:t>LJ presented paper TAGRA(2015)10, which constitutes an update from the AMLC subgroup on its progress in terms of; timespan, geography and age grouping, unmet need analysis and development of the list of potential candidate variables. The next steps for the review will be the main regression analysis to determine the new index variable, with a more substantive update to be brought to the December TAGRA meeting. The review will report in August 2016, followed by an impact assessment and then the implementation of the recommendations into the 2017 formula run (2018/19 target shares).</w:t>
      </w:r>
    </w:p>
    <w:p w:rsidR="00850745" w:rsidRDefault="00850745" w:rsidP="00850745">
      <w:pPr>
        <w:spacing w:after="0" w:line="240" w:lineRule="auto"/>
        <w:jc w:val="both"/>
        <w:rPr>
          <w:rFonts w:ascii="Arial" w:hAnsi="Arial" w:cs="Arial"/>
        </w:rPr>
      </w:pPr>
    </w:p>
    <w:p w:rsidR="00850745" w:rsidRDefault="00850745" w:rsidP="00850745">
      <w:pPr>
        <w:spacing w:after="0" w:line="240" w:lineRule="auto"/>
        <w:jc w:val="both"/>
        <w:rPr>
          <w:rFonts w:ascii="Arial" w:hAnsi="Arial" w:cs="Arial"/>
        </w:rPr>
      </w:pPr>
      <w:r>
        <w:rPr>
          <w:rFonts w:ascii="Arial" w:hAnsi="Arial" w:cs="Arial"/>
        </w:rPr>
        <w:t>A discussion followed as to whether there was any scope for this time-scale to be adjusted for earlier implementation. It was agreed that the existing process and time-scale would be followed.</w:t>
      </w:r>
    </w:p>
    <w:p w:rsidR="00850745" w:rsidRDefault="00850745" w:rsidP="00850745">
      <w:pPr>
        <w:spacing w:after="0" w:line="240" w:lineRule="auto"/>
        <w:jc w:val="both"/>
        <w:rPr>
          <w:rFonts w:ascii="Arial" w:hAnsi="Arial" w:cs="Arial"/>
        </w:rPr>
      </w:pPr>
    </w:p>
    <w:p w:rsidR="00850745" w:rsidRDefault="00850745" w:rsidP="00850745">
      <w:pPr>
        <w:spacing w:after="0" w:line="240" w:lineRule="auto"/>
        <w:jc w:val="both"/>
        <w:rPr>
          <w:rFonts w:ascii="Arial" w:hAnsi="Arial" w:cs="Arial"/>
        </w:rPr>
      </w:pPr>
      <w:r>
        <w:rPr>
          <w:rFonts w:ascii="Arial" w:hAnsi="Arial" w:cs="Arial"/>
        </w:rPr>
        <w:t>NK raised the question as to whether the review was looking at issues of oversupply, as well as those of unmet need? Sarah Touati (ST) and Tom Russon (TR) responded that the review was following the same approach as the 2007 NRAC review in only considering adjustments for unmet need at the end of the spectrum that is a-priori considered likely to have the greatest needs (e.g. the most deprived areas).</w:t>
      </w:r>
    </w:p>
    <w:p w:rsidR="00850745" w:rsidRDefault="00850745" w:rsidP="00850745">
      <w:pPr>
        <w:spacing w:after="0" w:line="240" w:lineRule="auto"/>
        <w:jc w:val="both"/>
        <w:rPr>
          <w:rFonts w:ascii="Arial" w:hAnsi="Arial" w:cs="Arial"/>
        </w:rPr>
      </w:pPr>
    </w:p>
    <w:p w:rsidR="00850745" w:rsidRDefault="00850745" w:rsidP="00850745">
      <w:pPr>
        <w:spacing w:after="0" w:line="240" w:lineRule="auto"/>
        <w:jc w:val="both"/>
        <w:rPr>
          <w:rFonts w:ascii="Arial" w:hAnsi="Arial" w:cs="Arial"/>
        </w:rPr>
      </w:pPr>
      <w:r>
        <w:rPr>
          <w:rFonts w:ascii="Arial" w:hAnsi="Arial" w:cs="Arial"/>
        </w:rPr>
        <w:t>AD queried whether the review was considering issues related to the supply variables, in particular how these relate to unmet need? ST and TR responded that this was a good question and one that the Analytical Support Team (AST) would consider further.</w:t>
      </w:r>
    </w:p>
    <w:p w:rsidR="00850745" w:rsidRDefault="00850745" w:rsidP="00850745">
      <w:pPr>
        <w:spacing w:after="0" w:line="240" w:lineRule="auto"/>
        <w:jc w:val="both"/>
        <w:rPr>
          <w:rFonts w:ascii="Arial" w:hAnsi="Arial" w:cs="Arial"/>
        </w:rPr>
      </w:pPr>
    </w:p>
    <w:p w:rsidR="00850745" w:rsidRDefault="00850745" w:rsidP="00850745">
      <w:pPr>
        <w:spacing w:after="0" w:line="240" w:lineRule="auto"/>
        <w:jc w:val="both"/>
        <w:rPr>
          <w:rFonts w:ascii="Arial" w:hAnsi="Arial" w:cs="Arial"/>
        </w:rPr>
      </w:pPr>
      <w:r>
        <w:rPr>
          <w:rFonts w:ascii="Arial" w:hAnsi="Arial" w:cs="Arial"/>
          <w:b/>
        </w:rPr>
        <w:t xml:space="preserve">Action </w:t>
      </w:r>
      <w:r>
        <w:rPr>
          <w:rFonts w:ascii="Arial" w:hAnsi="Arial" w:cs="Arial"/>
        </w:rPr>
        <w:t>– AST to consider how supply variables are handled within the formula and whether there is a need for these approaches to be reviewed as part of the AMLC Subgroup’s work?</w:t>
      </w:r>
    </w:p>
    <w:p w:rsidR="00850745" w:rsidRDefault="00850745" w:rsidP="00850745">
      <w:pPr>
        <w:spacing w:after="0" w:line="240" w:lineRule="auto"/>
        <w:jc w:val="both"/>
        <w:rPr>
          <w:rFonts w:ascii="Arial" w:hAnsi="Arial" w:cs="Arial"/>
        </w:rPr>
      </w:pPr>
    </w:p>
    <w:p w:rsidR="00850745" w:rsidRPr="005132D9" w:rsidRDefault="00850745" w:rsidP="00850745">
      <w:pPr>
        <w:spacing w:after="0" w:line="240" w:lineRule="auto"/>
        <w:jc w:val="both"/>
        <w:rPr>
          <w:rFonts w:ascii="Arial" w:hAnsi="Arial" w:cs="Arial"/>
          <w:b/>
        </w:rPr>
      </w:pPr>
      <w:r>
        <w:rPr>
          <w:rFonts w:ascii="Arial" w:hAnsi="Arial" w:cs="Arial"/>
          <w:b/>
        </w:rPr>
        <w:t>TAGRA noted the update.</w:t>
      </w:r>
    </w:p>
    <w:p w:rsidR="00850745" w:rsidRPr="00677CD6" w:rsidRDefault="00850745" w:rsidP="00850745">
      <w:pPr>
        <w:spacing w:after="0" w:line="240" w:lineRule="auto"/>
        <w:jc w:val="both"/>
        <w:rPr>
          <w:rFonts w:ascii="Arial" w:hAnsi="Arial" w:cs="Arial"/>
        </w:rPr>
      </w:pPr>
    </w:p>
    <w:p w:rsidR="00850745" w:rsidRPr="0002430E" w:rsidRDefault="00850745" w:rsidP="00850745">
      <w:pPr>
        <w:spacing w:after="0"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5715</wp:posOffset>
                </wp:positionV>
                <wp:extent cx="5753100" cy="0"/>
                <wp:effectExtent l="9525" t="13970" r="9525"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5pt;margin-top:.45pt;width:45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"/>
            </w:pict>
          </mc:Fallback>
        </mc:AlternateContent>
      </w:r>
    </w:p>
    <w:p w:rsidR="00850745" w:rsidRDefault="00850745" w:rsidP="00850745">
      <w:pPr>
        <w:spacing w:after="0" w:line="240" w:lineRule="auto"/>
        <w:jc w:val="both"/>
        <w:rPr>
          <w:rFonts w:ascii="Arial" w:hAnsi="Arial" w:cs="Arial"/>
          <w:b/>
        </w:rPr>
      </w:pPr>
      <w:r>
        <w:rPr>
          <w:rFonts w:ascii="Arial" w:hAnsi="Arial" w:cs="Arial"/>
          <w:b/>
        </w:rPr>
        <w:t>AGENDA ITEM 7</w:t>
      </w:r>
      <w:r w:rsidRPr="0002430E">
        <w:rPr>
          <w:rFonts w:ascii="Arial" w:hAnsi="Arial" w:cs="Arial"/>
          <w:b/>
        </w:rPr>
        <w:t xml:space="preserve"> – </w:t>
      </w:r>
      <w:r>
        <w:rPr>
          <w:rFonts w:ascii="Arial" w:hAnsi="Arial" w:cs="Arial"/>
          <w:b/>
        </w:rPr>
        <w:t>Update from Community Health Activity Data Project</w:t>
      </w:r>
    </w:p>
    <w:p w:rsidR="00850745" w:rsidRDefault="00850745" w:rsidP="00850745">
      <w:pPr>
        <w:spacing w:after="0" w:line="240" w:lineRule="auto"/>
        <w:jc w:val="both"/>
        <w:rPr>
          <w:rFonts w:ascii="Arial" w:hAnsi="Arial" w:cs="Arial"/>
          <w:b/>
        </w:rPr>
      </w:pPr>
    </w:p>
    <w:p w:rsidR="00850745" w:rsidRDefault="00850745" w:rsidP="00850745">
      <w:pPr>
        <w:spacing w:after="0" w:line="240" w:lineRule="auto"/>
        <w:jc w:val="both"/>
        <w:rPr>
          <w:rFonts w:ascii="Arial" w:hAnsi="Arial" w:cs="Arial"/>
        </w:rPr>
      </w:pPr>
      <w:r>
        <w:rPr>
          <w:rFonts w:ascii="Arial" w:hAnsi="Arial" w:cs="Arial"/>
        </w:rPr>
        <w:t xml:space="preserve">JRS presented paper TAGRA(2015)11, explaining that progress was being made on all three current phases of the project. In terms of District Nursing (phase 1), the complexities of different recording systems found in different areas had proved a challenge, but was now largely overcome. The first full financial year of data will be available in summer 2016. In terms of Mental Health Nurses (phase 2), discussions regarding how to adapt the template derived for District Nursing to accommodate the team-based nature of mental health work </w:t>
      </w:r>
      <w:r>
        <w:rPr>
          <w:rFonts w:ascii="Arial" w:hAnsi="Arial" w:cs="Arial"/>
        </w:rPr>
        <w:lastRenderedPageBreak/>
        <w:t>has led to some delays, but the full data collection will commence on 1</w:t>
      </w:r>
      <w:r w:rsidRPr="00E92550">
        <w:rPr>
          <w:rFonts w:ascii="Arial" w:hAnsi="Arial" w:cs="Arial"/>
          <w:vertAlign w:val="superscript"/>
        </w:rPr>
        <w:t>st</w:t>
      </w:r>
      <w:r>
        <w:rPr>
          <w:rFonts w:ascii="Arial" w:hAnsi="Arial" w:cs="Arial"/>
        </w:rPr>
        <w:t xml:space="preserve"> April 2016 (i.e. one year behind phase 1). Phase 3 of the project is likely to focus on data for Health Visiting Services, although this remains to be confirmed. It is anticipated that future phases of the project will proceed more easily that the early ones, especially now that the template has been created. JRS explained that the CHAD project continues to intend to align with the Health &amp; Social Care Data Integration and Intelligence Project (HSCDIIP). The current expectation is that this will occur by the end of the year. </w:t>
      </w:r>
    </w:p>
    <w:p w:rsidR="00850745" w:rsidRDefault="00850745" w:rsidP="00850745">
      <w:pPr>
        <w:spacing w:after="0" w:line="240" w:lineRule="auto"/>
        <w:jc w:val="both"/>
        <w:rPr>
          <w:rFonts w:ascii="Arial" w:hAnsi="Arial" w:cs="Arial"/>
        </w:rPr>
      </w:pPr>
    </w:p>
    <w:p w:rsidR="00850745" w:rsidRDefault="00850745" w:rsidP="00850745">
      <w:pPr>
        <w:spacing w:after="0" w:line="240" w:lineRule="auto"/>
        <w:jc w:val="both"/>
        <w:rPr>
          <w:rFonts w:ascii="Arial" w:hAnsi="Arial" w:cs="Arial"/>
        </w:rPr>
      </w:pPr>
      <w:r>
        <w:rPr>
          <w:rFonts w:ascii="Arial" w:hAnsi="Arial" w:cs="Arial"/>
        </w:rPr>
        <w:t>JM noted that JRS will be standing down as Chair of NHS Orkney at the end of November, such that this will be his final TAGRA meeting. JM extended his thanks to JRS for his lively and valued contributions to TAGRA over the course of 22 meetings and noted that his work on the CHAD project represents a fine manner in which to conclude.</w:t>
      </w:r>
    </w:p>
    <w:p w:rsidR="00850745" w:rsidRDefault="00850745" w:rsidP="00850745">
      <w:pPr>
        <w:spacing w:after="0" w:line="240" w:lineRule="auto"/>
        <w:jc w:val="both"/>
        <w:rPr>
          <w:rFonts w:ascii="Arial" w:hAnsi="Arial" w:cs="Arial"/>
        </w:rPr>
      </w:pPr>
    </w:p>
    <w:p w:rsidR="00850745" w:rsidRPr="005132D9" w:rsidRDefault="00850745" w:rsidP="00850745">
      <w:pPr>
        <w:spacing w:after="0" w:line="240" w:lineRule="auto"/>
        <w:jc w:val="both"/>
        <w:rPr>
          <w:rFonts w:ascii="Arial" w:hAnsi="Arial" w:cs="Arial"/>
          <w:b/>
        </w:rPr>
      </w:pPr>
      <w:r>
        <w:rPr>
          <w:rFonts w:ascii="Arial" w:hAnsi="Arial" w:cs="Arial"/>
          <w:b/>
        </w:rPr>
        <w:t>TAGRA noted the update.</w:t>
      </w:r>
    </w:p>
    <w:p w:rsidR="00850745" w:rsidRPr="00677CD6" w:rsidRDefault="00850745" w:rsidP="00850745">
      <w:pPr>
        <w:spacing w:after="0" w:line="240" w:lineRule="auto"/>
        <w:jc w:val="both"/>
        <w:rPr>
          <w:rFonts w:ascii="Arial" w:hAnsi="Arial" w:cs="Arial"/>
        </w:rPr>
      </w:pPr>
    </w:p>
    <w:p w:rsidR="00850745" w:rsidRPr="0002430E" w:rsidRDefault="00850745" w:rsidP="00850745">
      <w:pPr>
        <w:spacing w:after="0"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5715</wp:posOffset>
                </wp:positionV>
                <wp:extent cx="5753100" cy="0"/>
                <wp:effectExtent l="9525" t="5715" r="952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5pt;margin-top:.45pt;width:45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vGJQIAAEo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"/>
            </w:pict>
          </mc:Fallback>
        </mc:AlternateContent>
      </w:r>
    </w:p>
    <w:p w:rsidR="00850745" w:rsidRDefault="00850745" w:rsidP="00850745">
      <w:pPr>
        <w:spacing w:after="0" w:line="240" w:lineRule="auto"/>
        <w:jc w:val="both"/>
        <w:rPr>
          <w:rFonts w:ascii="Arial" w:hAnsi="Arial" w:cs="Arial"/>
          <w:b/>
        </w:rPr>
      </w:pPr>
      <w:r>
        <w:rPr>
          <w:rFonts w:ascii="Arial" w:hAnsi="Arial" w:cs="Arial"/>
          <w:b/>
        </w:rPr>
        <w:t>AGENDA ITEM 8</w:t>
      </w:r>
      <w:r w:rsidRPr="0002430E">
        <w:rPr>
          <w:rFonts w:ascii="Arial" w:hAnsi="Arial" w:cs="Arial"/>
          <w:b/>
        </w:rPr>
        <w:t xml:space="preserve"> – </w:t>
      </w:r>
      <w:r>
        <w:rPr>
          <w:rFonts w:ascii="Arial" w:hAnsi="Arial" w:cs="Arial"/>
          <w:b/>
        </w:rPr>
        <w:t>Work Plan</w:t>
      </w:r>
    </w:p>
    <w:p w:rsidR="00850745" w:rsidRDefault="00850745" w:rsidP="00850745">
      <w:pPr>
        <w:spacing w:after="0" w:line="240" w:lineRule="auto"/>
        <w:jc w:val="both"/>
        <w:rPr>
          <w:rFonts w:ascii="Arial" w:hAnsi="Arial" w:cs="Arial"/>
          <w:b/>
        </w:rPr>
      </w:pPr>
    </w:p>
    <w:p w:rsidR="00850745" w:rsidRDefault="00850745" w:rsidP="00850745">
      <w:pPr>
        <w:spacing w:after="0" w:line="240" w:lineRule="auto"/>
        <w:jc w:val="both"/>
        <w:rPr>
          <w:rFonts w:ascii="Arial" w:hAnsi="Arial" w:cs="Arial"/>
        </w:rPr>
      </w:pPr>
      <w:r>
        <w:rPr>
          <w:rFonts w:ascii="Arial" w:hAnsi="Arial" w:cs="Arial"/>
        </w:rPr>
        <w:t>TR presented paper TAGRA(2015)12, which represents a routine update to the TAGRA analytical work-plan (now running though to April 2017). The main alterations from the previous version are the removal (following closure) of the Population Estimates Comparison project and Prisoner Healthcare items. The approximate spend data in the table showing the NRAC formula breakdown by care programme has been updated to 2013/14, with a total figure added and placed in the context of wider Scottish Government budgets.</w:t>
      </w:r>
    </w:p>
    <w:p w:rsidR="00850745" w:rsidRDefault="00850745" w:rsidP="00850745">
      <w:pPr>
        <w:spacing w:after="0" w:line="240" w:lineRule="auto"/>
        <w:jc w:val="both"/>
        <w:rPr>
          <w:rFonts w:ascii="Arial" w:hAnsi="Arial" w:cs="Arial"/>
        </w:rPr>
      </w:pPr>
    </w:p>
    <w:p w:rsidR="00850745" w:rsidRDefault="00850745" w:rsidP="00850745">
      <w:pPr>
        <w:spacing w:after="0" w:line="240" w:lineRule="auto"/>
        <w:jc w:val="both"/>
        <w:rPr>
          <w:rFonts w:ascii="Arial" w:hAnsi="Arial" w:cs="Arial"/>
          <w:b/>
        </w:rPr>
      </w:pPr>
      <w:r>
        <w:rPr>
          <w:rFonts w:ascii="Arial" w:hAnsi="Arial" w:cs="Arial"/>
          <w:b/>
        </w:rPr>
        <w:t>TAGRA noted the update.</w:t>
      </w:r>
    </w:p>
    <w:p w:rsidR="00850745" w:rsidRDefault="00850745" w:rsidP="00850745">
      <w:pPr>
        <w:spacing w:after="0" w:line="240" w:lineRule="auto"/>
        <w:jc w:val="both"/>
        <w:rPr>
          <w:rFonts w:ascii="Arial" w:hAnsi="Arial" w:cs="Arial"/>
          <w:b/>
        </w:rPr>
      </w:pPr>
    </w:p>
    <w:p w:rsidR="00850745" w:rsidRPr="0002430E" w:rsidRDefault="00850745" w:rsidP="00850745">
      <w:pPr>
        <w:spacing w:after="0"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5715</wp:posOffset>
                </wp:positionV>
                <wp:extent cx="575310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5pt;margin-top:.45pt;width:45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"/>
            </w:pict>
          </mc:Fallback>
        </mc:AlternateContent>
      </w:r>
    </w:p>
    <w:p w:rsidR="00850745" w:rsidRDefault="00850745" w:rsidP="00850745">
      <w:pPr>
        <w:spacing w:after="0" w:line="240" w:lineRule="auto"/>
        <w:jc w:val="both"/>
        <w:rPr>
          <w:rFonts w:ascii="Arial" w:hAnsi="Arial" w:cs="Arial"/>
          <w:b/>
        </w:rPr>
      </w:pPr>
      <w:r>
        <w:rPr>
          <w:rFonts w:ascii="Arial" w:hAnsi="Arial" w:cs="Arial"/>
          <w:b/>
        </w:rPr>
        <w:t>A.O.B. and date of next meeting</w:t>
      </w:r>
    </w:p>
    <w:p w:rsidR="00850745" w:rsidRDefault="00850745" w:rsidP="00850745">
      <w:pPr>
        <w:spacing w:after="0" w:line="240" w:lineRule="auto"/>
        <w:jc w:val="both"/>
        <w:rPr>
          <w:rFonts w:ascii="Arial" w:hAnsi="Arial" w:cs="Arial"/>
          <w:b/>
        </w:rPr>
      </w:pPr>
    </w:p>
    <w:p w:rsidR="00850745" w:rsidRDefault="00850745" w:rsidP="00850745">
      <w:pPr>
        <w:spacing w:after="0" w:line="240" w:lineRule="auto"/>
        <w:jc w:val="both"/>
        <w:rPr>
          <w:rFonts w:ascii="Arial" w:hAnsi="Arial" w:cs="Arial"/>
        </w:rPr>
      </w:pPr>
      <w:r>
        <w:rPr>
          <w:rFonts w:ascii="Arial" w:hAnsi="Arial" w:cs="Arial"/>
        </w:rPr>
        <w:t>LJ provided an update on the 2016/17 NRAC formula run, which is now almost complete. The initial target shares will be passed to Scottish Government colleagues for Quality Assurance on 31</w:t>
      </w:r>
      <w:r w:rsidRPr="00427407">
        <w:rPr>
          <w:rFonts w:ascii="Arial" w:hAnsi="Arial" w:cs="Arial"/>
          <w:vertAlign w:val="superscript"/>
        </w:rPr>
        <w:t>st</w:t>
      </w:r>
      <w:r>
        <w:rPr>
          <w:rFonts w:ascii="Arial" w:hAnsi="Arial" w:cs="Arial"/>
        </w:rPr>
        <w:t xml:space="preserve"> August, with publication of the target shares as an Official Statistic being pre-announced for 29</w:t>
      </w:r>
      <w:r w:rsidRPr="00427407">
        <w:rPr>
          <w:rFonts w:ascii="Arial" w:hAnsi="Arial" w:cs="Arial"/>
          <w:vertAlign w:val="superscript"/>
        </w:rPr>
        <w:t>th</w:t>
      </w:r>
      <w:r>
        <w:rPr>
          <w:rFonts w:ascii="Arial" w:hAnsi="Arial" w:cs="Arial"/>
        </w:rPr>
        <w:t xml:space="preserve"> September.</w:t>
      </w:r>
    </w:p>
    <w:p w:rsidR="00850745" w:rsidRDefault="00850745" w:rsidP="00850745">
      <w:pPr>
        <w:spacing w:after="0" w:line="240" w:lineRule="auto"/>
        <w:jc w:val="both"/>
        <w:rPr>
          <w:rFonts w:ascii="Arial" w:hAnsi="Arial" w:cs="Arial"/>
        </w:rPr>
      </w:pPr>
    </w:p>
    <w:p w:rsidR="00850745" w:rsidRDefault="00850745" w:rsidP="00850745">
      <w:pPr>
        <w:spacing w:after="0" w:line="240" w:lineRule="auto"/>
        <w:jc w:val="both"/>
        <w:rPr>
          <w:rFonts w:ascii="Arial" w:hAnsi="Arial" w:cs="Arial"/>
        </w:rPr>
      </w:pPr>
      <w:r>
        <w:rPr>
          <w:rFonts w:ascii="Arial" w:hAnsi="Arial" w:cs="Arial"/>
        </w:rPr>
        <w:t>Kirsty MacLachlan (KM) provided an update on the closure report from the Population Estimates Comparison Project. A draft has been circulated to the project board for comments and the collation of lessons learned. There is a recognised need to phrase the report carefully, given the nature of the analysis which underlies the conclusions. A suitably redrafted version will be circulated to TAGRA members once it becomes available.</w:t>
      </w:r>
    </w:p>
    <w:p w:rsidR="00850745" w:rsidRDefault="00850745" w:rsidP="00850745">
      <w:pPr>
        <w:spacing w:after="0" w:line="240" w:lineRule="auto"/>
        <w:jc w:val="both"/>
        <w:rPr>
          <w:rFonts w:ascii="Arial" w:hAnsi="Arial" w:cs="Arial"/>
        </w:rPr>
      </w:pPr>
    </w:p>
    <w:p w:rsidR="00850745" w:rsidRDefault="00850745" w:rsidP="00850745">
      <w:pPr>
        <w:spacing w:after="0" w:line="240" w:lineRule="auto"/>
        <w:jc w:val="both"/>
        <w:rPr>
          <w:rFonts w:ascii="Arial" w:hAnsi="Arial" w:cs="Arial"/>
        </w:rPr>
      </w:pPr>
      <w:r>
        <w:rPr>
          <w:rFonts w:ascii="Arial" w:hAnsi="Arial" w:cs="Arial"/>
        </w:rPr>
        <w:t>KM provided a further update on two pieces of new work within NRS looking at the methodologies associated with population projections. The first element relates to sub-national (e.g. health board) level projections and follows on from a revision to the methodology used by ONS. In essence, the revision involves a shift from a numbers-based approach to a rate-based approach for estimating net migration between regions / countries. The revised method will be used for the 2014-based projections (to be published in summer 2016) and will become routine from them on. The second element is looking at small area (e.g. sub-council) population projections, and is aiming to produce a one-off set of projections in March 2016. The preferred geography for this work remains to be determined, but multi-member wards are favoured by many local authorities. TAGRA members queried whether there was a potential linkage to be made, in terms of health boards having input to this process alongside local authorities.</w:t>
      </w:r>
    </w:p>
    <w:p w:rsidR="00850745" w:rsidRDefault="00850745" w:rsidP="00850745">
      <w:pPr>
        <w:spacing w:after="0" w:line="240" w:lineRule="auto"/>
        <w:jc w:val="both"/>
        <w:rPr>
          <w:rFonts w:ascii="Arial" w:hAnsi="Arial" w:cs="Arial"/>
        </w:rPr>
      </w:pPr>
    </w:p>
    <w:p w:rsidR="00850745" w:rsidRDefault="00850745" w:rsidP="00850745">
      <w:pPr>
        <w:spacing w:after="0" w:line="240" w:lineRule="auto"/>
        <w:jc w:val="both"/>
        <w:rPr>
          <w:rFonts w:ascii="Arial" w:hAnsi="Arial" w:cs="Arial"/>
        </w:rPr>
      </w:pPr>
      <w:r>
        <w:rPr>
          <w:rFonts w:ascii="Arial" w:hAnsi="Arial" w:cs="Arial"/>
        </w:rPr>
        <w:lastRenderedPageBreak/>
        <w:t>JR provided an update to TAGRA on an issue that has been raised by the board Chairs involved in the Finance Portfolio Group, which is chaired by Alex Linkston (NHS Forth Valley). This group had raised the concern that, from a financial management perspective, boards need as much stability as possibility in terms of allocations going forwards. Alex Linkston and JR met with JM and other Scottish Government officials on 28</w:t>
      </w:r>
      <w:r w:rsidRPr="008862FE">
        <w:rPr>
          <w:rFonts w:ascii="Arial" w:hAnsi="Arial" w:cs="Arial"/>
          <w:vertAlign w:val="superscript"/>
        </w:rPr>
        <w:t>th</w:t>
      </w:r>
      <w:r>
        <w:rPr>
          <w:rFonts w:ascii="Arial" w:hAnsi="Arial" w:cs="Arial"/>
        </w:rPr>
        <w:t xml:space="preserve"> May to discuss this. One possibility that was raised in terms of offering greater stability, whilst recognizing the need to continually update and improve the formula and the political importance of the 1% parity target, was that of shifting to the use of a rolling 3-year average of target shares. Exploratory analysis of such an approach will be undertaken by Health ASD. The importance of the buy-in of all boards to any change was emphasised. JM agreed that TAGRA should seek to provide an update on its activities to the Chairs, as well as to the DoFs, over the coming year. He affirmed that the purpose of the 3-year rolling average approach would be to smooth out year-to-year changes in target shares and that the formula would still be run on an annual basis. TAGRA will be kept informed of developments going forwards.</w:t>
      </w:r>
    </w:p>
    <w:p w:rsidR="00850745" w:rsidRDefault="00850745" w:rsidP="00850745">
      <w:pPr>
        <w:spacing w:after="0" w:line="240" w:lineRule="auto"/>
        <w:jc w:val="both"/>
        <w:rPr>
          <w:rFonts w:ascii="Arial" w:hAnsi="Arial" w:cs="Arial"/>
        </w:rPr>
      </w:pPr>
    </w:p>
    <w:p w:rsidR="00850745" w:rsidRDefault="00850745" w:rsidP="00850745">
      <w:pPr>
        <w:spacing w:after="0" w:line="240" w:lineRule="auto"/>
        <w:jc w:val="both"/>
        <w:rPr>
          <w:rFonts w:ascii="Arial" w:hAnsi="Arial" w:cs="Arial"/>
        </w:rPr>
      </w:pPr>
      <w:r>
        <w:rPr>
          <w:rFonts w:ascii="Arial" w:hAnsi="Arial" w:cs="Arial"/>
        </w:rPr>
        <w:t>The next meeting of TAGRA will be held on Tuesday 9</w:t>
      </w:r>
      <w:r w:rsidRPr="00DB0FFB">
        <w:rPr>
          <w:rFonts w:ascii="Arial" w:hAnsi="Arial" w:cs="Arial"/>
          <w:vertAlign w:val="superscript"/>
        </w:rPr>
        <w:t>th</w:t>
      </w:r>
      <w:r>
        <w:rPr>
          <w:rFonts w:ascii="Arial" w:hAnsi="Arial" w:cs="Arial"/>
        </w:rPr>
        <w:t xml:space="preserve"> February 2016 at Waverley Gate, Edinburgh.</w:t>
      </w:r>
    </w:p>
    <w:p w:rsidR="00E3599D" w:rsidRDefault="00E3599D" w:rsidP="00E36759"/>
    <w:sectPr w:rsidR="00E3599D"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745" w:rsidRDefault="00850745">
      <w:pPr>
        <w:spacing w:line="240" w:lineRule="auto"/>
      </w:pPr>
      <w:r>
        <w:separator/>
      </w:r>
    </w:p>
  </w:endnote>
  <w:endnote w:type="continuationSeparator" w:id="0">
    <w:p w:rsidR="00850745" w:rsidRDefault="008507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745" w:rsidRDefault="00850745">
      <w:pPr>
        <w:spacing w:line="240" w:lineRule="auto"/>
      </w:pPr>
      <w:r>
        <w:separator/>
      </w:r>
    </w:p>
  </w:footnote>
  <w:footnote w:type="continuationSeparator" w:id="0">
    <w:p w:rsidR="00850745" w:rsidRDefault="00850745">
      <w:pPr>
        <w:spacing w:line="240" w:lineRule="auto"/>
      </w:pPr>
      <w:r>
        <w:continuationSeparator/>
      </w:r>
    </w:p>
  </w:footnote>
  <w:footnote w:id="1">
    <w:p w:rsidR="00850745" w:rsidRPr="007C3400" w:rsidRDefault="00850745" w:rsidP="00850745">
      <w:pPr>
        <w:pStyle w:val="FootnoteText"/>
        <w:rPr>
          <w:i/>
        </w:rPr>
      </w:pPr>
      <w:r w:rsidRPr="007C3400">
        <w:rPr>
          <w:rStyle w:val="FootnoteReference"/>
          <w:i/>
        </w:rPr>
        <w:footnoteRef/>
      </w:r>
      <w:r w:rsidRPr="007C3400">
        <w:rPr>
          <w:i/>
        </w:rPr>
        <w:t xml:space="preserve"> Post meeting note: in follow up to a previous TAGRA action, Andreana Adamson has confirmed that the National Prisoner Healthcare Network has “established an outcomes and quality work stream”.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850745" w:rsidP="0067486A">
    <w:pPr>
      <w:pStyle w:val="Header"/>
      <w:tabs>
        <w:tab w:val="clear" w:pos="4153"/>
        <w:tab w:val="clear" w:pos="8306"/>
        <w:tab w:val="center" w:pos="4500"/>
        <w:tab w:val="right" w:pos="9000"/>
      </w:tabs>
      <w:rPr>
        <w:sz w:val="20"/>
      </w:rPr>
    </w:pPr>
    <w:r>
      <w:rPr>
        <w:sz w:val="20"/>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33FB6349"/>
    <w:multiLevelType w:val="hybridMultilevel"/>
    <w:tmpl w:val="5776D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745"/>
    <w:rsid w:val="00100021"/>
    <w:rsid w:val="001267F7"/>
    <w:rsid w:val="00157346"/>
    <w:rsid w:val="00192DC7"/>
    <w:rsid w:val="001F39DD"/>
    <w:rsid w:val="002F3688"/>
    <w:rsid w:val="003F2479"/>
    <w:rsid w:val="00411FC4"/>
    <w:rsid w:val="0067486A"/>
    <w:rsid w:val="006D26F7"/>
    <w:rsid w:val="00850745"/>
    <w:rsid w:val="00952710"/>
    <w:rsid w:val="009F71B8"/>
    <w:rsid w:val="00A35A6A"/>
    <w:rsid w:val="00A56EBA"/>
    <w:rsid w:val="00A90A53"/>
    <w:rsid w:val="00AB54FF"/>
    <w:rsid w:val="00AC310B"/>
    <w:rsid w:val="00AE01CB"/>
    <w:rsid w:val="00C86FBA"/>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745"/>
    <w:pPr>
      <w:spacing w:after="200" w:line="276" w:lineRule="auto"/>
    </w:pPr>
    <w:rPr>
      <w:rFonts w:ascii="Calibri" w:eastAsia="Calibri" w:hAnsi="Calibri"/>
      <w:sz w:val="22"/>
      <w:szCs w:val="22"/>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paragraph" w:styleId="FootnoteText">
    <w:name w:val="footnote text"/>
    <w:basedOn w:val="Normal"/>
    <w:link w:val="FootnoteTextChar"/>
    <w:uiPriority w:val="99"/>
    <w:semiHidden/>
    <w:unhideWhenUsed/>
    <w:rsid w:val="00850745"/>
    <w:rPr>
      <w:sz w:val="20"/>
      <w:szCs w:val="20"/>
    </w:rPr>
  </w:style>
  <w:style w:type="character" w:customStyle="1" w:styleId="FootnoteTextChar">
    <w:name w:val="Footnote Text Char"/>
    <w:basedOn w:val="DefaultParagraphFont"/>
    <w:link w:val="FootnoteText"/>
    <w:uiPriority w:val="99"/>
    <w:semiHidden/>
    <w:rsid w:val="00850745"/>
    <w:rPr>
      <w:rFonts w:ascii="Calibri" w:eastAsia="Calibri" w:hAnsi="Calibri"/>
      <w:sz w:val="20"/>
      <w:lang w:eastAsia="en-US"/>
    </w:rPr>
  </w:style>
  <w:style w:type="character" w:styleId="FootnoteReference">
    <w:name w:val="footnote reference"/>
    <w:uiPriority w:val="99"/>
    <w:semiHidden/>
    <w:unhideWhenUsed/>
    <w:rsid w:val="008507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745"/>
    <w:pPr>
      <w:spacing w:after="200" w:line="276" w:lineRule="auto"/>
    </w:pPr>
    <w:rPr>
      <w:rFonts w:ascii="Calibri" w:eastAsia="Calibri" w:hAnsi="Calibri"/>
      <w:sz w:val="22"/>
      <w:szCs w:val="22"/>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paragraph" w:styleId="FootnoteText">
    <w:name w:val="footnote text"/>
    <w:basedOn w:val="Normal"/>
    <w:link w:val="FootnoteTextChar"/>
    <w:uiPriority w:val="99"/>
    <w:semiHidden/>
    <w:unhideWhenUsed/>
    <w:rsid w:val="00850745"/>
    <w:rPr>
      <w:sz w:val="20"/>
      <w:szCs w:val="20"/>
    </w:rPr>
  </w:style>
  <w:style w:type="character" w:customStyle="1" w:styleId="FootnoteTextChar">
    <w:name w:val="Footnote Text Char"/>
    <w:basedOn w:val="DefaultParagraphFont"/>
    <w:link w:val="FootnoteText"/>
    <w:uiPriority w:val="99"/>
    <w:semiHidden/>
    <w:rsid w:val="00850745"/>
    <w:rPr>
      <w:rFonts w:ascii="Calibri" w:eastAsia="Calibri" w:hAnsi="Calibri"/>
      <w:sz w:val="20"/>
      <w:lang w:eastAsia="en-US"/>
    </w:rPr>
  </w:style>
  <w:style w:type="character" w:styleId="FootnoteReference">
    <w:name w:val="footnote reference"/>
    <w:uiPriority w:val="99"/>
    <w:semiHidden/>
    <w:unhideWhenUsed/>
    <w:rsid w:val="008507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3151</Words>
  <Characters>17966</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u440905</dc:creator>
  <cp:lastModifiedBy>u440905</cp:lastModifiedBy>
  <cp:revision>2</cp:revision>
  <dcterms:created xsi:type="dcterms:W3CDTF">2016-02-16T09:57:00Z</dcterms:created>
  <dcterms:modified xsi:type="dcterms:W3CDTF">2016-02-16T09:57:00Z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A13417066</vt:lpwstr>
  </property>
  <property fmtid="{D5CDD505-2E9C-101B-9397-08002B2CF9AE}" pid="4" name="Objective-Title">
    <vt:lpwstr>ASDHD \ 2015 \ TAGRA \ Meeting 2 \ Minutes</vt:lpwstr>
  </property>
  <property fmtid="{D5CDD505-2E9C-101B-9397-08002B2CF9AE}" pid="5" name="Objective-Comment">
    <vt:lpwstr>
    </vt:lpwstr>
  </property>
  <property fmtid="{D5CDD505-2E9C-101B-9397-08002B2CF9AE}" pid="6" name="Objective-CreationStamp">
    <vt:filetime>2016-02-12T15:13:06Z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2016-02-12T15:13:06Z</vt:filetime>
  </property>
  <property fmtid="{D5CDD505-2E9C-101B-9397-08002B2CF9AE}" pid="11" name="Objective-Owner">
    <vt:lpwstr>Williams, Evan E (U440905)</vt:lpwstr>
  </property>
  <property fmtid="{D5CDD505-2E9C-101B-9397-08002B2CF9AE}" pid="12" name="Objective-Path">
    <vt:lpwstr>Objective Global Folder:SG File Plan:Health, nutrition and care:National Health Service (NHS):NHS management:Committees and groups: NHS management:Analytical: NHS Scotland Resource Allocation Committee: Restricted working papers: Implementation: Committee</vt:lpwstr>
  </property>
  <property fmtid="{D5CDD505-2E9C-101B-9397-08002B2CF9AE}" pid="13" name="Objective-Parent">
    <vt:lpwstr>Analytical: NHS Scotland Resource Allocation Committee: Restricted working papers: Implementation: Committees and Groups: NHS Management: 2014-2019</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vt:lpwstr>
  </property>
  <property fmtid="{D5CDD505-2E9C-101B-9397-08002B2CF9AE}" pid="19" name="Objective-Classification">
    <vt:lpwstr>[Inherited - Restricted]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