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3B" w:rsidRDefault="00960F3B" w:rsidP="00960F3B">
      <w:pPr>
        <w:rPr>
          <w:rFonts w:ascii="Arial" w:hAnsi="Arial" w:cs="Arial"/>
          <w:b/>
          <w:szCs w:val="24"/>
        </w:rPr>
      </w:pPr>
      <w:bookmarkStart w:id="0" w:name="_GoBack"/>
      <w:bookmarkEnd w:id="0"/>
      <w:r w:rsidRPr="00667701">
        <w:rPr>
          <w:rFonts w:ascii="Arial" w:hAnsi="Arial" w:cs="Arial"/>
          <w:b/>
          <w:szCs w:val="24"/>
        </w:rPr>
        <w:t xml:space="preserve">Acute Morbidity and Life Circumstances (MLC) Review </w:t>
      </w:r>
      <w:r w:rsidR="00C72EEB">
        <w:rPr>
          <w:rFonts w:ascii="Arial" w:hAnsi="Arial" w:cs="Arial"/>
          <w:b/>
          <w:szCs w:val="24"/>
        </w:rPr>
        <w:t>Update</w:t>
      </w:r>
    </w:p>
    <w:p w:rsidR="00960F3B" w:rsidRDefault="00960F3B" w:rsidP="00960F3B">
      <w:pPr>
        <w:rPr>
          <w:rFonts w:ascii="Arial" w:hAnsi="Arial" w:cs="Arial"/>
          <w:b/>
          <w:szCs w:val="24"/>
        </w:rPr>
      </w:pPr>
    </w:p>
    <w:p w:rsidR="00960F3B" w:rsidRPr="00667701" w:rsidRDefault="00960F3B" w:rsidP="00960F3B">
      <w:pPr>
        <w:rPr>
          <w:rFonts w:ascii="Arial" w:hAnsi="Arial" w:cs="Arial"/>
          <w:b/>
          <w:szCs w:val="24"/>
        </w:rPr>
      </w:pPr>
      <w:r>
        <w:rPr>
          <w:rFonts w:ascii="Arial" w:hAnsi="Arial" w:cs="Arial"/>
          <w:b/>
          <w:szCs w:val="24"/>
        </w:rPr>
        <w:t>TAGRA(201</w:t>
      </w:r>
      <w:r w:rsidR="00A943E5">
        <w:rPr>
          <w:rFonts w:ascii="Arial" w:hAnsi="Arial" w:cs="Arial"/>
          <w:b/>
          <w:szCs w:val="24"/>
        </w:rPr>
        <w:t>6</w:t>
      </w:r>
      <w:r>
        <w:rPr>
          <w:rFonts w:ascii="Arial" w:hAnsi="Arial" w:cs="Arial"/>
          <w:b/>
          <w:szCs w:val="24"/>
        </w:rPr>
        <w:t>)</w:t>
      </w:r>
      <w:r w:rsidR="008F58A7">
        <w:rPr>
          <w:rFonts w:ascii="Arial" w:hAnsi="Arial" w:cs="Arial"/>
          <w:b/>
          <w:szCs w:val="24"/>
        </w:rPr>
        <w:t>0</w:t>
      </w:r>
      <w:r w:rsidR="00443345">
        <w:rPr>
          <w:rFonts w:ascii="Arial" w:hAnsi="Arial" w:cs="Arial"/>
          <w:b/>
          <w:szCs w:val="24"/>
        </w:rPr>
        <w:t>2</w:t>
      </w:r>
    </w:p>
    <w:p w:rsidR="00960F3B" w:rsidRDefault="00960F3B" w:rsidP="00960F3B">
      <w:pPr>
        <w:rPr>
          <w:rFonts w:ascii="Arial" w:hAnsi="Arial" w:cs="Arial"/>
          <w:b/>
          <w:szCs w:val="24"/>
          <w:u w:val="single"/>
        </w:rPr>
      </w:pPr>
    </w:p>
    <w:p w:rsidR="00EF748D" w:rsidRDefault="00EF748D" w:rsidP="00EF748D">
      <w:pPr>
        <w:rPr>
          <w:rFonts w:ascii="Arial" w:hAnsi="Arial" w:cs="Arial"/>
          <w:szCs w:val="24"/>
        </w:rPr>
      </w:pPr>
      <w:r>
        <w:rPr>
          <w:rFonts w:ascii="Arial" w:hAnsi="Arial" w:cs="Arial"/>
          <w:szCs w:val="24"/>
        </w:rPr>
        <w:t xml:space="preserve">This paper provides an update on the </w:t>
      </w:r>
      <w:r w:rsidR="00C90189">
        <w:rPr>
          <w:rFonts w:ascii="Arial" w:hAnsi="Arial" w:cs="Arial"/>
          <w:szCs w:val="24"/>
        </w:rPr>
        <w:t>progress of the Acute MLC review</w:t>
      </w:r>
      <w:r w:rsidR="003A0296">
        <w:rPr>
          <w:rFonts w:ascii="Arial" w:hAnsi="Arial" w:cs="Arial"/>
          <w:szCs w:val="24"/>
        </w:rPr>
        <w:t>.</w:t>
      </w:r>
      <w:r w:rsidR="001F6397">
        <w:rPr>
          <w:rFonts w:ascii="Arial" w:hAnsi="Arial" w:cs="Arial"/>
          <w:szCs w:val="24"/>
        </w:rPr>
        <w:t xml:space="preserve"> At the time of the last update to TAGRA, decisions had been made on the geography, time span, age split and the methodology for identifying unmet need. </w:t>
      </w:r>
      <w:r w:rsidR="007432CB">
        <w:rPr>
          <w:rFonts w:ascii="Arial" w:hAnsi="Arial" w:cs="Arial"/>
          <w:szCs w:val="24"/>
        </w:rPr>
        <w:t>Subsequently, p</w:t>
      </w:r>
      <w:r w:rsidR="001F6397">
        <w:rPr>
          <w:rFonts w:ascii="Arial" w:hAnsi="Arial" w:cs="Arial"/>
          <w:szCs w:val="24"/>
        </w:rPr>
        <w:t>opulation data at the 2011 data zones</w:t>
      </w:r>
      <w:r w:rsidR="007432CB">
        <w:rPr>
          <w:rFonts w:ascii="Arial" w:hAnsi="Arial" w:cs="Arial"/>
          <w:szCs w:val="24"/>
        </w:rPr>
        <w:t xml:space="preserve"> has been </w:t>
      </w:r>
      <w:r w:rsidR="001F6397">
        <w:rPr>
          <w:rFonts w:ascii="Arial" w:hAnsi="Arial" w:cs="Arial"/>
          <w:szCs w:val="24"/>
        </w:rPr>
        <w:t xml:space="preserve">released by NRS, which </w:t>
      </w:r>
      <w:r w:rsidR="007432CB">
        <w:rPr>
          <w:rFonts w:ascii="Arial" w:hAnsi="Arial" w:cs="Arial"/>
          <w:szCs w:val="24"/>
        </w:rPr>
        <w:t xml:space="preserve">has </w:t>
      </w:r>
      <w:r w:rsidR="001F6397">
        <w:rPr>
          <w:rFonts w:ascii="Arial" w:hAnsi="Arial" w:cs="Arial"/>
          <w:szCs w:val="24"/>
        </w:rPr>
        <w:t xml:space="preserve">allowed the cost ratios, potential candidate variables and supply variables to be calculated at the 2011 data zones. </w:t>
      </w:r>
      <w:r w:rsidR="007432CB">
        <w:rPr>
          <w:rFonts w:ascii="Arial" w:hAnsi="Arial" w:cs="Arial"/>
          <w:szCs w:val="24"/>
        </w:rPr>
        <w:t>As a first step, t</w:t>
      </w:r>
      <w:r w:rsidR="001F6397">
        <w:rPr>
          <w:rFonts w:ascii="Arial" w:hAnsi="Arial" w:cs="Arial"/>
          <w:szCs w:val="24"/>
        </w:rPr>
        <w:t xml:space="preserve">he ‘reference model’ – the current Acute needs index and supply model – was rebuilt at the new geography for validation and checking. Analysis </w:t>
      </w:r>
      <w:r w:rsidR="007432CB">
        <w:rPr>
          <w:rFonts w:ascii="Arial" w:hAnsi="Arial" w:cs="Arial"/>
          <w:szCs w:val="24"/>
        </w:rPr>
        <w:t>was then</w:t>
      </w:r>
      <w:r w:rsidR="001F6397">
        <w:rPr>
          <w:rFonts w:ascii="Arial" w:hAnsi="Arial" w:cs="Arial"/>
          <w:szCs w:val="24"/>
        </w:rPr>
        <w:t xml:space="preserve"> carried out to select the supply model for the new Acute MLC adjustment; a decision was taken on this at the January 2016 meeting of the Subgroup. The first stage of the indicator selection process – elimination of near-duplicate variables – has </w:t>
      </w:r>
      <w:r w:rsidR="007432CB">
        <w:rPr>
          <w:rFonts w:ascii="Arial" w:hAnsi="Arial" w:cs="Arial"/>
          <w:szCs w:val="24"/>
        </w:rPr>
        <w:t xml:space="preserve">also </w:t>
      </w:r>
      <w:r w:rsidR="001F6397">
        <w:rPr>
          <w:rFonts w:ascii="Arial" w:hAnsi="Arial" w:cs="Arial"/>
          <w:szCs w:val="24"/>
        </w:rPr>
        <w:t xml:space="preserve">been carried out and </w:t>
      </w:r>
      <w:r w:rsidR="007432CB">
        <w:rPr>
          <w:rFonts w:ascii="Arial" w:hAnsi="Arial" w:cs="Arial"/>
          <w:szCs w:val="24"/>
        </w:rPr>
        <w:t>results were</w:t>
      </w:r>
      <w:r w:rsidR="001F6397">
        <w:rPr>
          <w:rFonts w:ascii="Arial" w:hAnsi="Arial" w:cs="Arial"/>
          <w:szCs w:val="24"/>
        </w:rPr>
        <w:t xml:space="preserve"> presented at the meeting</w:t>
      </w:r>
      <w:r w:rsidR="00174EEE">
        <w:rPr>
          <w:rFonts w:ascii="Arial" w:hAnsi="Arial" w:cs="Arial"/>
          <w:szCs w:val="24"/>
        </w:rPr>
        <w:t xml:space="preserve"> </w:t>
      </w:r>
      <w:r w:rsidR="00174EEE">
        <w:rPr>
          <w:rFonts w:ascii="Arial" w:hAnsi="Arial" w:cs="Arial"/>
        </w:rPr>
        <w:t>on 21</w:t>
      </w:r>
      <w:r w:rsidR="00174EEE" w:rsidRPr="00174EEE">
        <w:rPr>
          <w:rFonts w:ascii="Arial" w:hAnsi="Arial" w:cs="Arial"/>
          <w:vertAlign w:val="superscript"/>
        </w:rPr>
        <w:t>st</w:t>
      </w:r>
      <w:r w:rsidR="00174EEE">
        <w:rPr>
          <w:rFonts w:ascii="Arial" w:hAnsi="Arial" w:cs="Arial"/>
        </w:rPr>
        <w:t xml:space="preserve"> January 2016</w:t>
      </w:r>
      <w:r w:rsidR="001F6397">
        <w:rPr>
          <w:rFonts w:ascii="Arial" w:hAnsi="Arial" w:cs="Arial"/>
          <w:szCs w:val="24"/>
        </w:rPr>
        <w:t>.</w:t>
      </w:r>
    </w:p>
    <w:p w:rsidR="00EF748D" w:rsidRDefault="00EF748D" w:rsidP="00EF748D">
      <w:pPr>
        <w:rPr>
          <w:rFonts w:ascii="Arial" w:hAnsi="Arial" w:cs="Arial"/>
          <w:szCs w:val="24"/>
        </w:rPr>
      </w:pPr>
    </w:p>
    <w:p w:rsidR="00EF748D" w:rsidRDefault="00A943E5" w:rsidP="00EF748D">
      <w:pPr>
        <w:pStyle w:val="ListParagraph"/>
        <w:numPr>
          <w:ilvl w:val="0"/>
          <w:numId w:val="6"/>
        </w:numPr>
        <w:jc w:val="left"/>
        <w:rPr>
          <w:rFonts w:ascii="Arial" w:hAnsi="Arial" w:cs="Arial"/>
          <w:b/>
          <w:szCs w:val="24"/>
        </w:rPr>
      </w:pPr>
      <w:r>
        <w:rPr>
          <w:rFonts w:ascii="Arial" w:hAnsi="Arial" w:cs="Arial"/>
          <w:b/>
          <w:szCs w:val="24"/>
        </w:rPr>
        <w:t>Supply variables</w:t>
      </w:r>
    </w:p>
    <w:p w:rsidR="00FC0D69" w:rsidRDefault="00FC0D69" w:rsidP="00FC0D69">
      <w:pPr>
        <w:pStyle w:val="ListParagraph"/>
        <w:ind w:left="360"/>
        <w:jc w:val="left"/>
        <w:rPr>
          <w:rFonts w:ascii="Arial" w:hAnsi="Arial" w:cs="Arial"/>
          <w:b/>
          <w:szCs w:val="24"/>
        </w:rPr>
      </w:pPr>
    </w:p>
    <w:p w:rsidR="00124A94" w:rsidRDefault="006821EC" w:rsidP="006B7606">
      <w:pPr>
        <w:rPr>
          <w:rFonts w:ascii="Arial" w:hAnsi="Arial" w:cs="Arial"/>
        </w:rPr>
      </w:pPr>
      <w:r>
        <w:rPr>
          <w:rFonts w:ascii="Arial" w:hAnsi="Arial" w:cs="Arial"/>
        </w:rPr>
        <w:t>The c</w:t>
      </w:r>
      <w:r w:rsidR="00124A94">
        <w:rPr>
          <w:rFonts w:ascii="Arial" w:hAnsi="Arial" w:cs="Arial"/>
        </w:rPr>
        <w:t>urrent</w:t>
      </w:r>
      <w:r w:rsidR="007432CB">
        <w:rPr>
          <w:rFonts w:ascii="Arial" w:hAnsi="Arial" w:cs="Arial"/>
        </w:rPr>
        <w:t xml:space="preserve"> Acute MLC</w:t>
      </w:r>
      <w:r w:rsidR="00124A94">
        <w:rPr>
          <w:rFonts w:ascii="Arial" w:hAnsi="Arial" w:cs="Arial"/>
        </w:rPr>
        <w:t xml:space="preserve"> model uses IPACX</w:t>
      </w:r>
      <w:r>
        <w:rPr>
          <w:rFonts w:ascii="Arial" w:hAnsi="Arial" w:cs="Arial"/>
        </w:rPr>
        <w:t xml:space="preserve"> (inpatient access, taking into account </w:t>
      </w:r>
      <w:r w:rsidR="00F86602">
        <w:rPr>
          <w:rFonts w:ascii="Arial" w:hAnsi="Arial" w:cs="Arial"/>
        </w:rPr>
        <w:t xml:space="preserve">distance to the </w:t>
      </w:r>
      <w:r>
        <w:rPr>
          <w:rFonts w:ascii="Arial" w:hAnsi="Arial" w:cs="Arial"/>
        </w:rPr>
        <w:t>facility)</w:t>
      </w:r>
      <w:r w:rsidR="00124A94">
        <w:rPr>
          <w:rFonts w:ascii="Arial" w:hAnsi="Arial" w:cs="Arial"/>
        </w:rPr>
        <w:t xml:space="preserve">, OPACX </w:t>
      </w:r>
      <w:r>
        <w:rPr>
          <w:rFonts w:ascii="Arial" w:hAnsi="Arial" w:cs="Arial"/>
        </w:rPr>
        <w:t>(</w:t>
      </w:r>
      <w:r w:rsidR="00B2068E">
        <w:rPr>
          <w:rFonts w:ascii="Arial" w:hAnsi="Arial" w:cs="Arial"/>
        </w:rPr>
        <w:t>outpatient access taking into ac</w:t>
      </w:r>
      <w:r>
        <w:rPr>
          <w:rFonts w:ascii="Arial" w:hAnsi="Arial" w:cs="Arial"/>
        </w:rPr>
        <w:t xml:space="preserve">count </w:t>
      </w:r>
      <w:r w:rsidR="00F86602">
        <w:rPr>
          <w:rFonts w:ascii="Arial" w:hAnsi="Arial" w:cs="Arial"/>
        </w:rPr>
        <w:t>distance to the</w:t>
      </w:r>
      <w:r>
        <w:rPr>
          <w:rFonts w:ascii="Arial" w:hAnsi="Arial" w:cs="Arial"/>
        </w:rPr>
        <w:t xml:space="preserve"> facility</w:t>
      </w:r>
      <w:r w:rsidR="002F2B37">
        <w:rPr>
          <w:rFonts w:ascii="Arial" w:hAnsi="Arial" w:cs="Arial"/>
        </w:rPr>
        <w:t>)</w:t>
      </w:r>
      <w:r w:rsidR="00B2068E">
        <w:rPr>
          <w:rFonts w:ascii="Arial" w:hAnsi="Arial" w:cs="Arial"/>
        </w:rPr>
        <w:t xml:space="preserve"> </w:t>
      </w:r>
      <w:r w:rsidR="00124A94">
        <w:rPr>
          <w:rFonts w:ascii="Arial" w:hAnsi="Arial" w:cs="Arial"/>
        </w:rPr>
        <w:t xml:space="preserve">and </w:t>
      </w:r>
      <w:r w:rsidR="00040C04">
        <w:rPr>
          <w:rFonts w:ascii="Arial" w:hAnsi="Arial" w:cs="Arial"/>
        </w:rPr>
        <w:t xml:space="preserve">health board </w:t>
      </w:r>
      <w:r w:rsidR="00124A94">
        <w:rPr>
          <w:rFonts w:ascii="Arial" w:hAnsi="Arial" w:cs="Arial"/>
        </w:rPr>
        <w:t xml:space="preserve">dummy variables in the supply model.  </w:t>
      </w:r>
    </w:p>
    <w:p w:rsidR="002D49C8" w:rsidRDefault="002D49C8" w:rsidP="005227F7">
      <w:pPr>
        <w:jc w:val="left"/>
        <w:rPr>
          <w:rFonts w:ascii="Arial" w:hAnsi="Arial" w:cs="Arial"/>
        </w:rPr>
      </w:pPr>
    </w:p>
    <w:p w:rsidR="002D49C8" w:rsidRDefault="002D49C8" w:rsidP="006B7606">
      <w:pPr>
        <w:rPr>
          <w:rFonts w:ascii="Arial" w:hAnsi="Arial" w:cs="Arial"/>
        </w:rPr>
      </w:pPr>
      <w:r w:rsidRPr="00372817">
        <w:rPr>
          <w:rFonts w:ascii="Arial" w:hAnsi="Arial" w:cs="Arial"/>
          <w:szCs w:val="24"/>
        </w:rPr>
        <w:t xml:space="preserve">Following </w:t>
      </w:r>
      <w:r w:rsidR="007432CB">
        <w:rPr>
          <w:rFonts w:ascii="Arial" w:hAnsi="Arial" w:cs="Arial"/>
          <w:szCs w:val="24"/>
        </w:rPr>
        <w:t xml:space="preserve">analysis </w:t>
      </w:r>
      <w:r>
        <w:rPr>
          <w:rFonts w:ascii="Arial" w:hAnsi="Arial" w:cs="Arial"/>
          <w:szCs w:val="24"/>
        </w:rPr>
        <w:t>and explanations of the supply variables</w:t>
      </w:r>
      <w:r w:rsidRPr="00260027">
        <w:rPr>
          <w:rFonts w:ascii="Arial" w:hAnsi="Arial" w:cs="Arial"/>
          <w:szCs w:val="24"/>
        </w:rPr>
        <w:t xml:space="preserve">, </w:t>
      </w:r>
      <w:r w:rsidR="00183780">
        <w:rPr>
          <w:rFonts w:ascii="Arial" w:hAnsi="Arial" w:cs="Arial"/>
          <w:szCs w:val="24"/>
        </w:rPr>
        <w:t xml:space="preserve">and evaluating the options against TAGRA’s core criteria, </w:t>
      </w:r>
      <w:r w:rsidRPr="00260027">
        <w:rPr>
          <w:rFonts w:ascii="Arial" w:hAnsi="Arial" w:cs="Arial"/>
          <w:szCs w:val="24"/>
        </w:rPr>
        <w:t>the Subgroup</w:t>
      </w:r>
      <w:r w:rsidR="007432CB">
        <w:rPr>
          <w:rFonts w:ascii="Arial" w:hAnsi="Arial" w:cs="Arial"/>
          <w:szCs w:val="24"/>
        </w:rPr>
        <w:t xml:space="preserve"> decided</w:t>
      </w:r>
      <w:r w:rsidRPr="00260027">
        <w:rPr>
          <w:rFonts w:ascii="Arial" w:hAnsi="Arial" w:cs="Arial"/>
          <w:szCs w:val="24"/>
        </w:rPr>
        <w:t xml:space="preserve"> to </w:t>
      </w:r>
      <w:r w:rsidR="00260027" w:rsidRPr="00260027">
        <w:rPr>
          <w:rFonts w:ascii="Arial" w:hAnsi="Arial" w:cs="Arial"/>
        </w:rPr>
        <w:t>retain the existing supply variables,</w:t>
      </w:r>
      <w:r w:rsidR="007432CB">
        <w:rPr>
          <w:rFonts w:ascii="Arial" w:hAnsi="Arial" w:cs="Arial"/>
        </w:rPr>
        <w:t xml:space="preserve"> but to use only one of IPACX and OPACX in each regression since these variables are highly collinear.</w:t>
      </w:r>
      <w:r w:rsidR="00260027" w:rsidRPr="00260027">
        <w:rPr>
          <w:rFonts w:ascii="Arial" w:hAnsi="Arial" w:cs="Arial"/>
        </w:rPr>
        <w:t xml:space="preserve"> </w:t>
      </w:r>
      <w:r w:rsidR="007718AF">
        <w:rPr>
          <w:rFonts w:ascii="Arial" w:hAnsi="Arial" w:cs="Arial"/>
        </w:rPr>
        <w:t xml:space="preserve">IPACX </w:t>
      </w:r>
      <w:r w:rsidR="007432CB">
        <w:rPr>
          <w:rFonts w:ascii="Arial" w:hAnsi="Arial" w:cs="Arial"/>
        </w:rPr>
        <w:t xml:space="preserve">will be </w:t>
      </w:r>
      <w:r w:rsidR="007718AF">
        <w:rPr>
          <w:rFonts w:ascii="Arial" w:hAnsi="Arial" w:cs="Arial"/>
        </w:rPr>
        <w:t xml:space="preserve">used for all inpatient diagnostic groups and OPACX </w:t>
      </w:r>
      <w:r w:rsidR="007432CB">
        <w:rPr>
          <w:rFonts w:ascii="Arial" w:hAnsi="Arial" w:cs="Arial"/>
        </w:rPr>
        <w:t xml:space="preserve">will be </w:t>
      </w:r>
      <w:r w:rsidR="007718AF">
        <w:rPr>
          <w:rFonts w:ascii="Arial" w:hAnsi="Arial" w:cs="Arial"/>
        </w:rPr>
        <w:t>used for Outpatients.</w:t>
      </w:r>
    </w:p>
    <w:p w:rsidR="00685697" w:rsidRPr="00685697" w:rsidRDefault="00685697" w:rsidP="00685697">
      <w:pPr>
        <w:tabs>
          <w:tab w:val="clear" w:pos="720"/>
          <w:tab w:val="clear" w:pos="1440"/>
          <w:tab w:val="clear" w:pos="2160"/>
          <w:tab w:val="clear" w:pos="2880"/>
          <w:tab w:val="clear" w:pos="4680"/>
          <w:tab w:val="clear" w:pos="5400"/>
          <w:tab w:val="clear" w:pos="9000"/>
        </w:tabs>
        <w:rPr>
          <w:rFonts w:ascii="Arial" w:hAnsi="Arial" w:cs="Arial"/>
        </w:rPr>
      </w:pPr>
      <w:r w:rsidRPr="00685697">
        <w:rPr>
          <w:rFonts w:ascii="Arial" w:hAnsi="Arial" w:cs="Arial"/>
        </w:rPr>
        <w:tab/>
      </w:r>
      <w:r w:rsidRPr="00685697">
        <w:rPr>
          <w:rFonts w:ascii="Arial" w:hAnsi="Arial" w:cs="Arial"/>
        </w:rPr>
        <w:tab/>
      </w:r>
      <w:r w:rsidRPr="00685697">
        <w:rPr>
          <w:rFonts w:ascii="Arial" w:hAnsi="Arial" w:cs="Arial"/>
        </w:rPr>
        <w:tab/>
      </w:r>
    </w:p>
    <w:p w:rsidR="00685697" w:rsidRPr="00685697" w:rsidRDefault="00685697" w:rsidP="00685697">
      <w:pPr>
        <w:rPr>
          <w:rFonts w:ascii="Arial" w:hAnsi="Arial" w:cs="Arial"/>
        </w:rPr>
      </w:pPr>
      <w:r w:rsidRPr="00685697">
        <w:rPr>
          <w:rFonts w:ascii="Arial" w:hAnsi="Arial" w:cs="Arial"/>
        </w:rPr>
        <w:t>When developing the reference model it was noted that datazones containing prisons were outliers and so dummy variables are being developed to adjust for this factor.</w:t>
      </w:r>
    </w:p>
    <w:p w:rsidR="00EF748D" w:rsidRDefault="00EF748D" w:rsidP="00EF748D">
      <w:pPr>
        <w:pStyle w:val="ListParagraph"/>
        <w:ind w:left="0"/>
        <w:jc w:val="left"/>
        <w:rPr>
          <w:rFonts w:ascii="Arial" w:hAnsi="Arial" w:cs="Arial"/>
          <w:b/>
          <w:szCs w:val="24"/>
        </w:rPr>
      </w:pPr>
    </w:p>
    <w:p w:rsidR="00EF748D" w:rsidRDefault="00A943E5" w:rsidP="00EF748D">
      <w:pPr>
        <w:pStyle w:val="ListParagraph"/>
        <w:numPr>
          <w:ilvl w:val="0"/>
          <w:numId w:val="6"/>
        </w:numPr>
        <w:jc w:val="left"/>
        <w:rPr>
          <w:rFonts w:ascii="Arial" w:hAnsi="Arial" w:cs="Arial"/>
          <w:b/>
          <w:szCs w:val="24"/>
        </w:rPr>
      </w:pPr>
      <w:r>
        <w:rPr>
          <w:rFonts w:ascii="Arial" w:hAnsi="Arial" w:cs="Arial"/>
          <w:b/>
          <w:szCs w:val="24"/>
        </w:rPr>
        <w:t>Indicator selection</w:t>
      </w:r>
    </w:p>
    <w:p w:rsidR="00FC0D69" w:rsidRDefault="00FC0D69" w:rsidP="00FC0D69">
      <w:pPr>
        <w:pStyle w:val="ListParagraph"/>
        <w:ind w:left="360"/>
        <w:jc w:val="left"/>
        <w:rPr>
          <w:rFonts w:ascii="Arial" w:hAnsi="Arial" w:cs="Arial"/>
          <w:b/>
          <w:szCs w:val="24"/>
        </w:rPr>
      </w:pPr>
    </w:p>
    <w:p w:rsidR="00CE1A4F" w:rsidRDefault="00213CE3" w:rsidP="00CE1A4F">
      <w:pPr>
        <w:rPr>
          <w:rFonts w:ascii="Arial" w:hAnsi="Arial" w:cs="Arial"/>
        </w:rPr>
      </w:pPr>
      <w:r w:rsidRPr="00213CE3">
        <w:rPr>
          <w:rFonts w:ascii="Arial" w:hAnsi="Arial" w:cs="Arial"/>
          <w:szCs w:val="24"/>
        </w:rPr>
        <w:t>The first stage of analysis to select</w:t>
      </w:r>
      <w:r>
        <w:rPr>
          <w:rFonts w:ascii="Arial" w:hAnsi="Arial" w:cs="Arial"/>
          <w:szCs w:val="24"/>
        </w:rPr>
        <w:t xml:space="preserve"> the </w:t>
      </w:r>
      <w:r w:rsidR="006B7606">
        <w:rPr>
          <w:rFonts w:ascii="Arial" w:hAnsi="Arial" w:cs="Arial"/>
          <w:szCs w:val="24"/>
        </w:rPr>
        <w:t xml:space="preserve">indicator </w:t>
      </w:r>
      <w:r>
        <w:rPr>
          <w:rFonts w:ascii="Arial" w:hAnsi="Arial" w:cs="Arial"/>
          <w:szCs w:val="24"/>
        </w:rPr>
        <w:t>v</w:t>
      </w:r>
      <w:r w:rsidR="006B7606">
        <w:rPr>
          <w:rFonts w:ascii="Arial" w:hAnsi="Arial" w:cs="Arial"/>
          <w:szCs w:val="24"/>
        </w:rPr>
        <w:t xml:space="preserve">ariables has been carried out. </w:t>
      </w:r>
      <w:r>
        <w:rPr>
          <w:rFonts w:ascii="Arial" w:hAnsi="Arial" w:cs="Arial"/>
          <w:szCs w:val="24"/>
        </w:rPr>
        <w:t xml:space="preserve">This involved </w:t>
      </w:r>
      <w:r w:rsidR="007432CB">
        <w:rPr>
          <w:rFonts w:ascii="Arial" w:hAnsi="Arial" w:cs="Arial"/>
          <w:szCs w:val="24"/>
        </w:rPr>
        <w:t xml:space="preserve">first </w:t>
      </w:r>
      <w:r>
        <w:rPr>
          <w:rFonts w:ascii="Arial" w:hAnsi="Arial" w:cs="Arial"/>
          <w:szCs w:val="24"/>
        </w:rPr>
        <w:t>removing variables where a high number of da</w:t>
      </w:r>
      <w:r w:rsidR="00530BD5">
        <w:rPr>
          <w:rFonts w:ascii="Arial" w:hAnsi="Arial" w:cs="Arial"/>
          <w:szCs w:val="24"/>
        </w:rPr>
        <w:t>ta</w:t>
      </w:r>
      <w:r w:rsidR="007432CB">
        <w:rPr>
          <w:rFonts w:ascii="Arial" w:hAnsi="Arial" w:cs="Arial"/>
          <w:szCs w:val="24"/>
        </w:rPr>
        <w:t xml:space="preserve"> </w:t>
      </w:r>
      <w:r w:rsidR="00530BD5">
        <w:rPr>
          <w:rFonts w:ascii="Arial" w:hAnsi="Arial" w:cs="Arial"/>
          <w:szCs w:val="24"/>
        </w:rPr>
        <w:t>zones had zero counts</w:t>
      </w:r>
      <w:r w:rsidR="00685697">
        <w:rPr>
          <w:rFonts w:ascii="Arial" w:hAnsi="Arial" w:cs="Arial"/>
          <w:szCs w:val="24"/>
        </w:rPr>
        <w:t xml:space="preserve"> </w:t>
      </w:r>
      <w:r w:rsidR="00685697" w:rsidRPr="00685697">
        <w:rPr>
          <w:rFonts w:ascii="Arial" w:hAnsi="Arial" w:cs="Arial"/>
          <w:szCs w:val="24"/>
        </w:rPr>
        <w:t>(</w:t>
      </w:r>
      <w:r w:rsidR="00685697">
        <w:rPr>
          <w:rFonts w:ascii="Arial" w:hAnsi="Arial" w:cs="Arial"/>
        </w:rPr>
        <w:t xml:space="preserve">see Appendix </w:t>
      </w:r>
      <w:r w:rsidR="00685697" w:rsidRPr="00685697">
        <w:rPr>
          <w:rFonts w:ascii="Arial" w:hAnsi="Arial" w:cs="Arial"/>
        </w:rPr>
        <w:t>1)</w:t>
      </w:r>
      <w:r w:rsidR="007432CB" w:rsidRPr="00685697">
        <w:rPr>
          <w:rFonts w:ascii="Arial" w:hAnsi="Arial" w:cs="Arial"/>
          <w:szCs w:val="24"/>
        </w:rPr>
        <w:t>,</w:t>
      </w:r>
      <w:r w:rsidR="007432CB">
        <w:rPr>
          <w:rFonts w:ascii="Arial" w:hAnsi="Arial" w:cs="Arial"/>
          <w:szCs w:val="24"/>
        </w:rPr>
        <w:t xml:space="preserve"> and</w:t>
      </w:r>
      <w:r w:rsidR="00530BD5">
        <w:rPr>
          <w:rFonts w:ascii="Arial" w:hAnsi="Arial" w:cs="Arial"/>
          <w:szCs w:val="24"/>
        </w:rPr>
        <w:t xml:space="preserve"> </w:t>
      </w:r>
      <w:r w:rsidR="00CE1A4F">
        <w:rPr>
          <w:rFonts w:ascii="Arial" w:hAnsi="Arial" w:cs="Arial"/>
          <w:szCs w:val="24"/>
        </w:rPr>
        <w:t xml:space="preserve">then </w:t>
      </w:r>
      <w:r w:rsidR="00CE1A4F">
        <w:rPr>
          <w:rFonts w:ascii="Arial" w:hAnsi="Arial" w:cs="Arial"/>
        </w:rPr>
        <w:t xml:space="preserve">eliminating ‘near-duplicates’ from the variable list, retaining the variants that correlate best with the cost ratios. </w:t>
      </w:r>
      <w:r w:rsidR="007432CB">
        <w:rPr>
          <w:rFonts w:ascii="Arial" w:hAnsi="Arial" w:cs="Arial"/>
        </w:rPr>
        <w:t>(‘Near-duplicates’ are highly correlated variables that are conceptually equivalent – for example, all-cause SMR &lt;75 and all-cause SMR &lt; 65 would be considered near-duplicates</w:t>
      </w:r>
      <w:r w:rsidR="007732B7">
        <w:rPr>
          <w:rFonts w:ascii="Arial" w:hAnsi="Arial" w:cs="Arial"/>
        </w:rPr>
        <w:t xml:space="preserve"> and we would not want to include both in the final model</w:t>
      </w:r>
      <w:r w:rsidR="007432CB">
        <w:rPr>
          <w:rFonts w:ascii="Arial" w:hAnsi="Arial" w:cs="Arial"/>
        </w:rPr>
        <w:t>.)</w:t>
      </w:r>
    </w:p>
    <w:p w:rsidR="002B74EF" w:rsidRDefault="002B74EF" w:rsidP="00372817">
      <w:pPr>
        <w:jc w:val="left"/>
        <w:rPr>
          <w:rFonts w:ascii="Arial" w:hAnsi="Arial" w:cs="Arial"/>
          <w:szCs w:val="24"/>
        </w:rPr>
      </w:pPr>
    </w:p>
    <w:p w:rsidR="00A766A7" w:rsidRDefault="00A766A7" w:rsidP="001F6397">
      <w:pPr>
        <w:spacing w:after="120"/>
        <w:rPr>
          <w:rFonts w:ascii="Arial" w:hAnsi="Arial" w:cs="Arial"/>
        </w:rPr>
      </w:pPr>
      <w:r>
        <w:rPr>
          <w:rFonts w:ascii="Arial" w:hAnsi="Arial" w:cs="Arial"/>
        </w:rPr>
        <w:t>T</w:t>
      </w:r>
      <w:r w:rsidRPr="0097225D">
        <w:rPr>
          <w:rFonts w:ascii="Arial" w:hAnsi="Arial" w:cs="Arial"/>
        </w:rPr>
        <w:t>he retaine</w:t>
      </w:r>
      <w:r w:rsidR="004B2C02">
        <w:rPr>
          <w:rFonts w:ascii="Arial" w:hAnsi="Arial" w:cs="Arial"/>
        </w:rPr>
        <w:t>d variables, following the above analysis</w:t>
      </w:r>
      <w:r w:rsidR="007432CB">
        <w:rPr>
          <w:rFonts w:ascii="Arial" w:hAnsi="Arial" w:cs="Arial"/>
        </w:rPr>
        <w:t>,</w:t>
      </w:r>
      <w:r>
        <w:rPr>
          <w:rFonts w:ascii="Arial" w:hAnsi="Arial" w:cs="Arial"/>
        </w:rPr>
        <w:t xml:space="preserve"> are:</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All cause SMR &lt;75</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Cancer SMR &lt;75</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Heart SMR &lt;75</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Other SMR &lt;70</w:t>
      </w:r>
    </w:p>
    <w:p w:rsidR="00A766A7"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Pr>
          <w:rFonts w:ascii="Arial" w:hAnsi="Arial" w:cs="Arial"/>
        </w:rPr>
        <w:t xml:space="preserve">Limiting Long term Illness </w:t>
      </w:r>
    </w:p>
    <w:p w:rsidR="00A766A7" w:rsidRPr="003E53AF"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3E53AF">
        <w:rPr>
          <w:rFonts w:ascii="Arial" w:hAnsi="Arial" w:cs="Arial"/>
        </w:rPr>
        <w:lastRenderedPageBreak/>
        <w:t>General health – bad or very bad</w:t>
      </w:r>
    </w:p>
    <w:p w:rsidR="00A766A7" w:rsidRPr="003E53AF"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Pr>
          <w:rFonts w:ascii="Arial" w:hAnsi="Arial" w:cs="Arial"/>
        </w:rPr>
        <w:t>Living alone ≥7</w:t>
      </w:r>
      <w:r w:rsidRPr="0055621B">
        <w:rPr>
          <w:rFonts w:ascii="Arial" w:hAnsi="Arial" w:cs="Arial"/>
        </w:rPr>
        <w:t>0</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Living alone ≥90</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Unpaid care ≥ 20 hours</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Education – level 2 and below</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DNA counts – ratio to population</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rPr>
          <w:rFonts w:ascii="Arial" w:hAnsi="Arial" w:cs="Arial"/>
        </w:rPr>
      </w:pPr>
      <w:r w:rsidRPr="0055621B">
        <w:rPr>
          <w:rFonts w:ascii="Arial" w:hAnsi="Arial" w:cs="Arial"/>
        </w:rPr>
        <w:t>Low birth weight births</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rFonts w:ascii="Arial" w:hAnsi="Arial" w:cs="Arial"/>
        </w:rPr>
      </w:pPr>
      <w:r w:rsidRPr="0055621B">
        <w:rPr>
          <w:rFonts w:ascii="Arial" w:hAnsi="Arial" w:cs="Arial"/>
        </w:rPr>
        <w:t>Patients receiving Dementia prescriptions</w:t>
      </w:r>
    </w:p>
    <w:p w:rsidR="00A766A7" w:rsidRPr="0055621B"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rFonts w:ascii="Arial" w:hAnsi="Arial" w:cs="Arial"/>
        </w:rPr>
      </w:pPr>
      <w:r w:rsidRPr="0055621B">
        <w:rPr>
          <w:rFonts w:ascii="Arial" w:hAnsi="Arial" w:cs="Arial"/>
        </w:rPr>
        <w:t>High resource individuals</w:t>
      </w:r>
    </w:p>
    <w:p w:rsidR="00A766A7" w:rsidRDefault="00A766A7" w:rsidP="001F6397">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ind w:left="714" w:hanging="357"/>
        <w:jc w:val="left"/>
        <w:rPr>
          <w:rFonts w:ascii="Arial" w:hAnsi="Arial" w:cs="Arial"/>
        </w:rPr>
      </w:pPr>
      <w:r w:rsidRPr="0055621B">
        <w:rPr>
          <w:rFonts w:ascii="Arial" w:hAnsi="Arial" w:cs="Arial"/>
        </w:rPr>
        <w:t>Long-term sick and not seeking work</w:t>
      </w:r>
    </w:p>
    <w:p w:rsidR="00FC0D69" w:rsidRPr="006B7606" w:rsidRDefault="00FC0D69" w:rsidP="00EF748D">
      <w:pPr>
        <w:jc w:val="left"/>
        <w:rPr>
          <w:rFonts w:ascii="Arial" w:hAnsi="Arial" w:cs="Arial"/>
          <w:szCs w:val="24"/>
        </w:rPr>
      </w:pPr>
    </w:p>
    <w:p w:rsidR="006B7606" w:rsidRPr="006B7606" w:rsidRDefault="006B7606" w:rsidP="006B7606">
      <w:pPr>
        <w:rPr>
          <w:rFonts w:ascii="Arial" w:hAnsi="Arial" w:cs="Arial"/>
          <w:szCs w:val="24"/>
        </w:rPr>
      </w:pPr>
      <w:r w:rsidRPr="006B7606">
        <w:rPr>
          <w:rFonts w:ascii="Arial" w:hAnsi="Arial" w:cs="Arial"/>
          <w:szCs w:val="24"/>
        </w:rPr>
        <w:t>At least one ethnicity variable will also be included</w:t>
      </w:r>
      <w:r>
        <w:rPr>
          <w:rFonts w:ascii="Arial" w:hAnsi="Arial" w:cs="Arial"/>
          <w:szCs w:val="24"/>
        </w:rPr>
        <w:t xml:space="preserve"> as, despite large numbers of zeros for specific ethnic group populations and questions around the validity of combining different groups, the Subgroup still felt some measure of ethnicity should be included at this stage.</w:t>
      </w:r>
    </w:p>
    <w:p w:rsidR="006B7606" w:rsidRPr="006B7606" w:rsidRDefault="006B7606" w:rsidP="00EF748D">
      <w:pPr>
        <w:jc w:val="left"/>
        <w:rPr>
          <w:rFonts w:ascii="Arial" w:hAnsi="Arial" w:cs="Arial"/>
          <w:szCs w:val="24"/>
        </w:rPr>
      </w:pPr>
    </w:p>
    <w:p w:rsidR="00BD69AF" w:rsidRDefault="00BD69AF" w:rsidP="00BD69AF">
      <w:pPr>
        <w:pStyle w:val="ListParagraph"/>
        <w:numPr>
          <w:ilvl w:val="0"/>
          <w:numId w:val="6"/>
        </w:num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b/>
        </w:rPr>
      </w:pPr>
      <w:r w:rsidRPr="00BD69AF">
        <w:rPr>
          <w:rFonts w:ascii="Arial" w:hAnsi="Arial" w:cs="Arial"/>
          <w:b/>
        </w:rPr>
        <w:t>Diagnostic groups</w:t>
      </w:r>
    </w:p>
    <w:p w:rsidR="000E69CD" w:rsidRDefault="000E69CD" w:rsidP="00FE2D39">
      <w:pPr>
        <w:pStyle w:val="ListParagraph"/>
        <w:ind w:left="0"/>
        <w:jc w:val="left"/>
        <w:rPr>
          <w:rFonts w:ascii="Arial" w:hAnsi="Arial" w:cs="Arial"/>
          <w:szCs w:val="24"/>
        </w:rPr>
      </w:pPr>
    </w:p>
    <w:p w:rsidR="00EF748D" w:rsidRDefault="00FE2D39" w:rsidP="006B7606">
      <w:pPr>
        <w:pStyle w:val="ListParagraph"/>
        <w:ind w:left="0"/>
        <w:rPr>
          <w:rFonts w:ascii="Arial" w:hAnsi="Arial" w:cs="Arial"/>
          <w:szCs w:val="24"/>
        </w:rPr>
      </w:pPr>
      <w:r w:rsidRPr="00FE2D39">
        <w:rPr>
          <w:rFonts w:ascii="Arial" w:hAnsi="Arial" w:cs="Arial"/>
          <w:szCs w:val="24"/>
        </w:rPr>
        <w:t>The current diagnostic groups</w:t>
      </w:r>
      <w:r>
        <w:rPr>
          <w:rFonts w:ascii="Arial" w:hAnsi="Arial" w:cs="Arial"/>
          <w:szCs w:val="24"/>
        </w:rPr>
        <w:t xml:space="preserve"> (Cancer, Heart, Respiratory, Digestive, Injury, Other and Outpatients</w:t>
      </w:r>
      <w:r w:rsidR="00832E3E">
        <w:rPr>
          <w:rFonts w:ascii="Arial" w:hAnsi="Arial" w:cs="Arial"/>
          <w:szCs w:val="24"/>
        </w:rPr>
        <w:t>)</w:t>
      </w:r>
      <w:r>
        <w:rPr>
          <w:rFonts w:ascii="Arial" w:hAnsi="Arial" w:cs="Arial"/>
          <w:szCs w:val="24"/>
        </w:rPr>
        <w:t xml:space="preserve"> have been reviewed, following clinical advice. </w:t>
      </w:r>
      <w:r w:rsidR="00832E3E">
        <w:rPr>
          <w:rFonts w:ascii="Arial" w:hAnsi="Arial" w:cs="Arial"/>
          <w:szCs w:val="24"/>
        </w:rPr>
        <w:t xml:space="preserve">The subgroup </w:t>
      </w:r>
      <w:r w:rsidR="006B7606">
        <w:rPr>
          <w:rFonts w:ascii="Arial" w:hAnsi="Arial" w:cs="Arial"/>
          <w:szCs w:val="24"/>
        </w:rPr>
        <w:t xml:space="preserve">decided </w:t>
      </w:r>
      <w:r w:rsidR="00832E3E">
        <w:rPr>
          <w:rFonts w:ascii="Arial" w:hAnsi="Arial" w:cs="Arial"/>
          <w:szCs w:val="24"/>
        </w:rPr>
        <w:t xml:space="preserve">to keep the current grouping plus examine a ‘Whole Acute’ option which would </w:t>
      </w:r>
      <w:r w:rsidR="006B7606">
        <w:rPr>
          <w:rFonts w:ascii="Arial" w:hAnsi="Arial" w:cs="Arial"/>
          <w:szCs w:val="24"/>
        </w:rPr>
        <w:t xml:space="preserve">combine </w:t>
      </w:r>
      <w:r w:rsidR="00832E3E">
        <w:rPr>
          <w:rFonts w:ascii="Arial" w:hAnsi="Arial" w:cs="Arial"/>
          <w:szCs w:val="24"/>
        </w:rPr>
        <w:t>all seven groups together.</w:t>
      </w:r>
      <w:r w:rsidR="006B7606">
        <w:rPr>
          <w:rFonts w:ascii="Arial" w:hAnsi="Arial" w:cs="Arial"/>
          <w:szCs w:val="24"/>
        </w:rPr>
        <w:t xml:space="preserve"> Analysis will be carried out </w:t>
      </w:r>
      <w:r w:rsidR="00B17A5C">
        <w:rPr>
          <w:rFonts w:ascii="Arial" w:hAnsi="Arial" w:cs="Arial"/>
          <w:szCs w:val="24"/>
        </w:rPr>
        <w:t xml:space="preserve">for both methods and a decision </w:t>
      </w:r>
      <w:r w:rsidR="006B7606">
        <w:rPr>
          <w:rFonts w:ascii="Arial" w:hAnsi="Arial" w:cs="Arial"/>
          <w:szCs w:val="24"/>
        </w:rPr>
        <w:t xml:space="preserve">made </w:t>
      </w:r>
      <w:r w:rsidR="00B17A5C">
        <w:rPr>
          <w:rFonts w:ascii="Arial" w:hAnsi="Arial" w:cs="Arial"/>
          <w:szCs w:val="24"/>
        </w:rPr>
        <w:t>by examining the results and assessing against the core criteria.</w:t>
      </w:r>
    </w:p>
    <w:p w:rsidR="000741AD" w:rsidRDefault="000741AD" w:rsidP="00B17A5C">
      <w:pPr>
        <w:pStyle w:val="ListParagraph"/>
        <w:ind w:left="0"/>
        <w:jc w:val="left"/>
        <w:rPr>
          <w:rFonts w:ascii="Arial" w:hAnsi="Arial" w:cs="Arial"/>
          <w:szCs w:val="24"/>
        </w:rPr>
      </w:pPr>
    </w:p>
    <w:p w:rsidR="000741AD" w:rsidRDefault="000741AD" w:rsidP="006B7606">
      <w:pPr>
        <w:pStyle w:val="ListParagraph"/>
        <w:ind w:left="0"/>
        <w:rPr>
          <w:rFonts w:ascii="Arial" w:hAnsi="Arial" w:cs="Arial"/>
          <w:b/>
          <w:szCs w:val="24"/>
        </w:rPr>
      </w:pPr>
      <w:r>
        <w:rPr>
          <w:rFonts w:ascii="Arial" w:hAnsi="Arial" w:cs="Arial"/>
          <w:szCs w:val="24"/>
        </w:rPr>
        <w:t xml:space="preserve">There has been some </w:t>
      </w:r>
      <w:r w:rsidR="006B7606">
        <w:rPr>
          <w:rFonts w:ascii="Arial" w:hAnsi="Arial" w:cs="Arial"/>
          <w:szCs w:val="24"/>
        </w:rPr>
        <w:t>discussion around</w:t>
      </w:r>
      <w:r>
        <w:rPr>
          <w:rFonts w:ascii="Arial" w:hAnsi="Arial" w:cs="Arial"/>
          <w:szCs w:val="24"/>
        </w:rPr>
        <w:t xml:space="preserve"> whether the ‘Outpatients’ grouping </w:t>
      </w:r>
      <w:r w:rsidR="006B7606">
        <w:rPr>
          <w:rFonts w:ascii="Arial" w:hAnsi="Arial" w:cs="Arial"/>
          <w:szCs w:val="24"/>
        </w:rPr>
        <w:t xml:space="preserve">could </w:t>
      </w:r>
      <w:r>
        <w:rPr>
          <w:rFonts w:ascii="Arial" w:hAnsi="Arial" w:cs="Arial"/>
          <w:szCs w:val="24"/>
        </w:rPr>
        <w:t>be taken out and the activity split into the remaining six diagnostic groups.</w:t>
      </w:r>
      <w:r w:rsidR="006B7606">
        <w:rPr>
          <w:rFonts w:ascii="Arial" w:hAnsi="Arial" w:cs="Arial"/>
          <w:szCs w:val="24"/>
        </w:rPr>
        <w:t xml:space="preserve"> </w:t>
      </w:r>
      <w:r w:rsidR="0031467F">
        <w:rPr>
          <w:rFonts w:ascii="Arial" w:hAnsi="Arial" w:cs="Arial"/>
          <w:szCs w:val="24"/>
        </w:rPr>
        <w:t>Due to the lack of diagnostic information in Outpatient data, this would have to be done another way. Exploratory analysis is being carried out to see if mapping Outpatient activity to diagnostic groups using specialty is feasible.</w:t>
      </w:r>
    </w:p>
    <w:p w:rsidR="00EF748D" w:rsidRDefault="00EF748D" w:rsidP="00EF748D">
      <w:pPr>
        <w:rPr>
          <w:rFonts w:ascii="Arial" w:hAnsi="Arial" w:cs="Arial"/>
          <w:b/>
          <w:szCs w:val="24"/>
        </w:rPr>
      </w:pPr>
    </w:p>
    <w:p w:rsidR="00EF748D" w:rsidRPr="008B483C" w:rsidRDefault="00EF748D" w:rsidP="008B483C">
      <w:pPr>
        <w:pStyle w:val="ListParagraph"/>
        <w:numPr>
          <w:ilvl w:val="0"/>
          <w:numId w:val="6"/>
        </w:numPr>
        <w:rPr>
          <w:rFonts w:ascii="Arial" w:hAnsi="Arial" w:cs="Arial"/>
          <w:b/>
          <w:szCs w:val="24"/>
        </w:rPr>
      </w:pPr>
      <w:r w:rsidRPr="008B483C">
        <w:rPr>
          <w:rFonts w:ascii="Arial" w:hAnsi="Arial" w:cs="Arial"/>
          <w:b/>
          <w:szCs w:val="24"/>
        </w:rPr>
        <w:t>Next steps</w:t>
      </w:r>
    </w:p>
    <w:p w:rsidR="008B483C" w:rsidRDefault="008B483C" w:rsidP="008B483C">
      <w:pPr>
        <w:rPr>
          <w:rFonts w:ascii="Arial" w:hAnsi="Arial" w:cs="Arial"/>
          <w:b/>
          <w:szCs w:val="24"/>
        </w:rPr>
      </w:pPr>
    </w:p>
    <w:p w:rsidR="00C72EEB" w:rsidRDefault="00A766A7" w:rsidP="00960F3B">
      <w:pPr>
        <w:rPr>
          <w:rFonts w:ascii="Arial" w:hAnsi="Arial" w:cs="Arial"/>
        </w:rPr>
      </w:pPr>
      <w:r>
        <w:rPr>
          <w:rFonts w:ascii="Arial" w:hAnsi="Arial" w:cs="Arial"/>
        </w:rPr>
        <w:t>The next st</w:t>
      </w:r>
      <w:r w:rsidR="00AE6A65">
        <w:rPr>
          <w:rFonts w:ascii="Arial" w:hAnsi="Arial" w:cs="Arial"/>
        </w:rPr>
        <w:t xml:space="preserve">ages of the analysis are to </w:t>
      </w:r>
      <w:r>
        <w:rPr>
          <w:rFonts w:ascii="Arial" w:hAnsi="Arial" w:cs="Arial"/>
        </w:rPr>
        <w:t>perform both stepwise r</w:t>
      </w:r>
      <w:r w:rsidR="00EA5832">
        <w:rPr>
          <w:rFonts w:ascii="Arial" w:hAnsi="Arial" w:cs="Arial"/>
        </w:rPr>
        <w:t xml:space="preserve">egressions and factor analysis. </w:t>
      </w:r>
      <w:r w:rsidR="006D5404">
        <w:rPr>
          <w:rFonts w:ascii="Arial" w:hAnsi="Arial" w:cs="Arial"/>
        </w:rPr>
        <w:t xml:space="preserve">This will result in a ‘restricted set’ of variables which </w:t>
      </w:r>
      <w:r w:rsidR="006B7606">
        <w:rPr>
          <w:rFonts w:ascii="Arial" w:hAnsi="Arial" w:cs="Arial"/>
        </w:rPr>
        <w:t xml:space="preserve">are significant </w:t>
      </w:r>
      <w:r w:rsidR="006B7606" w:rsidRPr="00685697">
        <w:rPr>
          <w:rFonts w:ascii="Arial" w:hAnsi="Arial" w:cs="Arial"/>
        </w:rPr>
        <w:t>predictors of need</w:t>
      </w:r>
      <w:r w:rsidR="006D5404" w:rsidRPr="00685697">
        <w:rPr>
          <w:rFonts w:ascii="Arial" w:hAnsi="Arial" w:cs="Arial"/>
        </w:rPr>
        <w:t>.</w:t>
      </w:r>
      <w:r w:rsidR="006B7606" w:rsidRPr="00685697">
        <w:rPr>
          <w:rFonts w:ascii="Arial" w:hAnsi="Arial" w:cs="Arial"/>
        </w:rPr>
        <w:t xml:space="preserve"> Examination of the coefficients of the variables in this restricted set will then be used to select the </w:t>
      </w:r>
      <w:r w:rsidR="007732B7" w:rsidRPr="00685697">
        <w:rPr>
          <w:rFonts w:ascii="Arial" w:hAnsi="Arial" w:cs="Arial"/>
        </w:rPr>
        <w:t xml:space="preserve">strongest </w:t>
      </w:r>
      <w:r w:rsidR="006B7606" w:rsidRPr="00685697">
        <w:rPr>
          <w:rFonts w:ascii="Arial" w:hAnsi="Arial" w:cs="Arial"/>
        </w:rPr>
        <w:t>final variables for the needs index.</w:t>
      </w:r>
      <w:r w:rsidR="00685697" w:rsidRPr="00685697">
        <w:rPr>
          <w:rFonts w:ascii="Arial" w:hAnsi="Arial" w:cs="Arial"/>
        </w:rPr>
        <w:t xml:space="preserve">  After this, work to investigate unmet need will be undertaken and the final report will be delivered to TAGRA as planned in August 2016.</w:t>
      </w:r>
    </w:p>
    <w:p w:rsidR="0007602D" w:rsidRDefault="0007602D" w:rsidP="00960F3B">
      <w:pPr>
        <w:rPr>
          <w:rFonts w:ascii="Arial" w:hAnsi="Arial" w:cs="Arial"/>
        </w:rPr>
      </w:pPr>
    </w:p>
    <w:p w:rsidR="0007602D" w:rsidRDefault="0007602D" w:rsidP="00960F3B">
      <w:pPr>
        <w:rPr>
          <w:rFonts w:ascii="Arial" w:hAnsi="Arial" w:cs="Arial"/>
        </w:rPr>
      </w:pPr>
    </w:p>
    <w:p w:rsidR="0007602D" w:rsidRDefault="0007602D" w:rsidP="00960F3B">
      <w:pPr>
        <w:rPr>
          <w:rFonts w:ascii="Arial" w:hAnsi="Arial" w:cs="Arial"/>
        </w:rPr>
      </w:pPr>
    </w:p>
    <w:p w:rsidR="0007602D" w:rsidRDefault="0007602D" w:rsidP="00960F3B">
      <w:pPr>
        <w:rPr>
          <w:rFonts w:ascii="Arial" w:hAnsi="Arial" w:cs="Arial"/>
        </w:rPr>
      </w:pPr>
    </w:p>
    <w:p w:rsidR="0007602D" w:rsidRDefault="0007602D" w:rsidP="00960F3B">
      <w:pPr>
        <w:rPr>
          <w:rFonts w:ascii="Arial" w:hAnsi="Arial" w:cs="Arial"/>
        </w:rPr>
      </w:pPr>
    </w:p>
    <w:p w:rsidR="0007602D" w:rsidRDefault="0007602D" w:rsidP="00960F3B">
      <w:pPr>
        <w:rPr>
          <w:rFonts w:ascii="Arial" w:hAnsi="Arial" w:cs="Arial"/>
        </w:rPr>
      </w:pPr>
    </w:p>
    <w:p w:rsidR="0007602D" w:rsidRDefault="0007602D" w:rsidP="00960F3B">
      <w:pPr>
        <w:rPr>
          <w:rFonts w:ascii="Arial" w:hAnsi="Arial" w:cs="Arial"/>
        </w:rPr>
      </w:pPr>
    </w:p>
    <w:p w:rsidR="0007602D" w:rsidRDefault="0007602D" w:rsidP="00960F3B">
      <w:pPr>
        <w:rPr>
          <w:rFonts w:ascii="Arial" w:hAnsi="Arial" w:cs="Arial"/>
        </w:rPr>
      </w:pPr>
    </w:p>
    <w:p w:rsidR="008F5F34" w:rsidRDefault="008F5F34" w:rsidP="00960F3B">
      <w:pPr>
        <w:rPr>
          <w:rFonts w:ascii="Arial" w:hAnsi="Arial" w:cs="Arial"/>
          <w:b/>
        </w:rPr>
      </w:pPr>
      <w:r>
        <w:rPr>
          <w:rFonts w:ascii="Arial" w:hAnsi="Arial" w:cs="Arial"/>
          <w:b/>
        </w:rPr>
        <w:br w:type="page"/>
      </w:r>
    </w:p>
    <w:p w:rsidR="0007602D" w:rsidRPr="0007602D" w:rsidRDefault="0007602D" w:rsidP="00960F3B">
      <w:pPr>
        <w:rPr>
          <w:rFonts w:ascii="Arial" w:hAnsi="Arial" w:cs="Arial"/>
          <w:b/>
        </w:rPr>
      </w:pPr>
      <w:r w:rsidRPr="0007602D">
        <w:rPr>
          <w:rFonts w:ascii="Arial" w:hAnsi="Arial" w:cs="Arial"/>
          <w:b/>
        </w:rPr>
        <w:lastRenderedPageBreak/>
        <w:t>Appendix 1 - Numbers of data zones with zero counts for each variable</w:t>
      </w:r>
    </w:p>
    <w:p w:rsidR="0007602D" w:rsidRDefault="0007602D" w:rsidP="00960F3B">
      <w:pPr>
        <w:rPr>
          <w:rFonts w:ascii="Arial" w:hAnsi="Arial" w:cs="Arial"/>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387"/>
      </w:tblGrid>
      <w:tr w:rsidR="0007602D" w:rsidRPr="001A7FE6" w:rsidTr="00DA4256">
        <w:trPr>
          <w:cantSplit/>
          <w:trHeight w:val="317"/>
          <w:jc w:val="center"/>
        </w:trPr>
        <w:tc>
          <w:tcPr>
            <w:tcW w:w="3665" w:type="pct"/>
            <w:tcBorders>
              <w:bottom w:val="single" w:sz="4" w:space="0" w:color="auto"/>
            </w:tcBorders>
            <w:vAlign w:val="center"/>
            <w:hideMark/>
          </w:tcPr>
          <w:p w:rsidR="0007602D" w:rsidRPr="001A7FE6" w:rsidRDefault="0007602D" w:rsidP="00DA4256">
            <w:pPr>
              <w:jc w:val="center"/>
              <w:rPr>
                <w:rFonts w:ascii="Arial" w:hAnsi="Arial" w:cs="Arial"/>
                <w:b/>
                <w:sz w:val="20"/>
              </w:rPr>
            </w:pPr>
            <w:r w:rsidRPr="001A7FE6">
              <w:rPr>
                <w:rFonts w:ascii="Arial" w:hAnsi="Arial" w:cs="Arial"/>
                <w:b/>
                <w:sz w:val="20"/>
              </w:rPr>
              <w:t>Variable</w:t>
            </w:r>
          </w:p>
        </w:tc>
        <w:tc>
          <w:tcPr>
            <w:tcW w:w="1335" w:type="pct"/>
            <w:tcBorders>
              <w:bottom w:val="single" w:sz="4" w:space="0" w:color="auto"/>
            </w:tcBorders>
            <w:vAlign w:val="center"/>
            <w:hideMark/>
          </w:tcPr>
          <w:p w:rsidR="0007602D" w:rsidRPr="001A7FE6" w:rsidRDefault="0007602D" w:rsidP="00DA4256">
            <w:pPr>
              <w:spacing w:line="240" w:lineRule="auto"/>
              <w:jc w:val="center"/>
              <w:rPr>
                <w:rFonts w:ascii="Arial" w:hAnsi="Arial" w:cs="Arial"/>
                <w:b/>
                <w:sz w:val="20"/>
              </w:rPr>
            </w:pPr>
            <w:r w:rsidRPr="001A7FE6">
              <w:rPr>
                <w:rFonts w:ascii="Arial" w:hAnsi="Arial" w:cs="Arial"/>
                <w:b/>
                <w:sz w:val="20"/>
              </w:rPr>
              <w:t>Zeros</w:t>
            </w:r>
          </w:p>
        </w:tc>
      </w:tr>
      <w:tr w:rsidR="0007602D" w:rsidRPr="00E819B6" w:rsidTr="00DA4256">
        <w:trPr>
          <w:trHeight w:val="284"/>
          <w:jc w:val="center"/>
        </w:trPr>
        <w:tc>
          <w:tcPr>
            <w:tcW w:w="3665" w:type="pct"/>
            <w:shd w:val="clear" w:color="auto" w:fill="auto"/>
            <w:hideMark/>
          </w:tcPr>
          <w:p w:rsidR="0007602D" w:rsidRPr="001A7FE6" w:rsidRDefault="0007602D" w:rsidP="00DA4256">
            <w:pPr>
              <w:rPr>
                <w:rFonts w:ascii="Arial" w:hAnsi="Arial" w:cs="Arial"/>
                <w:sz w:val="20"/>
              </w:rPr>
            </w:pPr>
            <w:r w:rsidRPr="001A7FE6">
              <w:rPr>
                <w:rFonts w:ascii="Arial" w:hAnsi="Arial" w:cs="Arial"/>
                <w:sz w:val="20"/>
              </w:rPr>
              <w:t>Low birth weight births</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1A7FE6">
              <w:rPr>
                <w:rFonts w:ascii="Arial" w:hAnsi="Arial" w:cs="Arial"/>
                <w:color w:val="000000"/>
                <w:sz w:val="20"/>
              </w:rPr>
              <w:t>2,042</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Death rate 0-74 all causes</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8</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Death rate 0-74 Cancer</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118</w:t>
            </w:r>
          </w:p>
        </w:tc>
      </w:tr>
      <w:tr w:rsidR="0007602D" w:rsidRPr="00E819B6" w:rsidTr="00DA4256">
        <w:trPr>
          <w:trHeight w:val="284"/>
          <w:jc w:val="center"/>
        </w:trPr>
        <w:tc>
          <w:tcPr>
            <w:tcW w:w="3665" w:type="pct"/>
            <w:tcBorders>
              <w:bottom w:val="single" w:sz="4" w:space="0" w:color="auto"/>
            </w:tcBorders>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Death rate 0-74 CHD</w:t>
            </w:r>
          </w:p>
        </w:tc>
        <w:tc>
          <w:tcPr>
            <w:tcW w:w="1335" w:type="pct"/>
            <w:tcBorders>
              <w:bottom w:val="single" w:sz="4" w:space="0" w:color="auto"/>
            </w:tcBorders>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1</w:t>
            </w:r>
            <w:r>
              <w:rPr>
                <w:rFonts w:ascii="Arial" w:hAnsi="Arial" w:cs="Arial"/>
                <w:color w:val="000000"/>
                <w:sz w:val="20"/>
              </w:rPr>
              <w:t>,</w:t>
            </w:r>
            <w:r w:rsidRPr="00D03E50">
              <w:rPr>
                <w:rFonts w:ascii="Arial" w:hAnsi="Arial" w:cs="Arial"/>
                <w:color w:val="000000"/>
                <w:sz w:val="20"/>
              </w:rPr>
              <w:t>443</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Death rate 0-74 Stroke</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4</w:t>
            </w:r>
            <w:r>
              <w:rPr>
                <w:rFonts w:ascii="Arial" w:hAnsi="Arial" w:cs="Arial"/>
                <w:color w:val="000000"/>
                <w:sz w:val="20"/>
              </w:rPr>
              <w:t>,</w:t>
            </w:r>
            <w:r w:rsidRPr="00D03E50">
              <w:rPr>
                <w:rFonts w:ascii="Arial" w:hAnsi="Arial" w:cs="Arial"/>
                <w:color w:val="000000"/>
                <w:sz w:val="20"/>
              </w:rPr>
              <w:t>874</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All cause SMR 0-64</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74</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All cause SMR 0-69</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21</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All cause SMR 0-74</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8</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Cancer SMR 0-64</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711</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Cancer SMR 0-69</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277</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Cancer SMR 0-74</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118</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Heart Disease SMR 0-64</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1</w:t>
            </w:r>
            <w:r>
              <w:rPr>
                <w:rFonts w:ascii="Arial" w:hAnsi="Arial" w:cs="Arial"/>
                <w:color w:val="000000"/>
                <w:sz w:val="20"/>
              </w:rPr>
              <w:t>,</w:t>
            </w:r>
            <w:r w:rsidRPr="00D03E50">
              <w:rPr>
                <w:rFonts w:ascii="Arial" w:hAnsi="Arial" w:cs="Arial"/>
                <w:color w:val="000000"/>
                <w:sz w:val="20"/>
              </w:rPr>
              <w:t>940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Heart Disease SMR 0-69</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1</w:t>
            </w:r>
            <w:r>
              <w:rPr>
                <w:rFonts w:ascii="Arial" w:hAnsi="Arial" w:cs="Arial"/>
                <w:color w:val="000000"/>
                <w:sz w:val="20"/>
              </w:rPr>
              <w:t>,</w:t>
            </w:r>
            <w:r w:rsidRPr="00D03E50">
              <w:rPr>
                <w:rFonts w:ascii="Arial" w:hAnsi="Arial" w:cs="Arial"/>
                <w:color w:val="000000"/>
                <w:sz w:val="20"/>
              </w:rPr>
              <w:t>139</w:t>
            </w:r>
          </w:p>
        </w:tc>
      </w:tr>
      <w:tr w:rsidR="0007602D" w:rsidRPr="00E819B6" w:rsidTr="00DA4256">
        <w:trPr>
          <w:trHeight w:val="284"/>
          <w:jc w:val="center"/>
        </w:trPr>
        <w:tc>
          <w:tcPr>
            <w:tcW w:w="3665" w:type="pct"/>
            <w:tcBorders>
              <w:bottom w:val="single" w:sz="4" w:space="0" w:color="auto"/>
            </w:tcBorders>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Heart Disease SMR 0-74</w:t>
            </w:r>
          </w:p>
        </w:tc>
        <w:tc>
          <w:tcPr>
            <w:tcW w:w="1335" w:type="pct"/>
            <w:tcBorders>
              <w:bottom w:val="single" w:sz="4" w:space="0" w:color="auto"/>
            </w:tcBorders>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624</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Respiratory SMR 0-64</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4</w:t>
            </w:r>
            <w:r>
              <w:rPr>
                <w:rFonts w:ascii="Arial" w:hAnsi="Arial" w:cs="Arial"/>
                <w:color w:val="000000"/>
                <w:sz w:val="20"/>
              </w:rPr>
              <w:t>,</w:t>
            </w:r>
            <w:r w:rsidRPr="00D03E50">
              <w:rPr>
                <w:rFonts w:ascii="Arial" w:hAnsi="Arial" w:cs="Arial"/>
                <w:color w:val="000000"/>
                <w:sz w:val="20"/>
              </w:rPr>
              <w:t>576</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Respiratory SMR 0-69</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3</w:t>
            </w:r>
            <w:r>
              <w:rPr>
                <w:rFonts w:ascii="Arial" w:hAnsi="Arial" w:cs="Arial"/>
                <w:color w:val="000000"/>
                <w:sz w:val="20"/>
              </w:rPr>
              <w:t>,</w:t>
            </w:r>
            <w:r w:rsidRPr="00D03E50">
              <w:rPr>
                <w:rFonts w:ascii="Arial" w:hAnsi="Arial" w:cs="Arial"/>
                <w:color w:val="000000"/>
                <w:sz w:val="20"/>
              </w:rPr>
              <w:t>508</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Respiratory SMR 0-74</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w:t>
            </w:r>
            <w:r>
              <w:rPr>
                <w:rFonts w:ascii="Arial" w:hAnsi="Arial" w:cs="Arial"/>
                <w:color w:val="000000"/>
                <w:sz w:val="20"/>
              </w:rPr>
              <w:t>,</w:t>
            </w:r>
            <w:r w:rsidRPr="00D03E50">
              <w:rPr>
                <w:rFonts w:ascii="Arial" w:hAnsi="Arial" w:cs="Arial"/>
                <w:color w:val="000000"/>
                <w:sz w:val="20"/>
              </w:rPr>
              <w:t>416</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Digestive System SMR  0-64</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3</w:t>
            </w:r>
            <w:r>
              <w:rPr>
                <w:rFonts w:ascii="Arial" w:hAnsi="Arial" w:cs="Arial"/>
                <w:color w:val="000000"/>
                <w:sz w:val="20"/>
              </w:rPr>
              <w:t>,</w:t>
            </w:r>
            <w:r w:rsidRPr="00D03E50">
              <w:rPr>
                <w:rFonts w:ascii="Arial" w:hAnsi="Arial" w:cs="Arial"/>
                <w:color w:val="000000"/>
                <w:sz w:val="20"/>
              </w:rPr>
              <w:t>966</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Digestive System SMR 0-69</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3</w:t>
            </w:r>
            <w:r>
              <w:rPr>
                <w:rFonts w:ascii="Arial" w:hAnsi="Arial" w:cs="Arial"/>
                <w:color w:val="000000"/>
                <w:sz w:val="20"/>
              </w:rPr>
              <w:t>,</w:t>
            </w:r>
            <w:r w:rsidRPr="00D03E50">
              <w:rPr>
                <w:rFonts w:ascii="Arial" w:hAnsi="Arial" w:cs="Arial"/>
                <w:color w:val="000000"/>
                <w:sz w:val="20"/>
              </w:rPr>
              <w:t>385</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Digestive System SMR 0-74</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w:t>
            </w:r>
            <w:r>
              <w:rPr>
                <w:rFonts w:ascii="Arial" w:hAnsi="Arial" w:cs="Arial"/>
                <w:color w:val="000000"/>
                <w:sz w:val="20"/>
              </w:rPr>
              <w:t>,</w:t>
            </w:r>
            <w:r w:rsidRPr="00D03E50">
              <w:rPr>
                <w:rFonts w:ascii="Arial" w:hAnsi="Arial" w:cs="Arial"/>
                <w:color w:val="000000"/>
                <w:sz w:val="20"/>
              </w:rPr>
              <w:t>924</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 xml:space="preserve">External Causes SMR 0-64 </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w:t>
            </w:r>
            <w:r>
              <w:rPr>
                <w:rFonts w:ascii="Arial" w:hAnsi="Arial" w:cs="Arial"/>
                <w:color w:val="000000"/>
                <w:sz w:val="20"/>
              </w:rPr>
              <w:t>,</w:t>
            </w:r>
            <w:r w:rsidRPr="00D03E50">
              <w:rPr>
                <w:rFonts w:ascii="Arial" w:hAnsi="Arial" w:cs="Arial"/>
                <w:color w:val="000000"/>
                <w:sz w:val="20"/>
              </w:rPr>
              <w:t>946</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External Causes SMR 0-69</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w:t>
            </w:r>
            <w:r>
              <w:rPr>
                <w:rFonts w:ascii="Arial" w:hAnsi="Arial" w:cs="Arial"/>
                <w:color w:val="000000"/>
                <w:sz w:val="20"/>
              </w:rPr>
              <w:t>,</w:t>
            </w:r>
            <w:r w:rsidRPr="00D03E50">
              <w:rPr>
                <w:rFonts w:ascii="Arial" w:hAnsi="Arial" w:cs="Arial"/>
                <w:color w:val="000000"/>
                <w:sz w:val="20"/>
              </w:rPr>
              <w:t>774</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External Causes SMR 0-74</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w:t>
            </w:r>
            <w:r>
              <w:rPr>
                <w:rFonts w:ascii="Arial" w:hAnsi="Arial" w:cs="Arial"/>
                <w:color w:val="000000"/>
                <w:sz w:val="20"/>
              </w:rPr>
              <w:t>,</w:t>
            </w:r>
            <w:r w:rsidRPr="00D03E50">
              <w:rPr>
                <w:rFonts w:ascii="Arial" w:hAnsi="Arial" w:cs="Arial"/>
                <w:color w:val="000000"/>
                <w:sz w:val="20"/>
              </w:rPr>
              <w:t>614</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Other SMR 0-64</w:t>
            </w:r>
          </w:p>
        </w:tc>
        <w:tc>
          <w:tcPr>
            <w:tcW w:w="1335" w:type="pct"/>
            <w:shd w:val="diagStripe" w:color="D9D9D9" w:themeColor="background1" w:themeShade="D9"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w:t>
            </w:r>
            <w:r>
              <w:rPr>
                <w:rFonts w:ascii="Arial" w:hAnsi="Arial" w:cs="Arial"/>
                <w:color w:val="000000"/>
                <w:sz w:val="20"/>
              </w:rPr>
              <w:t>,</w:t>
            </w:r>
            <w:r w:rsidRPr="00D03E50">
              <w:rPr>
                <w:rFonts w:ascii="Arial" w:hAnsi="Arial" w:cs="Arial"/>
                <w:color w:val="000000"/>
                <w:sz w:val="20"/>
              </w:rPr>
              <w:t>597</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Other SMR 0-69</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2</w:t>
            </w:r>
            <w:r>
              <w:rPr>
                <w:rFonts w:ascii="Arial" w:hAnsi="Arial" w:cs="Arial"/>
                <w:color w:val="000000"/>
                <w:sz w:val="20"/>
              </w:rPr>
              <w:t>,</w:t>
            </w:r>
            <w:r w:rsidRPr="00D03E50">
              <w:rPr>
                <w:rFonts w:ascii="Arial" w:hAnsi="Arial" w:cs="Arial"/>
                <w:color w:val="000000"/>
                <w:sz w:val="20"/>
              </w:rPr>
              <w:t>076</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Other SMR 0-74</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1</w:t>
            </w:r>
            <w:r>
              <w:rPr>
                <w:rFonts w:ascii="Arial" w:hAnsi="Arial" w:cs="Arial"/>
                <w:color w:val="000000"/>
                <w:sz w:val="20"/>
              </w:rPr>
              <w:t>,</w:t>
            </w:r>
            <w:r w:rsidRPr="00D03E50">
              <w:rPr>
                <w:rFonts w:ascii="Arial" w:hAnsi="Arial" w:cs="Arial"/>
                <w:color w:val="000000"/>
                <w:sz w:val="20"/>
              </w:rPr>
              <w:t>510</w:t>
            </w:r>
          </w:p>
        </w:tc>
      </w:tr>
      <w:tr w:rsidR="0007602D" w:rsidRPr="00E819B6" w:rsidTr="00DA4256">
        <w:trPr>
          <w:trHeight w:val="284"/>
          <w:jc w:val="center"/>
        </w:trPr>
        <w:tc>
          <w:tcPr>
            <w:tcW w:w="3665" w:type="pct"/>
            <w:tcBorders>
              <w:bottom w:val="single" w:sz="4" w:space="0" w:color="auto"/>
            </w:tcBorders>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High Resource Individual counts</w:t>
            </w:r>
          </w:p>
        </w:tc>
        <w:tc>
          <w:tcPr>
            <w:tcW w:w="1335" w:type="pct"/>
            <w:tcBorders>
              <w:bottom w:val="single" w:sz="4" w:space="0" w:color="auto"/>
            </w:tcBorders>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0</w:t>
            </w:r>
          </w:p>
        </w:tc>
      </w:tr>
      <w:tr w:rsidR="0007602D" w:rsidRPr="00E819B6" w:rsidTr="00DA4256">
        <w:trPr>
          <w:trHeight w:val="284"/>
          <w:jc w:val="center"/>
        </w:trPr>
        <w:tc>
          <w:tcPr>
            <w:tcW w:w="3665" w:type="pct"/>
            <w:shd w:val="diagStripe" w:color="D9D9D9" w:themeColor="background1" w:themeShade="D9" w:fill="auto"/>
          </w:tcPr>
          <w:p w:rsidR="0007602D" w:rsidRPr="00E819B6" w:rsidRDefault="0007602D" w:rsidP="00DA4256">
            <w:pPr>
              <w:rPr>
                <w:rFonts w:ascii="Arial" w:hAnsi="Arial" w:cs="Arial"/>
                <w:sz w:val="20"/>
              </w:rPr>
            </w:pPr>
            <w:r>
              <w:rPr>
                <w:rFonts w:ascii="Arial" w:hAnsi="Arial" w:cs="Arial"/>
                <w:sz w:val="20"/>
              </w:rPr>
              <w:t>P</w:t>
            </w:r>
            <w:r w:rsidRPr="00E819B6">
              <w:rPr>
                <w:rFonts w:ascii="Arial" w:hAnsi="Arial" w:cs="Arial"/>
                <w:sz w:val="20"/>
              </w:rPr>
              <w:t>atients receiving Diabetes prescriptions</w:t>
            </w:r>
          </w:p>
        </w:tc>
        <w:tc>
          <w:tcPr>
            <w:tcW w:w="1335" w:type="pct"/>
            <w:shd w:val="diagStripe" w:color="D9D9D9" w:themeColor="background1" w:themeShade="D9" w:fill="auto"/>
            <w:vAlign w:val="center"/>
          </w:tcPr>
          <w:p w:rsidR="0007602D" w:rsidRPr="00D03E50" w:rsidRDefault="0007602D" w:rsidP="00DA4256">
            <w:pPr>
              <w:spacing w:line="240" w:lineRule="auto"/>
              <w:jc w:val="center"/>
              <w:rPr>
                <w:rFonts w:ascii="Arial" w:hAnsi="Arial" w:cs="Arial"/>
                <w:sz w:val="20"/>
              </w:rPr>
            </w:pPr>
            <w:r w:rsidRPr="00D03E50">
              <w:rPr>
                <w:rFonts w:ascii="Arial" w:hAnsi="Arial" w:cs="Arial"/>
                <w:sz w:val="20"/>
              </w:rPr>
              <w:t>5,426</w:t>
            </w:r>
          </w:p>
        </w:tc>
      </w:tr>
      <w:tr w:rsidR="0007602D" w:rsidRPr="00E819B6" w:rsidTr="00DA4256">
        <w:trPr>
          <w:trHeight w:val="284"/>
          <w:jc w:val="center"/>
        </w:trPr>
        <w:tc>
          <w:tcPr>
            <w:tcW w:w="3665" w:type="pct"/>
            <w:tcBorders>
              <w:bottom w:val="single" w:sz="4" w:space="0" w:color="auto"/>
            </w:tcBorders>
            <w:shd w:val="clear" w:color="auto" w:fill="auto"/>
          </w:tcPr>
          <w:p w:rsidR="0007602D" w:rsidRPr="00E819B6" w:rsidRDefault="0007602D" w:rsidP="00DA4256">
            <w:pPr>
              <w:rPr>
                <w:rFonts w:ascii="Arial" w:hAnsi="Arial" w:cs="Arial"/>
                <w:sz w:val="20"/>
              </w:rPr>
            </w:pPr>
            <w:r>
              <w:rPr>
                <w:rFonts w:ascii="Arial" w:hAnsi="Arial" w:cs="Arial"/>
                <w:sz w:val="20"/>
              </w:rPr>
              <w:t>P</w:t>
            </w:r>
            <w:r w:rsidRPr="00E819B6">
              <w:rPr>
                <w:rFonts w:ascii="Arial" w:hAnsi="Arial" w:cs="Arial"/>
                <w:sz w:val="20"/>
              </w:rPr>
              <w:t>atients receiving Dementia prescriptions</w:t>
            </w:r>
          </w:p>
        </w:tc>
        <w:tc>
          <w:tcPr>
            <w:tcW w:w="1335" w:type="pct"/>
            <w:tcBorders>
              <w:bottom w:val="single" w:sz="4" w:space="0" w:color="auto"/>
            </w:tcBorders>
            <w:shd w:val="clear" w:color="auto" w:fill="auto"/>
            <w:vAlign w:val="center"/>
          </w:tcPr>
          <w:p w:rsidR="0007602D" w:rsidRPr="00D03E50" w:rsidRDefault="0007602D" w:rsidP="00DA4256">
            <w:pPr>
              <w:spacing w:line="240" w:lineRule="auto"/>
              <w:jc w:val="center"/>
              <w:rPr>
                <w:rFonts w:ascii="Arial" w:hAnsi="Arial" w:cs="Arial"/>
                <w:sz w:val="20"/>
              </w:rPr>
            </w:pPr>
            <w:r w:rsidRPr="00D03E50">
              <w:rPr>
                <w:rFonts w:ascii="Arial" w:hAnsi="Arial" w:cs="Arial"/>
                <w:sz w:val="20"/>
              </w:rPr>
              <w:t>727</w:t>
            </w:r>
          </w:p>
        </w:tc>
      </w:tr>
      <w:tr w:rsidR="0007602D" w:rsidRPr="00E819B6" w:rsidTr="00DA4256">
        <w:trPr>
          <w:trHeight w:val="284"/>
          <w:jc w:val="center"/>
        </w:trPr>
        <w:tc>
          <w:tcPr>
            <w:tcW w:w="3665" w:type="pct"/>
            <w:shd w:val="diagStripe" w:color="D9D9D9" w:themeColor="background1" w:themeShade="D9" w:fill="auto"/>
          </w:tcPr>
          <w:p w:rsidR="0007602D" w:rsidRPr="00E819B6" w:rsidRDefault="0007602D" w:rsidP="00DA4256">
            <w:pPr>
              <w:rPr>
                <w:rFonts w:ascii="Arial" w:hAnsi="Arial" w:cs="Arial"/>
                <w:sz w:val="20"/>
              </w:rPr>
            </w:pPr>
            <w:r>
              <w:rPr>
                <w:rFonts w:ascii="Arial" w:hAnsi="Arial" w:cs="Arial"/>
                <w:sz w:val="20"/>
              </w:rPr>
              <w:t>P</w:t>
            </w:r>
            <w:r w:rsidRPr="00E819B6">
              <w:rPr>
                <w:rFonts w:ascii="Arial" w:hAnsi="Arial" w:cs="Arial"/>
                <w:sz w:val="20"/>
              </w:rPr>
              <w:t>atients receiving Respiratory prescriptions</w:t>
            </w:r>
          </w:p>
        </w:tc>
        <w:tc>
          <w:tcPr>
            <w:tcW w:w="1335" w:type="pct"/>
            <w:shd w:val="diagStripe" w:color="D9D9D9" w:themeColor="background1" w:themeShade="D9" w:fill="auto"/>
            <w:vAlign w:val="center"/>
          </w:tcPr>
          <w:p w:rsidR="0007602D" w:rsidRPr="00D03E50" w:rsidRDefault="0007602D" w:rsidP="00DA4256">
            <w:pPr>
              <w:spacing w:line="240" w:lineRule="auto"/>
              <w:jc w:val="center"/>
              <w:rPr>
                <w:rFonts w:ascii="Arial" w:hAnsi="Arial" w:cs="Arial"/>
                <w:sz w:val="20"/>
              </w:rPr>
            </w:pPr>
            <w:r w:rsidRPr="00D03E50">
              <w:rPr>
                <w:rFonts w:ascii="Arial" w:hAnsi="Arial" w:cs="Arial"/>
                <w:sz w:val="20"/>
              </w:rPr>
              <w:t>5,386</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Long-term illness </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Mental health condition </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sidRPr="00D03E50">
              <w:rPr>
                <w:rFonts w:ascii="Arial" w:hAnsi="Arial" w:cs="Arial"/>
                <w:color w:val="000000"/>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Limiting long-term illness </w:t>
            </w:r>
            <w:r>
              <w:rPr>
                <w:rFonts w:ascii="Arial" w:hAnsi="Arial" w:cs="Arial"/>
                <w:sz w:val="20"/>
              </w:rPr>
              <w:t>– limited a lot</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Pr>
                <w:rFonts w:ascii="Arial" w:hAnsi="Arial" w:cs="Arial"/>
                <w:color w:val="000000"/>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Pr>
                <w:rFonts w:ascii="Arial" w:hAnsi="Arial" w:cs="Arial"/>
                <w:sz w:val="20"/>
              </w:rPr>
              <w:t>Limiting long-term illness – limited a little or a lot</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Pr>
                <w:rFonts w:ascii="Arial" w:hAnsi="Arial" w:cs="Arial"/>
                <w:color w:val="000000"/>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Long-term sick and not seeking work </w:t>
            </w:r>
          </w:p>
        </w:tc>
        <w:tc>
          <w:tcPr>
            <w:tcW w:w="1335" w:type="pct"/>
            <w:shd w:val="clear" w:color="auto" w:fill="auto"/>
            <w:vAlign w:val="center"/>
            <w:hideMark/>
          </w:tcPr>
          <w:p w:rsidR="0007602D" w:rsidRPr="00D03E50" w:rsidRDefault="0007602D" w:rsidP="00DA4256">
            <w:pPr>
              <w:spacing w:line="240" w:lineRule="auto"/>
              <w:jc w:val="center"/>
              <w:rPr>
                <w:rFonts w:ascii="Arial" w:hAnsi="Arial" w:cs="Arial"/>
                <w:color w:val="000000"/>
                <w:sz w:val="20"/>
              </w:rPr>
            </w:pPr>
            <w:r>
              <w:rPr>
                <w:rFonts w:ascii="Arial" w:hAnsi="Arial" w:cs="Arial"/>
                <w:color w:val="000000"/>
                <w:sz w:val="20"/>
              </w:rPr>
              <w:t>7</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Pr>
                <w:rFonts w:ascii="Arial" w:hAnsi="Arial" w:cs="Arial"/>
                <w:sz w:val="20"/>
              </w:rPr>
              <w:t>G</w:t>
            </w:r>
            <w:r w:rsidRPr="00E819B6">
              <w:rPr>
                <w:rFonts w:ascii="Arial" w:hAnsi="Arial" w:cs="Arial"/>
                <w:sz w:val="20"/>
              </w:rPr>
              <w:t xml:space="preserve">eneral health </w:t>
            </w:r>
            <w:r>
              <w:rPr>
                <w:rFonts w:ascii="Arial" w:hAnsi="Arial" w:cs="Arial"/>
                <w:sz w:val="20"/>
              </w:rPr>
              <w:t>– very bad</w:t>
            </w:r>
          </w:p>
        </w:tc>
        <w:tc>
          <w:tcPr>
            <w:tcW w:w="1335" w:type="pct"/>
            <w:shd w:val="clear" w:color="auto" w:fill="auto"/>
            <w:vAlign w:val="center"/>
            <w:hideMark/>
          </w:tcPr>
          <w:p w:rsidR="0007602D" w:rsidRPr="006916EE" w:rsidRDefault="0007602D" w:rsidP="00DA4256">
            <w:pPr>
              <w:spacing w:line="240" w:lineRule="auto"/>
              <w:jc w:val="center"/>
              <w:rPr>
                <w:rFonts w:ascii="Arial" w:hAnsi="Arial" w:cs="Arial"/>
                <w:color w:val="000000"/>
                <w:sz w:val="20"/>
              </w:rPr>
            </w:pPr>
            <w:r w:rsidRPr="006916EE">
              <w:rPr>
                <w:rFonts w:ascii="Arial" w:hAnsi="Arial" w:cs="Arial"/>
                <w:color w:val="000000"/>
                <w:sz w:val="20"/>
              </w:rPr>
              <w:t>88</w:t>
            </w:r>
          </w:p>
        </w:tc>
      </w:tr>
      <w:tr w:rsidR="0007602D" w:rsidRPr="00E819B6" w:rsidTr="00DA4256">
        <w:trPr>
          <w:trHeight w:val="284"/>
          <w:jc w:val="center"/>
        </w:trPr>
        <w:tc>
          <w:tcPr>
            <w:tcW w:w="3665" w:type="pct"/>
            <w:shd w:val="clear" w:color="auto" w:fill="auto"/>
            <w:hideMark/>
          </w:tcPr>
          <w:p w:rsidR="0007602D" w:rsidRDefault="0007602D" w:rsidP="00DA4256">
            <w:pPr>
              <w:rPr>
                <w:rFonts w:ascii="Arial" w:hAnsi="Arial" w:cs="Arial"/>
                <w:sz w:val="20"/>
              </w:rPr>
            </w:pPr>
            <w:r>
              <w:rPr>
                <w:rFonts w:ascii="Arial" w:hAnsi="Arial" w:cs="Arial"/>
                <w:sz w:val="20"/>
              </w:rPr>
              <w:t>General health – bad or very bad</w:t>
            </w:r>
          </w:p>
        </w:tc>
        <w:tc>
          <w:tcPr>
            <w:tcW w:w="1335" w:type="pct"/>
            <w:shd w:val="clear" w:color="auto" w:fill="auto"/>
            <w:vAlign w:val="center"/>
            <w:hideMark/>
          </w:tcPr>
          <w:p w:rsidR="0007602D" w:rsidRPr="006916EE" w:rsidRDefault="0007602D" w:rsidP="00DA4256">
            <w:pPr>
              <w:spacing w:line="240" w:lineRule="auto"/>
              <w:jc w:val="center"/>
              <w:rPr>
                <w:rFonts w:ascii="Arial" w:hAnsi="Arial" w:cs="Arial"/>
                <w:color w:val="000000"/>
                <w:sz w:val="20"/>
              </w:rPr>
            </w:pPr>
            <w:r w:rsidRPr="006916EE">
              <w:rPr>
                <w:rFonts w:ascii="Arial" w:hAnsi="Arial" w:cs="Arial"/>
                <w:color w:val="000000"/>
                <w:sz w:val="20"/>
              </w:rPr>
              <w:t>2</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Pr>
                <w:rFonts w:ascii="Arial" w:hAnsi="Arial" w:cs="Arial"/>
                <w:sz w:val="20"/>
              </w:rPr>
              <w:t>Older</w:t>
            </w:r>
            <w:r w:rsidRPr="00E819B6">
              <w:rPr>
                <w:rFonts w:ascii="Arial" w:hAnsi="Arial" w:cs="Arial"/>
                <w:sz w:val="20"/>
              </w:rPr>
              <w:t xml:space="preserve"> people living alone</w:t>
            </w:r>
            <w:r>
              <w:rPr>
                <w:rFonts w:ascii="Arial" w:hAnsi="Arial" w:cs="Arial"/>
                <w:sz w:val="20"/>
              </w:rPr>
              <w:t xml:space="preserve"> – 65 and over</w:t>
            </w:r>
          </w:p>
        </w:tc>
        <w:tc>
          <w:tcPr>
            <w:tcW w:w="1335" w:type="pct"/>
            <w:shd w:val="clear" w:color="auto" w:fill="auto"/>
            <w:vAlign w:val="center"/>
            <w:hideMark/>
          </w:tcPr>
          <w:p w:rsidR="0007602D" w:rsidRPr="00F23F6E" w:rsidRDefault="0007602D" w:rsidP="00DA4256">
            <w:pPr>
              <w:jc w:val="center"/>
              <w:rPr>
                <w:rFonts w:ascii="Arial" w:hAnsi="Arial" w:cs="Arial"/>
                <w:color w:val="000000"/>
                <w:sz w:val="20"/>
              </w:rPr>
            </w:pPr>
            <w:r w:rsidRPr="00F23F6E">
              <w:rPr>
                <w:rFonts w:ascii="Arial" w:hAnsi="Arial" w:cs="Arial"/>
                <w:color w:val="000000"/>
                <w:sz w:val="20"/>
              </w:rPr>
              <w:t>14</w:t>
            </w:r>
          </w:p>
        </w:tc>
      </w:tr>
      <w:tr w:rsidR="0007602D" w:rsidRPr="00E819B6" w:rsidTr="00DA4256">
        <w:trPr>
          <w:trHeight w:val="284"/>
          <w:jc w:val="center"/>
        </w:trPr>
        <w:tc>
          <w:tcPr>
            <w:tcW w:w="3665" w:type="pct"/>
            <w:shd w:val="clear" w:color="auto" w:fill="auto"/>
            <w:hideMark/>
          </w:tcPr>
          <w:p w:rsidR="0007602D" w:rsidRDefault="0007602D" w:rsidP="00DA4256">
            <w:pPr>
              <w:rPr>
                <w:rFonts w:ascii="Arial" w:hAnsi="Arial" w:cs="Arial"/>
                <w:sz w:val="20"/>
              </w:rPr>
            </w:pPr>
            <w:r>
              <w:rPr>
                <w:rFonts w:ascii="Arial" w:hAnsi="Arial" w:cs="Arial"/>
                <w:sz w:val="20"/>
              </w:rPr>
              <w:t>Older</w:t>
            </w:r>
            <w:r w:rsidRPr="00E819B6">
              <w:rPr>
                <w:rFonts w:ascii="Arial" w:hAnsi="Arial" w:cs="Arial"/>
                <w:sz w:val="20"/>
              </w:rPr>
              <w:t xml:space="preserve"> people living alone</w:t>
            </w:r>
            <w:r>
              <w:rPr>
                <w:rFonts w:ascii="Arial" w:hAnsi="Arial" w:cs="Arial"/>
                <w:sz w:val="20"/>
              </w:rPr>
              <w:t xml:space="preserve"> – 70 and over</w:t>
            </w:r>
          </w:p>
        </w:tc>
        <w:tc>
          <w:tcPr>
            <w:tcW w:w="1335" w:type="pct"/>
            <w:shd w:val="clear" w:color="auto" w:fill="auto"/>
            <w:vAlign w:val="center"/>
            <w:hideMark/>
          </w:tcPr>
          <w:p w:rsidR="0007602D" w:rsidRPr="00F23F6E" w:rsidRDefault="0007602D" w:rsidP="00DA4256">
            <w:pPr>
              <w:jc w:val="center"/>
              <w:rPr>
                <w:rFonts w:ascii="Arial" w:hAnsi="Arial" w:cs="Arial"/>
                <w:color w:val="000000"/>
                <w:sz w:val="20"/>
              </w:rPr>
            </w:pPr>
            <w:r w:rsidRPr="00F23F6E">
              <w:rPr>
                <w:rFonts w:ascii="Arial" w:hAnsi="Arial" w:cs="Arial"/>
                <w:color w:val="000000"/>
                <w:sz w:val="20"/>
              </w:rPr>
              <w:t>32</w:t>
            </w:r>
          </w:p>
        </w:tc>
      </w:tr>
      <w:tr w:rsidR="0007602D" w:rsidRPr="00E819B6" w:rsidTr="00DA4256">
        <w:trPr>
          <w:trHeight w:val="284"/>
          <w:jc w:val="center"/>
        </w:trPr>
        <w:tc>
          <w:tcPr>
            <w:tcW w:w="3665" w:type="pct"/>
            <w:shd w:val="clear" w:color="auto" w:fill="auto"/>
            <w:hideMark/>
          </w:tcPr>
          <w:p w:rsidR="0007602D" w:rsidRDefault="0007602D" w:rsidP="00DA4256">
            <w:pPr>
              <w:rPr>
                <w:rFonts w:ascii="Arial" w:hAnsi="Arial" w:cs="Arial"/>
                <w:sz w:val="20"/>
              </w:rPr>
            </w:pPr>
            <w:r>
              <w:rPr>
                <w:rFonts w:ascii="Arial" w:hAnsi="Arial" w:cs="Arial"/>
                <w:sz w:val="20"/>
              </w:rPr>
              <w:t>Older</w:t>
            </w:r>
            <w:r w:rsidRPr="00E819B6">
              <w:rPr>
                <w:rFonts w:ascii="Arial" w:hAnsi="Arial" w:cs="Arial"/>
                <w:sz w:val="20"/>
              </w:rPr>
              <w:t xml:space="preserve"> people living alone</w:t>
            </w:r>
            <w:r>
              <w:rPr>
                <w:rFonts w:ascii="Arial" w:hAnsi="Arial" w:cs="Arial"/>
                <w:sz w:val="20"/>
              </w:rPr>
              <w:t xml:space="preserve"> – 75 and over</w:t>
            </w:r>
          </w:p>
        </w:tc>
        <w:tc>
          <w:tcPr>
            <w:tcW w:w="1335" w:type="pct"/>
            <w:shd w:val="clear" w:color="auto" w:fill="auto"/>
            <w:vAlign w:val="center"/>
            <w:hideMark/>
          </w:tcPr>
          <w:p w:rsidR="0007602D" w:rsidRPr="00F23F6E" w:rsidRDefault="0007602D" w:rsidP="00DA4256">
            <w:pPr>
              <w:jc w:val="center"/>
              <w:rPr>
                <w:rFonts w:ascii="Arial" w:hAnsi="Arial" w:cs="Arial"/>
                <w:color w:val="000000"/>
                <w:sz w:val="20"/>
              </w:rPr>
            </w:pPr>
            <w:r w:rsidRPr="00F23F6E">
              <w:rPr>
                <w:rFonts w:ascii="Arial" w:hAnsi="Arial" w:cs="Arial"/>
                <w:color w:val="000000"/>
                <w:sz w:val="20"/>
              </w:rPr>
              <w:t>87</w:t>
            </w:r>
          </w:p>
        </w:tc>
      </w:tr>
      <w:tr w:rsidR="0007602D" w:rsidRPr="00E819B6" w:rsidTr="00DA4256">
        <w:trPr>
          <w:trHeight w:val="284"/>
          <w:jc w:val="center"/>
        </w:trPr>
        <w:tc>
          <w:tcPr>
            <w:tcW w:w="3665" w:type="pct"/>
            <w:shd w:val="clear" w:color="auto" w:fill="auto"/>
            <w:hideMark/>
          </w:tcPr>
          <w:p w:rsidR="0007602D" w:rsidRDefault="0007602D" w:rsidP="00DA4256">
            <w:pPr>
              <w:rPr>
                <w:rFonts w:ascii="Arial" w:hAnsi="Arial" w:cs="Arial"/>
                <w:sz w:val="20"/>
              </w:rPr>
            </w:pPr>
            <w:r>
              <w:rPr>
                <w:rFonts w:ascii="Arial" w:hAnsi="Arial" w:cs="Arial"/>
                <w:sz w:val="20"/>
              </w:rPr>
              <w:t>Older</w:t>
            </w:r>
            <w:r w:rsidRPr="00E819B6">
              <w:rPr>
                <w:rFonts w:ascii="Arial" w:hAnsi="Arial" w:cs="Arial"/>
                <w:sz w:val="20"/>
              </w:rPr>
              <w:t xml:space="preserve"> people living alone</w:t>
            </w:r>
            <w:r>
              <w:rPr>
                <w:rFonts w:ascii="Arial" w:hAnsi="Arial" w:cs="Arial"/>
                <w:sz w:val="20"/>
              </w:rPr>
              <w:t xml:space="preserve"> – 80 and over</w:t>
            </w:r>
          </w:p>
        </w:tc>
        <w:tc>
          <w:tcPr>
            <w:tcW w:w="1335" w:type="pct"/>
            <w:shd w:val="clear" w:color="auto" w:fill="auto"/>
            <w:vAlign w:val="center"/>
            <w:hideMark/>
          </w:tcPr>
          <w:p w:rsidR="0007602D" w:rsidRPr="00F23F6E" w:rsidRDefault="0007602D" w:rsidP="00DA4256">
            <w:pPr>
              <w:jc w:val="center"/>
              <w:rPr>
                <w:rFonts w:ascii="Arial" w:hAnsi="Arial" w:cs="Arial"/>
                <w:color w:val="000000"/>
                <w:sz w:val="20"/>
              </w:rPr>
            </w:pPr>
            <w:r w:rsidRPr="00F23F6E">
              <w:rPr>
                <w:rFonts w:ascii="Arial" w:hAnsi="Arial" w:cs="Arial"/>
                <w:color w:val="000000"/>
                <w:sz w:val="20"/>
              </w:rPr>
              <w:t>185</w:t>
            </w:r>
          </w:p>
        </w:tc>
      </w:tr>
      <w:tr w:rsidR="0007602D" w:rsidRPr="00E819B6" w:rsidTr="00DA4256">
        <w:trPr>
          <w:trHeight w:val="284"/>
          <w:jc w:val="center"/>
        </w:trPr>
        <w:tc>
          <w:tcPr>
            <w:tcW w:w="3665" w:type="pct"/>
            <w:shd w:val="clear" w:color="auto" w:fill="auto"/>
            <w:hideMark/>
          </w:tcPr>
          <w:p w:rsidR="0007602D" w:rsidRDefault="0007602D" w:rsidP="00DA4256">
            <w:pPr>
              <w:rPr>
                <w:rFonts w:ascii="Arial" w:hAnsi="Arial" w:cs="Arial"/>
                <w:sz w:val="20"/>
              </w:rPr>
            </w:pPr>
            <w:r>
              <w:rPr>
                <w:rFonts w:ascii="Arial" w:hAnsi="Arial" w:cs="Arial"/>
                <w:sz w:val="20"/>
              </w:rPr>
              <w:t>Older</w:t>
            </w:r>
            <w:r w:rsidRPr="00E819B6">
              <w:rPr>
                <w:rFonts w:ascii="Arial" w:hAnsi="Arial" w:cs="Arial"/>
                <w:sz w:val="20"/>
              </w:rPr>
              <w:t xml:space="preserve"> people living alone</w:t>
            </w:r>
            <w:r>
              <w:rPr>
                <w:rFonts w:ascii="Arial" w:hAnsi="Arial" w:cs="Arial"/>
                <w:sz w:val="20"/>
              </w:rPr>
              <w:t xml:space="preserve"> – 85 and over</w:t>
            </w:r>
          </w:p>
        </w:tc>
        <w:tc>
          <w:tcPr>
            <w:tcW w:w="1335" w:type="pct"/>
            <w:shd w:val="clear" w:color="auto" w:fill="auto"/>
            <w:vAlign w:val="center"/>
            <w:hideMark/>
          </w:tcPr>
          <w:p w:rsidR="0007602D" w:rsidRPr="00F23F6E" w:rsidRDefault="0007602D" w:rsidP="00DA4256">
            <w:pPr>
              <w:jc w:val="center"/>
              <w:rPr>
                <w:rFonts w:ascii="Arial" w:hAnsi="Arial" w:cs="Arial"/>
                <w:color w:val="000000"/>
                <w:sz w:val="20"/>
              </w:rPr>
            </w:pPr>
            <w:r w:rsidRPr="00F23F6E">
              <w:rPr>
                <w:rFonts w:ascii="Arial" w:hAnsi="Arial" w:cs="Arial"/>
                <w:color w:val="000000"/>
                <w:sz w:val="20"/>
              </w:rPr>
              <w:t>491</w:t>
            </w:r>
          </w:p>
        </w:tc>
      </w:tr>
      <w:tr w:rsidR="0007602D" w:rsidRPr="00E819B6" w:rsidTr="00DA4256">
        <w:trPr>
          <w:trHeight w:val="284"/>
          <w:jc w:val="center"/>
        </w:trPr>
        <w:tc>
          <w:tcPr>
            <w:tcW w:w="3665" w:type="pct"/>
            <w:shd w:val="clear" w:color="auto" w:fill="auto"/>
            <w:hideMark/>
          </w:tcPr>
          <w:p w:rsidR="0007602D" w:rsidRDefault="0007602D" w:rsidP="00DA4256">
            <w:pPr>
              <w:rPr>
                <w:rFonts w:ascii="Arial" w:hAnsi="Arial" w:cs="Arial"/>
                <w:sz w:val="20"/>
              </w:rPr>
            </w:pPr>
            <w:r>
              <w:rPr>
                <w:rFonts w:ascii="Arial" w:hAnsi="Arial" w:cs="Arial"/>
                <w:sz w:val="20"/>
              </w:rPr>
              <w:t>Older</w:t>
            </w:r>
            <w:r w:rsidRPr="00E819B6">
              <w:rPr>
                <w:rFonts w:ascii="Arial" w:hAnsi="Arial" w:cs="Arial"/>
                <w:sz w:val="20"/>
              </w:rPr>
              <w:t xml:space="preserve"> people living alone</w:t>
            </w:r>
            <w:r>
              <w:rPr>
                <w:rFonts w:ascii="Arial" w:hAnsi="Arial" w:cs="Arial"/>
                <w:sz w:val="20"/>
              </w:rPr>
              <w:t xml:space="preserve"> – 90 and over</w:t>
            </w:r>
          </w:p>
        </w:tc>
        <w:tc>
          <w:tcPr>
            <w:tcW w:w="1335" w:type="pct"/>
            <w:shd w:val="clear" w:color="auto" w:fill="auto"/>
            <w:vAlign w:val="center"/>
            <w:hideMark/>
          </w:tcPr>
          <w:p w:rsidR="0007602D" w:rsidRPr="00F23F6E" w:rsidRDefault="0007602D" w:rsidP="00DA4256">
            <w:pPr>
              <w:jc w:val="center"/>
              <w:rPr>
                <w:rFonts w:ascii="Arial" w:hAnsi="Arial" w:cs="Arial"/>
                <w:color w:val="000000"/>
                <w:sz w:val="20"/>
              </w:rPr>
            </w:pPr>
            <w:r w:rsidRPr="00F23F6E">
              <w:rPr>
                <w:rFonts w:ascii="Arial" w:hAnsi="Arial" w:cs="Arial"/>
                <w:color w:val="000000"/>
                <w:sz w:val="20"/>
              </w:rPr>
              <w:t>1</w:t>
            </w:r>
            <w:r>
              <w:rPr>
                <w:rFonts w:ascii="Arial" w:hAnsi="Arial" w:cs="Arial"/>
                <w:color w:val="000000"/>
                <w:sz w:val="20"/>
              </w:rPr>
              <w:t>,</w:t>
            </w:r>
            <w:r w:rsidRPr="00F23F6E">
              <w:rPr>
                <w:rFonts w:ascii="Arial" w:hAnsi="Arial" w:cs="Arial"/>
                <w:color w:val="000000"/>
                <w:sz w:val="20"/>
              </w:rPr>
              <w:t>854</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Unpaid care </w:t>
            </w:r>
            <w:r>
              <w:rPr>
                <w:rFonts w:ascii="Arial" w:hAnsi="Arial" w:cs="Arial"/>
                <w:sz w:val="20"/>
              </w:rPr>
              <w:t>– 1 hour or more</w:t>
            </w:r>
          </w:p>
        </w:tc>
        <w:tc>
          <w:tcPr>
            <w:tcW w:w="1335" w:type="pct"/>
            <w:shd w:val="clear" w:color="auto" w:fill="auto"/>
            <w:vAlign w:val="center"/>
            <w:hideMark/>
          </w:tcPr>
          <w:p w:rsidR="0007602D" w:rsidRPr="006916EE" w:rsidRDefault="0007602D" w:rsidP="00DA4256">
            <w:pPr>
              <w:spacing w:line="240" w:lineRule="auto"/>
              <w:jc w:val="center"/>
              <w:rPr>
                <w:rFonts w:ascii="Arial" w:hAnsi="Arial" w:cs="Arial"/>
                <w:color w:val="000000"/>
                <w:sz w:val="20"/>
              </w:rPr>
            </w:pPr>
            <w:r w:rsidRPr="006916EE">
              <w:rPr>
                <w:rFonts w:ascii="Arial" w:hAnsi="Arial" w:cs="Arial"/>
                <w:color w:val="000000"/>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lastRenderedPageBreak/>
              <w:t xml:space="preserve">Unpaid care </w:t>
            </w:r>
            <w:r>
              <w:rPr>
                <w:rFonts w:ascii="Arial" w:hAnsi="Arial" w:cs="Arial"/>
                <w:sz w:val="20"/>
              </w:rPr>
              <w:t>– 20 hours or more</w:t>
            </w:r>
          </w:p>
        </w:tc>
        <w:tc>
          <w:tcPr>
            <w:tcW w:w="1335" w:type="pct"/>
            <w:shd w:val="clear" w:color="auto" w:fill="auto"/>
            <w:vAlign w:val="center"/>
            <w:hideMark/>
          </w:tcPr>
          <w:p w:rsidR="0007602D" w:rsidRPr="006916EE" w:rsidRDefault="0007602D" w:rsidP="00DA4256">
            <w:pPr>
              <w:spacing w:line="240" w:lineRule="auto"/>
              <w:jc w:val="center"/>
              <w:rPr>
                <w:rFonts w:ascii="Arial" w:hAnsi="Arial" w:cs="Arial"/>
                <w:color w:val="000000"/>
                <w:sz w:val="20"/>
              </w:rPr>
            </w:pPr>
            <w:r w:rsidRPr="006916EE">
              <w:rPr>
                <w:rFonts w:ascii="Arial" w:hAnsi="Arial" w:cs="Arial"/>
                <w:color w:val="000000"/>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Unpaid care </w:t>
            </w:r>
            <w:r>
              <w:rPr>
                <w:rFonts w:ascii="Arial" w:hAnsi="Arial" w:cs="Arial"/>
                <w:sz w:val="20"/>
              </w:rPr>
              <w:t>– 35 hours or more</w:t>
            </w:r>
          </w:p>
        </w:tc>
        <w:tc>
          <w:tcPr>
            <w:tcW w:w="1335" w:type="pct"/>
            <w:shd w:val="clear" w:color="auto" w:fill="auto"/>
            <w:vAlign w:val="center"/>
            <w:hideMark/>
          </w:tcPr>
          <w:p w:rsidR="0007602D" w:rsidRPr="006916EE" w:rsidRDefault="0007602D" w:rsidP="00DA4256">
            <w:pPr>
              <w:spacing w:line="240" w:lineRule="auto"/>
              <w:jc w:val="center"/>
              <w:rPr>
                <w:rFonts w:ascii="Arial" w:hAnsi="Arial" w:cs="Arial"/>
                <w:color w:val="000000"/>
                <w:sz w:val="20"/>
              </w:rPr>
            </w:pPr>
            <w:r w:rsidRPr="006916EE">
              <w:rPr>
                <w:rFonts w:ascii="Arial" w:hAnsi="Arial" w:cs="Arial"/>
                <w:color w:val="000000"/>
                <w:sz w:val="20"/>
              </w:rPr>
              <w:t>2</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Unpaid care </w:t>
            </w:r>
            <w:r>
              <w:rPr>
                <w:rFonts w:ascii="Arial" w:hAnsi="Arial" w:cs="Arial"/>
                <w:sz w:val="20"/>
              </w:rPr>
              <w:t>– 50 hours or more</w:t>
            </w:r>
          </w:p>
        </w:tc>
        <w:tc>
          <w:tcPr>
            <w:tcW w:w="1335" w:type="pct"/>
            <w:shd w:val="clear" w:color="auto" w:fill="auto"/>
            <w:vAlign w:val="center"/>
            <w:hideMark/>
          </w:tcPr>
          <w:p w:rsidR="0007602D" w:rsidRPr="006916EE" w:rsidRDefault="0007602D" w:rsidP="00DA4256">
            <w:pPr>
              <w:spacing w:line="240" w:lineRule="auto"/>
              <w:jc w:val="center"/>
              <w:rPr>
                <w:rFonts w:ascii="Arial" w:hAnsi="Arial" w:cs="Arial"/>
                <w:color w:val="000000"/>
                <w:sz w:val="20"/>
              </w:rPr>
            </w:pPr>
            <w:r w:rsidRPr="006916EE">
              <w:rPr>
                <w:rFonts w:ascii="Arial" w:hAnsi="Arial" w:cs="Arial"/>
                <w:color w:val="000000"/>
                <w:sz w:val="20"/>
              </w:rPr>
              <w:t>8</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Pr>
                <w:rFonts w:ascii="Arial" w:hAnsi="Arial" w:cs="Arial"/>
                <w:sz w:val="20"/>
              </w:rPr>
              <w:t>E</w:t>
            </w:r>
            <w:r w:rsidRPr="00E819B6">
              <w:rPr>
                <w:rFonts w:ascii="Arial" w:hAnsi="Arial" w:cs="Arial"/>
                <w:sz w:val="20"/>
              </w:rPr>
              <w:t xml:space="preserve">ducation level </w:t>
            </w:r>
            <w:r>
              <w:rPr>
                <w:rFonts w:ascii="Arial" w:hAnsi="Arial" w:cs="Arial"/>
                <w:sz w:val="20"/>
              </w:rPr>
              <w:t>– no qualifications</w:t>
            </w:r>
          </w:p>
        </w:tc>
        <w:tc>
          <w:tcPr>
            <w:tcW w:w="1335" w:type="pct"/>
            <w:shd w:val="clear" w:color="auto" w:fill="auto"/>
            <w:vAlign w:val="center"/>
            <w:hideMark/>
          </w:tcPr>
          <w:p w:rsidR="0007602D" w:rsidRPr="0019465A" w:rsidRDefault="0007602D" w:rsidP="00DA4256">
            <w:pPr>
              <w:spacing w:line="240" w:lineRule="auto"/>
              <w:jc w:val="center"/>
              <w:rPr>
                <w:rFonts w:ascii="Arial" w:hAnsi="Arial" w:cs="Arial"/>
                <w:sz w:val="20"/>
              </w:rPr>
            </w:pPr>
            <w:r w:rsidRPr="0019465A">
              <w:rPr>
                <w:rFonts w:ascii="Arial" w:hAnsi="Arial" w:cs="Arial"/>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Pr>
                <w:rFonts w:ascii="Arial" w:hAnsi="Arial" w:cs="Arial"/>
                <w:sz w:val="20"/>
              </w:rPr>
              <w:t>E</w:t>
            </w:r>
            <w:r w:rsidRPr="00E819B6">
              <w:rPr>
                <w:rFonts w:ascii="Arial" w:hAnsi="Arial" w:cs="Arial"/>
                <w:sz w:val="20"/>
              </w:rPr>
              <w:t xml:space="preserve">ducation level </w:t>
            </w:r>
            <w:r>
              <w:rPr>
                <w:rFonts w:ascii="Arial" w:hAnsi="Arial" w:cs="Arial"/>
                <w:sz w:val="20"/>
              </w:rPr>
              <w:t>– level 1 and below</w:t>
            </w:r>
          </w:p>
        </w:tc>
        <w:tc>
          <w:tcPr>
            <w:tcW w:w="1335" w:type="pct"/>
            <w:shd w:val="clear" w:color="auto" w:fill="auto"/>
            <w:vAlign w:val="center"/>
            <w:hideMark/>
          </w:tcPr>
          <w:p w:rsidR="0007602D" w:rsidRPr="0019465A" w:rsidRDefault="0007602D" w:rsidP="00DA4256">
            <w:pPr>
              <w:spacing w:line="240" w:lineRule="auto"/>
              <w:jc w:val="center"/>
              <w:rPr>
                <w:rFonts w:ascii="Arial" w:hAnsi="Arial" w:cs="Arial"/>
                <w:sz w:val="20"/>
              </w:rPr>
            </w:pPr>
            <w:r w:rsidRPr="0019465A">
              <w:rPr>
                <w:rFonts w:ascii="Arial" w:hAnsi="Arial" w:cs="Arial"/>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Pr>
                <w:rFonts w:ascii="Arial" w:hAnsi="Arial" w:cs="Arial"/>
                <w:sz w:val="20"/>
              </w:rPr>
              <w:t>E</w:t>
            </w:r>
            <w:r w:rsidRPr="00E819B6">
              <w:rPr>
                <w:rFonts w:ascii="Arial" w:hAnsi="Arial" w:cs="Arial"/>
                <w:sz w:val="20"/>
              </w:rPr>
              <w:t xml:space="preserve">ducation level </w:t>
            </w:r>
            <w:r>
              <w:rPr>
                <w:rFonts w:ascii="Arial" w:hAnsi="Arial" w:cs="Arial"/>
                <w:sz w:val="20"/>
              </w:rPr>
              <w:t>– level 2 and below</w:t>
            </w:r>
          </w:p>
        </w:tc>
        <w:tc>
          <w:tcPr>
            <w:tcW w:w="1335" w:type="pct"/>
            <w:shd w:val="clear" w:color="auto" w:fill="auto"/>
            <w:vAlign w:val="center"/>
            <w:hideMark/>
          </w:tcPr>
          <w:p w:rsidR="0007602D" w:rsidRPr="0019465A" w:rsidRDefault="0007602D" w:rsidP="00DA4256">
            <w:pPr>
              <w:spacing w:line="240" w:lineRule="auto"/>
              <w:jc w:val="center"/>
              <w:rPr>
                <w:rFonts w:ascii="Arial" w:hAnsi="Arial" w:cs="Arial"/>
                <w:sz w:val="20"/>
              </w:rPr>
            </w:pPr>
            <w:r w:rsidRPr="0019465A">
              <w:rPr>
                <w:rFonts w:ascii="Arial" w:hAnsi="Arial" w:cs="Arial"/>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Job seekers </w:t>
            </w:r>
          </w:p>
        </w:tc>
        <w:tc>
          <w:tcPr>
            <w:tcW w:w="1335" w:type="pct"/>
            <w:shd w:val="clear" w:color="auto" w:fill="auto"/>
            <w:vAlign w:val="center"/>
            <w:hideMark/>
          </w:tcPr>
          <w:p w:rsidR="0007602D" w:rsidRPr="0019465A" w:rsidRDefault="0007602D" w:rsidP="00DA4256">
            <w:pPr>
              <w:spacing w:line="240" w:lineRule="auto"/>
              <w:jc w:val="center"/>
              <w:rPr>
                <w:rFonts w:ascii="Arial" w:hAnsi="Arial" w:cs="Arial"/>
                <w:sz w:val="20"/>
              </w:rPr>
            </w:pPr>
            <w:r w:rsidRPr="0019465A">
              <w:rPr>
                <w:rFonts w:ascii="Arial" w:hAnsi="Arial" w:cs="Arial"/>
                <w:sz w:val="20"/>
              </w:rPr>
              <w:t>0</w:t>
            </w:r>
          </w:p>
        </w:tc>
      </w:tr>
      <w:tr w:rsidR="0007602D" w:rsidRPr="00E819B6" w:rsidTr="00DA4256">
        <w:trPr>
          <w:trHeight w:val="284"/>
          <w:jc w:val="center"/>
        </w:trPr>
        <w:tc>
          <w:tcPr>
            <w:tcW w:w="3665" w:type="pct"/>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Did Not Attend counts – as </w:t>
            </w:r>
            <w:r>
              <w:rPr>
                <w:rFonts w:ascii="Arial" w:hAnsi="Arial" w:cs="Arial"/>
                <w:sz w:val="20"/>
              </w:rPr>
              <w:t xml:space="preserve">a </w:t>
            </w:r>
            <w:r w:rsidRPr="00E819B6">
              <w:rPr>
                <w:rFonts w:ascii="Arial" w:hAnsi="Arial" w:cs="Arial"/>
                <w:sz w:val="20"/>
              </w:rPr>
              <w:t>fraction of all OP appointments</w:t>
            </w:r>
          </w:p>
        </w:tc>
        <w:tc>
          <w:tcPr>
            <w:tcW w:w="1335" w:type="pct"/>
            <w:shd w:val="clear" w:color="auto" w:fill="auto"/>
            <w:vAlign w:val="center"/>
            <w:hideMark/>
          </w:tcPr>
          <w:p w:rsidR="0007602D" w:rsidRPr="0019465A" w:rsidRDefault="0007602D" w:rsidP="00DA4256">
            <w:pPr>
              <w:spacing w:line="240" w:lineRule="auto"/>
              <w:jc w:val="center"/>
              <w:rPr>
                <w:rFonts w:ascii="Arial" w:hAnsi="Arial" w:cs="Arial"/>
                <w:sz w:val="20"/>
              </w:rPr>
            </w:pPr>
            <w:r w:rsidRPr="0019465A">
              <w:rPr>
                <w:rFonts w:ascii="Arial" w:hAnsi="Arial" w:cs="Arial"/>
                <w:sz w:val="20"/>
              </w:rPr>
              <w:t>0</w:t>
            </w:r>
          </w:p>
        </w:tc>
      </w:tr>
      <w:tr w:rsidR="0007602D" w:rsidRPr="00E819B6" w:rsidTr="00DA4256">
        <w:trPr>
          <w:trHeight w:val="284"/>
          <w:jc w:val="center"/>
        </w:trPr>
        <w:tc>
          <w:tcPr>
            <w:tcW w:w="3665" w:type="pct"/>
            <w:tcBorders>
              <w:bottom w:val="single" w:sz="4" w:space="0" w:color="auto"/>
            </w:tcBorders>
            <w:shd w:val="clear" w:color="auto" w:fill="auto"/>
            <w:hideMark/>
          </w:tcPr>
          <w:p w:rsidR="0007602D" w:rsidRPr="00E819B6" w:rsidRDefault="0007602D" w:rsidP="00DA4256">
            <w:pPr>
              <w:rPr>
                <w:rFonts w:ascii="Arial" w:hAnsi="Arial" w:cs="Arial"/>
                <w:sz w:val="20"/>
              </w:rPr>
            </w:pPr>
            <w:r w:rsidRPr="00E819B6">
              <w:rPr>
                <w:rFonts w:ascii="Arial" w:hAnsi="Arial" w:cs="Arial"/>
                <w:sz w:val="20"/>
              </w:rPr>
              <w:t xml:space="preserve">Did Not Attend counts </w:t>
            </w:r>
            <w:r>
              <w:rPr>
                <w:rFonts w:ascii="Arial" w:hAnsi="Arial" w:cs="Arial"/>
                <w:sz w:val="20"/>
              </w:rPr>
              <w:t xml:space="preserve">– ratio </w:t>
            </w:r>
            <w:r w:rsidRPr="00E819B6">
              <w:rPr>
                <w:rFonts w:ascii="Arial" w:hAnsi="Arial" w:cs="Arial"/>
                <w:sz w:val="20"/>
              </w:rPr>
              <w:t>to data zone population</w:t>
            </w:r>
          </w:p>
        </w:tc>
        <w:tc>
          <w:tcPr>
            <w:tcW w:w="1335" w:type="pct"/>
            <w:tcBorders>
              <w:bottom w:val="single" w:sz="4" w:space="0" w:color="auto"/>
            </w:tcBorders>
            <w:shd w:val="clear" w:color="auto" w:fill="auto"/>
            <w:vAlign w:val="center"/>
            <w:hideMark/>
          </w:tcPr>
          <w:p w:rsidR="0007602D" w:rsidRPr="0019465A" w:rsidRDefault="0007602D" w:rsidP="00DA4256">
            <w:pPr>
              <w:spacing w:line="240" w:lineRule="auto"/>
              <w:jc w:val="center"/>
              <w:rPr>
                <w:rFonts w:ascii="Arial" w:hAnsi="Arial" w:cs="Arial"/>
                <w:sz w:val="20"/>
              </w:rPr>
            </w:pPr>
            <w:r w:rsidRPr="0019465A">
              <w:rPr>
                <w:rFonts w:ascii="Arial" w:hAnsi="Arial" w:cs="Arial"/>
                <w:sz w:val="20"/>
              </w:rPr>
              <w:t>0</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Ethnic group populations (Gypsy/Traveller)</w:t>
            </w:r>
          </w:p>
        </w:tc>
        <w:tc>
          <w:tcPr>
            <w:tcW w:w="1335" w:type="pct"/>
            <w:shd w:val="diagStripe" w:color="D9D9D9" w:themeColor="background1" w:themeShade="D9" w:fill="auto"/>
            <w:vAlign w:val="center"/>
          </w:tcPr>
          <w:p w:rsidR="0007602D" w:rsidRPr="0019465A" w:rsidRDefault="0007602D" w:rsidP="00DA4256">
            <w:pPr>
              <w:spacing w:line="240" w:lineRule="auto"/>
              <w:jc w:val="center"/>
              <w:rPr>
                <w:rFonts w:ascii="Arial" w:hAnsi="Arial" w:cs="Arial"/>
                <w:sz w:val="20"/>
              </w:rPr>
            </w:pPr>
            <w:r>
              <w:rPr>
                <w:rFonts w:ascii="Arial" w:hAnsi="Arial" w:cs="Arial"/>
                <w:sz w:val="20"/>
              </w:rPr>
              <w:t>5,097</w:t>
            </w:r>
          </w:p>
        </w:tc>
      </w:tr>
      <w:tr w:rsidR="0007602D" w:rsidRPr="00E819B6" w:rsidTr="00DA4256">
        <w:trPr>
          <w:trHeight w:val="284"/>
          <w:jc w:val="center"/>
        </w:trPr>
        <w:tc>
          <w:tcPr>
            <w:tcW w:w="3665" w:type="pct"/>
            <w:shd w:val="diagStripe" w:color="D9D9D9" w:themeColor="background1" w:themeShade="D9" w:fill="auto"/>
            <w:hideMark/>
          </w:tcPr>
          <w:p w:rsidR="0007602D" w:rsidRPr="00E819B6" w:rsidRDefault="0007602D" w:rsidP="00DA4256">
            <w:pPr>
              <w:rPr>
                <w:rFonts w:ascii="Arial" w:hAnsi="Arial" w:cs="Arial"/>
                <w:sz w:val="20"/>
              </w:rPr>
            </w:pPr>
            <w:r w:rsidRPr="00E819B6">
              <w:rPr>
                <w:rFonts w:ascii="Arial" w:hAnsi="Arial" w:cs="Arial"/>
                <w:sz w:val="20"/>
              </w:rPr>
              <w:t>Ethnic group populations (Pakistani</w:t>
            </w:r>
            <w:r>
              <w:rPr>
                <w:rFonts w:ascii="Arial" w:hAnsi="Arial" w:cs="Arial"/>
                <w:sz w:val="20"/>
              </w:rPr>
              <w:t>)</w:t>
            </w:r>
          </w:p>
        </w:tc>
        <w:tc>
          <w:tcPr>
            <w:tcW w:w="1335" w:type="pct"/>
            <w:shd w:val="diagStripe" w:color="D9D9D9" w:themeColor="background1" w:themeShade="D9" w:fill="auto"/>
            <w:vAlign w:val="center"/>
          </w:tcPr>
          <w:p w:rsidR="0007602D" w:rsidRPr="0019465A" w:rsidRDefault="0007602D" w:rsidP="00DA4256">
            <w:pPr>
              <w:spacing w:line="240" w:lineRule="auto"/>
              <w:jc w:val="center"/>
              <w:rPr>
                <w:rFonts w:ascii="Arial" w:hAnsi="Arial" w:cs="Arial"/>
                <w:sz w:val="20"/>
              </w:rPr>
            </w:pPr>
            <w:r>
              <w:rPr>
                <w:rFonts w:ascii="Arial" w:hAnsi="Arial" w:cs="Arial"/>
                <w:sz w:val="20"/>
              </w:rPr>
              <w:t>2,845</w:t>
            </w:r>
          </w:p>
        </w:tc>
      </w:tr>
    </w:tbl>
    <w:p w:rsidR="0007602D" w:rsidRDefault="0007602D" w:rsidP="00960F3B">
      <w:pPr>
        <w:rPr>
          <w:rFonts w:ascii="Arial" w:hAnsi="Arial" w:cs="Arial"/>
          <w:szCs w:val="24"/>
        </w:rPr>
      </w:pPr>
    </w:p>
    <w:sectPr w:rsidR="0007602D" w:rsidSect="00E5176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A2" w:rsidRDefault="00E762A2" w:rsidP="00960F3B">
      <w:pPr>
        <w:spacing w:line="240" w:lineRule="auto"/>
      </w:pPr>
      <w:r>
        <w:separator/>
      </w:r>
    </w:p>
  </w:endnote>
  <w:endnote w:type="continuationSeparator" w:id="0">
    <w:p w:rsidR="00E762A2" w:rsidRDefault="00E762A2" w:rsidP="00960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313"/>
      <w:docPartObj>
        <w:docPartGallery w:val="Page Numbers (Bottom of Page)"/>
        <w:docPartUnique/>
      </w:docPartObj>
    </w:sdtPr>
    <w:sdtEndPr/>
    <w:sdtContent>
      <w:p w:rsidR="007432CB" w:rsidRDefault="0063710C">
        <w:pPr>
          <w:pStyle w:val="Footer"/>
          <w:jc w:val="center"/>
        </w:pPr>
        <w:r>
          <w:fldChar w:fldCharType="begin"/>
        </w:r>
        <w:r>
          <w:instrText xml:space="preserve"> PAGE   \* MERGEFORMAT </w:instrText>
        </w:r>
        <w:r>
          <w:fldChar w:fldCharType="separate"/>
        </w:r>
        <w:r w:rsidR="00CF2FCA">
          <w:rPr>
            <w:noProof/>
          </w:rPr>
          <w:t>1</w:t>
        </w:r>
        <w:r>
          <w:rPr>
            <w:noProof/>
          </w:rPr>
          <w:fldChar w:fldCharType="end"/>
        </w:r>
      </w:p>
    </w:sdtContent>
  </w:sdt>
  <w:p w:rsidR="007432CB" w:rsidRDefault="00743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A2" w:rsidRDefault="00E762A2" w:rsidP="00960F3B">
      <w:pPr>
        <w:spacing w:line="240" w:lineRule="auto"/>
      </w:pPr>
      <w:r>
        <w:separator/>
      </w:r>
    </w:p>
  </w:footnote>
  <w:footnote w:type="continuationSeparator" w:id="0">
    <w:p w:rsidR="00E762A2" w:rsidRDefault="00E762A2" w:rsidP="00960F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45" w:rsidRDefault="007432CB" w:rsidP="00960F3B">
    <w:pPr>
      <w:tabs>
        <w:tab w:val="center" w:pos="4513"/>
        <w:tab w:val="right" w:pos="9026"/>
      </w:tabs>
      <w:spacing w:line="240" w:lineRule="auto"/>
      <w:rPr>
        <w:i/>
      </w:rPr>
    </w:pPr>
    <w:r w:rsidRPr="00960F3B">
      <w:rPr>
        <w:i/>
      </w:rPr>
      <w:t xml:space="preserve">Fair Shares for Health in Scotland </w:t>
    </w:r>
    <w:r w:rsidRPr="00960F3B">
      <w:rPr>
        <w:i/>
      </w:rPr>
      <w:tab/>
    </w:r>
    <w:r w:rsidRPr="00960F3B">
      <w:rPr>
        <w:i/>
      </w:rPr>
      <w:tab/>
    </w:r>
    <w:r w:rsidRPr="00960F3B">
      <w:rPr>
        <w:i/>
      </w:rPr>
      <w:tab/>
    </w:r>
    <w:r w:rsidRPr="00960F3B">
      <w:rPr>
        <w:i/>
      </w:rPr>
      <w:tab/>
      <w:t>TAGRA(201</w:t>
    </w:r>
    <w:r w:rsidR="00AC5FA1">
      <w:rPr>
        <w:i/>
      </w:rPr>
      <w:t>6</w:t>
    </w:r>
    <w:r w:rsidRPr="00960F3B">
      <w:rPr>
        <w:i/>
      </w:rPr>
      <w:t>)</w:t>
    </w:r>
    <w:r w:rsidR="008F58A7">
      <w:rPr>
        <w:i/>
      </w:rPr>
      <w:t>0</w:t>
    </w:r>
    <w:r w:rsidR="00443345">
      <w:rPr>
        <w:i/>
      </w:rPr>
      <w:t>2</w:t>
    </w:r>
  </w:p>
  <w:p w:rsidR="007432CB" w:rsidRPr="00960F3B" w:rsidRDefault="007432CB" w:rsidP="00960F3B">
    <w:pPr>
      <w:tabs>
        <w:tab w:val="center" w:pos="4513"/>
        <w:tab w:val="right" w:pos="9026"/>
      </w:tabs>
      <w:spacing w:line="240" w:lineRule="aut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468CE"/>
    <w:multiLevelType w:val="hybridMultilevel"/>
    <w:tmpl w:val="C396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365314"/>
    <w:multiLevelType w:val="hybridMultilevel"/>
    <w:tmpl w:val="CD6E8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AF5F72"/>
    <w:multiLevelType w:val="hybridMultilevel"/>
    <w:tmpl w:val="CB0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0A59C7"/>
    <w:multiLevelType w:val="hybridMultilevel"/>
    <w:tmpl w:val="A17EF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4D7F53"/>
    <w:multiLevelType w:val="hybridMultilevel"/>
    <w:tmpl w:val="682E40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CA81F93"/>
    <w:multiLevelType w:val="hybridMultilevel"/>
    <w:tmpl w:val="E81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3B"/>
    <w:rsid w:val="00015023"/>
    <w:rsid w:val="0001513E"/>
    <w:rsid w:val="00023513"/>
    <w:rsid w:val="00040C04"/>
    <w:rsid w:val="0006197A"/>
    <w:rsid w:val="000741AD"/>
    <w:rsid w:val="00074CCD"/>
    <w:rsid w:val="0007602D"/>
    <w:rsid w:val="0008684B"/>
    <w:rsid w:val="000E2932"/>
    <w:rsid w:val="000E69CD"/>
    <w:rsid w:val="000F5892"/>
    <w:rsid w:val="00107575"/>
    <w:rsid w:val="00124A94"/>
    <w:rsid w:val="00140278"/>
    <w:rsid w:val="0017086F"/>
    <w:rsid w:val="00174EEE"/>
    <w:rsid w:val="00183780"/>
    <w:rsid w:val="00184659"/>
    <w:rsid w:val="00190101"/>
    <w:rsid w:val="001B770B"/>
    <w:rsid w:val="001F6397"/>
    <w:rsid w:val="00213CE3"/>
    <w:rsid w:val="00214546"/>
    <w:rsid w:val="00247E14"/>
    <w:rsid w:val="002568B8"/>
    <w:rsid w:val="00260027"/>
    <w:rsid w:val="00275D91"/>
    <w:rsid w:val="0028295A"/>
    <w:rsid w:val="0029005F"/>
    <w:rsid w:val="002908A0"/>
    <w:rsid w:val="002A2972"/>
    <w:rsid w:val="002B0A40"/>
    <w:rsid w:val="002B0BC4"/>
    <w:rsid w:val="002B74EF"/>
    <w:rsid w:val="002C2232"/>
    <w:rsid w:val="002D49C8"/>
    <w:rsid w:val="002D5423"/>
    <w:rsid w:val="002D6B85"/>
    <w:rsid w:val="002F0749"/>
    <w:rsid w:val="002F2B37"/>
    <w:rsid w:val="0031467F"/>
    <w:rsid w:val="00320CB0"/>
    <w:rsid w:val="00327AA3"/>
    <w:rsid w:val="003336E2"/>
    <w:rsid w:val="00361B1F"/>
    <w:rsid w:val="00362BB8"/>
    <w:rsid w:val="00372817"/>
    <w:rsid w:val="00387EE1"/>
    <w:rsid w:val="003A0296"/>
    <w:rsid w:val="003A65EF"/>
    <w:rsid w:val="003A7063"/>
    <w:rsid w:val="003C4518"/>
    <w:rsid w:val="003D76B9"/>
    <w:rsid w:val="003F3074"/>
    <w:rsid w:val="00442C51"/>
    <w:rsid w:val="00443345"/>
    <w:rsid w:val="004728A6"/>
    <w:rsid w:val="00497C0B"/>
    <w:rsid w:val="004A62F5"/>
    <w:rsid w:val="004B2C02"/>
    <w:rsid w:val="004D001A"/>
    <w:rsid w:val="004D1CA3"/>
    <w:rsid w:val="004E5225"/>
    <w:rsid w:val="0050283A"/>
    <w:rsid w:val="005227F7"/>
    <w:rsid w:val="00526041"/>
    <w:rsid w:val="00530BD5"/>
    <w:rsid w:val="0058767D"/>
    <w:rsid w:val="005B09B8"/>
    <w:rsid w:val="005B3201"/>
    <w:rsid w:val="005C2B47"/>
    <w:rsid w:val="005C42BD"/>
    <w:rsid w:val="00627DEE"/>
    <w:rsid w:val="006338D2"/>
    <w:rsid w:val="0063710C"/>
    <w:rsid w:val="006625E9"/>
    <w:rsid w:val="00676B79"/>
    <w:rsid w:val="006821EC"/>
    <w:rsid w:val="006824DA"/>
    <w:rsid w:val="00685697"/>
    <w:rsid w:val="006B7606"/>
    <w:rsid w:val="006C55F9"/>
    <w:rsid w:val="006C7C8C"/>
    <w:rsid w:val="006D5404"/>
    <w:rsid w:val="006F1B8D"/>
    <w:rsid w:val="0071312A"/>
    <w:rsid w:val="00715C81"/>
    <w:rsid w:val="007432CB"/>
    <w:rsid w:val="007718AF"/>
    <w:rsid w:val="007732B7"/>
    <w:rsid w:val="007B2397"/>
    <w:rsid w:val="007B4012"/>
    <w:rsid w:val="007F4969"/>
    <w:rsid w:val="007F4B38"/>
    <w:rsid w:val="008225B6"/>
    <w:rsid w:val="00832E3E"/>
    <w:rsid w:val="00847CFC"/>
    <w:rsid w:val="00851BF5"/>
    <w:rsid w:val="00870441"/>
    <w:rsid w:val="008716DD"/>
    <w:rsid w:val="00873A0D"/>
    <w:rsid w:val="00892325"/>
    <w:rsid w:val="008B4108"/>
    <w:rsid w:val="008B483C"/>
    <w:rsid w:val="008B62D2"/>
    <w:rsid w:val="008C1404"/>
    <w:rsid w:val="008E3A9B"/>
    <w:rsid w:val="008F3B42"/>
    <w:rsid w:val="008F58A7"/>
    <w:rsid w:val="008F5F34"/>
    <w:rsid w:val="0094284B"/>
    <w:rsid w:val="00960F3B"/>
    <w:rsid w:val="00963356"/>
    <w:rsid w:val="00977EC8"/>
    <w:rsid w:val="0099580C"/>
    <w:rsid w:val="009A29E4"/>
    <w:rsid w:val="009A4FE0"/>
    <w:rsid w:val="009B001A"/>
    <w:rsid w:val="00A01867"/>
    <w:rsid w:val="00A17531"/>
    <w:rsid w:val="00A2678D"/>
    <w:rsid w:val="00A5315E"/>
    <w:rsid w:val="00A67ED0"/>
    <w:rsid w:val="00A705D6"/>
    <w:rsid w:val="00A73F9F"/>
    <w:rsid w:val="00A766A7"/>
    <w:rsid w:val="00A943E5"/>
    <w:rsid w:val="00A94F3A"/>
    <w:rsid w:val="00AA7B77"/>
    <w:rsid w:val="00AC5FA1"/>
    <w:rsid w:val="00AC6374"/>
    <w:rsid w:val="00AD5B76"/>
    <w:rsid w:val="00AE00E0"/>
    <w:rsid w:val="00AE6A65"/>
    <w:rsid w:val="00AF41D9"/>
    <w:rsid w:val="00AF4A1F"/>
    <w:rsid w:val="00AF6C82"/>
    <w:rsid w:val="00B17A5C"/>
    <w:rsid w:val="00B2068E"/>
    <w:rsid w:val="00B2360A"/>
    <w:rsid w:val="00B81544"/>
    <w:rsid w:val="00B91E71"/>
    <w:rsid w:val="00BA19F8"/>
    <w:rsid w:val="00BA646C"/>
    <w:rsid w:val="00BD69AF"/>
    <w:rsid w:val="00C0710F"/>
    <w:rsid w:val="00C45770"/>
    <w:rsid w:val="00C63CC9"/>
    <w:rsid w:val="00C72EEB"/>
    <w:rsid w:val="00C90189"/>
    <w:rsid w:val="00CA311F"/>
    <w:rsid w:val="00CE1A4F"/>
    <w:rsid w:val="00CF2FCA"/>
    <w:rsid w:val="00D03688"/>
    <w:rsid w:val="00D13365"/>
    <w:rsid w:val="00D32173"/>
    <w:rsid w:val="00D41B88"/>
    <w:rsid w:val="00D70320"/>
    <w:rsid w:val="00DA4C8F"/>
    <w:rsid w:val="00DB5AA4"/>
    <w:rsid w:val="00DE1EAC"/>
    <w:rsid w:val="00DE5714"/>
    <w:rsid w:val="00E008C0"/>
    <w:rsid w:val="00E0175E"/>
    <w:rsid w:val="00E51767"/>
    <w:rsid w:val="00E57BB6"/>
    <w:rsid w:val="00E74E42"/>
    <w:rsid w:val="00E762A2"/>
    <w:rsid w:val="00EA5832"/>
    <w:rsid w:val="00EC3D7D"/>
    <w:rsid w:val="00EE0690"/>
    <w:rsid w:val="00EF748D"/>
    <w:rsid w:val="00F1269C"/>
    <w:rsid w:val="00F32134"/>
    <w:rsid w:val="00F700AD"/>
    <w:rsid w:val="00F86602"/>
    <w:rsid w:val="00FB301D"/>
    <w:rsid w:val="00FC0D69"/>
    <w:rsid w:val="00FD6D4D"/>
    <w:rsid w:val="00FE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3B"/>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F3B"/>
    <w:pPr>
      <w:tabs>
        <w:tab w:val="center" w:pos="4513"/>
        <w:tab w:val="right" w:pos="9026"/>
      </w:tabs>
      <w:spacing w:line="240" w:lineRule="auto"/>
    </w:pPr>
  </w:style>
  <w:style w:type="character" w:customStyle="1" w:styleId="HeaderChar">
    <w:name w:val="Header Char"/>
    <w:basedOn w:val="DefaultParagraphFont"/>
    <w:link w:val="Header"/>
    <w:uiPriority w:val="99"/>
    <w:rsid w:val="00960F3B"/>
  </w:style>
  <w:style w:type="paragraph" w:styleId="Footer">
    <w:name w:val="footer"/>
    <w:basedOn w:val="Normal"/>
    <w:link w:val="FooterChar"/>
    <w:uiPriority w:val="99"/>
    <w:unhideWhenUsed/>
    <w:rsid w:val="00960F3B"/>
    <w:pPr>
      <w:tabs>
        <w:tab w:val="center" w:pos="4513"/>
        <w:tab w:val="right" w:pos="9026"/>
      </w:tabs>
      <w:spacing w:line="240" w:lineRule="auto"/>
    </w:pPr>
  </w:style>
  <w:style w:type="character" w:customStyle="1" w:styleId="FooterChar">
    <w:name w:val="Footer Char"/>
    <w:basedOn w:val="DefaultParagraphFont"/>
    <w:link w:val="Footer"/>
    <w:uiPriority w:val="99"/>
    <w:rsid w:val="00960F3B"/>
  </w:style>
  <w:style w:type="paragraph" w:customStyle="1" w:styleId="TAGRAPAPERNUMBER">
    <w:name w:val="TAGRA PAPER NUMBER"/>
    <w:basedOn w:val="Normal"/>
    <w:rsid w:val="00960F3B"/>
    <w:pPr>
      <w:tabs>
        <w:tab w:val="clear" w:pos="720"/>
        <w:tab w:val="clear" w:pos="1440"/>
        <w:tab w:val="clear" w:pos="2160"/>
        <w:tab w:val="clear" w:pos="2880"/>
        <w:tab w:val="clear" w:pos="4680"/>
        <w:tab w:val="clear" w:pos="5400"/>
        <w:tab w:val="clear" w:pos="9000"/>
      </w:tabs>
      <w:spacing w:after="240" w:line="240" w:lineRule="auto"/>
    </w:pPr>
    <w:rPr>
      <w:lang w:eastAsia="en-GB"/>
    </w:rPr>
  </w:style>
  <w:style w:type="character" w:styleId="CommentReference">
    <w:name w:val="annotation reference"/>
    <w:basedOn w:val="DefaultParagraphFont"/>
    <w:uiPriority w:val="99"/>
    <w:semiHidden/>
    <w:unhideWhenUsed/>
    <w:rsid w:val="0001513E"/>
    <w:rPr>
      <w:sz w:val="16"/>
      <w:szCs w:val="16"/>
    </w:rPr>
  </w:style>
  <w:style w:type="paragraph" w:styleId="CommentText">
    <w:name w:val="annotation text"/>
    <w:basedOn w:val="Normal"/>
    <w:link w:val="CommentTextChar"/>
    <w:uiPriority w:val="99"/>
    <w:semiHidden/>
    <w:unhideWhenUsed/>
    <w:rsid w:val="0001513E"/>
    <w:pPr>
      <w:spacing w:line="240" w:lineRule="auto"/>
    </w:pPr>
    <w:rPr>
      <w:sz w:val="20"/>
    </w:rPr>
  </w:style>
  <w:style w:type="character" w:customStyle="1" w:styleId="CommentTextChar">
    <w:name w:val="Comment Text Char"/>
    <w:basedOn w:val="DefaultParagraphFont"/>
    <w:link w:val="CommentText"/>
    <w:uiPriority w:val="99"/>
    <w:semiHidden/>
    <w:rsid w:val="000151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13E"/>
    <w:rPr>
      <w:b/>
      <w:bCs/>
    </w:rPr>
  </w:style>
  <w:style w:type="character" w:customStyle="1" w:styleId="CommentSubjectChar">
    <w:name w:val="Comment Subject Char"/>
    <w:basedOn w:val="CommentTextChar"/>
    <w:link w:val="CommentSubject"/>
    <w:uiPriority w:val="99"/>
    <w:semiHidden/>
    <w:rsid w:val="000151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51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13E"/>
    <w:rPr>
      <w:rFonts w:ascii="Tahoma" w:eastAsia="Times New Roman" w:hAnsi="Tahoma" w:cs="Tahoma"/>
      <w:sz w:val="16"/>
      <w:szCs w:val="16"/>
    </w:rPr>
  </w:style>
  <w:style w:type="paragraph" w:styleId="ListParagraph">
    <w:name w:val="List Paragraph"/>
    <w:basedOn w:val="Normal"/>
    <w:uiPriority w:val="34"/>
    <w:qFormat/>
    <w:rsid w:val="0006197A"/>
    <w:pPr>
      <w:ind w:left="720"/>
      <w:contextualSpacing/>
    </w:pPr>
  </w:style>
  <w:style w:type="table" w:styleId="TableGrid">
    <w:name w:val="Table Grid"/>
    <w:basedOn w:val="TableNormal"/>
    <w:uiPriority w:val="59"/>
    <w:rsid w:val="004D1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3B"/>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F3B"/>
    <w:pPr>
      <w:tabs>
        <w:tab w:val="center" w:pos="4513"/>
        <w:tab w:val="right" w:pos="9026"/>
      </w:tabs>
      <w:spacing w:line="240" w:lineRule="auto"/>
    </w:pPr>
  </w:style>
  <w:style w:type="character" w:customStyle="1" w:styleId="HeaderChar">
    <w:name w:val="Header Char"/>
    <w:basedOn w:val="DefaultParagraphFont"/>
    <w:link w:val="Header"/>
    <w:uiPriority w:val="99"/>
    <w:rsid w:val="00960F3B"/>
  </w:style>
  <w:style w:type="paragraph" w:styleId="Footer">
    <w:name w:val="footer"/>
    <w:basedOn w:val="Normal"/>
    <w:link w:val="FooterChar"/>
    <w:uiPriority w:val="99"/>
    <w:unhideWhenUsed/>
    <w:rsid w:val="00960F3B"/>
    <w:pPr>
      <w:tabs>
        <w:tab w:val="center" w:pos="4513"/>
        <w:tab w:val="right" w:pos="9026"/>
      </w:tabs>
      <w:spacing w:line="240" w:lineRule="auto"/>
    </w:pPr>
  </w:style>
  <w:style w:type="character" w:customStyle="1" w:styleId="FooterChar">
    <w:name w:val="Footer Char"/>
    <w:basedOn w:val="DefaultParagraphFont"/>
    <w:link w:val="Footer"/>
    <w:uiPriority w:val="99"/>
    <w:rsid w:val="00960F3B"/>
  </w:style>
  <w:style w:type="paragraph" w:customStyle="1" w:styleId="TAGRAPAPERNUMBER">
    <w:name w:val="TAGRA PAPER NUMBER"/>
    <w:basedOn w:val="Normal"/>
    <w:rsid w:val="00960F3B"/>
    <w:pPr>
      <w:tabs>
        <w:tab w:val="clear" w:pos="720"/>
        <w:tab w:val="clear" w:pos="1440"/>
        <w:tab w:val="clear" w:pos="2160"/>
        <w:tab w:val="clear" w:pos="2880"/>
        <w:tab w:val="clear" w:pos="4680"/>
        <w:tab w:val="clear" w:pos="5400"/>
        <w:tab w:val="clear" w:pos="9000"/>
      </w:tabs>
      <w:spacing w:after="240" w:line="240" w:lineRule="auto"/>
    </w:pPr>
    <w:rPr>
      <w:lang w:eastAsia="en-GB"/>
    </w:rPr>
  </w:style>
  <w:style w:type="character" w:styleId="CommentReference">
    <w:name w:val="annotation reference"/>
    <w:basedOn w:val="DefaultParagraphFont"/>
    <w:uiPriority w:val="99"/>
    <w:semiHidden/>
    <w:unhideWhenUsed/>
    <w:rsid w:val="0001513E"/>
    <w:rPr>
      <w:sz w:val="16"/>
      <w:szCs w:val="16"/>
    </w:rPr>
  </w:style>
  <w:style w:type="paragraph" w:styleId="CommentText">
    <w:name w:val="annotation text"/>
    <w:basedOn w:val="Normal"/>
    <w:link w:val="CommentTextChar"/>
    <w:uiPriority w:val="99"/>
    <w:semiHidden/>
    <w:unhideWhenUsed/>
    <w:rsid w:val="0001513E"/>
    <w:pPr>
      <w:spacing w:line="240" w:lineRule="auto"/>
    </w:pPr>
    <w:rPr>
      <w:sz w:val="20"/>
    </w:rPr>
  </w:style>
  <w:style w:type="character" w:customStyle="1" w:styleId="CommentTextChar">
    <w:name w:val="Comment Text Char"/>
    <w:basedOn w:val="DefaultParagraphFont"/>
    <w:link w:val="CommentText"/>
    <w:uiPriority w:val="99"/>
    <w:semiHidden/>
    <w:rsid w:val="000151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13E"/>
    <w:rPr>
      <w:b/>
      <w:bCs/>
    </w:rPr>
  </w:style>
  <w:style w:type="character" w:customStyle="1" w:styleId="CommentSubjectChar">
    <w:name w:val="Comment Subject Char"/>
    <w:basedOn w:val="CommentTextChar"/>
    <w:link w:val="CommentSubject"/>
    <w:uiPriority w:val="99"/>
    <w:semiHidden/>
    <w:rsid w:val="000151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51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13E"/>
    <w:rPr>
      <w:rFonts w:ascii="Tahoma" w:eastAsia="Times New Roman" w:hAnsi="Tahoma" w:cs="Tahoma"/>
      <w:sz w:val="16"/>
      <w:szCs w:val="16"/>
    </w:rPr>
  </w:style>
  <w:style w:type="paragraph" w:styleId="ListParagraph">
    <w:name w:val="List Paragraph"/>
    <w:basedOn w:val="Normal"/>
    <w:uiPriority w:val="34"/>
    <w:qFormat/>
    <w:rsid w:val="0006197A"/>
    <w:pPr>
      <w:ind w:left="720"/>
      <w:contextualSpacing/>
    </w:pPr>
  </w:style>
  <w:style w:type="table" w:styleId="TableGrid">
    <w:name w:val="Table Grid"/>
    <w:basedOn w:val="TableNormal"/>
    <w:uiPriority w:val="59"/>
    <w:rsid w:val="004D1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47586">
      <w:bodyDiv w:val="1"/>
      <w:marLeft w:val="0"/>
      <w:marRight w:val="0"/>
      <w:marTop w:val="0"/>
      <w:marBottom w:val="0"/>
      <w:divBdr>
        <w:top w:val="none" w:sz="0" w:space="0" w:color="auto"/>
        <w:left w:val="none" w:sz="0" w:space="0" w:color="auto"/>
        <w:bottom w:val="none" w:sz="0" w:space="0" w:color="auto"/>
        <w:right w:val="none" w:sz="0" w:space="0" w:color="auto"/>
      </w:divBdr>
    </w:div>
    <w:div w:id="16231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4BE82-A38E-4741-BD54-AA1B48D3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Touati</dc:creator>
  <cp:lastModifiedBy>u440905</cp:lastModifiedBy>
  <cp:revision>2</cp:revision>
  <cp:lastPrinted>2016-01-21T17:33:00Z</cp:lastPrinted>
  <dcterms:created xsi:type="dcterms:W3CDTF">2016-02-16T09:56:00Z</dcterms:created>
  <dcterms:modified xsi:type="dcterms:W3CDTF">2016-02-16T09:56:00Z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A13417136</vt:lpwstr>
  </property>
  <property fmtid="{D5CDD505-2E9C-101B-9397-08002B2CF9AE}" pid="4" name="Objective-Title">
    <vt:lpwstr>ASDHD \ 2016 \ TAGRA \ Meeting 1 \ Paper TAGRA(2016)02 - AMLC Update</vt:lpwstr>
  </property>
  <property fmtid="{D5CDD505-2E9C-101B-9397-08002B2CF9AE}" pid="5" name="Objective-Comment">
    <vt:lpwstr>
    </vt:lpwstr>
  </property>
  <property fmtid="{D5CDD505-2E9C-101B-9397-08002B2CF9AE}" pid="6" name="Objective-CreationStamp">
    <vt:filetime>2016-02-12T15:16:52Z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2016-02-12T15:16:53Z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