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D6" w:rsidRPr="00E8172F" w:rsidRDefault="00A52DD6" w:rsidP="00A52DD6">
      <w:pPr>
        <w:pStyle w:val="NameofDocument"/>
        <w:spacing w:after="0"/>
        <w:rPr>
          <w:rFonts w:ascii="Arial" w:hAnsi="Arial"/>
          <w:sz w:val="24"/>
        </w:rPr>
      </w:pPr>
      <w:bookmarkStart w:id="0" w:name="_GoBack"/>
      <w:bookmarkEnd w:id="0"/>
      <w:r w:rsidRPr="00E8172F">
        <w:rPr>
          <w:rFonts w:ascii="Arial" w:hAnsi="Arial"/>
          <w:sz w:val="24"/>
        </w:rPr>
        <w:t>TAGRA WORK PLAN 2015/16 - 2016/17</w:t>
      </w:r>
    </w:p>
    <w:p w:rsidR="00A52DD6" w:rsidRPr="00E8172F" w:rsidRDefault="00A52DD6" w:rsidP="00A52DD6">
      <w:pPr>
        <w:pStyle w:val="ListParagraph"/>
      </w:pPr>
    </w:p>
    <w:p w:rsidR="00566E7A" w:rsidRDefault="00A52DD6" w:rsidP="00566E7A">
      <w:pPr>
        <w:pStyle w:val="TAGRAPAPERNUMBER"/>
        <w:rPr>
          <w:rFonts w:ascii="Arial" w:hAnsi="Arial"/>
          <w:b/>
        </w:rPr>
      </w:pPr>
      <w:r w:rsidRPr="00E8172F">
        <w:rPr>
          <w:rFonts w:ascii="Arial" w:hAnsi="Arial"/>
          <w:b/>
        </w:rPr>
        <w:t>TAGRA(201</w:t>
      </w:r>
      <w:r w:rsidR="00597280">
        <w:rPr>
          <w:rFonts w:ascii="Arial" w:hAnsi="Arial"/>
          <w:b/>
        </w:rPr>
        <w:t>6</w:t>
      </w:r>
      <w:r w:rsidRPr="00E8172F">
        <w:rPr>
          <w:rFonts w:ascii="Arial" w:hAnsi="Arial"/>
          <w:b/>
        </w:rPr>
        <w:t>)</w:t>
      </w:r>
      <w:r w:rsidR="000F1544">
        <w:rPr>
          <w:rFonts w:ascii="Arial" w:hAnsi="Arial"/>
          <w:b/>
        </w:rPr>
        <w:t>0</w:t>
      </w:r>
      <w:r w:rsidR="00577DDF">
        <w:rPr>
          <w:rFonts w:ascii="Arial" w:hAnsi="Arial"/>
          <w:b/>
        </w:rPr>
        <w:t>3</w:t>
      </w:r>
    </w:p>
    <w:p w:rsidR="00A52DD6" w:rsidRPr="00566E7A" w:rsidRDefault="00566E7A" w:rsidP="00566E7A">
      <w:pPr>
        <w:pStyle w:val="TAGRAPAPERNUMBER"/>
        <w:rPr>
          <w:rFonts w:ascii="Arial" w:hAnsi="Arial"/>
          <w:b/>
        </w:rPr>
      </w:pPr>
      <w:r>
        <w:rPr>
          <w:rFonts w:ascii="Arial" w:hAnsi="Arial"/>
          <w:b/>
        </w:rPr>
        <w:t>INTRODUCTION</w:t>
      </w:r>
    </w:p>
    <w:p w:rsidR="00A52DD6" w:rsidRPr="00E8172F" w:rsidRDefault="00A52DD6" w:rsidP="00A52DD6">
      <w:pPr>
        <w:pStyle w:val="Numberedparagraphs"/>
        <w:rPr>
          <w:rFonts w:ascii="Arial" w:hAnsi="Arial" w:cs="Arial"/>
        </w:rPr>
      </w:pPr>
      <w:r w:rsidRPr="00E8172F">
        <w:rPr>
          <w:rFonts w:ascii="Arial" w:hAnsi="Arial" w:cs="Arial"/>
        </w:rPr>
        <w:t xml:space="preserve">This paper sets out TAGRA’s high level work plan until </w:t>
      </w:r>
      <w:r>
        <w:rPr>
          <w:rFonts w:ascii="Arial" w:hAnsi="Arial" w:cs="Arial"/>
        </w:rPr>
        <w:t xml:space="preserve">April </w:t>
      </w:r>
      <w:r w:rsidRPr="00E8172F">
        <w:rPr>
          <w:rFonts w:ascii="Arial" w:hAnsi="Arial" w:cs="Arial"/>
        </w:rPr>
        <w:t>2</w:t>
      </w:r>
      <w:r>
        <w:rPr>
          <w:rFonts w:ascii="Arial" w:hAnsi="Arial" w:cs="Arial"/>
        </w:rPr>
        <w:t>017</w:t>
      </w:r>
      <w:r w:rsidRPr="00E8172F">
        <w:rPr>
          <w:rFonts w:ascii="Arial" w:hAnsi="Arial" w:cs="Arial"/>
        </w:rPr>
        <w:t xml:space="preserve">. This includes a population only </w:t>
      </w:r>
      <w:r>
        <w:rPr>
          <w:rFonts w:ascii="Arial" w:hAnsi="Arial" w:cs="Arial"/>
        </w:rPr>
        <w:t xml:space="preserve">NRAC </w:t>
      </w:r>
      <w:r w:rsidRPr="00E8172F">
        <w:rPr>
          <w:rFonts w:ascii="Arial" w:hAnsi="Arial" w:cs="Arial"/>
        </w:rPr>
        <w:t xml:space="preserve">update in </w:t>
      </w:r>
      <w:r>
        <w:rPr>
          <w:rFonts w:ascii="Arial" w:hAnsi="Arial" w:cs="Arial"/>
        </w:rPr>
        <w:t>2016 (2017/</w:t>
      </w:r>
      <w:r w:rsidR="00491F57">
        <w:rPr>
          <w:rFonts w:ascii="Arial" w:hAnsi="Arial" w:cs="Arial"/>
        </w:rPr>
        <w:t>18 shares).</w:t>
      </w:r>
    </w:p>
    <w:p w:rsidR="00A52DD6" w:rsidRPr="00E8172F" w:rsidRDefault="00A52DD6" w:rsidP="00A52DD6">
      <w:pPr>
        <w:pStyle w:val="Numberedparagraphs"/>
        <w:numPr>
          <w:ilvl w:val="0"/>
          <w:numId w:val="0"/>
        </w:numPr>
        <w:rPr>
          <w:rFonts w:ascii="Arial" w:hAnsi="Arial" w:cs="Arial"/>
          <w:b/>
        </w:rPr>
      </w:pPr>
      <w:r w:rsidRPr="00E8172F">
        <w:rPr>
          <w:rFonts w:ascii="Arial" w:hAnsi="Arial" w:cs="Arial"/>
          <w:b/>
        </w:rPr>
        <w:t>WORK PLAN</w:t>
      </w:r>
    </w:p>
    <w:p w:rsidR="00A52DD6" w:rsidRPr="00E8172F" w:rsidRDefault="00A52DD6" w:rsidP="00A52DD6">
      <w:pPr>
        <w:pStyle w:val="Numberedparagraphs"/>
        <w:rPr>
          <w:rFonts w:ascii="Arial" w:hAnsi="Arial"/>
        </w:rPr>
      </w:pPr>
      <w:r w:rsidRPr="00E8172F">
        <w:rPr>
          <w:rFonts w:ascii="Arial" w:hAnsi="Arial"/>
        </w:rPr>
        <w:t>The following TAGRA work plan has been proposed:</w:t>
      </w:r>
    </w:p>
    <w:p w:rsidR="00A52DD6" w:rsidRPr="00426E8B" w:rsidRDefault="00A52DD6" w:rsidP="00A52DD6">
      <w:pPr>
        <w:pStyle w:val="StyleLatinArialComplexArialComplex12ptLeft"/>
        <w:spacing w:after="0"/>
        <w:ind w:left="1417"/>
        <w:rPr>
          <w:rFonts w:ascii="Arial" w:hAnsi="Arial"/>
        </w:rPr>
      </w:pPr>
      <w:r w:rsidRPr="00E8172F">
        <w:rPr>
          <w:rFonts w:ascii="Arial" w:hAnsi="Arial"/>
        </w:rPr>
        <w:t>Annual NRAC formula run</w:t>
      </w:r>
      <w:r>
        <w:rPr>
          <w:rFonts w:ascii="Arial" w:hAnsi="Arial"/>
        </w:rPr>
        <w:t>s</w:t>
      </w:r>
    </w:p>
    <w:p w:rsidR="00A52DD6" w:rsidRDefault="00A52DD6" w:rsidP="00A52DD6">
      <w:pPr>
        <w:pStyle w:val="StyleLatinArialComplexArialComplex12ptLeft"/>
        <w:spacing w:after="0"/>
        <w:ind w:left="1417"/>
        <w:rPr>
          <w:rFonts w:ascii="Arial" w:hAnsi="Arial"/>
        </w:rPr>
      </w:pPr>
      <w:r w:rsidRPr="00E8172F">
        <w:rPr>
          <w:rFonts w:ascii="Arial" w:hAnsi="Arial"/>
        </w:rPr>
        <w:t>Review of MLC (acute care programme) (see Annex A)</w:t>
      </w:r>
    </w:p>
    <w:p w:rsidR="00A52DD6" w:rsidRDefault="00A52DD6" w:rsidP="00A52DD6">
      <w:pPr>
        <w:pStyle w:val="StyleLatinArialComplexArialComplex12ptLeft"/>
        <w:spacing w:after="0"/>
        <w:ind w:left="1417"/>
        <w:rPr>
          <w:rFonts w:ascii="Arial" w:hAnsi="Arial"/>
        </w:rPr>
      </w:pPr>
      <w:r w:rsidRPr="00E8172F">
        <w:rPr>
          <w:rFonts w:ascii="Arial" w:hAnsi="Arial"/>
        </w:rPr>
        <w:t>Review of Scottish Allocation Formula</w:t>
      </w:r>
      <w:r w:rsidR="0017624D">
        <w:rPr>
          <w:rFonts w:ascii="Arial" w:hAnsi="Arial"/>
        </w:rPr>
        <w:t xml:space="preserve"> (SAF)</w:t>
      </w:r>
    </w:p>
    <w:p w:rsidR="00A52DD6" w:rsidRDefault="00A52DD6" w:rsidP="00A52DD6">
      <w:pPr>
        <w:pStyle w:val="StyleLatinArialComplexArialComplex12ptLeft"/>
        <w:spacing w:after="0"/>
        <w:ind w:left="1417"/>
        <w:rPr>
          <w:rFonts w:ascii="Arial" w:hAnsi="Arial"/>
        </w:rPr>
      </w:pPr>
      <w:r>
        <w:rPr>
          <w:rFonts w:ascii="Arial" w:hAnsi="Arial"/>
        </w:rPr>
        <w:t>Investigation of instabilities in the Excess Cost component of the formula</w:t>
      </w:r>
    </w:p>
    <w:p w:rsidR="00A52DD6" w:rsidRPr="00E8172F" w:rsidRDefault="00A52DD6" w:rsidP="00A52DD6">
      <w:pPr>
        <w:pStyle w:val="StyleLatinArialComplexArialComplex12ptLeft"/>
        <w:spacing w:after="0"/>
        <w:ind w:left="1417"/>
        <w:rPr>
          <w:rFonts w:ascii="Arial" w:hAnsi="Arial"/>
        </w:rPr>
      </w:pPr>
      <w:r w:rsidRPr="00E8172F">
        <w:rPr>
          <w:rFonts w:ascii="Arial" w:hAnsi="Arial"/>
        </w:rPr>
        <w:t>Community Health Activity Data Project</w:t>
      </w:r>
    </w:p>
    <w:p w:rsidR="00A52DD6" w:rsidRPr="00E8172F" w:rsidRDefault="00A52DD6" w:rsidP="00A52DD6">
      <w:pPr>
        <w:pStyle w:val="StyleLatinArialComplexArialComplex12ptLeft"/>
        <w:numPr>
          <w:ilvl w:val="0"/>
          <w:numId w:val="0"/>
        </w:numPr>
        <w:spacing w:after="0"/>
        <w:ind w:left="1077"/>
        <w:jc w:val="left"/>
        <w:rPr>
          <w:rFonts w:ascii="Arial" w:hAnsi="Arial"/>
        </w:rPr>
      </w:pPr>
    </w:p>
    <w:p w:rsidR="00A52DD6" w:rsidRDefault="00A52DD6" w:rsidP="00A52DD6">
      <w:pPr>
        <w:pStyle w:val="StyleLatinArialComplexArialComplex12ptLeft"/>
        <w:numPr>
          <w:ilvl w:val="0"/>
          <w:numId w:val="0"/>
        </w:numPr>
        <w:spacing w:after="0"/>
        <w:rPr>
          <w:rFonts w:ascii="Arial" w:hAnsi="Arial"/>
        </w:rPr>
      </w:pPr>
      <w:r>
        <w:rPr>
          <w:rFonts w:ascii="Arial" w:hAnsi="Arial"/>
        </w:rPr>
        <w:t>The only new item for this version of the work plan is the introduction of a relatively small piece of analytical work to investigate aspects of the Excess Cost component of NRAC. This follows on from the observation during the course of the 2016/17 formula run that very low activity levels for some care programmes (notably Care of the Elderly) in the SDIA category of DataZones can lead to unacceptable degrees of instability in this aspect of the formula. The AST will investigate potential amendments to the formula to mitigate this instability, with a view to bringing a proposal to TAGRA in time for it to be approved and implemented in the 2017 formula run (the next time the Excess Cos</w:t>
      </w:r>
      <w:r w:rsidR="0017624D">
        <w:rPr>
          <w:rFonts w:ascii="Arial" w:hAnsi="Arial"/>
        </w:rPr>
        <w:t>t adjustments will be updated).</w:t>
      </w:r>
    </w:p>
    <w:p w:rsidR="00A52DD6" w:rsidRDefault="00A52DD6" w:rsidP="00A52DD6">
      <w:pPr>
        <w:pStyle w:val="StyleLatinArialComplexArialComplex12ptLeft"/>
        <w:numPr>
          <w:ilvl w:val="0"/>
          <w:numId w:val="0"/>
        </w:numPr>
        <w:spacing w:after="0"/>
        <w:rPr>
          <w:rFonts w:ascii="Arial" w:hAnsi="Arial"/>
        </w:rPr>
      </w:pPr>
    </w:p>
    <w:p w:rsidR="00A52DD6" w:rsidRPr="00E8172F" w:rsidRDefault="00A52DD6" w:rsidP="00A52DD6">
      <w:pPr>
        <w:pStyle w:val="StyleLatinArialComplexArialComplex12ptLeft"/>
        <w:numPr>
          <w:ilvl w:val="0"/>
          <w:numId w:val="0"/>
        </w:numPr>
        <w:spacing w:after="0"/>
        <w:rPr>
          <w:rFonts w:ascii="Arial" w:hAnsi="Arial"/>
        </w:rPr>
      </w:pPr>
      <w:r w:rsidRPr="00E8172F">
        <w:rPr>
          <w:rFonts w:ascii="Arial" w:hAnsi="Arial"/>
        </w:rPr>
        <w:t>The following tables</w:t>
      </w:r>
      <w:r>
        <w:rPr>
          <w:rFonts w:ascii="Arial" w:hAnsi="Arial"/>
        </w:rPr>
        <w:t>, which are ordered by level of Analytical Support Team (AST) resource required (apart from the formula runs which are placed first),</w:t>
      </w:r>
      <w:r w:rsidRPr="00E8172F">
        <w:rPr>
          <w:rFonts w:ascii="Arial" w:hAnsi="Arial"/>
        </w:rPr>
        <w:t xml:space="preserve"> outline the resource estimates required to undertake the programme of work, timescales and project leads. Note, the work plan excludes resourcing  required for  routine NRAC work, for example, answering Parliamentary Questions, briefing, ad hoc queries which occur throughout the year.</w:t>
      </w:r>
    </w:p>
    <w:p w:rsidR="00A52DD6" w:rsidRPr="00E8172F" w:rsidRDefault="00A52DD6" w:rsidP="00A52DD6">
      <w:pPr>
        <w:pStyle w:val="StyleLatinArialComplexArialComplex12ptLeft"/>
        <w:numPr>
          <w:ilvl w:val="0"/>
          <w:numId w:val="0"/>
        </w:numPr>
        <w:spacing w:after="0"/>
        <w:ind w:left="540"/>
        <w:rPr>
          <w:rFonts w:ascii="Arial" w:hAnsi="Arial"/>
        </w:rPr>
      </w:pPr>
    </w:p>
    <w:p w:rsidR="00A52DD6" w:rsidRPr="00E8172F" w:rsidRDefault="00A52DD6" w:rsidP="00A52DD6">
      <w:pPr>
        <w:pStyle w:val="Numberedparagraphs"/>
        <w:numPr>
          <w:ilvl w:val="0"/>
          <w:numId w:val="0"/>
        </w:numPr>
        <w:rPr>
          <w:rFonts w:ascii="Arial" w:hAnsi="Arial" w:cs="Arial"/>
          <w:b/>
        </w:rPr>
      </w:pPr>
    </w:p>
    <w:p w:rsidR="00A52DD6" w:rsidRPr="00E8172F" w:rsidRDefault="00A52DD6" w:rsidP="00A52DD6">
      <w:pPr>
        <w:pStyle w:val="StyleLatinArialComplexArialComplex12ptLeft"/>
        <w:numPr>
          <w:ilvl w:val="0"/>
          <w:numId w:val="0"/>
        </w:numPr>
        <w:spacing w:after="0"/>
        <w:ind w:left="540"/>
        <w:rPr>
          <w:rFonts w:ascii="Arial" w:hAnsi="Arial"/>
        </w:rPr>
      </w:pPr>
    </w:p>
    <w:p w:rsidR="00A52DD6" w:rsidRPr="00E8172F" w:rsidRDefault="00A52DD6" w:rsidP="00A52DD6">
      <w:pPr>
        <w:pStyle w:val="StyleLatinArialComplexArialComplex12ptLeft"/>
        <w:numPr>
          <w:ilvl w:val="0"/>
          <w:numId w:val="0"/>
        </w:numPr>
        <w:spacing w:after="0"/>
        <w:ind w:left="540"/>
        <w:rPr>
          <w:rFonts w:ascii="Arial" w:hAnsi="Arial"/>
        </w:rPr>
        <w:sectPr w:rsidR="00A52DD6" w:rsidRPr="00E8172F">
          <w:headerReference w:type="default" r:id="rId8"/>
          <w:footerReference w:type="default" r:id="rId9"/>
          <w:pgSz w:w="11906" w:h="16838"/>
          <w:pgMar w:top="1440" w:right="1800" w:bottom="1440" w:left="1800" w:header="708" w:footer="708" w:gutter="0"/>
          <w:cols w:space="708"/>
          <w:docGrid w:linePitch="360"/>
        </w:sectPr>
      </w:pPr>
    </w:p>
    <w:p w:rsidR="00A52DD6" w:rsidRPr="00E8172F" w:rsidRDefault="00A52DD6" w:rsidP="00A52DD6">
      <w:pPr>
        <w:pStyle w:val="StyleLatinArialComplexArialComplex12ptLeft"/>
        <w:numPr>
          <w:ilvl w:val="0"/>
          <w:numId w:val="0"/>
        </w:numPr>
        <w:spacing w:after="0"/>
        <w:ind w:left="1077"/>
        <w:rPr>
          <w:rFonts w:ascii="Arial" w:hAnsi="Arial"/>
        </w:rPr>
      </w:pPr>
    </w:p>
    <w:tbl>
      <w:tblPr>
        <w:tblW w:w="152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418"/>
        <w:gridCol w:w="1984"/>
        <w:gridCol w:w="1276"/>
        <w:gridCol w:w="1418"/>
        <w:gridCol w:w="2416"/>
        <w:gridCol w:w="900"/>
        <w:gridCol w:w="3420"/>
      </w:tblGrid>
      <w:tr w:rsidR="00A52DD6" w:rsidRPr="00E8172F" w:rsidTr="005A3CAB">
        <w:trPr>
          <w:cantSplit/>
          <w:trHeight w:val="1527"/>
        </w:trPr>
        <w:tc>
          <w:tcPr>
            <w:tcW w:w="2421" w:type="dxa"/>
            <w:tcBorders>
              <w:top w:val="single" w:sz="2" w:space="0" w:color="auto"/>
              <w:left w:val="single" w:sz="2"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Project</w:t>
            </w:r>
          </w:p>
        </w:tc>
        <w:tc>
          <w:tcPr>
            <w:tcW w:w="1418"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Estimate of Analytical Support Team resource required</w:t>
            </w:r>
          </w:p>
        </w:tc>
        <w:tc>
          <w:tcPr>
            <w:tcW w:w="1984"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Further information</w:t>
            </w:r>
          </w:p>
        </w:tc>
        <w:tc>
          <w:tcPr>
            <w:tcW w:w="1276"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 xml:space="preserve">Project </w:t>
            </w:r>
          </w:p>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timescales</w:t>
            </w:r>
          </w:p>
        </w:tc>
        <w:tc>
          <w:tcPr>
            <w:tcW w:w="1418"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Project lead</w:t>
            </w:r>
          </w:p>
        </w:tc>
        <w:tc>
          <w:tcPr>
            <w:tcW w:w="2416"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TAGRA representative</w:t>
            </w:r>
          </w:p>
        </w:tc>
        <w:tc>
          <w:tcPr>
            <w:tcW w:w="900"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Progress –</w:t>
            </w:r>
          </w:p>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 xml:space="preserve">Green / </w:t>
            </w:r>
          </w:p>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Amber / Red</w:t>
            </w:r>
          </w:p>
        </w:tc>
        <w:tc>
          <w:tcPr>
            <w:tcW w:w="3420" w:type="dxa"/>
            <w:tcBorders>
              <w:top w:val="single" w:sz="2" w:space="0" w:color="auto"/>
              <w:left w:val="single" w:sz="6" w:space="0" w:color="auto"/>
              <w:bottom w:val="single" w:sz="2" w:space="0" w:color="auto"/>
              <w:right w:val="single" w:sz="6" w:space="0" w:color="auto"/>
            </w:tcBorders>
            <w:shd w:val="clear" w:color="auto" w:fill="auto"/>
            <w:textDirection w:val="btLr"/>
          </w:tcPr>
          <w:p w:rsidR="00A52DD6" w:rsidRPr="00D5284D" w:rsidRDefault="00A52DD6" w:rsidP="005A3CAB">
            <w:pPr>
              <w:pStyle w:val="Numberedparagraphs"/>
              <w:numPr>
                <w:ilvl w:val="0"/>
                <w:numId w:val="0"/>
              </w:numPr>
              <w:spacing w:after="0"/>
              <w:ind w:left="57" w:right="57"/>
              <w:jc w:val="left"/>
              <w:rPr>
                <w:rFonts w:ascii="Arial" w:hAnsi="Arial"/>
                <w:b/>
                <w:sz w:val="20"/>
                <w:szCs w:val="20"/>
              </w:rPr>
            </w:pPr>
            <w:r w:rsidRPr="00D5284D">
              <w:rPr>
                <w:rFonts w:ascii="Arial" w:hAnsi="Arial"/>
                <w:b/>
                <w:sz w:val="20"/>
                <w:szCs w:val="20"/>
              </w:rPr>
              <w:t>Main Risks</w:t>
            </w:r>
          </w:p>
        </w:tc>
      </w:tr>
      <w:tr w:rsidR="00A52DD6" w:rsidRPr="00E8172F" w:rsidTr="005A3CAB">
        <w:trPr>
          <w:trHeight w:val="919"/>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t>NRAC 2017/18 formula run</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15 days</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Population only update</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May – Aug 2016</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Roger Black</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Roger Black</w:t>
            </w:r>
          </w:p>
        </w:tc>
        <w:tc>
          <w:tcPr>
            <w:tcW w:w="900" w:type="dxa"/>
            <w:tcBorders>
              <w:top w:val="single" w:sz="6" w:space="0" w:color="auto"/>
              <w:left w:val="single" w:sz="6" w:space="0" w:color="auto"/>
              <w:bottom w:val="single" w:sz="6" w:space="0" w:color="auto"/>
              <w:right w:val="single" w:sz="6" w:space="0" w:color="auto"/>
            </w:tcBorders>
            <w:shd w:val="clear" w:color="auto" w:fill="00B050"/>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GREEN</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r>
      <w:tr w:rsidR="00A52DD6" w:rsidRPr="00E8172F" w:rsidTr="005A3CAB">
        <w:trPr>
          <w:trHeight w:val="919"/>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t xml:space="preserve">Morbidity &amp; Life Circumstances (Acute)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24 months</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Timing has been revised on the basis of the update in TAGRA(2015)01, with final report to TAGRA in Aug 2016 and impact assessment in Dec 2016.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Feb 2014 –Dec 2016</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Karen Facey</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Karen Facey, Angela Campbell, </w:t>
            </w:r>
            <w:r>
              <w:rPr>
                <w:rFonts w:ascii="Arial" w:hAnsi="Arial"/>
                <w:sz w:val="20"/>
                <w:szCs w:val="20"/>
              </w:rPr>
              <w:t>Lynne Jarvis</w:t>
            </w:r>
            <w:r w:rsidRPr="00D5284D">
              <w:rPr>
                <w:rFonts w:ascii="Arial" w:hAnsi="Arial"/>
                <w:sz w:val="20"/>
                <w:szCs w:val="20"/>
              </w:rPr>
              <w:t>, Roger Black, Paudr</w:t>
            </w:r>
            <w:r>
              <w:rPr>
                <w:rFonts w:ascii="Arial" w:hAnsi="Arial"/>
                <w:sz w:val="20"/>
                <w:szCs w:val="20"/>
              </w:rPr>
              <w:t>ic Osborne, Evan Williams</w:t>
            </w:r>
            <w:r w:rsidRPr="00D5284D">
              <w:rPr>
                <w:rFonts w:ascii="Arial" w:hAnsi="Arial"/>
                <w:sz w:val="20"/>
                <w:szCs w:val="20"/>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00B050"/>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GREEN</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cs="Arial"/>
                <w:sz w:val="20"/>
                <w:szCs w:val="20"/>
              </w:rPr>
            </w:pPr>
            <w:r w:rsidRPr="00D5284D">
              <w:rPr>
                <w:rFonts w:ascii="Arial" w:hAnsi="Arial" w:cs="Arial"/>
                <w:sz w:val="20"/>
                <w:szCs w:val="20"/>
              </w:rPr>
              <w:t>Assumes the analysis does not throw up unexpected findings which merit further investigation.</w:t>
            </w:r>
          </w:p>
          <w:p w:rsidR="00A52DD6" w:rsidRPr="00D5284D" w:rsidRDefault="00A52DD6" w:rsidP="005A3CAB">
            <w:pPr>
              <w:pStyle w:val="Numberedparagraphs"/>
              <w:numPr>
                <w:ilvl w:val="0"/>
                <w:numId w:val="0"/>
              </w:numPr>
              <w:jc w:val="left"/>
              <w:rPr>
                <w:rFonts w:ascii="Arial" w:hAnsi="Arial" w:cs="Arial"/>
                <w:sz w:val="20"/>
                <w:szCs w:val="20"/>
              </w:rPr>
            </w:pPr>
            <w:r w:rsidRPr="00D5284D">
              <w:rPr>
                <w:rFonts w:ascii="Arial" w:hAnsi="Arial" w:cs="Arial"/>
                <w:sz w:val="20"/>
                <w:szCs w:val="20"/>
              </w:rPr>
              <w:t>Availability of data following shift to new Data Zones.</w:t>
            </w:r>
          </w:p>
        </w:tc>
      </w:tr>
      <w:tr w:rsidR="00A52DD6" w:rsidRPr="00E8172F" w:rsidTr="005A3CAB">
        <w:trPr>
          <w:trHeight w:val="1219"/>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t>SAF Formula Review (Phase 1)</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24 months</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Undertaken by Expert Technical Group, including SG, ISD, PSD and BMA.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Aug 2014 – Jul 2016</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 xml:space="preserve">Angela Campbell and Lynda Nicholson </w:t>
            </w:r>
          </w:p>
          <w:p w:rsidR="00A52DD6" w:rsidRPr="00D5284D" w:rsidRDefault="00A52DD6" w:rsidP="005A3CAB">
            <w:pPr>
              <w:pStyle w:val="Numberedparagraphs"/>
              <w:numPr>
                <w:ilvl w:val="0"/>
                <w:numId w:val="0"/>
              </w:numPr>
              <w:rPr>
                <w:rFonts w:ascii="Arial" w:hAnsi="Arial"/>
                <w:sz w:val="20"/>
                <w:szCs w:val="20"/>
              </w:rPr>
            </w:pP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Angela Campbell, Lynda Nicholson, </w:t>
            </w:r>
            <w:r>
              <w:rPr>
                <w:rFonts w:ascii="Arial" w:hAnsi="Arial"/>
                <w:sz w:val="20"/>
                <w:szCs w:val="20"/>
              </w:rPr>
              <w:t>Lynne Jarvis</w:t>
            </w:r>
            <w:r w:rsidRPr="00D5284D">
              <w:rPr>
                <w:rFonts w:ascii="Arial" w:hAnsi="Arial"/>
                <w:sz w:val="20"/>
                <w:szCs w:val="20"/>
              </w:rPr>
              <w:t xml:space="preserve">, Paudric Osborne, </w:t>
            </w:r>
            <w:r>
              <w:rPr>
                <w:rFonts w:ascii="Arial" w:hAnsi="Arial"/>
                <w:sz w:val="20"/>
                <w:szCs w:val="20"/>
              </w:rPr>
              <w:t>Evan Williams</w:t>
            </w:r>
          </w:p>
        </w:tc>
        <w:tc>
          <w:tcPr>
            <w:tcW w:w="900" w:type="dxa"/>
            <w:tcBorders>
              <w:top w:val="single" w:sz="6" w:space="0" w:color="auto"/>
              <w:left w:val="single" w:sz="6" w:space="0" w:color="auto"/>
              <w:bottom w:val="single" w:sz="6" w:space="0" w:color="auto"/>
              <w:right w:val="single" w:sz="6" w:space="0" w:color="auto"/>
            </w:tcBorders>
            <w:shd w:val="clear" w:color="auto" w:fill="F79646"/>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AMBER</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Data availability.</w:t>
            </w:r>
          </w:p>
        </w:tc>
      </w:tr>
      <w:tr w:rsidR="00A52DD6" w:rsidRPr="00E8172F" w:rsidTr="005A3CAB">
        <w:trPr>
          <w:trHeight w:val="1630"/>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FD3C0F">
              <w:rPr>
                <w:rFonts w:ascii="Arial" w:hAnsi="Arial"/>
                <w:b/>
                <w:sz w:val="20"/>
                <w:szCs w:val="20"/>
              </w:rPr>
              <w:t>Investigation of instabilities in the Excess Cost component of the formula</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Pr>
                <w:rFonts w:ascii="Arial" w:hAnsi="Arial"/>
                <w:sz w:val="20"/>
                <w:szCs w:val="20"/>
              </w:rPr>
              <w:t>7 days</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Pr>
                <w:rFonts w:ascii="Arial" w:hAnsi="Arial"/>
                <w:sz w:val="20"/>
                <w:szCs w:val="20"/>
              </w:rPr>
              <w:t>2016, with report to TAGRA by December 2016 at latest</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Pr>
                <w:rFonts w:ascii="Arial" w:hAnsi="Arial"/>
                <w:sz w:val="20"/>
                <w:szCs w:val="20"/>
              </w:rPr>
              <w:t>Roger Black</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Pr>
                <w:rFonts w:ascii="Arial" w:hAnsi="Arial"/>
                <w:sz w:val="20"/>
                <w:szCs w:val="20"/>
              </w:rPr>
              <w:t>Roger Black, Angela Campbell, Paudric Osborne, Evan Williams.</w:t>
            </w:r>
          </w:p>
        </w:tc>
        <w:tc>
          <w:tcPr>
            <w:tcW w:w="900" w:type="dxa"/>
            <w:tcBorders>
              <w:top w:val="single" w:sz="6" w:space="0" w:color="auto"/>
              <w:left w:val="single" w:sz="6" w:space="0" w:color="auto"/>
              <w:bottom w:val="single" w:sz="6" w:space="0" w:color="auto"/>
              <w:right w:val="single" w:sz="6" w:space="0" w:color="auto"/>
            </w:tcBorders>
            <w:shd w:val="clear" w:color="auto" w:fill="00B050"/>
          </w:tcPr>
          <w:p w:rsidR="00A52DD6" w:rsidRPr="00D5284D" w:rsidRDefault="00A52DD6" w:rsidP="005A3CAB">
            <w:pPr>
              <w:pStyle w:val="Numberedparagraphs"/>
              <w:numPr>
                <w:ilvl w:val="0"/>
                <w:numId w:val="0"/>
              </w:numPr>
              <w:jc w:val="center"/>
              <w:rPr>
                <w:rFonts w:ascii="Arial" w:hAnsi="Arial"/>
                <w:b/>
                <w:sz w:val="16"/>
                <w:szCs w:val="16"/>
              </w:rPr>
            </w:pPr>
            <w:r>
              <w:rPr>
                <w:rFonts w:ascii="Arial" w:hAnsi="Arial"/>
                <w:b/>
                <w:sz w:val="16"/>
                <w:szCs w:val="16"/>
              </w:rPr>
              <w:t>GREEN</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r>
      <w:tr w:rsidR="00A52DD6" w:rsidRPr="00E8172F" w:rsidTr="005A3CAB">
        <w:trPr>
          <w:trHeight w:val="1630"/>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lastRenderedPageBreak/>
              <w:t>Community Health Activity Data Project (Validation of Community Nursing data)</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6 days (requires little direct engagement from AST)</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Dec 2013 – Summer 2016</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John Ross Scott</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John Ross Scott, </w:t>
            </w:r>
            <w:r>
              <w:rPr>
                <w:rFonts w:ascii="Arial" w:hAnsi="Arial"/>
                <w:sz w:val="20"/>
                <w:szCs w:val="20"/>
              </w:rPr>
              <w:t>Lynne Jarvis</w:t>
            </w:r>
            <w:r w:rsidRPr="00D5284D">
              <w:rPr>
                <w:rFonts w:ascii="Arial" w:hAnsi="Arial"/>
                <w:sz w:val="20"/>
                <w:szCs w:val="20"/>
              </w:rPr>
              <w:t>, Judith Stark, George Walker</w:t>
            </w:r>
          </w:p>
        </w:tc>
        <w:tc>
          <w:tcPr>
            <w:tcW w:w="900" w:type="dxa"/>
            <w:tcBorders>
              <w:top w:val="single" w:sz="6" w:space="0" w:color="auto"/>
              <w:left w:val="single" w:sz="6" w:space="0" w:color="auto"/>
              <w:bottom w:val="single" w:sz="6" w:space="0" w:color="auto"/>
              <w:right w:val="single" w:sz="6" w:space="0" w:color="auto"/>
            </w:tcBorders>
            <w:shd w:val="clear" w:color="auto" w:fill="00B050"/>
            <w:vAlign w:val="center"/>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GREEN</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Data might not be available in all health boards within the timescales.</w:t>
            </w:r>
          </w:p>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Unknown data quality.</w:t>
            </w:r>
          </w:p>
        </w:tc>
      </w:tr>
      <w:tr w:rsidR="00A52DD6" w:rsidRPr="00E8172F" w:rsidTr="005A3CAB">
        <w:trPr>
          <w:trHeight w:val="758"/>
        </w:trPr>
        <w:tc>
          <w:tcPr>
            <w:tcW w:w="2421" w:type="dxa"/>
            <w:tcBorders>
              <w:top w:val="single" w:sz="6" w:space="0" w:color="auto"/>
              <w:left w:val="single" w:sz="2"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t>Community Health Activity Data Project (Validation of Mental Health data)</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6 days (requires little direct engagement from AST)</w:t>
            </w:r>
          </w:p>
          <w:p w:rsidR="00A52DD6" w:rsidRPr="00D5284D" w:rsidRDefault="00A52DD6" w:rsidP="005A3CAB">
            <w:pPr>
              <w:pStyle w:val="Numberedparagraphs"/>
              <w:numPr>
                <w:ilvl w:val="0"/>
                <w:numId w:val="0"/>
              </w:numPr>
              <w:rPr>
                <w:rFonts w:ascii="Arial" w:hAnsi="Arial"/>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2016 - 2017 </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John Ross Scott</w:t>
            </w:r>
          </w:p>
        </w:tc>
        <w:tc>
          <w:tcPr>
            <w:tcW w:w="2416"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John Ross Scott, </w:t>
            </w:r>
            <w:r>
              <w:rPr>
                <w:rFonts w:ascii="Arial" w:hAnsi="Arial"/>
                <w:sz w:val="20"/>
                <w:szCs w:val="20"/>
              </w:rPr>
              <w:t>Lynne Jarvis</w:t>
            </w:r>
            <w:r w:rsidRPr="00D5284D">
              <w:rPr>
                <w:rFonts w:ascii="Arial" w:hAnsi="Arial"/>
                <w:sz w:val="20"/>
                <w:szCs w:val="20"/>
              </w:rPr>
              <w:t>, Judith Stark, George Walker</w:t>
            </w:r>
          </w:p>
        </w:tc>
        <w:tc>
          <w:tcPr>
            <w:tcW w:w="900" w:type="dxa"/>
            <w:tcBorders>
              <w:top w:val="single" w:sz="6" w:space="0" w:color="auto"/>
              <w:left w:val="single" w:sz="6" w:space="0" w:color="auto"/>
              <w:bottom w:val="single" w:sz="6" w:space="0" w:color="auto"/>
              <w:right w:val="single" w:sz="6" w:space="0" w:color="auto"/>
            </w:tcBorders>
            <w:shd w:val="clear" w:color="auto" w:fill="00B050"/>
            <w:vAlign w:val="center"/>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GREEN</w:t>
            </w:r>
          </w:p>
        </w:tc>
        <w:tc>
          <w:tcPr>
            <w:tcW w:w="3420" w:type="dxa"/>
            <w:tcBorders>
              <w:top w:val="single" w:sz="6" w:space="0" w:color="auto"/>
              <w:left w:val="single" w:sz="6" w:space="0" w:color="auto"/>
              <w:bottom w:val="single" w:sz="6"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Data might not be available in all health boards within the timescales.</w:t>
            </w:r>
          </w:p>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Unknown data quality.</w:t>
            </w:r>
          </w:p>
          <w:p w:rsidR="00A52DD6" w:rsidRPr="00D5284D" w:rsidRDefault="00A52DD6" w:rsidP="005A3CAB">
            <w:pPr>
              <w:pStyle w:val="Numberedparagraphs"/>
              <w:numPr>
                <w:ilvl w:val="0"/>
                <w:numId w:val="0"/>
              </w:numPr>
              <w:jc w:val="left"/>
              <w:rPr>
                <w:rFonts w:ascii="Arial" w:hAnsi="Arial"/>
                <w:sz w:val="20"/>
                <w:szCs w:val="20"/>
              </w:rPr>
            </w:pPr>
          </w:p>
          <w:p w:rsidR="00A52DD6" w:rsidRPr="00D5284D" w:rsidRDefault="00A52DD6" w:rsidP="005A3CAB">
            <w:pPr>
              <w:pStyle w:val="Numberedparagraphs"/>
              <w:numPr>
                <w:ilvl w:val="0"/>
                <w:numId w:val="0"/>
              </w:numPr>
              <w:jc w:val="left"/>
              <w:rPr>
                <w:rFonts w:ascii="Arial" w:hAnsi="Arial"/>
                <w:sz w:val="20"/>
                <w:szCs w:val="20"/>
              </w:rPr>
            </w:pPr>
          </w:p>
        </w:tc>
      </w:tr>
      <w:tr w:rsidR="00A52DD6" w:rsidRPr="00E8172F" w:rsidTr="005A3CAB">
        <w:trPr>
          <w:trHeight w:val="758"/>
        </w:trPr>
        <w:tc>
          <w:tcPr>
            <w:tcW w:w="2421" w:type="dxa"/>
            <w:tcBorders>
              <w:top w:val="single" w:sz="6" w:space="0" w:color="auto"/>
              <w:left w:val="single" w:sz="2"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b/>
                <w:sz w:val="20"/>
                <w:szCs w:val="20"/>
              </w:rPr>
            </w:pPr>
            <w:r w:rsidRPr="00D5284D">
              <w:rPr>
                <w:rFonts w:ascii="Arial" w:hAnsi="Arial"/>
                <w:b/>
                <w:sz w:val="20"/>
                <w:szCs w:val="20"/>
              </w:rPr>
              <w:t>Community Health Activity Data Project (Incorporation of data into NRAC)</w:t>
            </w:r>
          </w:p>
        </w:tc>
        <w:tc>
          <w:tcPr>
            <w:tcW w:w="1418"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TBC (but potentially a large undertaking)</w:t>
            </w:r>
          </w:p>
          <w:p w:rsidR="00A52DD6" w:rsidRPr="00D5284D" w:rsidRDefault="00A52DD6" w:rsidP="005A3CAB">
            <w:pPr>
              <w:pStyle w:val="Numberedparagraphs"/>
              <w:numPr>
                <w:ilvl w:val="0"/>
                <w:numId w:val="0"/>
              </w:numPr>
              <w:rPr>
                <w:rFonts w:ascii="Arial" w:hAnsi="Arial"/>
                <w:sz w:val="20"/>
                <w:szCs w:val="20"/>
              </w:rPr>
            </w:pPr>
          </w:p>
        </w:tc>
        <w:tc>
          <w:tcPr>
            <w:tcW w:w="1984"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tc>
        <w:tc>
          <w:tcPr>
            <w:tcW w:w="1276"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2016 - TBC </w:t>
            </w:r>
          </w:p>
        </w:tc>
        <w:tc>
          <w:tcPr>
            <w:tcW w:w="1418"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rPr>
                <w:rFonts w:ascii="Arial" w:hAnsi="Arial"/>
                <w:sz w:val="20"/>
                <w:szCs w:val="20"/>
              </w:rPr>
            </w:pPr>
            <w:r w:rsidRPr="00D5284D">
              <w:rPr>
                <w:rFonts w:ascii="Arial" w:hAnsi="Arial"/>
                <w:sz w:val="20"/>
                <w:szCs w:val="20"/>
              </w:rPr>
              <w:t>John Ross Scott</w:t>
            </w:r>
          </w:p>
        </w:tc>
        <w:tc>
          <w:tcPr>
            <w:tcW w:w="2416"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r w:rsidRPr="00D5284D">
              <w:rPr>
                <w:rFonts w:ascii="Arial" w:hAnsi="Arial"/>
                <w:sz w:val="20"/>
                <w:szCs w:val="20"/>
              </w:rPr>
              <w:t xml:space="preserve">John Ross Scott, </w:t>
            </w:r>
            <w:r>
              <w:rPr>
                <w:rFonts w:ascii="Arial" w:hAnsi="Arial"/>
                <w:sz w:val="20"/>
                <w:szCs w:val="20"/>
              </w:rPr>
              <w:t>Lynne Jarvis</w:t>
            </w:r>
            <w:r w:rsidRPr="00D5284D">
              <w:rPr>
                <w:rFonts w:ascii="Arial" w:hAnsi="Arial"/>
                <w:sz w:val="20"/>
                <w:szCs w:val="20"/>
              </w:rPr>
              <w:t>, Judith Stark, George Walker.</w:t>
            </w:r>
          </w:p>
        </w:tc>
        <w:tc>
          <w:tcPr>
            <w:tcW w:w="900" w:type="dxa"/>
            <w:tcBorders>
              <w:top w:val="single" w:sz="6" w:space="0" w:color="auto"/>
              <w:left w:val="single" w:sz="6" w:space="0" w:color="auto"/>
              <w:bottom w:val="single" w:sz="2" w:space="0" w:color="auto"/>
              <w:right w:val="single" w:sz="6" w:space="0" w:color="auto"/>
            </w:tcBorders>
            <w:shd w:val="clear" w:color="auto" w:fill="00B050"/>
            <w:vAlign w:val="center"/>
          </w:tcPr>
          <w:p w:rsidR="00A52DD6" w:rsidRPr="00D5284D" w:rsidRDefault="00A52DD6" w:rsidP="005A3CAB">
            <w:pPr>
              <w:pStyle w:val="Numberedparagraphs"/>
              <w:numPr>
                <w:ilvl w:val="0"/>
                <w:numId w:val="0"/>
              </w:numPr>
              <w:jc w:val="center"/>
              <w:rPr>
                <w:rFonts w:ascii="Arial" w:hAnsi="Arial"/>
                <w:b/>
                <w:sz w:val="16"/>
                <w:szCs w:val="16"/>
              </w:rPr>
            </w:pPr>
            <w:r w:rsidRPr="00D5284D">
              <w:rPr>
                <w:rFonts w:ascii="Arial" w:hAnsi="Arial"/>
                <w:b/>
                <w:sz w:val="16"/>
                <w:szCs w:val="16"/>
              </w:rPr>
              <w:t>GREEN</w:t>
            </w:r>
          </w:p>
        </w:tc>
        <w:tc>
          <w:tcPr>
            <w:tcW w:w="3420" w:type="dxa"/>
            <w:tcBorders>
              <w:top w:val="single" w:sz="6" w:space="0" w:color="auto"/>
              <w:left w:val="single" w:sz="6" w:space="0" w:color="auto"/>
              <w:bottom w:val="single" w:sz="2" w:space="0" w:color="auto"/>
              <w:right w:val="single" w:sz="6" w:space="0" w:color="auto"/>
            </w:tcBorders>
            <w:shd w:val="clear" w:color="auto" w:fill="auto"/>
          </w:tcPr>
          <w:p w:rsidR="00A52DD6" w:rsidRPr="00D5284D" w:rsidRDefault="00A52DD6" w:rsidP="005A3CAB">
            <w:pPr>
              <w:pStyle w:val="Numberedparagraphs"/>
              <w:numPr>
                <w:ilvl w:val="0"/>
                <w:numId w:val="0"/>
              </w:numPr>
              <w:jc w:val="left"/>
              <w:rPr>
                <w:rFonts w:ascii="Arial" w:hAnsi="Arial"/>
                <w:sz w:val="20"/>
                <w:szCs w:val="20"/>
              </w:rPr>
            </w:pPr>
          </w:p>
          <w:p w:rsidR="00A52DD6" w:rsidRPr="00D5284D" w:rsidRDefault="00A52DD6" w:rsidP="005A3CAB">
            <w:pPr>
              <w:pStyle w:val="Numberedparagraphs"/>
              <w:numPr>
                <w:ilvl w:val="0"/>
                <w:numId w:val="0"/>
              </w:numPr>
              <w:jc w:val="left"/>
              <w:rPr>
                <w:rFonts w:ascii="Arial" w:hAnsi="Arial"/>
                <w:sz w:val="20"/>
                <w:szCs w:val="20"/>
              </w:rPr>
            </w:pPr>
          </w:p>
        </w:tc>
      </w:tr>
    </w:tbl>
    <w:p w:rsidR="00A52DD6" w:rsidRPr="00E8172F" w:rsidRDefault="00A52DD6" w:rsidP="00A52DD6">
      <w:pPr>
        <w:pStyle w:val="Numberedparagraphs"/>
        <w:numPr>
          <w:ilvl w:val="0"/>
          <w:numId w:val="0"/>
        </w:numPr>
        <w:spacing w:after="0"/>
        <w:ind w:right="113"/>
        <w:jc w:val="left"/>
        <w:rPr>
          <w:rFonts w:ascii="Arial" w:hAnsi="Arial"/>
          <w:b/>
          <w:sz w:val="16"/>
          <w:szCs w:val="16"/>
        </w:rPr>
      </w:pPr>
      <w:r w:rsidRPr="00E8172F">
        <w:rPr>
          <w:rFonts w:ascii="Arial" w:hAnsi="Arial"/>
          <w:b/>
          <w:sz w:val="16"/>
          <w:szCs w:val="16"/>
        </w:rPr>
        <w:t>Code to Risk:</w:t>
      </w:r>
    </w:p>
    <w:p w:rsidR="00A52DD6" w:rsidRPr="00E8172F" w:rsidRDefault="00A52DD6" w:rsidP="00A52DD6">
      <w:pPr>
        <w:pStyle w:val="Numberedparagraphs"/>
        <w:numPr>
          <w:ilvl w:val="0"/>
          <w:numId w:val="0"/>
        </w:numPr>
        <w:spacing w:after="0"/>
        <w:ind w:right="113"/>
        <w:jc w:val="left"/>
        <w:rPr>
          <w:rFonts w:ascii="Arial" w:hAnsi="Arial"/>
          <w:b/>
          <w:sz w:val="16"/>
          <w:szCs w:val="16"/>
        </w:rPr>
      </w:pPr>
      <w:r w:rsidRPr="00E8172F">
        <w:rPr>
          <w:rFonts w:ascii="Arial" w:hAnsi="Arial"/>
          <w:b/>
          <w:sz w:val="16"/>
          <w:szCs w:val="16"/>
        </w:rPr>
        <w:t>Red – Significant risk to being delivered on time</w:t>
      </w:r>
    </w:p>
    <w:p w:rsidR="00A52DD6" w:rsidRPr="00E8172F" w:rsidRDefault="00A52DD6" w:rsidP="00A52DD6">
      <w:pPr>
        <w:pStyle w:val="Numberedparagraphs"/>
        <w:numPr>
          <w:ilvl w:val="0"/>
          <w:numId w:val="0"/>
        </w:numPr>
        <w:spacing w:after="0"/>
        <w:ind w:right="113"/>
        <w:jc w:val="left"/>
        <w:rPr>
          <w:rFonts w:ascii="Arial" w:hAnsi="Arial"/>
          <w:b/>
          <w:sz w:val="16"/>
          <w:szCs w:val="16"/>
        </w:rPr>
      </w:pPr>
      <w:r w:rsidRPr="00E8172F">
        <w:rPr>
          <w:rFonts w:ascii="Arial" w:hAnsi="Arial"/>
          <w:b/>
          <w:sz w:val="16"/>
          <w:szCs w:val="16"/>
        </w:rPr>
        <w:t>Amber – Risk to elements of project not being delivered on time, or a small risk to the delivery of the project being late</w:t>
      </w:r>
    </w:p>
    <w:p w:rsidR="00A52DD6" w:rsidRDefault="00A52DD6" w:rsidP="00A52DD6">
      <w:pPr>
        <w:pStyle w:val="Numberedparagraphs"/>
        <w:numPr>
          <w:ilvl w:val="0"/>
          <w:numId w:val="0"/>
        </w:numPr>
        <w:jc w:val="left"/>
        <w:rPr>
          <w:rFonts w:ascii="Arial" w:hAnsi="Arial"/>
          <w:b/>
          <w:sz w:val="16"/>
          <w:szCs w:val="16"/>
        </w:rPr>
      </w:pPr>
      <w:r w:rsidRPr="00E8172F">
        <w:rPr>
          <w:rFonts w:ascii="Arial" w:hAnsi="Arial"/>
          <w:b/>
          <w:sz w:val="16"/>
          <w:szCs w:val="16"/>
        </w:rPr>
        <w:t>Green – Project progressing to schedule</w:t>
      </w: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sz w:val="16"/>
          <w:szCs w:val="16"/>
        </w:rPr>
      </w:pPr>
    </w:p>
    <w:p w:rsidR="00A52DD6" w:rsidRDefault="00A52DD6" w:rsidP="00A52DD6">
      <w:pPr>
        <w:pStyle w:val="Numberedparagraphs"/>
        <w:numPr>
          <w:ilvl w:val="0"/>
          <w:numId w:val="0"/>
        </w:numPr>
        <w:jc w:val="left"/>
        <w:rPr>
          <w:rFonts w:ascii="Arial" w:hAnsi="Arial"/>
          <w:b/>
        </w:rPr>
      </w:pPr>
      <w:r>
        <w:rPr>
          <w:rFonts w:ascii="Arial" w:hAnsi="Arial"/>
          <w:b/>
          <w:sz w:val="16"/>
          <w:szCs w:val="16"/>
        </w:rPr>
        <w:br w:type="page"/>
      </w:r>
      <w:r w:rsidRPr="00E8172F">
        <w:rPr>
          <w:rFonts w:ascii="Arial" w:hAnsi="Arial"/>
          <w:b/>
        </w:rPr>
        <w:lastRenderedPageBreak/>
        <w:t>Scheduling of projects</w:t>
      </w:r>
    </w:p>
    <w:p w:rsidR="00A52DD6" w:rsidRDefault="00A52DD6" w:rsidP="00A52DD6">
      <w:pPr>
        <w:pStyle w:val="Numberedparagraphs"/>
        <w:numPr>
          <w:ilvl w:val="0"/>
          <w:numId w:val="0"/>
        </w:numPr>
        <w:jc w:val="left"/>
        <w:rPr>
          <w:rFonts w:ascii="Arial" w:hAnsi="Arial"/>
        </w:rPr>
      </w:pPr>
      <w:r>
        <w:rPr>
          <w:rFonts w:ascii="Arial" w:hAnsi="Arial"/>
        </w:rPr>
        <w:t>Work plan items which require more than an estimated 6 days of AST resource (see preceding table) are shown as solid coloured bars. Work plan items with lower, or TBC, resource requirements are shown as grey bars.</w:t>
      </w:r>
    </w:p>
    <w:p w:rsidR="00955C1E" w:rsidRDefault="00955C1E" w:rsidP="00A52DD6">
      <w:pPr>
        <w:pStyle w:val="Numberedparagraphs"/>
        <w:numPr>
          <w:ilvl w:val="0"/>
          <w:numId w:val="0"/>
        </w:numPr>
        <w:jc w:val="left"/>
        <w:rPr>
          <w:rFonts w:ascii="Arial" w:hAnsi="Arial"/>
        </w:rPr>
      </w:pPr>
    </w:p>
    <w:p w:rsidR="00A52DD6" w:rsidRPr="00E8172F" w:rsidRDefault="00955C1E" w:rsidP="00955C1E">
      <w:pPr>
        <w:pStyle w:val="Numberedparagraphs"/>
        <w:numPr>
          <w:ilvl w:val="0"/>
          <w:numId w:val="0"/>
        </w:numPr>
        <w:jc w:val="left"/>
        <w:rPr>
          <w:rFonts w:ascii="Arial" w:hAnsi="Arial"/>
          <w:b/>
        </w:rPr>
      </w:pPr>
      <w:r w:rsidRPr="00955C1E">
        <w:rPr>
          <w:noProof/>
        </w:rPr>
        <w:drawing>
          <wp:inline distT="0" distB="0" distL="0" distR="0">
            <wp:extent cx="8753475" cy="226502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53980" cy="2265155"/>
                    </a:xfrm>
                    <a:prstGeom prst="rect">
                      <a:avLst/>
                    </a:prstGeom>
                    <a:noFill/>
                    <a:ln>
                      <a:noFill/>
                    </a:ln>
                  </pic:spPr>
                </pic:pic>
              </a:graphicData>
            </a:graphic>
          </wp:inline>
        </w:drawing>
      </w:r>
    </w:p>
    <w:p w:rsidR="00A52DD6" w:rsidRPr="00E8172F" w:rsidRDefault="00A52DD6" w:rsidP="00A52DD6">
      <w:pPr>
        <w:pStyle w:val="Numberedparagraphs"/>
        <w:numPr>
          <w:ilvl w:val="0"/>
          <w:numId w:val="0"/>
        </w:numPr>
        <w:jc w:val="center"/>
        <w:rPr>
          <w:rFonts w:ascii="Arial" w:hAnsi="Arial"/>
          <w:b/>
        </w:rPr>
      </w:pPr>
    </w:p>
    <w:p w:rsidR="00A52DD6" w:rsidRPr="00E8172F" w:rsidRDefault="00A52DD6" w:rsidP="00A52DD6">
      <w:pPr>
        <w:pStyle w:val="Numberedparagraphs"/>
        <w:numPr>
          <w:ilvl w:val="0"/>
          <w:numId w:val="0"/>
        </w:numPr>
        <w:jc w:val="left"/>
        <w:rPr>
          <w:rFonts w:ascii="Arial" w:hAnsi="Arial"/>
          <w:b/>
          <w:sz w:val="16"/>
          <w:szCs w:val="16"/>
        </w:rPr>
        <w:sectPr w:rsidR="00A52DD6" w:rsidRPr="00E8172F" w:rsidSect="00716151">
          <w:pgSz w:w="16838" w:h="11906" w:orient="landscape"/>
          <w:pgMar w:top="1258" w:right="1440" w:bottom="1258" w:left="1440" w:header="709" w:footer="488" w:gutter="0"/>
          <w:cols w:space="708"/>
          <w:docGrid w:linePitch="360"/>
        </w:sectPr>
      </w:pPr>
    </w:p>
    <w:p w:rsidR="00A52DD6" w:rsidRPr="00E8172F" w:rsidRDefault="00A52DD6" w:rsidP="00A52DD6">
      <w:pPr>
        <w:pStyle w:val="Numberedparagraphs"/>
        <w:numPr>
          <w:ilvl w:val="0"/>
          <w:numId w:val="0"/>
        </w:numPr>
        <w:rPr>
          <w:rFonts w:ascii="Arial" w:hAnsi="Arial" w:cs="Arial"/>
          <w:b/>
        </w:rPr>
      </w:pPr>
      <w:r w:rsidRPr="00E8172F">
        <w:rPr>
          <w:rFonts w:ascii="Arial" w:hAnsi="Arial" w:cs="Arial"/>
          <w:b/>
        </w:rPr>
        <w:lastRenderedPageBreak/>
        <w:t>STRUCTURE OF NRAC FORMULA</w:t>
      </w:r>
    </w:p>
    <w:p w:rsidR="00A52DD6" w:rsidRPr="00E23141" w:rsidRDefault="00A52DD6" w:rsidP="00A52DD6">
      <w:pPr>
        <w:pStyle w:val="Numberedparagraphs"/>
        <w:rPr>
          <w:rFonts w:ascii="Arial" w:hAnsi="Arial" w:cs="Arial"/>
          <w:sz w:val="22"/>
          <w:szCs w:val="22"/>
        </w:rPr>
      </w:pPr>
      <w:r w:rsidRPr="00E23141">
        <w:rPr>
          <w:rFonts w:ascii="Arial" w:hAnsi="Arial" w:cs="Arial"/>
          <w:sz w:val="22"/>
          <w:szCs w:val="22"/>
        </w:rPr>
        <w:t>The resources distributed by the NRAC formula</w:t>
      </w:r>
      <w:r>
        <w:rPr>
          <w:rFonts w:ascii="Arial" w:hAnsi="Arial" w:cs="Arial"/>
          <w:sz w:val="22"/>
          <w:szCs w:val="22"/>
        </w:rPr>
        <w:t xml:space="preserve"> to territorial Health Boards</w:t>
      </w:r>
      <w:r w:rsidRPr="00E23141">
        <w:rPr>
          <w:rFonts w:ascii="Arial" w:hAnsi="Arial" w:cs="Arial"/>
          <w:sz w:val="22"/>
          <w:szCs w:val="22"/>
        </w:rPr>
        <w:t xml:space="preserve"> amount to around £8 billion</w:t>
      </w:r>
      <w:r>
        <w:rPr>
          <w:rFonts w:ascii="Arial" w:hAnsi="Arial" w:cs="Arial"/>
          <w:sz w:val="22"/>
          <w:szCs w:val="22"/>
        </w:rPr>
        <w:t xml:space="preserve"> per annum. In 2013/14, these resources represented around 70</w:t>
      </w:r>
      <w:r w:rsidRPr="00E23141">
        <w:rPr>
          <w:rFonts w:ascii="Arial" w:hAnsi="Arial" w:cs="Arial"/>
          <w:sz w:val="22"/>
          <w:szCs w:val="22"/>
        </w:rPr>
        <w:t xml:space="preserve">% of the </w:t>
      </w:r>
      <w:r>
        <w:rPr>
          <w:rFonts w:ascii="Arial" w:hAnsi="Arial" w:cs="Arial"/>
          <w:sz w:val="22"/>
          <w:szCs w:val="22"/>
        </w:rPr>
        <w:t>Scottish Government Portfolio B</w:t>
      </w:r>
      <w:r w:rsidRPr="00E23141">
        <w:rPr>
          <w:rFonts w:ascii="Arial" w:hAnsi="Arial" w:cs="Arial"/>
          <w:sz w:val="22"/>
          <w:szCs w:val="22"/>
        </w:rPr>
        <w:t>udget</w:t>
      </w:r>
      <w:r>
        <w:rPr>
          <w:rFonts w:ascii="Arial" w:hAnsi="Arial" w:cs="Arial"/>
          <w:sz w:val="22"/>
          <w:szCs w:val="22"/>
        </w:rPr>
        <w:t xml:space="preserve"> for Health and Wellbeing</w:t>
      </w:r>
      <w:r>
        <w:rPr>
          <w:rStyle w:val="FootnoteReference"/>
          <w:rFonts w:ascii="Arial" w:hAnsi="Arial" w:cs="Arial"/>
          <w:sz w:val="22"/>
          <w:szCs w:val="22"/>
        </w:rPr>
        <w:footnoteReference w:id="1"/>
      </w:r>
      <w:r w:rsidRPr="00E23141">
        <w:rPr>
          <w:rFonts w:ascii="Arial" w:hAnsi="Arial" w:cs="Arial"/>
          <w:sz w:val="22"/>
          <w:szCs w:val="22"/>
        </w:rPr>
        <w:t>.</w:t>
      </w:r>
      <w:r>
        <w:rPr>
          <w:rFonts w:ascii="Arial" w:hAnsi="Arial" w:cs="Arial"/>
          <w:sz w:val="22"/>
          <w:szCs w:val="22"/>
        </w:rPr>
        <w:t xml:space="preserve"> </w:t>
      </w:r>
      <w:r w:rsidRPr="00E23141">
        <w:rPr>
          <w:rFonts w:ascii="Arial" w:hAnsi="Arial"/>
          <w:sz w:val="22"/>
          <w:szCs w:val="22"/>
        </w:rPr>
        <w:t xml:space="preserve">Within the Hospital and Community Health Services (HCHS) element of NRAC, the </w:t>
      </w:r>
      <w:r>
        <w:rPr>
          <w:rFonts w:ascii="Arial" w:hAnsi="Arial"/>
          <w:sz w:val="22"/>
          <w:szCs w:val="22"/>
        </w:rPr>
        <w:t>A</w:t>
      </w:r>
      <w:r w:rsidRPr="00E23141">
        <w:rPr>
          <w:rFonts w:ascii="Arial" w:hAnsi="Arial"/>
          <w:sz w:val="22"/>
          <w:szCs w:val="22"/>
        </w:rPr>
        <w:t xml:space="preserve">cute care programme </w:t>
      </w:r>
      <w:r>
        <w:rPr>
          <w:rFonts w:ascii="Arial" w:hAnsi="Arial"/>
          <w:sz w:val="22"/>
          <w:szCs w:val="22"/>
        </w:rPr>
        <w:t>represents</w:t>
      </w:r>
      <w:r w:rsidRPr="00E23141">
        <w:rPr>
          <w:rFonts w:ascii="Arial" w:hAnsi="Arial"/>
          <w:sz w:val="22"/>
          <w:szCs w:val="22"/>
        </w:rPr>
        <w:t xml:space="preserve"> the largest spend </w:t>
      </w:r>
      <w:r>
        <w:rPr>
          <w:rFonts w:ascii="Arial" w:hAnsi="Arial"/>
          <w:sz w:val="22"/>
          <w:szCs w:val="22"/>
        </w:rPr>
        <w:t xml:space="preserve">(around </w:t>
      </w:r>
      <w:r w:rsidRPr="00E23141">
        <w:rPr>
          <w:rFonts w:ascii="Arial" w:hAnsi="Arial"/>
          <w:sz w:val="22"/>
          <w:szCs w:val="22"/>
        </w:rPr>
        <w:t>£4</w:t>
      </w:r>
      <w:r>
        <w:rPr>
          <w:rFonts w:ascii="Arial" w:hAnsi="Arial"/>
          <w:sz w:val="22"/>
          <w:szCs w:val="22"/>
        </w:rPr>
        <w:t>.3</w:t>
      </w:r>
      <w:r w:rsidRPr="00E23141">
        <w:rPr>
          <w:rFonts w:ascii="Arial" w:hAnsi="Arial"/>
          <w:sz w:val="22"/>
          <w:szCs w:val="22"/>
        </w:rPr>
        <w:t xml:space="preserve"> billion</w:t>
      </w:r>
      <w:r>
        <w:rPr>
          <w:rFonts w:ascii="Arial" w:hAnsi="Arial"/>
          <w:sz w:val="22"/>
          <w:szCs w:val="22"/>
        </w:rPr>
        <w:t xml:space="preserve"> in 2013/14),</w:t>
      </w:r>
      <w:r w:rsidRPr="00E23141">
        <w:rPr>
          <w:rFonts w:ascii="Arial" w:hAnsi="Arial"/>
          <w:sz w:val="22"/>
          <w:szCs w:val="22"/>
        </w:rPr>
        <w:t xml:space="preserve"> with Community</w:t>
      </w:r>
      <w:r>
        <w:rPr>
          <w:rFonts w:ascii="Arial" w:hAnsi="Arial"/>
          <w:sz w:val="22"/>
          <w:szCs w:val="22"/>
        </w:rPr>
        <w:t xml:space="preserve"> </w:t>
      </w:r>
      <w:r w:rsidRPr="00E23141">
        <w:rPr>
          <w:rFonts w:ascii="Arial" w:hAnsi="Arial"/>
          <w:sz w:val="22"/>
          <w:szCs w:val="22"/>
        </w:rPr>
        <w:t xml:space="preserve">the second largest </w:t>
      </w:r>
      <w:r>
        <w:rPr>
          <w:rFonts w:ascii="Arial" w:hAnsi="Arial"/>
          <w:sz w:val="22"/>
          <w:szCs w:val="22"/>
        </w:rPr>
        <w:t xml:space="preserve">(around </w:t>
      </w:r>
      <w:r w:rsidRPr="00E23141">
        <w:rPr>
          <w:rFonts w:ascii="Arial" w:hAnsi="Arial"/>
          <w:sz w:val="22"/>
          <w:szCs w:val="22"/>
        </w:rPr>
        <w:t>£1.</w:t>
      </w:r>
      <w:r>
        <w:rPr>
          <w:rFonts w:ascii="Arial" w:hAnsi="Arial"/>
          <w:sz w:val="22"/>
          <w:szCs w:val="22"/>
        </w:rPr>
        <w:t>6</w:t>
      </w:r>
      <w:r w:rsidRPr="00E23141">
        <w:rPr>
          <w:rFonts w:ascii="Arial" w:hAnsi="Arial"/>
          <w:sz w:val="22"/>
          <w:szCs w:val="22"/>
        </w:rPr>
        <w:t xml:space="preserve"> billion</w:t>
      </w:r>
      <w:r>
        <w:rPr>
          <w:rFonts w:ascii="Arial" w:hAnsi="Arial"/>
          <w:sz w:val="22"/>
          <w:szCs w:val="22"/>
        </w:rPr>
        <w:t xml:space="preserve"> in 2013/14)</w:t>
      </w:r>
      <w:r w:rsidRPr="00E23141">
        <w:rPr>
          <w:rFonts w:ascii="Arial" w:hAnsi="Arial"/>
          <w:sz w:val="22"/>
          <w:szCs w:val="22"/>
        </w:rPr>
        <w:t>.</w:t>
      </w:r>
    </w:p>
    <w:p w:rsidR="00A52DD6" w:rsidRPr="00E23141" w:rsidRDefault="00A52DD6" w:rsidP="00A52DD6">
      <w:pPr>
        <w:pStyle w:val="Numberedparagraphs"/>
        <w:rPr>
          <w:rFonts w:ascii="Arial" w:hAnsi="Arial" w:cs="Arial"/>
          <w:sz w:val="22"/>
          <w:szCs w:val="22"/>
        </w:rPr>
      </w:pPr>
      <w:r w:rsidRPr="00E23141">
        <w:rPr>
          <w:rFonts w:ascii="Arial" w:hAnsi="Arial" w:cs="Arial"/>
          <w:sz w:val="22"/>
          <w:szCs w:val="22"/>
        </w:rPr>
        <w:t xml:space="preserve">Both the HCHS and GP Prescribing </w:t>
      </w:r>
      <w:r w:rsidRPr="00E23141">
        <w:rPr>
          <w:rFonts w:ascii="Arial" w:hAnsi="Arial" w:cs="Arial"/>
          <w:b/>
          <w:i/>
          <w:sz w:val="22"/>
          <w:szCs w:val="22"/>
        </w:rPr>
        <w:t>population components</w:t>
      </w:r>
      <w:r w:rsidRPr="00E23141">
        <w:rPr>
          <w:rFonts w:ascii="Arial" w:hAnsi="Arial" w:cs="Arial"/>
          <w:sz w:val="22"/>
          <w:szCs w:val="22"/>
        </w:rPr>
        <w:t xml:space="preserve"> of the NRAC formula are updated each year. The standard method for HCHS uses population projections, re-based using mid</w:t>
      </w:r>
      <w:r>
        <w:rPr>
          <w:rFonts w:ascii="Arial" w:hAnsi="Arial" w:cs="Arial"/>
          <w:sz w:val="22"/>
          <w:szCs w:val="22"/>
        </w:rPr>
        <w:t>-</w:t>
      </w:r>
      <w:r w:rsidRPr="00E23141">
        <w:rPr>
          <w:rFonts w:ascii="Arial" w:hAnsi="Arial" w:cs="Arial"/>
          <w:sz w:val="22"/>
          <w:szCs w:val="22"/>
        </w:rPr>
        <w:t>year estimates (MYEs)</w:t>
      </w:r>
      <w:r>
        <w:rPr>
          <w:rFonts w:ascii="Arial" w:hAnsi="Arial" w:cs="Arial"/>
          <w:sz w:val="22"/>
          <w:szCs w:val="22"/>
        </w:rPr>
        <w:t>,</w:t>
      </w:r>
      <w:r w:rsidRPr="00E23141">
        <w:rPr>
          <w:rFonts w:ascii="Arial" w:hAnsi="Arial" w:cs="Arial"/>
          <w:sz w:val="22"/>
          <w:szCs w:val="22"/>
        </w:rPr>
        <w:t xml:space="preserve"> provided by National Records of Scotland (NRS).  The standard method for GP Prescribing uses CHI populations adjusted to re-based NRS population projections. These methods were last reviewed in 2007</w:t>
      </w:r>
      <w:r>
        <w:rPr>
          <w:rFonts w:ascii="Arial" w:hAnsi="Arial" w:cs="Arial"/>
          <w:sz w:val="22"/>
          <w:szCs w:val="22"/>
        </w:rPr>
        <w:t xml:space="preserve"> (</w:t>
      </w:r>
      <w:r w:rsidRPr="00E23141">
        <w:rPr>
          <w:rFonts w:ascii="Arial" w:hAnsi="Arial" w:cs="Arial"/>
          <w:sz w:val="22"/>
          <w:szCs w:val="22"/>
        </w:rPr>
        <w:t>NRAC review</w:t>
      </w:r>
      <w:r>
        <w:rPr>
          <w:rFonts w:ascii="Arial" w:hAnsi="Arial" w:cs="Arial"/>
          <w:sz w:val="22"/>
          <w:szCs w:val="22"/>
        </w:rPr>
        <w:t>)</w:t>
      </w:r>
      <w:r w:rsidRPr="00E23141">
        <w:rPr>
          <w:rFonts w:ascii="Arial" w:hAnsi="Arial" w:cs="Arial"/>
          <w:sz w:val="22"/>
          <w:szCs w:val="22"/>
        </w:rPr>
        <w:t>.</w:t>
      </w:r>
    </w:p>
    <w:p w:rsidR="00A52DD6" w:rsidRPr="00E23141" w:rsidRDefault="00A52DD6" w:rsidP="00A52DD6">
      <w:pPr>
        <w:pStyle w:val="Numberedparagraphs"/>
        <w:rPr>
          <w:rFonts w:ascii="Arial" w:hAnsi="Arial" w:cs="Arial"/>
          <w:sz w:val="22"/>
          <w:szCs w:val="22"/>
        </w:rPr>
      </w:pPr>
      <w:r w:rsidRPr="00E23141">
        <w:rPr>
          <w:rFonts w:ascii="Arial" w:hAnsi="Arial" w:cs="Arial"/>
          <w:sz w:val="22"/>
          <w:szCs w:val="22"/>
        </w:rPr>
        <w:t xml:space="preserve">The </w:t>
      </w:r>
      <w:r w:rsidRPr="00E23141">
        <w:rPr>
          <w:rFonts w:ascii="Arial" w:hAnsi="Arial" w:cs="Arial"/>
          <w:b/>
          <w:i/>
          <w:sz w:val="22"/>
          <w:szCs w:val="22"/>
        </w:rPr>
        <w:t>age-sex adjustment</w:t>
      </w:r>
      <w:r w:rsidRPr="00E23141">
        <w:rPr>
          <w:rFonts w:ascii="Arial" w:hAnsi="Arial" w:cs="Arial"/>
          <w:sz w:val="22"/>
          <w:szCs w:val="22"/>
        </w:rPr>
        <w:t xml:space="preserve"> for both HCHS and GP Prescribing are updated each year.  National average age/sex cost weights are updated every two years. The method for HCHS was last reviewed as part of the NRAC review in 2007. The GP Prescribing adjustment method was last reviewed in 2012 whereby complete PIS (Prescribing Information System) data replaced the sample of prescriptions previously used.  </w:t>
      </w:r>
    </w:p>
    <w:p w:rsidR="00A52DD6" w:rsidRPr="00E23141" w:rsidRDefault="00A52DD6" w:rsidP="00A52DD6">
      <w:pPr>
        <w:pStyle w:val="Numberedparagraphs"/>
        <w:rPr>
          <w:rFonts w:ascii="Arial" w:hAnsi="Arial" w:cs="Arial"/>
          <w:sz w:val="22"/>
          <w:szCs w:val="22"/>
        </w:rPr>
      </w:pPr>
      <w:r w:rsidRPr="00E23141">
        <w:rPr>
          <w:rFonts w:ascii="Arial" w:hAnsi="Arial" w:cs="Arial"/>
          <w:sz w:val="22"/>
          <w:szCs w:val="22"/>
        </w:rPr>
        <w:t xml:space="preserve">The </w:t>
      </w:r>
      <w:r w:rsidRPr="00E23141">
        <w:rPr>
          <w:rFonts w:ascii="Arial" w:hAnsi="Arial" w:cs="Arial"/>
          <w:b/>
          <w:i/>
          <w:sz w:val="22"/>
          <w:szCs w:val="22"/>
        </w:rPr>
        <w:t>MLC adjustments</w:t>
      </w:r>
      <w:r w:rsidRPr="00E23141">
        <w:rPr>
          <w:rFonts w:ascii="Arial" w:hAnsi="Arial" w:cs="Arial"/>
          <w:sz w:val="22"/>
          <w:szCs w:val="22"/>
        </w:rPr>
        <w:t xml:space="preserve"> for all care programmes are normally updated every three years. In 2011, TAGRA agreed that a detailed analysis to review the MLC adjustment for each care programme will be undertaken by an expert technical subgroup and should begin by examining the Mental Health and Learning Difficulties (MH and LD) programme and then continue with other care programmes. The review of the MH and LD MLC adjustment was completed in December 2012. At the April 2013 meeting of TAGRA, it was agreed that the next care programme to be reviewed would be the Acute care programme. The subgroup held its first meeting in February 2014 and hopes to complete the review by August 2016. The remaining MLC adjustments have not been reviewed since the 2007 NRAC review. As recommended by the NRAC committee, ISD carried out an exercise to update and refresh some elements of the MLC components, such as cost ratios, need indicators, population and regression coefficients for all care programmes.</w:t>
      </w:r>
    </w:p>
    <w:p w:rsidR="00A52DD6" w:rsidRPr="00E23141" w:rsidRDefault="00A52DD6" w:rsidP="00A52DD6">
      <w:pPr>
        <w:pStyle w:val="Numberedparagraphs"/>
        <w:rPr>
          <w:rFonts w:ascii="Arial" w:hAnsi="Arial" w:cs="Arial"/>
          <w:sz w:val="22"/>
          <w:szCs w:val="22"/>
        </w:rPr>
      </w:pPr>
      <w:r w:rsidRPr="00E23141">
        <w:rPr>
          <w:rFonts w:ascii="Arial" w:hAnsi="Arial" w:cs="Arial"/>
          <w:sz w:val="22"/>
          <w:szCs w:val="22"/>
        </w:rPr>
        <w:t xml:space="preserve">The main data used in the unavoidable </w:t>
      </w:r>
      <w:r w:rsidRPr="00E23141">
        <w:rPr>
          <w:rFonts w:ascii="Arial" w:hAnsi="Arial" w:cs="Arial"/>
          <w:b/>
          <w:i/>
          <w:sz w:val="22"/>
          <w:szCs w:val="22"/>
        </w:rPr>
        <w:t>excess costs adjustments</w:t>
      </w:r>
      <w:r w:rsidRPr="00E23141">
        <w:rPr>
          <w:rFonts w:ascii="Arial" w:hAnsi="Arial" w:cs="Arial"/>
          <w:sz w:val="22"/>
          <w:szCs w:val="22"/>
        </w:rPr>
        <w:t xml:space="preserve"> are updated every two years. There are four elements within the unavoidable excess cost adjustment: hospital services; clinic-based community services; travel-based community services; and, GP prescribing (no excess cost adjustment for GP prescribing as drug reimbursement costs are the same across the country). In early 2011, an expert subgroup of TAGRA was established to review the excess cost adjustment within the NRAC formula, focusing on Remote and Rural areas of Scotland. Following this review, an adjustment, based on the Scottish Allocation Formula, which explicitly recognises Out of Hours Services, was incorporated into the NRAC formula in 2013.  An adjustment to the urban rural categories used within the adjustment was also incorporated. A more detailed review of the excess costs adjustments in relation to each care programme has not been carried out since the 2007 NRAC review. </w:t>
      </w:r>
    </w:p>
    <w:p w:rsidR="00A52DD6" w:rsidRDefault="00A52DD6" w:rsidP="00A52DD6">
      <w:pPr>
        <w:pStyle w:val="Numberedparagraphs"/>
        <w:rPr>
          <w:rFonts w:ascii="Arial" w:hAnsi="Arial" w:cs="Arial"/>
          <w:sz w:val="22"/>
          <w:szCs w:val="22"/>
        </w:rPr>
      </w:pPr>
      <w:r w:rsidRPr="00E23141">
        <w:rPr>
          <w:rFonts w:ascii="Arial" w:hAnsi="Arial" w:cs="Arial"/>
          <w:sz w:val="22"/>
          <w:szCs w:val="22"/>
        </w:rPr>
        <w:t xml:space="preserve">The table </w:t>
      </w:r>
      <w:r>
        <w:rPr>
          <w:rFonts w:ascii="Arial" w:hAnsi="Arial" w:cs="Arial"/>
          <w:sz w:val="22"/>
          <w:szCs w:val="22"/>
        </w:rPr>
        <w:t>on the following page</w:t>
      </w:r>
      <w:r w:rsidRPr="00E23141">
        <w:rPr>
          <w:rFonts w:ascii="Arial" w:hAnsi="Arial" w:cs="Arial"/>
          <w:sz w:val="22"/>
          <w:szCs w:val="22"/>
        </w:rPr>
        <w:t xml:space="preserve"> </w:t>
      </w:r>
      <w:r>
        <w:rPr>
          <w:rFonts w:ascii="Arial" w:hAnsi="Arial" w:cs="Arial"/>
          <w:sz w:val="22"/>
          <w:szCs w:val="22"/>
        </w:rPr>
        <w:t xml:space="preserve">shows: (1) the approximate spend associated with each care programme (based on latest Costs Book figures); (2) </w:t>
      </w:r>
      <w:r w:rsidRPr="00E23141">
        <w:rPr>
          <w:rFonts w:ascii="Arial" w:hAnsi="Arial" w:cs="Arial"/>
          <w:sz w:val="22"/>
          <w:szCs w:val="22"/>
        </w:rPr>
        <w:t xml:space="preserve">when each </w:t>
      </w:r>
      <w:r>
        <w:rPr>
          <w:rFonts w:ascii="Arial" w:hAnsi="Arial" w:cs="Arial"/>
          <w:sz w:val="22"/>
          <w:szCs w:val="22"/>
        </w:rPr>
        <w:t>component</w:t>
      </w:r>
      <w:r w:rsidRPr="00E23141">
        <w:rPr>
          <w:rFonts w:ascii="Arial" w:hAnsi="Arial" w:cs="Arial"/>
          <w:sz w:val="22"/>
          <w:szCs w:val="22"/>
        </w:rPr>
        <w:t xml:space="preserve"> </w:t>
      </w:r>
      <w:r>
        <w:rPr>
          <w:rFonts w:ascii="Arial" w:hAnsi="Arial" w:cs="Arial"/>
          <w:sz w:val="22"/>
          <w:szCs w:val="22"/>
        </w:rPr>
        <w:t xml:space="preserve">of the Formula </w:t>
      </w:r>
      <w:r w:rsidRPr="00E23141">
        <w:rPr>
          <w:rFonts w:ascii="Arial" w:hAnsi="Arial" w:cs="Arial"/>
          <w:sz w:val="22"/>
          <w:szCs w:val="22"/>
        </w:rPr>
        <w:t>was last</w:t>
      </w:r>
      <w:r>
        <w:rPr>
          <w:rFonts w:ascii="Arial" w:hAnsi="Arial" w:cs="Arial"/>
          <w:sz w:val="22"/>
          <w:szCs w:val="22"/>
        </w:rPr>
        <w:t xml:space="preserve"> fully </w:t>
      </w:r>
      <w:r w:rsidRPr="00E23141">
        <w:rPr>
          <w:rFonts w:ascii="Arial" w:hAnsi="Arial" w:cs="Arial"/>
          <w:sz w:val="22"/>
          <w:szCs w:val="22"/>
        </w:rPr>
        <w:t>updated</w:t>
      </w:r>
      <w:r w:rsidRPr="00203C92">
        <w:rPr>
          <w:rFonts w:ascii="Arial" w:hAnsi="Arial" w:cs="Arial"/>
          <w:sz w:val="22"/>
          <w:szCs w:val="22"/>
        </w:rPr>
        <w:t xml:space="preserve"> </w:t>
      </w:r>
      <w:r>
        <w:rPr>
          <w:rFonts w:ascii="Arial" w:hAnsi="Arial" w:cs="Arial"/>
          <w:sz w:val="22"/>
          <w:szCs w:val="22"/>
        </w:rPr>
        <w:t>(components</w:t>
      </w:r>
      <w:r w:rsidRPr="00E23141">
        <w:rPr>
          <w:rFonts w:ascii="Arial" w:hAnsi="Arial" w:cs="Arial"/>
          <w:sz w:val="22"/>
          <w:szCs w:val="22"/>
        </w:rPr>
        <w:t xml:space="preserve"> highlighted in red indicate that a review has </w:t>
      </w:r>
      <w:r w:rsidRPr="00E23141">
        <w:rPr>
          <w:rFonts w:ascii="Arial" w:hAnsi="Arial" w:cs="Arial"/>
          <w:sz w:val="22"/>
          <w:szCs w:val="22"/>
        </w:rPr>
        <w:lastRenderedPageBreak/>
        <w:t>taken place since the NRAC 2007 Review</w:t>
      </w:r>
      <w:r>
        <w:rPr>
          <w:rFonts w:ascii="Arial" w:hAnsi="Arial" w:cs="Arial"/>
          <w:sz w:val="22"/>
          <w:szCs w:val="22"/>
        </w:rPr>
        <w:t>); (3)</w:t>
      </w:r>
      <w:r w:rsidRPr="00E23141">
        <w:rPr>
          <w:rFonts w:ascii="Arial" w:hAnsi="Arial" w:cs="Arial"/>
          <w:sz w:val="22"/>
          <w:szCs w:val="22"/>
        </w:rPr>
        <w:t xml:space="preserve"> the</w:t>
      </w:r>
      <w:r>
        <w:rPr>
          <w:rFonts w:ascii="Arial" w:hAnsi="Arial" w:cs="Arial"/>
          <w:sz w:val="22"/>
          <w:szCs w:val="22"/>
        </w:rPr>
        <w:t xml:space="preserve"> activity</w:t>
      </w:r>
      <w:r w:rsidRPr="00E23141">
        <w:rPr>
          <w:rFonts w:ascii="Arial" w:hAnsi="Arial" w:cs="Arial"/>
          <w:sz w:val="22"/>
          <w:szCs w:val="22"/>
        </w:rPr>
        <w:t xml:space="preserve"> data sources </w:t>
      </w:r>
      <w:r>
        <w:rPr>
          <w:rFonts w:ascii="Arial" w:hAnsi="Arial" w:cs="Arial"/>
          <w:sz w:val="22"/>
          <w:szCs w:val="22"/>
        </w:rPr>
        <w:t xml:space="preserve">used </w:t>
      </w:r>
      <w:r w:rsidRPr="00E23141">
        <w:rPr>
          <w:rFonts w:ascii="Arial" w:hAnsi="Arial" w:cs="Arial"/>
          <w:sz w:val="22"/>
          <w:szCs w:val="22"/>
        </w:rPr>
        <w:t xml:space="preserve">for each care </w:t>
      </w:r>
      <w:r>
        <w:rPr>
          <w:rFonts w:ascii="Arial" w:hAnsi="Arial" w:cs="Arial"/>
          <w:sz w:val="22"/>
          <w:szCs w:val="22"/>
        </w:rPr>
        <w:t>programme, and which year(s) of data were used in the latest Formula run for the 2015/16 target shares. Note that in addition to the activity data sources shown, Costs Book data from 2011/12 was used for all Hospital and Community care programmes.</w:t>
      </w:r>
    </w:p>
    <w:p w:rsidR="00A52DD6" w:rsidRPr="00C9290F" w:rsidRDefault="00A52DD6" w:rsidP="00A52DD6">
      <w:pPr>
        <w:pStyle w:val="Numberedparagraphs"/>
        <w:numPr>
          <w:ilvl w:val="0"/>
          <w:numId w:val="0"/>
        </w:numPr>
        <w:rPr>
          <w:rFonts w:ascii="Arial" w:hAnsi="Arial" w:cs="Arial"/>
          <w:sz w:val="22"/>
          <w:szCs w:val="22"/>
        </w:rPr>
      </w:pPr>
    </w:p>
    <w:tbl>
      <w:tblPr>
        <w:tblpPr w:leftFromText="180" w:rightFromText="180" w:vertAnchor="text" w:horzAnchor="margin" w:tblpXSpec="center" w:tblpY="83"/>
        <w:tblW w:w="10456" w:type="dxa"/>
        <w:tblLayout w:type="fixed"/>
        <w:tblLook w:val="04A0" w:firstRow="1" w:lastRow="0" w:firstColumn="1" w:lastColumn="0" w:noHBand="0" w:noVBand="1"/>
      </w:tblPr>
      <w:tblGrid>
        <w:gridCol w:w="1242"/>
        <w:gridCol w:w="1276"/>
        <w:gridCol w:w="1418"/>
        <w:gridCol w:w="1842"/>
        <w:gridCol w:w="1701"/>
        <w:gridCol w:w="1276"/>
        <w:gridCol w:w="1701"/>
      </w:tblGrid>
      <w:tr w:rsidR="00A52DD6" w:rsidRPr="00634BEF" w:rsidTr="005A3CAB">
        <w:trPr>
          <w:trHeight w:val="255"/>
        </w:trPr>
        <w:tc>
          <w:tcPr>
            <w:tcW w:w="1242" w:type="dxa"/>
            <w:vMerge w:val="restart"/>
            <w:tcBorders>
              <w:top w:val="single" w:sz="8" w:space="0" w:color="auto"/>
              <w:left w:val="single" w:sz="8" w:space="0" w:color="auto"/>
              <w:bottom w:val="single" w:sz="8" w:space="0" w:color="000000"/>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Formula component</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Care programme</w:t>
            </w:r>
          </w:p>
        </w:tc>
        <w:tc>
          <w:tcPr>
            <w:tcW w:w="1418" w:type="dxa"/>
            <w:tcBorders>
              <w:top w:val="single" w:sz="8" w:space="0" w:color="auto"/>
              <w:left w:val="nil"/>
              <w:bottom w:val="nil"/>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Approximate</w:t>
            </w:r>
          </w:p>
        </w:tc>
        <w:tc>
          <w:tcPr>
            <w:tcW w:w="1842" w:type="dxa"/>
            <w:vMerge w:val="restart"/>
            <w:tcBorders>
              <w:top w:val="single" w:sz="8" w:space="0" w:color="auto"/>
              <w:left w:val="single" w:sz="4" w:space="0" w:color="auto"/>
              <w:bottom w:val="single" w:sz="8" w:space="0" w:color="000000"/>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Date of last</w:t>
            </w:r>
            <w:r>
              <w:rPr>
                <w:rFonts w:ascii="Arial" w:hAnsi="Arial" w:cs="Arial"/>
                <w:b/>
                <w:bCs/>
                <w:color w:val="000000"/>
                <w:sz w:val="18"/>
                <w:szCs w:val="18"/>
              </w:rPr>
              <w:t xml:space="preserve"> full</w:t>
            </w:r>
            <w:r w:rsidRPr="003C73E5">
              <w:rPr>
                <w:rFonts w:ascii="Arial" w:hAnsi="Arial" w:cs="Arial"/>
                <w:b/>
                <w:bCs/>
                <w:color w:val="000000"/>
                <w:sz w:val="18"/>
                <w:szCs w:val="18"/>
              </w:rPr>
              <w:t xml:space="preserve"> </w:t>
            </w:r>
            <w:r>
              <w:rPr>
                <w:rFonts w:ascii="Arial" w:hAnsi="Arial" w:cs="Arial"/>
                <w:b/>
                <w:bCs/>
                <w:color w:val="000000"/>
                <w:sz w:val="18"/>
                <w:szCs w:val="18"/>
              </w:rPr>
              <w:t>update</w:t>
            </w:r>
            <w:r w:rsidRPr="003C73E5">
              <w:rPr>
                <w:rFonts w:ascii="Arial" w:hAnsi="Arial" w:cs="Arial"/>
                <w:b/>
                <w:bCs/>
                <w:color w:val="000000"/>
                <w:sz w:val="18"/>
                <w:szCs w:val="18"/>
              </w:rPr>
              <w:t xml:space="preserve"> to formula</w:t>
            </w:r>
            <w:r>
              <w:rPr>
                <w:rFonts w:ascii="Arial" w:hAnsi="Arial" w:cs="Arial"/>
                <w:b/>
                <w:bCs/>
                <w:color w:val="000000"/>
                <w:sz w:val="18"/>
                <w:szCs w:val="18"/>
              </w:rPr>
              <w:t xml:space="preserve"> component</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Data source</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Year of d</w:t>
            </w:r>
            <w:r>
              <w:rPr>
                <w:rFonts w:ascii="Arial" w:hAnsi="Arial" w:cs="Arial"/>
                <w:b/>
                <w:bCs/>
                <w:color w:val="000000"/>
                <w:sz w:val="18"/>
                <w:szCs w:val="18"/>
              </w:rPr>
              <w:t xml:space="preserve">ata used in latest run: Age-sex &amp; Additional </w:t>
            </w:r>
            <w:r w:rsidRPr="003C73E5">
              <w:rPr>
                <w:rFonts w:ascii="Arial" w:hAnsi="Arial" w:cs="Arial"/>
                <w:b/>
                <w:bCs/>
                <w:color w:val="000000"/>
                <w:sz w:val="18"/>
                <w:szCs w:val="18"/>
              </w:rPr>
              <w:t>needs</w:t>
            </w:r>
          </w:p>
        </w:tc>
        <w:tc>
          <w:tcPr>
            <w:tcW w:w="1701" w:type="dxa"/>
            <w:vMerge w:val="restart"/>
            <w:tcBorders>
              <w:top w:val="single" w:sz="8" w:space="0" w:color="auto"/>
              <w:left w:val="single" w:sz="4" w:space="0" w:color="auto"/>
              <w:bottom w:val="single" w:sz="8" w:space="0" w:color="000000"/>
              <w:right w:val="single" w:sz="8"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Year of data used</w:t>
            </w:r>
            <w:r>
              <w:rPr>
                <w:rFonts w:ascii="Arial" w:hAnsi="Arial" w:cs="Arial"/>
                <w:b/>
                <w:bCs/>
                <w:color w:val="000000"/>
                <w:sz w:val="18"/>
                <w:szCs w:val="18"/>
              </w:rPr>
              <w:t xml:space="preserve"> in latest run</w:t>
            </w:r>
            <w:r w:rsidRPr="003C73E5">
              <w:rPr>
                <w:rFonts w:ascii="Arial" w:hAnsi="Arial" w:cs="Arial"/>
                <w:b/>
                <w:bCs/>
                <w:color w:val="000000"/>
                <w:sz w:val="18"/>
                <w:szCs w:val="18"/>
              </w:rPr>
              <w:t>: Unavoidable Excess costs</w:t>
            </w:r>
          </w:p>
        </w:tc>
      </w:tr>
      <w:tr w:rsidR="00A52DD6" w:rsidRPr="00634BEF" w:rsidTr="005A3CAB">
        <w:trPr>
          <w:trHeight w:val="255"/>
        </w:trPr>
        <w:tc>
          <w:tcPr>
            <w:tcW w:w="1242" w:type="dxa"/>
            <w:vMerge/>
            <w:tcBorders>
              <w:top w:val="single" w:sz="8" w:space="0" w:color="auto"/>
              <w:left w:val="single" w:sz="8"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418" w:type="dxa"/>
            <w:tcBorders>
              <w:top w:val="nil"/>
              <w:left w:val="nil"/>
              <w:bottom w:val="nil"/>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Spend</w:t>
            </w:r>
            <w:r w:rsidRPr="003C73E5">
              <w:rPr>
                <w:rFonts w:ascii="Arial" w:hAnsi="Arial" w:cs="Arial"/>
                <w:b/>
                <w:bCs/>
                <w:color w:val="000000"/>
                <w:sz w:val="18"/>
                <w:szCs w:val="18"/>
                <w:vertAlign w:val="superscript"/>
              </w:rPr>
              <w:t>1</w:t>
            </w:r>
          </w:p>
        </w:tc>
        <w:tc>
          <w:tcPr>
            <w:tcW w:w="1842"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r>
      <w:tr w:rsidR="00A52DD6" w:rsidRPr="00634BEF" w:rsidTr="005A3CAB">
        <w:trPr>
          <w:trHeight w:val="132"/>
        </w:trPr>
        <w:tc>
          <w:tcPr>
            <w:tcW w:w="1242" w:type="dxa"/>
            <w:vMerge/>
            <w:tcBorders>
              <w:top w:val="single" w:sz="8" w:space="0" w:color="auto"/>
              <w:left w:val="single" w:sz="8"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418" w:type="dxa"/>
            <w:tcBorders>
              <w:top w:val="nil"/>
              <w:left w:val="nil"/>
              <w:bottom w:val="single" w:sz="8" w:space="0" w:color="auto"/>
              <w:right w:val="single" w:sz="4" w:space="0" w:color="auto"/>
            </w:tcBorders>
            <w:shd w:val="clear" w:color="000000" w:fill="CC99FF"/>
            <w:hideMark/>
          </w:tcPr>
          <w:p w:rsidR="00A52DD6" w:rsidRPr="003C73E5" w:rsidRDefault="00A52DD6" w:rsidP="005A3CAB">
            <w:pPr>
              <w:spacing w:after="0"/>
              <w:jc w:val="left"/>
              <w:rPr>
                <w:rFonts w:ascii="Arial" w:hAnsi="Arial" w:cs="Arial"/>
                <w:b/>
                <w:bCs/>
                <w:color w:val="000000"/>
                <w:sz w:val="18"/>
                <w:szCs w:val="18"/>
              </w:rPr>
            </w:pPr>
            <w:r w:rsidRPr="003C73E5">
              <w:rPr>
                <w:rFonts w:ascii="Arial" w:hAnsi="Arial" w:cs="Arial"/>
                <w:b/>
                <w:bCs/>
                <w:color w:val="000000"/>
                <w:sz w:val="18"/>
                <w:szCs w:val="18"/>
              </w:rPr>
              <w:t> </w:t>
            </w:r>
          </w:p>
        </w:tc>
        <w:tc>
          <w:tcPr>
            <w:tcW w:w="1842"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A52DD6" w:rsidRPr="003C73E5" w:rsidRDefault="00A52DD6" w:rsidP="005A3CAB">
            <w:pPr>
              <w:spacing w:after="0"/>
              <w:jc w:val="left"/>
              <w:rPr>
                <w:rFonts w:ascii="Arial" w:hAnsi="Arial" w:cs="Arial"/>
                <w:b/>
                <w:bCs/>
                <w:color w:val="000000"/>
                <w:sz w:val="18"/>
                <w:szCs w:val="18"/>
              </w:rPr>
            </w:pPr>
          </w:p>
        </w:tc>
      </w:tr>
      <w:tr w:rsidR="00A52DD6" w:rsidRPr="00634BEF" w:rsidTr="005A3CAB">
        <w:trPr>
          <w:trHeight w:val="757"/>
        </w:trPr>
        <w:tc>
          <w:tcPr>
            <w:tcW w:w="1242" w:type="dxa"/>
            <w:vMerge w:val="restart"/>
            <w:tcBorders>
              <w:top w:val="nil"/>
              <w:left w:val="single" w:sz="8" w:space="0" w:color="auto"/>
              <w:right w:val="single" w:sz="4" w:space="0" w:color="auto"/>
            </w:tcBorders>
            <w:shd w:val="clear" w:color="auto" w:fill="auto"/>
            <w:noWrap/>
            <w:vAlign w:val="center"/>
            <w:hideMark/>
          </w:tcPr>
          <w:p w:rsidR="00A52DD6" w:rsidRPr="003C73E5" w:rsidRDefault="00A52DD6" w:rsidP="005A3CAB">
            <w:pPr>
              <w:spacing w:after="0"/>
              <w:jc w:val="left"/>
              <w:rPr>
                <w:rFonts w:ascii="Arial" w:hAnsi="Arial" w:cs="Arial"/>
                <w:b/>
                <w:bCs/>
                <w:sz w:val="18"/>
                <w:szCs w:val="18"/>
              </w:rPr>
            </w:pPr>
            <w:r w:rsidRPr="003C73E5">
              <w:rPr>
                <w:rFonts w:ascii="Arial" w:hAnsi="Arial" w:cs="Arial"/>
                <w:b/>
                <w:bCs/>
                <w:sz w:val="18"/>
                <w:szCs w:val="18"/>
              </w:rPr>
              <w:t>HCHS</w:t>
            </w:r>
          </w:p>
        </w:tc>
        <w:tc>
          <w:tcPr>
            <w:tcW w:w="1276" w:type="dxa"/>
            <w:tcBorders>
              <w:top w:val="nil"/>
              <w:left w:val="nil"/>
              <w:bottom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Acute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£4.34</w:t>
            </w:r>
            <w:r w:rsidRPr="003C73E5">
              <w:rPr>
                <w:rFonts w:ascii="Arial" w:hAnsi="Arial" w:cs="Arial"/>
                <w:sz w:val="18"/>
                <w:szCs w:val="18"/>
              </w:rPr>
              <w:t xml:space="preserve">bn </w:t>
            </w:r>
          </w:p>
        </w:tc>
        <w:tc>
          <w:tcPr>
            <w:tcW w:w="1842"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Age-sex: 2013</w:t>
            </w:r>
            <w:r w:rsidRPr="003C73E5">
              <w:rPr>
                <w:rFonts w:ascii="Arial" w:hAnsi="Arial" w:cs="Arial"/>
                <w:sz w:val="18"/>
                <w:szCs w:val="18"/>
              </w:rPr>
              <w:br/>
            </w:r>
            <w:r w:rsidRPr="003C73E5">
              <w:rPr>
                <w:rFonts w:ascii="Arial" w:hAnsi="Arial" w:cs="Arial"/>
                <w:color w:val="FF0000"/>
                <w:sz w:val="18"/>
                <w:szCs w:val="18"/>
              </w:rPr>
              <w:t>MLC: 2010</w:t>
            </w:r>
            <w:r w:rsidRPr="003C73E5">
              <w:rPr>
                <w:rFonts w:ascii="Arial" w:hAnsi="Arial" w:cs="Arial"/>
                <w:sz w:val="18"/>
                <w:szCs w:val="18"/>
              </w:rPr>
              <w:br/>
              <w:t>Excess costs: 2013</w:t>
            </w: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SMR01, SMR00</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2009/10-2011/12</w:t>
            </w:r>
          </w:p>
        </w:tc>
      </w:tr>
      <w:tr w:rsidR="00A52DD6" w:rsidRPr="00634BEF" w:rsidTr="005A3CAB">
        <w:trPr>
          <w:trHeight w:val="255"/>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tcBorders>
              <w:top w:val="single" w:sz="4" w:space="0" w:color="auto"/>
              <w:left w:val="nil"/>
              <w:bottom w:val="nil"/>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Maternity</w:t>
            </w:r>
          </w:p>
        </w:tc>
        <w:tc>
          <w:tcPr>
            <w:tcW w:w="1418" w:type="dxa"/>
            <w:tcBorders>
              <w:top w:val="single" w:sz="4" w:space="0" w:color="auto"/>
              <w:left w:val="nil"/>
              <w:bottom w:val="nil"/>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£0.30</w:t>
            </w:r>
            <w:r w:rsidRPr="003C73E5">
              <w:rPr>
                <w:rFonts w:ascii="Arial" w:hAnsi="Arial" w:cs="Arial"/>
                <w:sz w:val="18"/>
                <w:szCs w:val="18"/>
              </w:rPr>
              <w:t>bn</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Age-sex: 2013</w:t>
            </w:r>
            <w:r w:rsidRPr="003C73E5">
              <w:rPr>
                <w:rFonts w:ascii="Arial" w:hAnsi="Arial" w:cs="Arial"/>
                <w:sz w:val="18"/>
                <w:szCs w:val="18"/>
              </w:rPr>
              <w:br/>
              <w:t>MLC: 2010</w:t>
            </w:r>
            <w:r w:rsidRPr="003C73E5">
              <w:rPr>
                <w:rFonts w:ascii="Arial" w:hAnsi="Arial" w:cs="Arial"/>
                <w:sz w:val="18"/>
                <w:szCs w:val="18"/>
              </w:rPr>
              <w:br/>
              <w:t>Excess costs: 2013</w:t>
            </w:r>
          </w:p>
        </w:tc>
        <w:tc>
          <w:tcPr>
            <w:tcW w:w="1701" w:type="dxa"/>
            <w:tcBorders>
              <w:top w:val="single" w:sz="4" w:space="0" w:color="auto"/>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SMR02, SMR00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single" w:sz="4" w:space="0" w:color="auto"/>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2009/10-2011/12</w:t>
            </w:r>
          </w:p>
        </w:tc>
      </w:tr>
      <w:tr w:rsidR="00A52DD6" w:rsidRPr="00634BEF" w:rsidTr="005A3CAB">
        <w:trPr>
          <w:trHeight w:val="419"/>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 </w:t>
            </w:r>
          </w:p>
        </w:tc>
        <w:tc>
          <w:tcPr>
            <w:tcW w:w="1842" w:type="dxa"/>
            <w:vMerge/>
            <w:tcBorders>
              <w:top w:val="nil"/>
              <w:left w:val="single" w:sz="4" w:space="0" w:color="auto"/>
              <w:bottom w:val="single" w:sz="4" w:space="0" w:color="000000"/>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NRS Births</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RPr="00634BEF" w:rsidTr="005A3CAB">
        <w:trPr>
          <w:trHeight w:val="710"/>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Mental  Health  &amp; Learning Difficulties</w:t>
            </w:r>
          </w:p>
        </w:tc>
        <w:tc>
          <w:tcPr>
            <w:tcW w:w="1418"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£0.89</w:t>
            </w:r>
            <w:r w:rsidRPr="003C73E5">
              <w:rPr>
                <w:rFonts w:ascii="Arial" w:hAnsi="Arial" w:cs="Arial"/>
                <w:sz w:val="18"/>
                <w:szCs w:val="18"/>
              </w:rPr>
              <w:t>bn</w:t>
            </w:r>
          </w:p>
        </w:tc>
        <w:tc>
          <w:tcPr>
            <w:tcW w:w="1842"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Age-sex: 2013</w:t>
            </w:r>
            <w:r w:rsidRPr="003C73E5">
              <w:rPr>
                <w:rFonts w:ascii="Arial" w:hAnsi="Arial" w:cs="Arial"/>
                <w:sz w:val="18"/>
                <w:szCs w:val="18"/>
              </w:rPr>
              <w:br/>
            </w:r>
            <w:r w:rsidRPr="003C73E5">
              <w:rPr>
                <w:rFonts w:ascii="Arial" w:hAnsi="Arial" w:cs="Arial"/>
                <w:color w:val="FF0000"/>
                <w:sz w:val="18"/>
                <w:szCs w:val="18"/>
              </w:rPr>
              <w:t>MLC: 2013</w:t>
            </w:r>
            <w:r w:rsidRPr="003C73E5">
              <w:rPr>
                <w:rFonts w:ascii="Arial" w:hAnsi="Arial" w:cs="Arial"/>
                <w:sz w:val="18"/>
                <w:szCs w:val="18"/>
              </w:rPr>
              <w:br/>
              <w:t>Excess costs: 2013</w:t>
            </w: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SMR04, SMR00</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2009/10-2011/12</w:t>
            </w:r>
          </w:p>
        </w:tc>
      </w:tr>
      <w:tr w:rsidR="00A52DD6" w:rsidRPr="00634BEF" w:rsidTr="005A3CAB">
        <w:trPr>
          <w:trHeight w:val="712"/>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Care of the elderly</w:t>
            </w:r>
          </w:p>
        </w:tc>
        <w:tc>
          <w:tcPr>
            <w:tcW w:w="1418" w:type="dxa"/>
            <w:tcBorders>
              <w:top w:val="single" w:sz="4" w:space="0" w:color="auto"/>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£0.20</w:t>
            </w:r>
            <w:r w:rsidRPr="003C73E5">
              <w:rPr>
                <w:rFonts w:ascii="Arial" w:hAnsi="Arial" w:cs="Arial"/>
                <w:sz w:val="18"/>
                <w:szCs w:val="18"/>
              </w:rPr>
              <w:t>bn</w:t>
            </w:r>
          </w:p>
        </w:tc>
        <w:tc>
          <w:tcPr>
            <w:tcW w:w="1842" w:type="dxa"/>
            <w:tcBorders>
              <w:top w:val="nil"/>
              <w:left w:val="single" w:sz="4" w:space="0" w:color="auto"/>
              <w:bottom w:val="single" w:sz="4" w:space="0" w:color="000000"/>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Age-sex: 2013</w:t>
            </w:r>
            <w:r w:rsidRPr="003C73E5">
              <w:rPr>
                <w:rFonts w:ascii="Arial" w:hAnsi="Arial" w:cs="Arial"/>
                <w:sz w:val="18"/>
                <w:szCs w:val="18"/>
              </w:rPr>
              <w:br/>
              <w:t>MLC: 2010</w:t>
            </w:r>
            <w:r w:rsidRPr="003C73E5">
              <w:rPr>
                <w:rFonts w:ascii="Arial" w:hAnsi="Arial" w:cs="Arial"/>
                <w:sz w:val="18"/>
                <w:szCs w:val="18"/>
              </w:rPr>
              <w:br/>
              <w:t>Excess costs: 2013</w:t>
            </w: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SMR01_1E</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2009/10-2011/12</w:t>
            </w:r>
          </w:p>
        </w:tc>
      </w:tr>
      <w:tr w:rsidR="00A52DD6" w:rsidRPr="00634BEF" w:rsidTr="005A3CAB">
        <w:trPr>
          <w:trHeight w:val="248"/>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val="restart"/>
            <w:tcBorders>
              <w:top w:val="nil"/>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Community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£1.58</w:t>
            </w:r>
            <w:r w:rsidRPr="003C73E5">
              <w:rPr>
                <w:rFonts w:ascii="Arial" w:hAnsi="Arial" w:cs="Arial"/>
                <w:sz w:val="18"/>
                <w:szCs w:val="18"/>
              </w:rPr>
              <w:t>bn</w:t>
            </w:r>
          </w:p>
        </w:tc>
        <w:tc>
          <w:tcPr>
            <w:tcW w:w="1842" w:type="dxa"/>
            <w:vMerge w:val="restart"/>
            <w:tcBorders>
              <w:top w:val="nil"/>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Age-sex: 2013</w:t>
            </w:r>
            <w:r w:rsidRPr="003C73E5">
              <w:rPr>
                <w:rFonts w:ascii="Arial" w:hAnsi="Arial" w:cs="Arial"/>
                <w:sz w:val="18"/>
                <w:szCs w:val="18"/>
              </w:rPr>
              <w:br/>
              <w:t>MLC: 2010</w:t>
            </w:r>
            <w:r w:rsidRPr="003C73E5">
              <w:rPr>
                <w:rFonts w:ascii="Arial" w:hAnsi="Arial" w:cs="Arial"/>
                <w:sz w:val="18"/>
                <w:szCs w:val="18"/>
              </w:rPr>
              <w:br/>
              <w:t>Excess costs: 2013</w:t>
            </w: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SMR00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single" w:sz="4" w:space="0" w:color="auto"/>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RPr="00634BEF" w:rsidTr="005A3CAB">
        <w:trPr>
          <w:trHeight w:val="247"/>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tcBorders>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p>
        </w:tc>
        <w:tc>
          <w:tcPr>
            <w:tcW w:w="1418" w:type="dxa"/>
            <w:vMerge/>
            <w:tcBorders>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p>
        </w:tc>
        <w:tc>
          <w:tcPr>
            <w:tcW w:w="1842" w:type="dxa"/>
            <w:vMerge/>
            <w:tcBorders>
              <w:left w:val="single" w:sz="4" w:space="0" w:color="auto"/>
              <w:right w:val="single" w:sz="4" w:space="0" w:color="auto"/>
            </w:tcBorders>
            <w:shd w:val="clear" w:color="auto" w:fill="auto"/>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Practice Team Information (PTI)  contacts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single" w:sz="4" w:space="0" w:color="auto"/>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RPr="00634BEF" w:rsidTr="005A3CAB">
        <w:trPr>
          <w:trHeight w:val="510"/>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418"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842"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 xml:space="preserve">PTI District nurse &amp; Health visitor contacts </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2005/06</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RPr="00634BEF" w:rsidTr="005A3CAB">
        <w:trPr>
          <w:trHeight w:val="333"/>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418"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842"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SMR13 Community Dental</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2006/07</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RPr="00634BEF" w:rsidTr="005A3CAB">
        <w:trPr>
          <w:trHeight w:val="270"/>
        </w:trPr>
        <w:tc>
          <w:tcPr>
            <w:tcW w:w="1242" w:type="dxa"/>
            <w:vMerge/>
            <w:tcBorders>
              <w:left w:val="single" w:sz="8" w:space="0" w:color="auto"/>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418"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842" w:type="dxa"/>
            <w:vMerge/>
            <w:tcBorders>
              <w:left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SMR01 Alcohol &amp; Drugs</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2011/12</w:t>
            </w:r>
          </w:p>
        </w:tc>
        <w:tc>
          <w:tcPr>
            <w:tcW w:w="1701" w:type="dxa"/>
            <w:tcBorders>
              <w:top w:val="nil"/>
              <w:left w:val="nil"/>
              <w:bottom w:val="single" w:sz="4" w:space="0" w:color="auto"/>
              <w:right w:val="single" w:sz="8" w:space="0" w:color="auto"/>
            </w:tcBorders>
            <w:shd w:val="clear" w:color="auto" w:fill="auto"/>
            <w:hideMark/>
          </w:tcPr>
          <w:p w:rsidR="00A52DD6" w:rsidRPr="003C73E5" w:rsidRDefault="00A52DD6" w:rsidP="005A3CAB">
            <w:pPr>
              <w:spacing w:after="0"/>
              <w:jc w:val="left"/>
              <w:rPr>
                <w:rFonts w:ascii="Arial" w:hAnsi="Arial" w:cs="Arial"/>
                <w:sz w:val="18"/>
                <w:szCs w:val="18"/>
              </w:rPr>
            </w:pPr>
          </w:p>
        </w:tc>
      </w:tr>
      <w:tr w:rsidR="00A52DD6" w:rsidRPr="00634BEF" w:rsidTr="005A3CAB">
        <w:trPr>
          <w:trHeight w:val="412"/>
        </w:trPr>
        <w:tc>
          <w:tcPr>
            <w:tcW w:w="1242" w:type="dxa"/>
            <w:vMerge/>
            <w:tcBorders>
              <w:left w:val="single" w:sz="8" w:space="0" w:color="auto"/>
              <w:bottom w:val="single" w:sz="4" w:space="0" w:color="000000"/>
              <w:right w:val="single" w:sz="4" w:space="0" w:color="auto"/>
            </w:tcBorders>
            <w:vAlign w:val="center"/>
            <w:hideMark/>
          </w:tcPr>
          <w:p w:rsidR="00A52DD6" w:rsidRPr="003C73E5" w:rsidRDefault="00A52DD6" w:rsidP="005A3CAB">
            <w:pPr>
              <w:spacing w:after="0"/>
              <w:jc w:val="left"/>
              <w:rPr>
                <w:rFonts w:ascii="Arial" w:hAnsi="Arial" w:cs="Arial"/>
                <w:b/>
                <w:bCs/>
                <w:sz w:val="18"/>
                <w:szCs w:val="18"/>
              </w:rPr>
            </w:pPr>
          </w:p>
        </w:tc>
        <w:tc>
          <w:tcPr>
            <w:tcW w:w="1276" w:type="dxa"/>
            <w:vMerge/>
            <w:tcBorders>
              <w:left w:val="single" w:sz="4" w:space="0" w:color="auto"/>
              <w:bottom w:val="single" w:sz="4" w:space="0" w:color="000000"/>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418" w:type="dxa"/>
            <w:vMerge/>
            <w:tcBorders>
              <w:left w:val="single" w:sz="4" w:space="0" w:color="auto"/>
              <w:bottom w:val="single" w:sz="4" w:space="0" w:color="000000"/>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842" w:type="dxa"/>
            <w:vMerge/>
            <w:tcBorders>
              <w:left w:val="single" w:sz="4" w:space="0" w:color="auto"/>
              <w:bottom w:val="single" w:sz="4" w:space="0" w:color="auto"/>
              <w:right w:val="single" w:sz="4" w:space="0" w:color="auto"/>
            </w:tcBorders>
            <w:vAlign w:val="center"/>
            <w:hideMark/>
          </w:tcPr>
          <w:p w:rsidR="00A52DD6" w:rsidRPr="003C73E5" w:rsidRDefault="00A52DD6" w:rsidP="005A3CAB">
            <w:pPr>
              <w:spacing w:after="0"/>
              <w:jc w:val="left"/>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Scottish Allocation Formula (SAF) report</w:t>
            </w:r>
          </w:p>
        </w:tc>
        <w:tc>
          <w:tcPr>
            <w:tcW w:w="1276" w:type="dxa"/>
            <w:tcBorders>
              <w:top w:val="nil"/>
              <w:left w:val="single" w:sz="4" w:space="0" w:color="auto"/>
              <w:bottom w:val="single" w:sz="4" w:space="0" w:color="auto"/>
              <w:right w:val="single" w:sz="4" w:space="0" w:color="auto"/>
            </w:tcBorders>
            <w:shd w:val="clear" w:color="auto" w:fill="auto"/>
            <w:hideMark/>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c>
          <w:tcPr>
            <w:tcW w:w="1701" w:type="dxa"/>
            <w:tcBorders>
              <w:top w:val="nil"/>
              <w:left w:val="nil"/>
              <w:bottom w:val="single" w:sz="4" w:space="0" w:color="auto"/>
              <w:right w:val="single" w:sz="8" w:space="0" w:color="auto"/>
            </w:tcBorders>
            <w:shd w:val="clear" w:color="auto" w:fill="auto"/>
            <w:noWrap/>
            <w:hideMark/>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 xml:space="preserve"> July 2012</w:t>
            </w:r>
          </w:p>
        </w:tc>
      </w:tr>
      <w:tr w:rsidR="00A52DD6" w:rsidRPr="00634BEF" w:rsidTr="005A3CAB">
        <w:trPr>
          <w:trHeight w:val="738"/>
        </w:trPr>
        <w:tc>
          <w:tcPr>
            <w:tcW w:w="2518" w:type="dxa"/>
            <w:gridSpan w:val="2"/>
            <w:tcBorders>
              <w:top w:val="nil"/>
              <w:left w:val="single" w:sz="8" w:space="0" w:color="auto"/>
              <w:bottom w:val="single" w:sz="4" w:space="0" w:color="auto"/>
              <w:right w:val="single" w:sz="8" w:space="0" w:color="000000"/>
            </w:tcBorders>
            <w:shd w:val="clear" w:color="auto" w:fill="auto"/>
            <w:noWrap/>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b/>
                <w:bCs/>
                <w:sz w:val="18"/>
                <w:szCs w:val="18"/>
              </w:rPr>
              <w:t>GP Prescribing</w:t>
            </w:r>
          </w:p>
        </w:tc>
        <w:tc>
          <w:tcPr>
            <w:tcW w:w="1418" w:type="dxa"/>
            <w:tcBorders>
              <w:top w:val="nil"/>
              <w:left w:val="single" w:sz="4" w:space="0" w:color="auto"/>
              <w:bottom w:val="single" w:sz="4" w:space="0" w:color="auto"/>
              <w:right w:val="single" w:sz="4" w:space="0" w:color="auto"/>
            </w:tcBorders>
            <w:shd w:val="clear" w:color="auto" w:fill="auto"/>
            <w:vAlign w:val="center"/>
          </w:tcPr>
          <w:p w:rsidR="00A52DD6" w:rsidRPr="003C73E5" w:rsidRDefault="00A52DD6" w:rsidP="005A3CAB">
            <w:pPr>
              <w:spacing w:after="0"/>
              <w:jc w:val="left"/>
              <w:rPr>
                <w:rFonts w:ascii="Arial" w:hAnsi="Arial" w:cs="Arial"/>
                <w:sz w:val="18"/>
                <w:szCs w:val="18"/>
              </w:rPr>
            </w:pPr>
            <w:r>
              <w:rPr>
                <w:rFonts w:ascii="Arial" w:hAnsi="Arial" w:cs="Arial"/>
                <w:sz w:val="18"/>
                <w:szCs w:val="18"/>
              </w:rPr>
              <w:t>£0.94</w:t>
            </w:r>
            <w:r w:rsidRPr="003C73E5">
              <w:rPr>
                <w:rFonts w:ascii="Arial" w:hAnsi="Arial" w:cs="Arial"/>
                <w:sz w:val="18"/>
                <w:szCs w:val="18"/>
              </w:rPr>
              <w:t>bn</w:t>
            </w:r>
          </w:p>
        </w:tc>
        <w:tc>
          <w:tcPr>
            <w:tcW w:w="1842" w:type="dxa"/>
            <w:tcBorders>
              <w:top w:val="single" w:sz="4" w:space="0" w:color="auto"/>
              <w:left w:val="single" w:sz="4" w:space="0" w:color="auto"/>
              <w:bottom w:val="single" w:sz="4" w:space="0" w:color="auto"/>
              <w:right w:val="single" w:sz="4" w:space="0" w:color="auto"/>
            </w:tcBorders>
          </w:tcPr>
          <w:p w:rsidR="00A52DD6" w:rsidRPr="003C73E5" w:rsidRDefault="00A52DD6" w:rsidP="005A3CAB">
            <w:pPr>
              <w:spacing w:after="0"/>
              <w:jc w:val="left"/>
              <w:rPr>
                <w:rFonts w:ascii="Arial" w:hAnsi="Arial" w:cs="Arial"/>
                <w:color w:val="FF0000"/>
                <w:sz w:val="18"/>
                <w:szCs w:val="18"/>
              </w:rPr>
            </w:pPr>
            <w:r w:rsidRPr="003C73E5">
              <w:rPr>
                <w:rFonts w:ascii="Arial" w:hAnsi="Arial" w:cs="Arial"/>
                <w:color w:val="FF0000"/>
                <w:sz w:val="18"/>
                <w:szCs w:val="18"/>
              </w:rPr>
              <w:t>Age-sex:  2013</w:t>
            </w:r>
            <w:r w:rsidRPr="003C73E5">
              <w:rPr>
                <w:rFonts w:ascii="Arial" w:hAnsi="Arial" w:cs="Arial"/>
                <w:sz w:val="18"/>
                <w:szCs w:val="18"/>
              </w:rPr>
              <w:br/>
              <w:t>MLC: 2010</w:t>
            </w:r>
            <w:r w:rsidRPr="003C73E5">
              <w:rPr>
                <w:rFonts w:ascii="Arial" w:hAnsi="Arial" w:cs="Arial"/>
                <w:sz w:val="18"/>
                <w:szCs w:val="18"/>
              </w:rPr>
              <w:br/>
              <w:t>Excess costs: 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 xml:space="preserve">Prescribing Information System (PIS)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52DD6" w:rsidRPr="003C73E5" w:rsidRDefault="00A52DD6" w:rsidP="005A3CAB">
            <w:pPr>
              <w:spacing w:after="0"/>
              <w:jc w:val="left"/>
              <w:rPr>
                <w:rFonts w:ascii="Arial" w:hAnsi="Arial" w:cs="Arial"/>
                <w:sz w:val="18"/>
                <w:szCs w:val="18"/>
              </w:rPr>
            </w:pPr>
            <w:r w:rsidRPr="003C73E5">
              <w:rPr>
                <w:rFonts w:ascii="Arial" w:hAnsi="Arial" w:cs="Arial"/>
                <w:sz w:val="18"/>
                <w:szCs w:val="18"/>
              </w:rPr>
              <w:t>2011/12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52DD6" w:rsidRPr="003C73E5" w:rsidRDefault="00A52DD6" w:rsidP="005A3CAB">
            <w:pPr>
              <w:spacing w:after="0"/>
              <w:jc w:val="left"/>
              <w:rPr>
                <w:rFonts w:ascii="Arial" w:hAnsi="Arial" w:cs="Arial"/>
                <w:sz w:val="18"/>
                <w:szCs w:val="18"/>
              </w:rPr>
            </w:pPr>
            <w:r>
              <w:rPr>
                <w:rFonts w:ascii="Arial" w:hAnsi="Arial" w:cs="Arial"/>
                <w:sz w:val="18"/>
                <w:szCs w:val="18"/>
              </w:rPr>
              <w:t>N/A</w:t>
            </w:r>
          </w:p>
        </w:tc>
      </w:tr>
      <w:tr w:rsidR="00A52DD6" w:rsidTr="005A3CAB">
        <w:trPr>
          <w:trHeight w:val="544"/>
        </w:trPr>
        <w:tc>
          <w:tcPr>
            <w:tcW w:w="2518" w:type="dxa"/>
            <w:gridSpan w:val="2"/>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A52DD6" w:rsidRPr="003C73E5" w:rsidRDefault="00A52DD6" w:rsidP="005A3CAB">
            <w:pPr>
              <w:spacing w:after="0"/>
              <w:jc w:val="left"/>
              <w:rPr>
                <w:rFonts w:ascii="Arial" w:hAnsi="Arial" w:cs="Arial"/>
                <w:sz w:val="18"/>
                <w:szCs w:val="18"/>
              </w:rPr>
            </w:pPr>
            <w:r w:rsidRPr="003C73E5">
              <w:rPr>
                <w:rFonts w:ascii="Arial" w:hAnsi="Arial" w:cs="Arial"/>
                <w:b/>
                <w:bCs/>
                <w:sz w:val="18"/>
                <w:szCs w:val="18"/>
              </w:rPr>
              <w:t>Total</w:t>
            </w:r>
          </w:p>
        </w:tc>
        <w:tc>
          <w:tcPr>
            <w:tcW w:w="1418" w:type="dxa"/>
            <w:tcBorders>
              <w:top w:val="single" w:sz="4" w:space="0" w:color="auto"/>
              <w:left w:val="single" w:sz="4" w:space="0" w:color="auto"/>
              <w:bottom w:val="single" w:sz="8" w:space="0" w:color="000000"/>
              <w:right w:val="single" w:sz="4" w:space="0" w:color="auto"/>
            </w:tcBorders>
            <w:shd w:val="clear" w:color="auto" w:fill="auto"/>
            <w:vAlign w:val="center"/>
          </w:tcPr>
          <w:p w:rsidR="00A52DD6" w:rsidRPr="003C73E5" w:rsidRDefault="00A52DD6" w:rsidP="005A3CAB">
            <w:pPr>
              <w:spacing w:after="0"/>
              <w:jc w:val="left"/>
              <w:rPr>
                <w:rFonts w:ascii="Arial" w:hAnsi="Arial" w:cs="Arial"/>
                <w:sz w:val="18"/>
                <w:szCs w:val="18"/>
              </w:rPr>
            </w:pPr>
            <w:r>
              <w:rPr>
                <w:rFonts w:ascii="Arial" w:hAnsi="Arial" w:cs="Arial"/>
                <w:sz w:val="18"/>
                <w:szCs w:val="18"/>
              </w:rPr>
              <w:t>£8.25</w:t>
            </w:r>
            <w:r w:rsidRPr="003C73E5">
              <w:rPr>
                <w:rFonts w:ascii="Arial" w:hAnsi="Arial" w:cs="Arial"/>
                <w:sz w:val="18"/>
                <w:szCs w:val="18"/>
              </w:rPr>
              <w:t>bn</w:t>
            </w:r>
          </w:p>
        </w:tc>
        <w:tc>
          <w:tcPr>
            <w:tcW w:w="6520" w:type="dxa"/>
            <w:gridSpan w:val="4"/>
            <w:tcBorders>
              <w:top w:val="single" w:sz="4" w:space="0" w:color="auto"/>
              <w:left w:val="single" w:sz="4" w:space="0" w:color="auto"/>
              <w:bottom w:val="single" w:sz="4" w:space="0" w:color="auto"/>
              <w:right w:val="single" w:sz="4" w:space="0" w:color="auto"/>
            </w:tcBorders>
          </w:tcPr>
          <w:p w:rsidR="00A52DD6" w:rsidRPr="003C73E5" w:rsidRDefault="00A52DD6" w:rsidP="005A3CAB">
            <w:pPr>
              <w:spacing w:after="0"/>
              <w:jc w:val="left"/>
              <w:rPr>
                <w:rFonts w:ascii="Arial" w:hAnsi="Arial" w:cs="Arial"/>
                <w:sz w:val="18"/>
                <w:szCs w:val="18"/>
              </w:rPr>
            </w:pPr>
          </w:p>
        </w:tc>
      </w:tr>
    </w:tbl>
    <w:p w:rsidR="00A52DD6" w:rsidRPr="00A46530" w:rsidRDefault="00A52DD6" w:rsidP="00A52DD6">
      <w:pPr>
        <w:pStyle w:val="Numberedparagraphs"/>
        <w:numPr>
          <w:ilvl w:val="0"/>
          <w:numId w:val="0"/>
        </w:numPr>
        <w:rPr>
          <w:rFonts w:ascii="Arial" w:hAnsi="Arial"/>
          <w:b/>
          <w:sz w:val="16"/>
          <w:szCs w:val="16"/>
        </w:rPr>
      </w:pPr>
    </w:p>
    <w:p w:rsidR="00A52DD6" w:rsidRPr="003E4C29" w:rsidRDefault="00A52DD6" w:rsidP="00A52DD6">
      <w:pPr>
        <w:numPr>
          <w:ilvl w:val="0"/>
          <w:numId w:val="9"/>
        </w:numPr>
        <w:spacing w:after="0"/>
        <w:jc w:val="left"/>
        <w:rPr>
          <w:rFonts w:ascii="Arial" w:hAnsi="Arial" w:cs="Arial"/>
          <w:noProof/>
          <w:sz w:val="16"/>
          <w:szCs w:val="16"/>
        </w:rPr>
      </w:pPr>
      <w:r w:rsidRPr="003E4C29">
        <w:rPr>
          <w:rFonts w:ascii="Arial" w:hAnsi="Arial" w:cs="Arial"/>
          <w:noProof/>
          <w:sz w:val="16"/>
          <w:szCs w:val="16"/>
        </w:rPr>
        <w:t>Scotti</w:t>
      </w:r>
      <w:r>
        <w:rPr>
          <w:rFonts w:ascii="Arial" w:hAnsi="Arial" w:cs="Arial"/>
          <w:noProof/>
          <w:sz w:val="16"/>
          <w:szCs w:val="16"/>
        </w:rPr>
        <w:t>sh Health Service Costs: SFR 13: 2013/14</w:t>
      </w:r>
      <w:r w:rsidRPr="003E4C29">
        <w:rPr>
          <w:rFonts w:ascii="Arial" w:hAnsi="Arial" w:cs="Arial"/>
          <w:noProof/>
          <w:sz w:val="16"/>
          <w:szCs w:val="16"/>
        </w:rPr>
        <w:t xml:space="preserve">, </w:t>
      </w:r>
      <w:r>
        <w:rPr>
          <w:rFonts w:ascii="Arial" w:hAnsi="Arial" w:cs="Arial"/>
          <w:noProof/>
          <w:sz w:val="16"/>
          <w:szCs w:val="16"/>
        </w:rPr>
        <w:t>SFR 10: 2013/14.</w:t>
      </w:r>
    </w:p>
    <w:p w:rsidR="00A52DD6" w:rsidRDefault="00A52DD6" w:rsidP="00A52DD6">
      <w:pPr>
        <w:pStyle w:val="Numberedparagraphs"/>
        <w:numPr>
          <w:ilvl w:val="0"/>
          <w:numId w:val="0"/>
        </w:numPr>
        <w:rPr>
          <w:rFonts w:ascii="Arial" w:hAnsi="Arial"/>
          <w:b/>
        </w:rPr>
      </w:pPr>
    </w:p>
    <w:p w:rsidR="00A52DD6" w:rsidRDefault="00A52DD6" w:rsidP="00A52DD6">
      <w:pPr>
        <w:pStyle w:val="Numberedparagraphs"/>
        <w:numPr>
          <w:ilvl w:val="0"/>
          <w:numId w:val="0"/>
        </w:numPr>
        <w:rPr>
          <w:rFonts w:ascii="Arial" w:hAnsi="Arial"/>
          <w:b/>
        </w:rPr>
      </w:pPr>
    </w:p>
    <w:p w:rsidR="00A52DD6" w:rsidRDefault="00A52DD6" w:rsidP="00A52DD6">
      <w:pPr>
        <w:pStyle w:val="Numberedparagraphs"/>
        <w:numPr>
          <w:ilvl w:val="0"/>
          <w:numId w:val="0"/>
        </w:numPr>
        <w:rPr>
          <w:rFonts w:ascii="Arial" w:hAnsi="Arial"/>
          <w:b/>
        </w:rPr>
      </w:pPr>
    </w:p>
    <w:p w:rsidR="00A52DD6" w:rsidRDefault="00A52DD6" w:rsidP="00A52DD6">
      <w:pPr>
        <w:pStyle w:val="Numberedparagraphs"/>
        <w:numPr>
          <w:ilvl w:val="0"/>
          <w:numId w:val="0"/>
        </w:numPr>
        <w:rPr>
          <w:rFonts w:ascii="Arial" w:hAnsi="Arial"/>
          <w:b/>
        </w:rPr>
      </w:pPr>
    </w:p>
    <w:p w:rsidR="00A52DD6" w:rsidRPr="00E8172F" w:rsidRDefault="00A52DD6" w:rsidP="00A52DD6">
      <w:pPr>
        <w:pStyle w:val="Numberedparagraphs"/>
        <w:numPr>
          <w:ilvl w:val="0"/>
          <w:numId w:val="0"/>
        </w:numPr>
        <w:rPr>
          <w:rFonts w:ascii="Arial" w:hAnsi="Arial"/>
          <w:b/>
        </w:rPr>
      </w:pPr>
      <w:r>
        <w:rPr>
          <w:rFonts w:ascii="Arial" w:hAnsi="Arial"/>
          <w:b/>
        </w:rPr>
        <w:br w:type="page"/>
      </w:r>
      <w:r w:rsidRPr="00E8172F">
        <w:rPr>
          <w:rFonts w:ascii="Arial" w:hAnsi="Arial"/>
          <w:b/>
        </w:rPr>
        <w:lastRenderedPageBreak/>
        <w:t>RISKS TO DELIVERY</w:t>
      </w:r>
    </w:p>
    <w:p w:rsidR="00A52DD6" w:rsidRDefault="00A52DD6" w:rsidP="00A52DD6">
      <w:pPr>
        <w:pStyle w:val="Numberedparagraphs"/>
        <w:tabs>
          <w:tab w:val="clear" w:pos="567"/>
          <w:tab w:val="num" w:pos="-513"/>
        </w:tabs>
        <w:ind w:left="27"/>
        <w:rPr>
          <w:rFonts w:ascii="Arial" w:hAnsi="Arial"/>
        </w:rPr>
      </w:pPr>
      <w:r w:rsidRPr="001561F3">
        <w:rPr>
          <w:rFonts w:ascii="Arial" w:hAnsi="Arial"/>
        </w:rPr>
        <w:t xml:space="preserve">These projects represent TAGRA </w:t>
      </w:r>
      <w:r>
        <w:rPr>
          <w:rFonts w:ascii="Arial" w:hAnsi="Arial"/>
        </w:rPr>
        <w:t>AST’s</w:t>
      </w:r>
      <w:r w:rsidRPr="001561F3">
        <w:rPr>
          <w:rFonts w:ascii="Arial" w:hAnsi="Arial"/>
        </w:rPr>
        <w:t xml:space="preserve"> ambitions for the coming two years. There is a risk that they cannot be delivered due to resource constraints but by building the work plan over two years this means there is greater flexibility around when different work p</w:t>
      </w:r>
      <w:r w:rsidR="009F712E">
        <w:rPr>
          <w:rFonts w:ascii="Arial" w:hAnsi="Arial"/>
        </w:rPr>
        <w:t>rogrammes can be taken forward.</w:t>
      </w:r>
    </w:p>
    <w:p w:rsidR="00A52DD6" w:rsidRPr="00E8172F" w:rsidRDefault="00A52DD6" w:rsidP="00A52DD6">
      <w:pPr>
        <w:pStyle w:val="Numberedparagraphs"/>
        <w:numPr>
          <w:ilvl w:val="0"/>
          <w:numId w:val="0"/>
        </w:numPr>
        <w:rPr>
          <w:rFonts w:ascii="Arial" w:hAnsi="Arial"/>
          <w:b/>
          <w:i/>
        </w:rPr>
      </w:pPr>
      <w:r w:rsidRPr="00E8172F">
        <w:rPr>
          <w:rFonts w:ascii="Arial" w:hAnsi="Arial"/>
          <w:b/>
          <w:i/>
        </w:rPr>
        <w:t>Required resources</w:t>
      </w:r>
    </w:p>
    <w:p w:rsidR="00A52DD6" w:rsidRPr="00E8172F" w:rsidRDefault="00A52DD6" w:rsidP="00A52DD6">
      <w:pPr>
        <w:pStyle w:val="Numberedparagraphs"/>
        <w:tabs>
          <w:tab w:val="clear" w:pos="567"/>
          <w:tab w:val="num" w:pos="0"/>
        </w:tabs>
        <w:rPr>
          <w:rFonts w:ascii="Arial" w:hAnsi="Arial" w:cs="Arial"/>
        </w:rPr>
      </w:pPr>
      <w:r w:rsidRPr="00E8172F">
        <w:rPr>
          <w:rFonts w:ascii="Arial" w:hAnsi="Arial" w:cs="Arial"/>
        </w:rPr>
        <w:t xml:space="preserve">Some of these projects, by their nature, are potentially open ended. They can also be dependent on other pieces of work that are out with the control of the TAGRA team. Projects such as the review of the MLC Acute </w:t>
      </w:r>
      <w:r>
        <w:rPr>
          <w:rFonts w:ascii="Arial" w:hAnsi="Arial" w:cs="Arial"/>
        </w:rPr>
        <w:t xml:space="preserve">adjustment and the incorporation of Community Health activity data into the formula </w:t>
      </w:r>
      <w:r w:rsidRPr="00E8172F">
        <w:rPr>
          <w:rFonts w:ascii="Arial" w:hAnsi="Arial" w:cs="Arial"/>
        </w:rPr>
        <w:t xml:space="preserve">are potentially extremely lengthy pieces of work. It is difficult to specify the timescales and resources required to undertake this work thoroughly, as there is a risk that any initial review of the area identifies issues which are currently unknown, either requiring further detailed analysis or opening entirely new avenues of investigation. </w:t>
      </w:r>
    </w:p>
    <w:p w:rsidR="00A52DD6" w:rsidRPr="00E8172F" w:rsidRDefault="00A52DD6" w:rsidP="00A52DD6">
      <w:pPr>
        <w:pStyle w:val="Numberedparagraphs"/>
        <w:tabs>
          <w:tab w:val="clear" w:pos="567"/>
          <w:tab w:val="num" w:pos="0"/>
        </w:tabs>
        <w:rPr>
          <w:rFonts w:ascii="Arial" w:hAnsi="Arial"/>
        </w:rPr>
      </w:pPr>
      <w:r w:rsidRPr="00E8172F">
        <w:rPr>
          <w:rFonts w:ascii="Arial" w:hAnsi="Arial"/>
        </w:rPr>
        <w:t>The review of the SAF represe</w:t>
      </w:r>
      <w:r>
        <w:rPr>
          <w:rFonts w:ascii="Arial" w:hAnsi="Arial"/>
        </w:rPr>
        <w:t>nts a significant piece of work</w:t>
      </w:r>
      <w:r w:rsidRPr="00E8172F">
        <w:rPr>
          <w:rFonts w:ascii="Arial" w:hAnsi="Arial"/>
        </w:rPr>
        <w:t xml:space="preserve">. The resources required to carry out this work are being found from within Health ASD and ISD teams, and some of this is additional to the current TAGRA support team, but most of the staff involved are the same people – this was one of the key reasons for bringing this work under the TAGRA oversight. It will continue to be a challenge to meet all the requirements of the projects set out in this work plan, especially in relation to the SAF review, and this will be the focus of continuous oversight by ISD and ASD senior management.       </w:t>
      </w:r>
    </w:p>
    <w:p w:rsidR="00A52DD6" w:rsidRPr="00463A61" w:rsidRDefault="00A52DD6" w:rsidP="00A52DD6">
      <w:pPr>
        <w:pStyle w:val="Numberedparagraphs"/>
        <w:rPr>
          <w:rFonts w:ascii="Arial" w:hAnsi="Arial" w:cs="Arial"/>
        </w:rPr>
      </w:pPr>
      <w:r w:rsidRPr="00463A61">
        <w:rPr>
          <w:rFonts w:ascii="Arial" w:hAnsi="Arial" w:cs="Arial"/>
        </w:rPr>
        <w:t>It is recognized that wider prioritisation decisions within the organizations involved in AST</w:t>
      </w:r>
      <w:r>
        <w:rPr>
          <w:rFonts w:ascii="Arial" w:hAnsi="Arial" w:cs="Arial"/>
        </w:rPr>
        <w:t xml:space="preserve"> will also </w:t>
      </w:r>
      <w:r w:rsidRPr="00463A61">
        <w:rPr>
          <w:rFonts w:ascii="Arial" w:hAnsi="Arial" w:cs="Arial"/>
        </w:rPr>
        <w:t>impact of the delivery of the proposed work plan.</w:t>
      </w:r>
    </w:p>
    <w:p w:rsidR="00A52DD6" w:rsidRPr="00E8172F" w:rsidRDefault="00A52DD6" w:rsidP="00A52DD6">
      <w:pPr>
        <w:pStyle w:val="Numberedparagraphs"/>
        <w:numPr>
          <w:ilvl w:val="0"/>
          <w:numId w:val="0"/>
        </w:numPr>
        <w:ind w:left="567" w:hanging="567"/>
        <w:rPr>
          <w:rFonts w:ascii="Arial" w:hAnsi="Arial"/>
          <w:b/>
        </w:rPr>
      </w:pPr>
      <w:r w:rsidRPr="00E8172F">
        <w:rPr>
          <w:rFonts w:ascii="Arial" w:hAnsi="Arial"/>
          <w:b/>
        </w:rPr>
        <w:t>CONCLUSION</w:t>
      </w:r>
    </w:p>
    <w:p w:rsidR="00A52DD6" w:rsidRPr="00E8172F" w:rsidRDefault="00A52DD6" w:rsidP="00A52DD6">
      <w:pPr>
        <w:pStyle w:val="Numberedparagraphs"/>
        <w:tabs>
          <w:tab w:val="clear" w:pos="567"/>
        </w:tabs>
        <w:rPr>
          <w:rFonts w:ascii="Arial" w:hAnsi="Arial"/>
        </w:rPr>
      </w:pPr>
      <w:r w:rsidRPr="00E8172F">
        <w:rPr>
          <w:rFonts w:ascii="Arial" w:hAnsi="Arial"/>
        </w:rPr>
        <w:t xml:space="preserve">TAGRA members are invited to note the updated high level work plan. </w:t>
      </w:r>
    </w:p>
    <w:p w:rsidR="00A52DD6" w:rsidRDefault="00A52DD6" w:rsidP="00A52DD6">
      <w:pPr>
        <w:pStyle w:val="Numberedparagraphs"/>
        <w:numPr>
          <w:ilvl w:val="0"/>
          <w:numId w:val="0"/>
        </w:numPr>
        <w:rPr>
          <w:rFonts w:ascii="Arial" w:hAnsi="Arial"/>
        </w:rPr>
      </w:pPr>
    </w:p>
    <w:p w:rsidR="00A52DD6" w:rsidRDefault="00A52DD6" w:rsidP="00A52DD6">
      <w:pPr>
        <w:pStyle w:val="Numberedparagraphs"/>
        <w:numPr>
          <w:ilvl w:val="0"/>
          <w:numId w:val="0"/>
        </w:numPr>
        <w:rPr>
          <w:rFonts w:ascii="Arial" w:hAnsi="Arial"/>
        </w:rPr>
      </w:pPr>
    </w:p>
    <w:p w:rsidR="00A52DD6" w:rsidRPr="000C2C25" w:rsidRDefault="00A52DD6" w:rsidP="00A52DD6">
      <w:pPr>
        <w:pStyle w:val="Numberedparagraphs"/>
        <w:numPr>
          <w:ilvl w:val="0"/>
          <w:numId w:val="0"/>
        </w:numPr>
        <w:rPr>
          <w:rFonts w:ascii="Arial" w:hAnsi="Arial"/>
          <w:i/>
        </w:rPr>
      </w:pPr>
      <w:r w:rsidRPr="000C2C25">
        <w:rPr>
          <w:rFonts w:ascii="Arial" w:hAnsi="Arial"/>
          <w:i/>
        </w:rPr>
        <w:t>TAGRA Analytical Support Team (Health ASD &amp; ISD)</w:t>
      </w:r>
    </w:p>
    <w:p w:rsidR="00A52DD6" w:rsidRPr="00E8172F" w:rsidRDefault="00A52DD6" w:rsidP="00A52DD6">
      <w:pPr>
        <w:jc w:val="left"/>
        <w:rPr>
          <w:rFonts w:ascii="Arial" w:hAnsi="Arial" w:cs="Arial"/>
          <w:b/>
        </w:rPr>
      </w:pPr>
      <w:r>
        <w:rPr>
          <w:rFonts w:ascii="Arial" w:hAnsi="Arial"/>
          <w:i/>
        </w:rPr>
        <w:t xml:space="preserve">December </w:t>
      </w:r>
      <w:r w:rsidRPr="000C2C25">
        <w:rPr>
          <w:rFonts w:ascii="Arial" w:hAnsi="Arial"/>
          <w:i/>
        </w:rPr>
        <w:t>201</w:t>
      </w:r>
      <w:r>
        <w:rPr>
          <w:rFonts w:ascii="Arial" w:hAnsi="Arial"/>
          <w:i/>
        </w:rPr>
        <w:t>5</w:t>
      </w:r>
      <w:r w:rsidRPr="00E8172F">
        <w:rPr>
          <w:rFonts w:ascii="Arial" w:hAnsi="Arial" w:cs="Arial"/>
          <w:sz w:val="22"/>
        </w:rPr>
        <w:br w:type="page"/>
      </w:r>
      <w:r w:rsidRPr="00E8172F">
        <w:rPr>
          <w:rFonts w:ascii="Arial" w:hAnsi="Arial" w:cs="Arial"/>
          <w:b/>
        </w:rPr>
        <w:lastRenderedPageBreak/>
        <w:t>ANNEX A – High level outline of MLC Acute Care Programme Review</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Preparation of activity and cost data for the seven diagnostic groups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Read Robertson Centre for Biostatistics report and other relevant materials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Identification of potential indicators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Scope stability of activity and cost data and preferred size of analysis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Initial test of data stability, agreed potential functional forms, age splits, 'medium' list of indicators, and preferred geographies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Initial statistical results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Agree short list of indicators, final functional form, age split and geography - initial assessment against core criteria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Statistical results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Assessment against TAGRA core criteria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Analysis of final preferred set of options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Assessment against TAGRA core criteria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 xml:space="preserve">Draft Final Report </w:t>
      </w:r>
    </w:p>
    <w:p w:rsidR="00A52DD6" w:rsidRPr="001561F3" w:rsidRDefault="00A52DD6" w:rsidP="00A52DD6">
      <w:pPr>
        <w:numPr>
          <w:ilvl w:val="0"/>
          <w:numId w:val="8"/>
        </w:numPr>
        <w:spacing w:after="360"/>
        <w:rPr>
          <w:rFonts w:ascii="Arial" w:hAnsi="Arial" w:cs="Arial"/>
          <w:sz w:val="22"/>
          <w:szCs w:val="22"/>
        </w:rPr>
      </w:pPr>
      <w:r w:rsidRPr="001561F3">
        <w:rPr>
          <w:rFonts w:ascii="Arial" w:hAnsi="Arial" w:cs="Arial"/>
          <w:sz w:val="22"/>
          <w:szCs w:val="22"/>
        </w:rPr>
        <w:t>Present recommendations to TAGRA</w:t>
      </w: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A52DD6" w:rsidRPr="00E8172F" w:rsidRDefault="00A52DD6" w:rsidP="00A52DD6">
      <w:pPr>
        <w:rPr>
          <w:rFonts w:ascii="Arial" w:hAnsi="Arial" w:cs="Arial"/>
          <w:b/>
        </w:rPr>
      </w:pPr>
    </w:p>
    <w:p w:rsidR="00E3599D" w:rsidRDefault="00E3599D" w:rsidP="00E36759"/>
    <w:sectPr w:rsidR="00E3599D"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DD6" w:rsidRDefault="00A52DD6">
      <w:r>
        <w:separator/>
      </w:r>
    </w:p>
  </w:endnote>
  <w:endnote w:type="continuationSeparator" w:id="0">
    <w:p w:rsidR="00A52DD6" w:rsidRDefault="00A5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D6" w:rsidRPr="00A52DD6" w:rsidRDefault="00A52DD6" w:rsidP="00A52DD6">
    <w:pPr>
      <w:pStyle w:val="Footer"/>
      <w:jc w:val="center"/>
      <w:rPr>
        <w:sz w:val="20"/>
        <w:szCs w:val="20"/>
      </w:rPr>
    </w:pPr>
    <w:r w:rsidRPr="00A52DD6">
      <w:rPr>
        <w:sz w:val="20"/>
        <w:szCs w:val="20"/>
      </w:rPr>
      <w:fldChar w:fldCharType="begin"/>
    </w:r>
    <w:r w:rsidRPr="00A52DD6">
      <w:rPr>
        <w:sz w:val="20"/>
        <w:szCs w:val="20"/>
      </w:rPr>
      <w:instrText xml:space="preserve"> PAGE   \* MERGEFORMAT </w:instrText>
    </w:r>
    <w:r w:rsidRPr="00A52DD6">
      <w:rPr>
        <w:sz w:val="20"/>
        <w:szCs w:val="20"/>
      </w:rPr>
      <w:fldChar w:fldCharType="separate"/>
    </w:r>
    <w:r w:rsidR="0034023C">
      <w:rPr>
        <w:noProof/>
        <w:sz w:val="20"/>
        <w:szCs w:val="20"/>
      </w:rPr>
      <w:t>1</w:t>
    </w:r>
    <w:r w:rsidRPr="00A52DD6">
      <w:rPr>
        <w:noProof/>
        <w:sz w:val="20"/>
        <w:szCs w:val="20"/>
      </w:rPr>
      <w:fldChar w:fldCharType="end"/>
    </w:r>
  </w:p>
  <w:p w:rsidR="00A52DD6" w:rsidRDefault="00A52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DD6" w:rsidRDefault="00A52DD6">
      <w:r>
        <w:separator/>
      </w:r>
    </w:p>
  </w:footnote>
  <w:footnote w:type="continuationSeparator" w:id="0">
    <w:p w:rsidR="00A52DD6" w:rsidRDefault="00A52DD6">
      <w:r>
        <w:continuationSeparator/>
      </w:r>
    </w:p>
  </w:footnote>
  <w:footnote w:id="1">
    <w:p w:rsidR="00A52DD6" w:rsidRDefault="00A52DD6" w:rsidP="00A52DD6">
      <w:pPr>
        <w:pStyle w:val="FootnoteText"/>
      </w:pPr>
      <w:r>
        <w:rPr>
          <w:rStyle w:val="FootnoteReference"/>
        </w:rPr>
        <w:footnoteRef/>
      </w:r>
      <w:r>
        <w:t xml:space="preserve"> Other than the baseline funding provided to NHS Territorial Boards (through NRAC) and Special Boards, the Health and Wellbeing Portfolio Budget also covers, amongst other things; General Medical, Dental and Ophthalmic Services and Health Improvement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DD6" w:rsidRDefault="00A52DD6" w:rsidP="00CA3C24">
    <w:pPr>
      <w:pStyle w:val="Repeatingheader"/>
      <w:tabs>
        <w:tab w:val="right" w:pos="8280"/>
        <w:tab w:val="left" w:pos="8760"/>
        <w:tab w:val="left" w:pos="9885"/>
        <w:tab w:val="left" w:pos="12735"/>
      </w:tabs>
    </w:pPr>
    <w:r>
      <w:t>Fair Shares for Health in Scotland</w:t>
    </w:r>
    <w:r>
      <w:tab/>
      <w:t>TAGRA(201</w:t>
    </w:r>
    <w:r w:rsidR="00577DDF">
      <w:t>6)</w:t>
    </w:r>
    <w:r w:rsidR="000F1544">
      <w:t>0</w:t>
    </w:r>
    <w:r w:rsidR="00577DDF">
      <w:t>3</w:t>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8A82CB8"/>
    <w:multiLevelType w:val="hybridMultilevel"/>
    <w:tmpl w:val="374CA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B10CFB"/>
    <w:multiLevelType w:val="hybridMultilevel"/>
    <w:tmpl w:val="4AA03102"/>
    <w:lvl w:ilvl="0" w:tplc="D248A134">
      <w:start w:val="1"/>
      <w:numFmt w:val="decimal"/>
      <w:pStyle w:val="Numberedparagraphs"/>
      <w:lvlText w:val="%1."/>
      <w:lvlJc w:val="left"/>
      <w:pPr>
        <w:tabs>
          <w:tab w:val="num" w:pos="567"/>
        </w:tabs>
        <w:ind w:left="0" w:firstLine="0"/>
      </w:pPr>
      <w:rPr>
        <w:rFonts w:hint="default"/>
      </w:rPr>
    </w:lvl>
    <w:lvl w:ilvl="1" w:tplc="FFFFFFFF">
      <w:start w:val="1"/>
      <w:numFmt w:val="bullet"/>
      <w:pStyle w:val="StyleLatinArialComplexArialComplex12ptLeft"/>
      <w:lvlText w:val=""/>
      <w:lvlJc w:val="left"/>
      <w:pPr>
        <w:tabs>
          <w:tab w:val="num" w:pos="1420"/>
        </w:tabs>
        <w:ind w:left="1420" w:hanging="340"/>
      </w:pPr>
      <w:rPr>
        <w:rFonts w:ascii="Symbol" w:hAnsi="Symbol" w:hint="default"/>
      </w:rPr>
    </w:lvl>
    <w:lvl w:ilvl="2" w:tplc="08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F2B3DA5"/>
    <w:multiLevelType w:val="hybridMultilevel"/>
    <w:tmpl w:val="6360C7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5">
    <w:nsid w:val="67FC6B5E"/>
    <w:multiLevelType w:val="multilevel"/>
    <w:tmpl w:val="7A162B1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nsid w:val="78D42C59"/>
    <w:multiLevelType w:val="multilevel"/>
    <w:tmpl w:val="60C4D03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0"/>
  </w:num>
  <w:num w:numId="4">
    <w:abstractNumId w:val="0"/>
  </w:num>
  <w:num w:numId="5">
    <w:abstractNumId w:val="5"/>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DD6"/>
    <w:rsid w:val="00012B17"/>
    <w:rsid w:val="000F1544"/>
    <w:rsid w:val="00100021"/>
    <w:rsid w:val="001267F7"/>
    <w:rsid w:val="00157346"/>
    <w:rsid w:val="0017624D"/>
    <w:rsid w:val="00192DC7"/>
    <w:rsid w:val="002F3688"/>
    <w:rsid w:val="0034023C"/>
    <w:rsid w:val="003F2479"/>
    <w:rsid w:val="00411FC4"/>
    <w:rsid w:val="00491F57"/>
    <w:rsid w:val="00566E7A"/>
    <w:rsid w:val="00577DDF"/>
    <w:rsid w:val="00597280"/>
    <w:rsid w:val="0067486A"/>
    <w:rsid w:val="006D26F7"/>
    <w:rsid w:val="00952710"/>
    <w:rsid w:val="00955C1E"/>
    <w:rsid w:val="009F712E"/>
    <w:rsid w:val="009F71B8"/>
    <w:rsid w:val="00A35A6A"/>
    <w:rsid w:val="00A52DD6"/>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D6"/>
    <w:pPr>
      <w:spacing w:after="240"/>
      <w:jc w:val="both"/>
    </w:pPr>
    <w:rPr>
      <w:rFonts w:ascii="Times New Roman" w:hAnsi="Times New Roman"/>
      <w:szCs w:val="24"/>
    </w:rPr>
  </w:style>
  <w:style w:type="paragraph" w:styleId="Heading1">
    <w:name w:val="heading 1"/>
    <w:aliases w:val="Outline1,Title of paper"/>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ind w:left="2160"/>
    </w:pPr>
    <w:rPr>
      <w:kern w:val="24"/>
    </w:rPr>
  </w:style>
  <w:style w:type="paragraph" w:customStyle="1" w:styleId="Outline7">
    <w:name w:val="Outline7"/>
    <w:basedOn w:val="Normal"/>
    <w:next w:val="Normal"/>
    <w:rsid w:val="00AB54FF"/>
    <w:pPr>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customStyle="1" w:styleId="Repeatingheader">
    <w:name w:val="Repeating header"/>
    <w:basedOn w:val="Normal"/>
    <w:rsid w:val="00A52DD6"/>
    <w:rPr>
      <w:i/>
      <w:iCs/>
      <w:szCs w:val="20"/>
    </w:rPr>
  </w:style>
  <w:style w:type="paragraph" w:customStyle="1" w:styleId="NameofDocument">
    <w:name w:val="Name of Document"/>
    <w:rsid w:val="00A52DD6"/>
    <w:pPr>
      <w:spacing w:after="480"/>
    </w:pPr>
    <w:rPr>
      <w:rFonts w:ascii="Times New Roman" w:hAnsi="Times New Roman" w:cs="Arial"/>
      <w:b/>
      <w:bCs/>
      <w:caps/>
      <w:kern w:val="32"/>
      <w:sz w:val="32"/>
      <w:szCs w:val="32"/>
    </w:rPr>
  </w:style>
  <w:style w:type="paragraph" w:customStyle="1" w:styleId="Numberedparagraphs">
    <w:name w:val="Numbered paragraphs"/>
    <w:basedOn w:val="Normal"/>
    <w:link w:val="NumberedparagraphsChar"/>
    <w:rsid w:val="00A52DD6"/>
    <w:pPr>
      <w:numPr>
        <w:numId w:val="7"/>
      </w:numPr>
    </w:pPr>
  </w:style>
  <w:style w:type="paragraph" w:customStyle="1" w:styleId="TAGRAPAPERNUMBER">
    <w:name w:val="TAGRA PAPER NUMBER"/>
    <w:basedOn w:val="Repeatingheader"/>
    <w:rsid w:val="00A52DD6"/>
    <w:rPr>
      <w:i w:val="0"/>
      <w:iCs w:val="0"/>
    </w:rPr>
  </w:style>
  <w:style w:type="paragraph" w:customStyle="1" w:styleId="StyleLatinArialComplexArialComplex12ptLeft">
    <w:name w:val="Style (Latin) Arial (Complex) Arial (Complex) 12 pt Left"/>
    <w:basedOn w:val="Normal"/>
    <w:rsid w:val="00A52DD6"/>
    <w:pPr>
      <w:numPr>
        <w:ilvl w:val="1"/>
        <w:numId w:val="7"/>
      </w:numPr>
    </w:pPr>
  </w:style>
  <w:style w:type="paragraph" w:styleId="ListParagraph">
    <w:name w:val="List Paragraph"/>
    <w:basedOn w:val="Normal"/>
    <w:qFormat/>
    <w:rsid w:val="00A52DD6"/>
    <w:pPr>
      <w:spacing w:after="0"/>
      <w:ind w:left="720"/>
      <w:jc w:val="left"/>
    </w:pPr>
    <w:rPr>
      <w:rFonts w:ascii="Calibri" w:hAnsi="Calibri"/>
      <w:sz w:val="22"/>
      <w:szCs w:val="22"/>
      <w:lang w:eastAsia="en-US"/>
    </w:rPr>
  </w:style>
  <w:style w:type="character" w:customStyle="1" w:styleId="FooterChar">
    <w:name w:val="Footer Char"/>
    <w:link w:val="Footer"/>
    <w:uiPriority w:val="99"/>
    <w:rsid w:val="00A52DD6"/>
    <w:rPr>
      <w:lang w:eastAsia="en-US"/>
    </w:rPr>
  </w:style>
  <w:style w:type="character" w:customStyle="1" w:styleId="NumberedparagraphsChar">
    <w:name w:val="Numbered paragraphs Char"/>
    <w:link w:val="Numberedparagraphs"/>
    <w:rsid w:val="00A52DD6"/>
    <w:rPr>
      <w:rFonts w:ascii="Times New Roman" w:hAnsi="Times New Roman"/>
      <w:szCs w:val="24"/>
    </w:rPr>
  </w:style>
  <w:style w:type="paragraph" w:styleId="FootnoteText">
    <w:name w:val="footnote text"/>
    <w:basedOn w:val="Normal"/>
    <w:link w:val="FootnoteTextChar"/>
    <w:rsid w:val="00A52DD6"/>
    <w:rPr>
      <w:sz w:val="20"/>
      <w:szCs w:val="20"/>
    </w:rPr>
  </w:style>
  <w:style w:type="character" w:customStyle="1" w:styleId="FootnoteTextChar">
    <w:name w:val="Footnote Text Char"/>
    <w:basedOn w:val="DefaultParagraphFont"/>
    <w:link w:val="FootnoteText"/>
    <w:rsid w:val="00A52DD6"/>
    <w:rPr>
      <w:rFonts w:ascii="Times New Roman" w:hAnsi="Times New Roman"/>
      <w:sz w:val="20"/>
    </w:rPr>
  </w:style>
  <w:style w:type="character" w:styleId="FootnoteReference">
    <w:name w:val="footnote reference"/>
    <w:rsid w:val="00A52DD6"/>
    <w:rPr>
      <w:vertAlign w:val="superscript"/>
    </w:rPr>
  </w:style>
  <w:style w:type="paragraph" w:styleId="BalloonText">
    <w:name w:val="Balloon Text"/>
    <w:basedOn w:val="Normal"/>
    <w:link w:val="BalloonTextChar"/>
    <w:uiPriority w:val="99"/>
    <w:semiHidden/>
    <w:unhideWhenUsed/>
    <w:rsid w:val="00A52D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D6"/>
    <w:pPr>
      <w:spacing w:after="240"/>
      <w:jc w:val="both"/>
    </w:pPr>
    <w:rPr>
      <w:rFonts w:ascii="Times New Roman" w:hAnsi="Times New Roman"/>
      <w:szCs w:val="24"/>
    </w:rPr>
  </w:style>
  <w:style w:type="paragraph" w:styleId="Heading1">
    <w:name w:val="heading 1"/>
    <w:aliases w:val="Outline1,Title of paper"/>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ind w:left="2160"/>
    </w:pPr>
    <w:rPr>
      <w:kern w:val="24"/>
    </w:rPr>
  </w:style>
  <w:style w:type="paragraph" w:customStyle="1" w:styleId="Outline7">
    <w:name w:val="Outline7"/>
    <w:basedOn w:val="Normal"/>
    <w:next w:val="Normal"/>
    <w:rsid w:val="00AB54FF"/>
    <w:pPr>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customStyle="1" w:styleId="Repeatingheader">
    <w:name w:val="Repeating header"/>
    <w:basedOn w:val="Normal"/>
    <w:rsid w:val="00A52DD6"/>
    <w:rPr>
      <w:i/>
      <w:iCs/>
      <w:szCs w:val="20"/>
    </w:rPr>
  </w:style>
  <w:style w:type="paragraph" w:customStyle="1" w:styleId="NameofDocument">
    <w:name w:val="Name of Document"/>
    <w:rsid w:val="00A52DD6"/>
    <w:pPr>
      <w:spacing w:after="480"/>
    </w:pPr>
    <w:rPr>
      <w:rFonts w:ascii="Times New Roman" w:hAnsi="Times New Roman" w:cs="Arial"/>
      <w:b/>
      <w:bCs/>
      <w:caps/>
      <w:kern w:val="32"/>
      <w:sz w:val="32"/>
      <w:szCs w:val="32"/>
    </w:rPr>
  </w:style>
  <w:style w:type="paragraph" w:customStyle="1" w:styleId="Numberedparagraphs">
    <w:name w:val="Numbered paragraphs"/>
    <w:basedOn w:val="Normal"/>
    <w:link w:val="NumberedparagraphsChar"/>
    <w:rsid w:val="00A52DD6"/>
    <w:pPr>
      <w:numPr>
        <w:numId w:val="7"/>
      </w:numPr>
    </w:pPr>
  </w:style>
  <w:style w:type="paragraph" w:customStyle="1" w:styleId="TAGRAPAPERNUMBER">
    <w:name w:val="TAGRA PAPER NUMBER"/>
    <w:basedOn w:val="Repeatingheader"/>
    <w:rsid w:val="00A52DD6"/>
    <w:rPr>
      <w:i w:val="0"/>
      <w:iCs w:val="0"/>
    </w:rPr>
  </w:style>
  <w:style w:type="paragraph" w:customStyle="1" w:styleId="StyleLatinArialComplexArialComplex12ptLeft">
    <w:name w:val="Style (Latin) Arial (Complex) Arial (Complex) 12 pt Left"/>
    <w:basedOn w:val="Normal"/>
    <w:rsid w:val="00A52DD6"/>
    <w:pPr>
      <w:numPr>
        <w:ilvl w:val="1"/>
        <w:numId w:val="7"/>
      </w:numPr>
    </w:pPr>
  </w:style>
  <w:style w:type="paragraph" w:styleId="ListParagraph">
    <w:name w:val="List Paragraph"/>
    <w:basedOn w:val="Normal"/>
    <w:qFormat/>
    <w:rsid w:val="00A52DD6"/>
    <w:pPr>
      <w:spacing w:after="0"/>
      <w:ind w:left="720"/>
      <w:jc w:val="left"/>
    </w:pPr>
    <w:rPr>
      <w:rFonts w:ascii="Calibri" w:hAnsi="Calibri"/>
      <w:sz w:val="22"/>
      <w:szCs w:val="22"/>
      <w:lang w:eastAsia="en-US"/>
    </w:rPr>
  </w:style>
  <w:style w:type="character" w:customStyle="1" w:styleId="FooterChar">
    <w:name w:val="Footer Char"/>
    <w:link w:val="Footer"/>
    <w:uiPriority w:val="99"/>
    <w:rsid w:val="00A52DD6"/>
    <w:rPr>
      <w:lang w:eastAsia="en-US"/>
    </w:rPr>
  </w:style>
  <w:style w:type="character" w:customStyle="1" w:styleId="NumberedparagraphsChar">
    <w:name w:val="Numbered paragraphs Char"/>
    <w:link w:val="Numberedparagraphs"/>
    <w:rsid w:val="00A52DD6"/>
    <w:rPr>
      <w:rFonts w:ascii="Times New Roman" w:hAnsi="Times New Roman"/>
      <w:szCs w:val="24"/>
    </w:rPr>
  </w:style>
  <w:style w:type="paragraph" w:styleId="FootnoteText">
    <w:name w:val="footnote text"/>
    <w:basedOn w:val="Normal"/>
    <w:link w:val="FootnoteTextChar"/>
    <w:rsid w:val="00A52DD6"/>
    <w:rPr>
      <w:sz w:val="20"/>
      <w:szCs w:val="20"/>
    </w:rPr>
  </w:style>
  <w:style w:type="character" w:customStyle="1" w:styleId="FootnoteTextChar">
    <w:name w:val="Footnote Text Char"/>
    <w:basedOn w:val="DefaultParagraphFont"/>
    <w:link w:val="FootnoteText"/>
    <w:rsid w:val="00A52DD6"/>
    <w:rPr>
      <w:rFonts w:ascii="Times New Roman" w:hAnsi="Times New Roman"/>
      <w:sz w:val="20"/>
    </w:rPr>
  </w:style>
  <w:style w:type="character" w:styleId="FootnoteReference">
    <w:name w:val="footnote reference"/>
    <w:rsid w:val="00A52DD6"/>
    <w:rPr>
      <w:vertAlign w:val="superscript"/>
    </w:rPr>
  </w:style>
  <w:style w:type="paragraph" w:styleId="BalloonText">
    <w:name w:val="Balloon Text"/>
    <w:basedOn w:val="Normal"/>
    <w:link w:val="BalloonTextChar"/>
    <w:uiPriority w:val="99"/>
    <w:semiHidden/>
    <w:unhideWhenUsed/>
    <w:rsid w:val="00A52D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1884</Words>
  <Characters>10173</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u440905</cp:lastModifiedBy>
  <cp:revision>2</cp:revision>
  <dcterms:created xsi:type="dcterms:W3CDTF">2016-02-16T09:55:00Z</dcterms:created>
  <dcterms:modified xsi:type="dcterms:W3CDTF">2016-02-16T09:55:00Z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A13417153</vt:lpwstr>
  </property>
  <property fmtid="{D5CDD505-2E9C-101B-9397-08002B2CF9AE}" pid="4" name="Objective-Title">
    <vt:lpwstr>ASDHD \ 2016 \ TAGRA \ Meeting 1 \ Paper TAGRA(2016)03 - Work Plan</vt:lpwstr>
  </property>
  <property fmtid="{D5CDD505-2E9C-101B-9397-08002B2CF9AE}" pid="5" name="Objective-Comment">
    <vt:lpwstr>
    </vt:lpwstr>
  </property>
  <property fmtid="{D5CDD505-2E9C-101B-9397-08002B2CF9AE}" pid="6" name="Objective-CreationStamp">
    <vt:filetime>2016-02-12T15:17:25Z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2016-02-12T15:17:26Z</vt:filetime>
  </property>
  <property fmtid="{D5CDD505-2E9C-101B-9397-08002B2CF9AE}" pid="11" name="Objective-Owner">
    <vt:lpwstr>Williams, Evan E (U440905)</vt:lpwstr>
  </property>
  <property fmtid="{D5CDD505-2E9C-101B-9397-08002B2CF9AE}" pid="12" name="Objective-Path">
    <vt:lpwstr>Objective Global Folder:SG File Plan:Health, nutrition and care:National Health Service (NHS):NHS management:Committees and groups: NHS management:Analytical: NHS Scotland Resource Allocation Committee: Restricted working papers: Implementation: Committee</vt:lpwstr>
  </property>
  <property fmtid="{D5CDD505-2E9C-101B-9397-08002B2CF9AE}" pid="13" name="Objective-Parent">
    <vt:lpwstr>Analytical: NHS Scotland Resource Allocation Committee: Restricted working papers: Implementation: Committees and Groups: NHS Management: 2014-2019</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