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5" w:rsidRDefault="00E20E15" w:rsidP="00E20E15">
      <w:pPr>
        <w:jc w:val="center"/>
        <w:rPr>
          <w:rFonts w:ascii="Arial" w:hAnsi="Arial" w:cs="Arial"/>
          <w:b/>
        </w:rPr>
      </w:pPr>
      <w:r>
        <w:rPr>
          <w:rFonts w:ascii="Arial" w:hAnsi="Arial" w:cs="Arial"/>
          <w:b/>
        </w:rPr>
        <w:t>AGENDA</w:t>
      </w:r>
    </w:p>
    <w:p w:rsidR="00E20E15" w:rsidRPr="002872AB" w:rsidRDefault="00E20E15" w:rsidP="00E20E15">
      <w:pPr>
        <w:jc w:val="center"/>
        <w:rPr>
          <w:rFonts w:ascii="Arial" w:hAnsi="Arial" w:cs="Arial"/>
          <w:b/>
        </w:rPr>
      </w:pPr>
      <w:r>
        <w:rPr>
          <w:rFonts w:ascii="Arial" w:hAnsi="Arial" w:cs="Arial"/>
          <w:b/>
        </w:rPr>
        <w:t>TAGRA – 2</w:t>
      </w:r>
      <w:r w:rsidR="00653200">
        <w:rPr>
          <w:rFonts w:ascii="Arial" w:hAnsi="Arial" w:cs="Arial"/>
          <w:b/>
        </w:rPr>
        <w:t>5</w:t>
      </w:r>
      <w:r>
        <w:rPr>
          <w:rFonts w:ascii="Arial" w:hAnsi="Arial" w:cs="Arial"/>
          <w:b/>
          <w:vertAlign w:val="superscript"/>
        </w:rPr>
        <w:t>th</w:t>
      </w:r>
      <w:r>
        <w:rPr>
          <w:rFonts w:ascii="Arial" w:hAnsi="Arial" w:cs="Arial"/>
          <w:b/>
        </w:rPr>
        <w:t xml:space="preserve"> MEETING – </w:t>
      </w:r>
      <w:proofErr w:type="spellStart"/>
      <w:r w:rsidR="00653200">
        <w:rPr>
          <w:rFonts w:ascii="Arial" w:hAnsi="Arial" w:cs="Arial"/>
          <w:b/>
        </w:rPr>
        <w:t>10</w:t>
      </w:r>
      <w:r w:rsidRPr="002872AB">
        <w:rPr>
          <w:rFonts w:ascii="Arial" w:hAnsi="Arial" w:cs="Arial"/>
          <w:b/>
          <w:vertAlign w:val="superscript"/>
        </w:rPr>
        <w:t>TH</w:t>
      </w:r>
      <w:proofErr w:type="spellEnd"/>
      <w:r w:rsidR="00E01AC9">
        <w:rPr>
          <w:rFonts w:ascii="Arial" w:hAnsi="Arial" w:cs="Arial"/>
          <w:b/>
        </w:rPr>
        <w:t xml:space="preserve"> </w:t>
      </w:r>
      <w:r w:rsidR="00653200">
        <w:rPr>
          <w:rFonts w:ascii="Arial" w:hAnsi="Arial" w:cs="Arial"/>
          <w:b/>
        </w:rPr>
        <w:t>MAY</w:t>
      </w:r>
      <w:r w:rsidR="00E01AC9">
        <w:rPr>
          <w:rFonts w:ascii="Arial" w:hAnsi="Arial" w:cs="Arial"/>
          <w:b/>
        </w:rPr>
        <w:t xml:space="preserve"> 2016</w:t>
      </w:r>
    </w:p>
    <w:p w:rsidR="00E20E15" w:rsidRPr="002872AB" w:rsidRDefault="00653200" w:rsidP="00E20E15">
      <w:pPr>
        <w:jc w:val="center"/>
        <w:rPr>
          <w:rFonts w:ascii="Arial" w:hAnsi="Arial" w:cs="Arial"/>
          <w:b/>
        </w:rPr>
      </w:pPr>
      <w:r>
        <w:rPr>
          <w:rFonts w:ascii="Arial" w:hAnsi="Arial" w:cs="Arial"/>
          <w:b/>
        </w:rPr>
        <w:t>14</w:t>
      </w:r>
      <w:r w:rsidR="00E20E15" w:rsidRPr="002872AB">
        <w:rPr>
          <w:rFonts w:ascii="Arial" w:hAnsi="Arial" w:cs="Arial"/>
          <w:b/>
        </w:rPr>
        <w:t xml:space="preserve">:00 </w:t>
      </w:r>
      <w:r w:rsidR="00E20E15" w:rsidRPr="00F724C9">
        <w:rPr>
          <w:rFonts w:ascii="Arial" w:hAnsi="Arial" w:cs="Arial"/>
          <w:b/>
        </w:rPr>
        <w:t>– 16:00</w:t>
      </w:r>
      <w:r w:rsidR="00E20E15" w:rsidRPr="002872AB">
        <w:rPr>
          <w:rFonts w:ascii="Arial" w:hAnsi="Arial" w:cs="Arial"/>
          <w:b/>
        </w:rPr>
        <w:t xml:space="preserve">, </w:t>
      </w:r>
      <w:r>
        <w:rPr>
          <w:rFonts w:ascii="Arial" w:hAnsi="Arial" w:cs="Arial"/>
          <w:b/>
        </w:rPr>
        <w:t>Conference Room 3</w:t>
      </w:r>
      <w:r w:rsidR="00E20E15">
        <w:rPr>
          <w:rFonts w:ascii="Arial" w:hAnsi="Arial" w:cs="Arial"/>
          <w:b/>
        </w:rPr>
        <w:t xml:space="preserve">, </w:t>
      </w:r>
      <w:r>
        <w:rPr>
          <w:rFonts w:ascii="Arial" w:hAnsi="Arial" w:cs="Arial"/>
          <w:b/>
        </w:rPr>
        <w:t>Victoria Quay</w:t>
      </w:r>
      <w:r w:rsidR="00E20E15">
        <w:rPr>
          <w:rFonts w:ascii="Arial" w:hAnsi="Arial" w:cs="Arial"/>
          <w:b/>
        </w:rPr>
        <w:t>, Edinburgh</w:t>
      </w:r>
    </w:p>
    <w:p w:rsidR="00E20E15" w:rsidRDefault="00E20E15" w:rsidP="00E20E15">
      <w:pPr>
        <w:rPr>
          <w:rFonts w:ascii="Arial" w:hAnsi="Arial" w:cs="Arial"/>
        </w:rPr>
      </w:pPr>
      <w:r w:rsidRPr="002872AB">
        <w:rPr>
          <w:rFonts w:ascii="Arial" w:hAnsi="Arial" w:cs="Arial"/>
        </w:rPr>
        <w:tab/>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Welcome and apologies</w:t>
      </w:r>
    </w:p>
    <w:p w:rsidR="00E20E15" w:rsidRDefault="00E20E15" w:rsidP="00E20E15">
      <w:pPr>
        <w:numPr>
          <w:ilvl w:val="0"/>
          <w:numId w:val="5"/>
        </w:numPr>
        <w:tabs>
          <w:tab w:val="num" w:pos="1080"/>
        </w:tabs>
        <w:ind w:left="1080"/>
        <w:rPr>
          <w:rFonts w:ascii="Arial" w:hAnsi="Arial" w:cs="Arial"/>
        </w:rPr>
      </w:pPr>
      <w:r w:rsidRPr="000A33BA">
        <w:rPr>
          <w:rFonts w:ascii="Arial" w:hAnsi="Arial" w:cs="Arial"/>
        </w:rPr>
        <w:t>Minutes of last meeting and updates on actions</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Update from the SAF Review</w:t>
      </w:r>
      <w:r>
        <w:rPr>
          <w:rFonts w:ascii="Arial" w:hAnsi="Arial" w:cs="Arial"/>
        </w:rPr>
        <w:t xml:space="preserve"> </w:t>
      </w:r>
      <w:r w:rsidR="004C4727">
        <w:rPr>
          <w:rFonts w:ascii="Arial" w:hAnsi="Arial" w:cs="Arial"/>
        </w:rPr>
        <w:t>– Presentation</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 xml:space="preserve">Update from </w:t>
      </w:r>
      <w:r w:rsidR="0051186C">
        <w:rPr>
          <w:rFonts w:ascii="Arial" w:hAnsi="Arial" w:cs="Arial"/>
        </w:rPr>
        <w:t xml:space="preserve">the </w:t>
      </w:r>
      <w:r w:rsidRPr="000A33BA">
        <w:rPr>
          <w:rFonts w:ascii="Arial" w:hAnsi="Arial" w:cs="Arial"/>
        </w:rPr>
        <w:t>Acute MLC Subgroup</w:t>
      </w:r>
      <w:r>
        <w:rPr>
          <w:rFonts w:ascii="Arial" w:hAnsi="Arial" w:cs="Arial"/>
        </w:rPr>
        <w:t xml:space="preserve"> – </w:t>
      </w:r>
      <w:r w:rsidRPr="000A33BA">
        <w:rPr>
          <w:rFonts w:ascii="Arial" w:hAnsi="Arial" w:cs="Arial"/>
          <w:b/>
        </w:rPr>
        <w:t>TAGRA(</w:t>
      </w:r>
      <w:r w:rsidR="00E01AC9">
        <w:rPr>
          <w:rFonts w:ascii="Arial" w:hAnsi="Arial" w:cs="Arial"/>
          <w:b/>
        </w:rPr>
        <w:t>2016</w:t>
      </w:r>
      <w:r>
        <w:rPr>
          <w:rFonts w:ascii="Arial" w:hAnsi="Arial" w:cs="Arial"/>
          <w:b/>
        </w:rPr>
        <w:t>)</w:t>
      </w:r>
      <w:r w:rsidR="004C4727">
        <w:rPr>
          <w:rFonts w:ascii="Arial" w:hAnsi="Arial" w:cs="Arial"/>
          <w:b/>
        </w:rPr>
        <w:t>4</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Work Plan</w:t>
      </w:r>
      <w:r>
        <w:rPr>
          <w:rFonts w:ascii="Arial" w:hAnsi="Arial" w:cs="Arial"/>
        </w:rPr>
        <w:t xml:space="preserve"> – </w:t>
      </w:r>
      <w:r w:rsidRPr="000A33BA">
        <w:rPr>
          <w:rFonts w:ascii="Arial" w:hAnsi="Arial" w:cs="Arial"/>
          <w:b/>
        </w:rPr>
        <w:t>TAGRA(</w:t>
      </w:r>
      <w:r w:rsidR="00E01AC9">
        <w:rPr>
          <w:rFonts w:ascii="Arial" w:hAnsi="Arial" w:cs="Arial"/>
          <w:b/>
        </w:rPr>
        <w:t>2016</w:t>
      </w:r>
      <w:r>
        <w:rPr>
          <w:rFonts w:ascii="Arial" w:hAnsi="Arial" w:cs="Arial"/>
          <w:b/>
        </w:rPr>
        <w:t>)</w:t>
      </w:r>
      <w:r w:rsidR="004C4727">
        <w:rPr>
          <w:rFonts w:ascii="Arial" w:hAnsi="Arial" w:cs="Arial"/>
          <w:b/>
        </w:rPr>
        <w:t>5</w:t>
      </w:r>
    </w:p>
    <w:p w:rsidR="00E20E15" w:rsidRPr="000A33BA" w:rsidRDefault="00CC7056" w:rsidP="00E20E15">
      <w:pPr>
        <w:numPr>
          <w:ilvl w:val="0"/>
          <w:numId w:val="5"/>
        </w:numPr>
        <w:tabs>
          <w:tab w:val="num" w:pos="1080"/>
        </w:tabs>
        <w:ind w:left="1080"/>
        <w:rPr>
          <w:rFonts w:ascii="Arial" w:hAnsi="Arial" w:cs="Arial"/>
        </w:rPr>
      </w:pPr>
      <w:proofErr w:type="spellStart"/>
      <w:r>
        <w:rPr>
          <w:rFonts w:ascii="Arial" w:hAnsi="Arial" w:cs="Arial"/>
        </w:rPr>
        <w:t>A.O.B</w:t>
      </w:r>
      <w:proofErr w:type="spellEnd"/>
      <w:r>
        <w:rPr>
          <w:rFonts w:ascii="Arial" w:hAnsi="Arial" w:cs="Arial"/>
        </w:rPr>
        <w:t>. and date of next meeting</w:t>
      </w:r>
    </w:p>
    <w:p w:rsidR="00E20E15" w:rsidRPr="000A33BA" w:rsidRDefault="00E20E15" w:rsidP="00E20E15">
      <w:pPr>
        <w:rPr>
          <w:rFonts w:ascii="Arial" w:hAnsi="Arial" w:cs="Arial"/>
        </w:rPr>
      </w:pPr>
      <w:r w:rsidRPr="000A33BA">
        <w:rPr>
          <w:rFonts w:ascii="Arial" w:hAnsi="Arial" w:cs="Arial"/>
        </w:rPr>
        <w:tab/>
      </w:r>
    </w:p>
    <w:p w:rsidR="00E20E15" w:rsidRPr="00F6506B" w:rsidRDefault="00E20E15" w:rsidP="00E20E15">
      <w:pPr>
        <w:ind w:left="1080"/>
        <w:rPr>
          <w:rFonts w:ascii="Arial" w:hAnsi="Arial" w:cs="Arial"/>
        </w:rPr>
      </w:pPr>
      <w:r w:rsidRPr="00663E0F">
        <w:rPr>
          <w:rFonts w:ascii="Arial" w:hAnsi="Arial"/>
        </w:rPr>
        <w:tab/>
      </w:r>
    </w:p>
    <w:p w:rsidR="00E20E15" w:rsidRDefault="00E20E15" w:rsidP="00E20E15">
      <w:pPr>
        <w:rPr>
          <w:rFonts w:ascii="Arial" w:hAnsi="Arial"/>
          <w:b/>
        </w:rPr>
      </w:pPr>
      <w:r>
        <w:rPr>
          <w:rFonts w:ascii="Arial" w:hAnsi="Arial"/>
          <w:b/>
        </w:rPr>
        <w:t>Core Criteria</w:t>
      </w:r>
    </w:p>
    <w:p w:rsidR="00E20E15" w:rsidRDefault="00E20E15" w:rsidP="00E20E15">
      <w:pPr>
        <w:rPr>
          <w:rFonts w:ascii="Arial" w:hAnsi="Arial"/>
        </w:rPr>
      </w:pPr>
    </w:p>
    <w:tbl>
      <w:tblPr>
        <w:tblW w:w="0" w:type="auto"/>
        <w:tblInd w:w="-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2330"/>
        <w:gridCol w:w="7420"/>
      </w:tblGrid>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Equity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 xml:space="preserve">The primary consideration should be to achieve the greatest possible accuracy in capturing the cost implications of variations in need </w:t>
            </w:r>
            <w:r w:rsidRPr="002872AB">
              <w:rPr>
                <w:rFonts w:ascii="Arial" w:hAnsi="Arial"/>
              </w:rPr>
              <w:t>between population groups and</w:t>
            </w:r>
            <w:r w:rsidRPr="00BF4D32">
              <w:rPr>
                <w:rFonts w:ascii="Arial" w:hAnsi="Arial"/>
                <w:i/>
              </w:rPr>
              <w:t xml:space="preserve"> </w:t>
            </w:r>
            <w:r>
              <w:rPr>
                <w:rFonts w:ascii="Arial" w:hAnsi="Arial"/>
                <w:color w:val="000000"/>
              </w:rPr>
              <w:t>across the country, in order to develop a formula that delivers the greatest possible equity of access to health services.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Practicality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Use should be made of good-quality, routinely-collected data, in order to produce an administratively feasible formula that can be readily updated.</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Transparency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rationale informing the formula’s methodology should be explicable and any judgements should be made explicit, although this should not lead to over-simplification of details which might add precision to the methods.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Objectivity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as far as possible be evidence-based, using as necessary the full range of available robust data.</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Avoiding perverse incentives</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guard against perverse incentives and any negative consequences which might threaten the integrity of the data.</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Relevance</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There is a need to avoid the dangers of extrapolation and to make explicit where hard information is being used about one aspect of a service to make some assumption about an area where information is less good or absent.</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Stability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There should be a reasonable degree of year-to-year stability in the data sources feeding in to the formula.</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Responsiveness</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result in shifts in the allocation of resources in response to changes in the need for healthcare services.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Face validity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outcome of any changes to the formula should be subjected to a 'common-sense' check.</w:t>
            </w:r>
          </w:p>
        </w:tc>
      </w:tr>
    </w:tbl>
    <w:p w:rsidR="00E20E15" w:rsidRPr="00DA65D8" w:rsidRDefault="00E20E15" w:rsidP="00173748">
      <w:pPr>
        <w:rPr>
          <w:rFonts w:ascii="Arial" w:hAnsi="Arial" w:cs="Arial"/>
          <w:b/>
        </w:rPr>
      </w:pPr>
      <w:r>
        <w:br w:type="page"/>
      </w:r>
      <w:r>
        <w:rPr>
          <w:rFonts w:ascii="Arial" w:hAnsi="Arial" w:cs="Arial"/>
          <w:b/>
        </w:rPr>
        <w:lastRenderedPageBreak/>
        <w:t>Agenda A</w:t>
      </w:r>
      <w:r w:rsidRPr="00DA65D8">
        <w:rPr>
          <w:rFonts w:ascii="Arial" w:hAnsi="Arial" w:cs="Arial"/>
          <w:b/>
        </w:rPr>
        <w:t xml:space="preserve">nnex </w:t>
      </w:r>
      <w:r w:rsidR="00653200">
        <w:rPr>
          <w:rFonts w:ascii="Arial" w:hAnsi="Arial" w:cs="Arial"/>
          <w:b/>
        </w:rPr>
        <w:t>–</w:t>
      </w:r>
      <w:r w:rsidRPr="00DA65D8">
        <w:rPr>
          <w:rFonts w:ascii="Arial" w:hAnsi="Arial" w:cs="Arial"/>
          <w:b/>
        </w:rPr>
        <w:t xml:space="preserve"> Parliamentary Questions and Committee transcripts relating to the NRAC formula</w:t>
      </w:r>
    </w:p>
    <w:p w:rsidR="00E20E15" w:rsidRPr="00DA65D8" w:rsidRDefault="00E20E15" w:rsidP="00E20E15">
      <w:pPr>
        <w:rPr>
          <w:rFonts w:ascii="Arial" w:hAnsi="Arial" w:cs="Arial"/>
        </w:rPr>
      </w:pPr>
    </w:p>
    <w:p w:rsidR="009B4D23" w:rsidRDefault="00E20E15" w:rsidP="00173748">
      <w:pPr>
        <w:rPr>
          <w:rFonts w:ascii="Arial" w:hAnsi="Arial" w:cs="Arial"/>
        </w:rPr>
      </w:pPr>
      <w:r>
        <w:rPr>
          <w:rFonts w:ascii="Arial" w:hAnsi="Arial" w:cs="Arial"/>
        </w:rPr>
        <w:t>The following annex summarizes</w:t>
      </w:r>
      <w:r w:rsidRPr="00DA65D8">
        <w:rPr>
          <w:rFonts w:ascii="Arial" w:hAnsi="Arial" w:cs="Arial"/>
        </w:rPr>
        <w:t xml:space="preserve"> parliamentary business related to </w:t>
      </w:r>
      <w:r>
        <w:rPr>
          <w:rFonts w:ascii="Arial" w:hAnsi="Arial" w:cs="Arial"/>
        </w:rPr>
        <w:t xml:space="preserve">the </w:t>
      </w:r>
      <w:r w:rsidRPr="00DA65D8">
        <w:rPr>
          <w:rFonts w:ascii="Arial" w:hAnsi="Arial" w:cs="Arial"/>
        </w:rPr>
        <w:t>NRAC</w:t>
      </w:r>
      <w:r>
        <w:rPr>
          <w:rFonts w:ascii="Arial" w:hAnsi="Arial" w:cs="Arial"/>
        </w:rPr>
        <w:t xml:space="preserve"> formula that has occurred over the period </w:t>
      </w:r>
      <w:r w:rsidR="00D432C5">
        <w:rPr>
          <w:rFonts w:ascii="Arial" w:hAnsi="Arial" w:cs="Arial"/>
        </w:rPr>
        <w:t>3</w:t>
      </w:r>
      <w:r w:rsidR="00D432C5">
        <w:rPr>
          <w:rFonts w:ascii="Arial" w:hAnsi="Arial" w:cs="Arial"/>
          <w:vertAlign w:val="superscript"/>
        </w:rPr>
        <w:t>r</w:t>
      </w:r>
      <w:r w:rsidR="00653200">
        <w:rPr>
          <w:rFonts w:ascii="Arial" w:hAnsi="Arial" w:cs="Arial"/>
          <w:vertAlign w:val="superscript"/>
        </w:rPr>
        <w:t>d</w:t>
      </w:r>
      <w:r w:rsidR="00653200">
        <w:rPr>
          <w:rFonts w:ascii="Arial" w:hAnsi="Arial" w:cs="Arial"/>
        </w:rPr>
        <w:t xml:space="preserve"> </w:t>
      </w:r>
      <w:r w:rsidR="00653200" w:rsidRPr="00F724C9">
        <w:rPr>
          <w:rFonts w:ascii="Arial" w:hAnsi="Arial" w:cs="Arial"/>
        </w:rPr>
        <w:t xml:space="preserve">February </w:t>
      </w:r>
      <w:r w:rsidR="002F31C7" w:rsidRPr="00F724C9">
        <w:rPr>
          <w:rFonts w:ascii="Arial" w:hAnsi="Arial" w:cs="Arial"/>
        </w:rPr>
        <w:t xml:space="preserve">2016 </w:t>
      </w:r>
      <w:r w:rsidRPr="00F724C9">
        <w:rPr>
          <w:rFonts w:ascii="Arial" w:hAnsi="Arial" w:cs="Arial"/>
        </w:rPr>
        <w:t xml:space="preserve">– </w:t>
      </w:r>
      <w:r w:rsidR="004C4727">
        <w:rPr>
          <w:rFonts w:ascii="Arial" w:hAnsi="Arial" w:cs="Arial"/>
        </w:rPr>
        <w:t>6</w:t>
      </w:r>
      <w:r w:rsidR="00653200" w:rsidRPr="00F724C9">
        <w:rPr>
          <w:rFonts w:ascii="Arial" w:hAnsi="Arial" w:cs="Arial"/>
          <w:vertAlign w:val="superscript"/>
        </w:rPr>
        <w:t>th</w:t>
      </w:r>
      <w:r w:rsidR="003D1F0D" w:rsidRPr="00F724C9">
        <w:rPr>
          <w:rFonts w:ascii="Arial" w:hAnsi="Arial" w:cs="Arial"/>
        </w:rPr>
        <w:t xml:space="preserve"> </w:t>
      </w:r>
      <w:r w:rsidR="004C4727">
        <w:rPr>
          <w:rFonts w:ascii="Arial" w:hAnsi="Arial" w:cs="Arial"/>
        </w:rPr>
        <w:t>May</w:t>
      </w:r>
      <w:r w:rsidR="00C1159D" w:rsidRPr="00F724C9">
        <w:rPr>
          <w:rFonts w:ascii="Arial" w:hAnsi="Arial" w:cs="Arial"/>
        </w:rPr>
        <w:t xml:space="preserve"> 2016</w:t>
      </w:r>
      <w:r w:rsidR="00653200" w:rsidRPr="00F724C9">
        <w:rPr>
          <w:rFonts w:ascii="Arial" w:hAnsi="Arial" w:cs="Arial"/>
        </w:rPr>
        <w:t>.</w:t>
      </w:r>
      <w:bookmarkStart w:id="0" w:name="_GoBack"/>
      <w:bookmarkEnd w:id="0"/>
    </w:p>
    <w:p w:rsidR="009B4D23" w:rsidRDefault="009B4D23" w:rsidP="00173748">
      <w:pPr>
        <w:rPr>
          <w:rFonts w:ascii="Arial" w:hAnsi="Arial" w:cs="Arial"/>
        </w:rPr>
      </w:pPr>
    </w:p>
    <w:p w:rsidR="006760D0" w:rsidRDefault="006760D0" w:rsidP="00173748">
      <w:pPr>
        <w:rPr>
          <w:rFonts w:ascii="Arial" w:hAnsi="Arial" w:cs="Arial"/>
        </w:rPr>
      </w:pPr>
      <w:r w:rsidRPr="00F87263">
        <w:rPr>
          <w:rFonts w:ascii="Arial" w:hAnsi="Arial" w:cs="Arial"/>
        </w:rPr>
        <w:t xml:space="preserve">Over this time there </w:t>
      </w:r>
      <w:r w:rsidR="00AB0DBB">
        <w:rPr>
          <w:rFonts w:ascii="Arial" w:hAnsi="Arial" w:cs="Arial"/>
        </w:rPr>
        <w:t>have</w:t>
      </w:r>
      <w:r>
        <w:rPr>
          <w:rFonts w:ascii="Arial" w:hAnsi="Arial" w:cs="Arial"/>
        </w:rPr>
        <w:t xml:space="preserve"> been</w:t>
      </w:r>
      <w:r w:rsidR="00AB0DBB">
        <w:rPr>
          <w:rFonts w:ascii="Arial" w:hAnsi="Arial" w:cs="Arial"/>
        </w:rPr>
        <w:t xml:space="preserve"> </w:t>
      </w:r>
      <w:r w:rsidR="00163CD8">
        <w:rPr>
          <w:rFonts w:ascii="Arial" w:hAnsi="Arial" w:cs="Arial"/>
        </w:rPr>
        <w:t>five</w:t>
      </w:r>
      <w:r w:rsidR="00AB0DBB" w:rsidRPr="00AB0DBB">
        <w:rPr>
          <w:rFonts w:ascii="Arial" w:hAnsi="Arial" w:cs="Arial"/>
        </w:rPr>
        <w:t xml:space="preserve"> Parliamentary Question</w:t>
      </w:r>
      <w:r w:rsidR="00AB0DBB">
        <w:rPr>
          <w:rFonts w:ascii="Arial" w:hAnsi="Arial" w:cs="Arial"/>
        </w:rPr>
        <w:t>s</w:t>
      </w:r>
      <w:r w:rsidR="00AB0DBB" w:rsidRPr="00AB0DBB">
        <w:rPr>
          <w:rFonts w:ascii="Arial" w:hAnsi="Arial" w:cs="Arial"/>
        </w:rPr>
        <w:t xml:space="preserve"> (Part A), no mentions in the Health and Sport Committee and no mentions in the Public Audit Committee.</w:t>
      </w:r>
    </w:p>
    <w:p w:rsidR="006760D0" w:rsidRDefault="006760D0" w:rsidP="00173748">
      <w:pPr>
        <w:rPr>
          <w:rFonts w:ascii="Arial" w:hAnsi="Arial" w:cs="Arial"/>
        </w:rPr>
      </w:pPr>
    </w:p>
    <w:p w:rsidR="006760D0" w:rsidRDefault="006760D0" w:rsidP="006760D0">
      <w:pPr>
        <w:rPr>
          <w:rFonts w:ascii="Arial" w:hAnsi="Arial" w:cs="Arial"/>
          <w:b/>
        </w:rPr>
      </w:pPr>
      <w:r w:rsidRPr="00DA65D8">
        <w:rPr>
          <w:rFonts w:ascii="Arial" w:hAnsi="Arial" w:cs="Arial"/>
          <w:b/>
        </w:rPr>
        <w:t>Part A: Parliamentary Questions</w:t>
      </w:r>
    </w:p>
    <w:p w:rsidR="006760D0" w:rsidRDefault="006760D0" w:rsidP="00173748">
      <w:pPr>
        <w:rPr>
          <w:rFonts w:ascii="Arial" w:hAnsi="Arial" w:cs="Arial"/>
        </w:rPr>
      </w:pPr>
    </w:p>
    <w:p w:rsidR="00E94FD0" w:rsidRDefault="00E94FD0" w:rsidP="00E94FD0">
      <w:pPr>
        <w:pStyle w:val="ListParagraph"/>
        <w:numPr>
          <w:ilvl w:val="0"/>
          <w:numId w:val="6"/>
        </w:numPr>
        <w:rPr>
          <w:rFonts w:ascii="Arial" w:hAnsi="Arial" w:cs="Arial"/>
        </w:rPr>
      </w:pPr>
      <w:r>
        <w:rPr>
          <w:rFonts w:ascii="Arial" w:hAnsi="Arial" w:cs="Arial"/>
        </w:rPr>
        <w:t xml:space="preserve">Question </w:t>
      </w:r>
      <w:proofErr w:type="spellStart"/>
      <w:r w:rsidRPr="00E94FD0">
        <w:rPr>
          <w:rFonts w:ascii="Arial" w:hAnsi="Arial" w:cs="Arial"/>
        </w:rPr>
        <w:t>S4W</w:t>
      </w:r>
      <w:proofErr w:type="spellEnd"/>
      <w:r w:rsidRPr="00E94FD0">
        <w:rPr>
          <w:rFonts w:ascii="Arial" w:hAnsi="Arial" w:cs="Arial"/>
        </w:rPr>
        <w:t>-29721</w:t>
      </w:r>
      <w:r>
        <w:rPr>
          <w:rFonts w:ascii="Arial" w:hAnsi="Arial" w:cs="Arial"/>
        </w:rPr>
        <w:t>: Jackie Baillie</w:t>
      </w:r>
      <w:r w:rsidR="00006BBB">
        <w:rPr>
          <w:rFonts w:ascii="Arial" w:hAnsi="Arial" w:cs="Arial"/>
        </w:rPr>
        <w:t>, Dumbarton, Scottish Labour Party,</w:t>
      </w:r>
      <w:r>
        <w:rPr>
          <w:rFonts w:ascii="Arial" w:hAnsi="Arial" w:cs="Arial"/>
        </w:rPr>
        <w:t xml:space="preserve"> </w:t>
      </w:r>
      <w:r w:rsidRPr="00F41519">
        <w:rPr>
          <w:rFonts w:ascii="Arial" w:hAnsi="Arial" w:cs="Arial"/>
        </w:rPr>
        <w:t>Date Lodged: 08/0</w:t>
      </w:r>
      <w:r w:rsidR="00006BBB">
        <w:rPr>
          <w:rFonts w:ascii="Arial" w:hAnsi="Arial" w:cs="Arial"/>
        </w:rPr>
        <w:t>2</w:t>
      </w:r>
      <w:r w:rsidRPr="00F41519">
        <w:rPr>
          <w:rFonts w:ascii="Arial" w:hAnsi="Arial" w:cs="Arial"/>
        </w:rPr>
        <w:t>/2016</w:t>
      </w:r>
    </w:p>
    <w:p w:rsidR="00E94FD0" w:rsidRDefault="00E94FD0" w:rsidP="00E94FD0">
      <w:pPr>
        <w:pStyle w:val="ListParagraph"/>
        <w:rPr>
          <w:rFonts w:ascii="Arial" w:hAnsi="Arial" w:cs="Arial"/>
        </w:rPr>
      </w:pPr>
    </w:p>
    <w:p w:rsidR="00E94FD0" w:rsidRPr="00E94FD0" w:rsidRDefault="00E94FD0" w:rsidP="00E94FD0">
      <w:pPr>
        <w:pStyle w:val="ListParagraph"/>
        <w:rPr>
          <w:rFonts w:ascii="Arial" w:hAnsi="Arial" w:cs="Arial"/>
          <w:sz w:val="20"/>
          <w:szCs w:val="20"/>
        </w:rPr>
      </w:pPr>
      <w:r w:rsidRPr="00E94FD0">
        <w:rPr>
          <w:rFonts w:ascii="Arial" w:hAnsi="Arial" w:cs="Arial"/>
          <w:sz w:val="20"/>
          <w:szCs w:val="20"/>
        </w:rPr>
        <w:t>To ask the Scottish Government what criteria it used to calculate the £250 million to be distributed to local authorities to ensure that they pay at least the living wage.</w:t>
      </w:r>
    </w:p>
    <w:p w:rsidR="00E94FD0" w:rsidRDefault="00E94FD0" w:rsidP="00E94FD0">
      <w:pPr>
        <w:pStyle w:val="ListParagraph"/>
        <w:rPr>
          <w:rFonts w:ascii="Arial" w:hAnsi="Arial" w:cs="Arial"/>
        </w:rPr>
      </w:pPr>
    </w:p>
    <w:p w:rsidR="00E94FD0" w:rsidRDefault="00E94FD0" w:rsidP="00E94FD0">
      <w:pPr>
        <w:pStyle w:val="ListParagraph"/>
        <w:rPr>
          <w:rFonts w:ascii="Arial" w:hAnsi="Arial" w:cs="Arial"/>
        </w:rPr>
      </w:pPr>
      <w:r>
        <w:rPr>
          <w:rFonts w:ascii="Arial" w:hAnsi="Arial" w:cs="Arial"/>
        </w:rPr>
        <w:t>Answered by</w:t>
      </w:r>
      <w:r w:rsidR="00006BBB">
        <w:rPr>
          <w:rFonts w:ascii="Arial" w:hAnsi="Arial" w:cs="Arial"/>
        </w:rPr>
        <w:t xml:space="preserve"> Shona Robinson</w:t>
      </w:r>
      <w:r>
        <w:rPr>
          <w:rFonts w:ascii="Arial" w:hAnsi="Arial" w:cs="Arial"/>
        </w:rPr>
        <w:t xml:space="preserve"> (</w:t>
      </w:r>
      <w:r w:rsidR="00006BBB" w:rsidRPr="00006BBB">
        <w:rPr>
          <w:rFonts w:ascii="Arial" w:hAnsi="Arial" w:cs="Arial"/>
        </w:rPr>
        <w:t>04/03/2016</w:t>
      </w:r>
      <w:r>
        <w:rPr>
          <w:rFonts w:ascii="Arial" w:hAnsi="Arial" w:cs="Arial"/>
        </w:rPr>
        <w:t>):</w:t>
      </w:r>
    </w:p>
    <w:p w:rsidR="00E94FD0" w:rsidRDefault="00E94FD0" w:rsidP="00E94FD0">
      <w:pPr>
        <w:pStyle w:val="ListParagraph"/>
        <w:rPr>
          <w:rFonts w:ascii="Arial" w:hAnsi="Arial" w:cs="Arial"/>
        </w:rPr>
      </w:pPr>
    </w:p>
    <w:p w:rsidR="00E94FD0" w:rsidRPr="00E94FD0" w:rsidRDefault="00E94FD0" w:rsidP="00E94FD0">
      <w:pPr>
        <w:pStyle w:val="ListParagraph"/>
        <w:rPr>
          <w:rFonts w:ascii="Arial" w:hAnsi="Arial" w:cs="Arial"/>
          <w:sz w:val="20"/>
          <w:szCs w:val="20"/>
        </w:rPr>
      </w:pPr>
      <w:r w:rsidRPr="00E94FD0">
        <w:rPr>
          <w:rFonts w:ascii="Arial" w:hAnsi="Arial" w:cs="Arial"/>
          <w:sz w:val="20"/>
          <w:szCs w:val="20"/>
        </w:rPr>
        <w:t>The Scottish Government will distribute the £</w:t>
      </w:r>
      <w:proofErr w:type="spellStart"/>
      <w:r w:rsidRPr="00E94FD0">
        <w:rPr>
          <w:rFonts w:ascii="Arial" w:hAnsi="Arial" w:cs="Arial"/>
          <w:sz w:val="20"/>
          <w:szCs w:val="20"/>
        </w:rPr>
        <w:t>250m</w:t>
      </w:r>
      <w:proofErr w:type="spellEnd"/>
      <w:r w:rsidRPr="00E94FD0">
        <w:rPr>
          <w:rFonts w:ascii="Arial" w:hAnsi="Arial" w:cs="Arial"/>
          <w:sz w:val="20"/>
          <w:szCs w:val="20"/>
        </w:rPr>
        <w:t xml:space="preserve"> to Health Boards via their annual allocations, using the same allocation formula as was used for distribution of the Integrated Care Fund. This approach takes account of funding formulae used for the NHS and local government, using a 1:1 ratio of the National Resource Allocation Committee (NRAC) formula for the NHS and Grant Aided Expenditure formula for local government.</w:t>
      </w:r>
    </w:p>
    <w:p w:rsidR="00E94FD0" w:rsidRDefault="00E94FD0" w:rsidP="00E94FD0">
      <w:pPr>
        <w:pStyle w:val="ListParagraph"/>
        <w:rPr>
          <w:rFonts w:ascii="Arial" w:hAnsi="Arial" w:cs="Arial"/>
        </w:rPr>
      </w:pPr>
    </w:p>
    <w:p w:rsidR="00F41519" w:rsidRDefault="006760D0" w:rsidP="00173748">
      <w:pPr>
        <w:pStyle w:val="ListParagraph"/>
        <w:numPr>
          <w:ilvl w:val="0"/>
          <w:numId w:val="6"/>
        </w:numPr>
        <w:rPr>
          <w:rFonts w:ascii="Arial" w:hAnsi="Arial" w:cs="Arial"/>
        </w:rPr>
      </w:pPr>
      <w:r w:rsidRPr="00F41519">
        <w:rPr>
          <w:rFonts w:ascii="Arial" w:hAnsi="Arial" w:cs="Arial"/>
        </w:rPr>
        <w:t xml:space="preserve">Question </w:t>
      </w:r>
      <w:proofErr w:type="spellStart"/>
      <w:r w:rsidRPr="00F41519">
        <w:rPr>
          <w:rFonts w:ascii="Arial" w:hAnsi="Arial" w:cs="Arial"/>
        </w:rPr>
        <w:t>S4W</w:t>
      </w:r>
      <w:proofErr w:type="spellEnd"/>
      <w:r w:rsidRPr="00F41519">
        <w:rPr>
          <w:rFonts w:ascii="Arial" w:hAnsi="Arial" w:cs="Arial"/>
        </w:rPr>
        <w:t xml:space="preserve">-30509: </w:t>
      </w:r>
      <w:proofErr w:type="spellStart"/>
      <w:r w:rsidRPr="00F41519">
        <w:rPr>
          <w:rFonts w:ascii="Arial" w:hAnsi="Arial" w:cs="Arial"/>
        </w:rPr>
        <w:t>Tavish</w:t>
      </w:r>
      <w:proofErr w:type="spellEnd"/>
      <w:r w:rsidRPr="00F41519">
        <w:rPr>
          <w:rFonts w:ascii="Arial" w:hAnsi="Arial" w:cs="Arial"/>
        </w:rPr>
        <w:t xml:space="preserve"> Scott,</w:t>
      </w:r>
      <w:r w:rsidR="00F41519">
        <w:rPr>
          <w:rFonts w:ascii="Arial" w:hAnsi="Arial" w:cs="Arial"/>
        </w:rPr>
        <w:t xml:space="preserve"> Shetland, Scottish Liberal Democrats, </w:t>
      </w:r>
      <w:r w:rsidRPr="00F41519">
        <w:rPr>
          <w:rFonts w:ascii="Arial" w:hAnsi="Arial" w:cs="Arial"/>
        </w:rPr>
        <w:t>Date Lodged: 08/03/2016</w:t>
      </w:r>
    </w:p>
    <w:p w:rsidR="00F41519" w:rsidRDefault="00F41519" w:rsidP="00F41519">
      <w:pPr>
        <w:pStyle w:val="ListParagraph"/>
        <w:rPr>
          <w:rFonts w:ascii="Arial" w:hAnsi="Arial" w:cs="Arial"/>
        </w:rPr>
      </w:pPr>
    </w:p>
    <w:p w:rsidR="00F41519" w:rsidRDefault="006760D0" w:rsidP="00F41519">
      <w:pPr>
        <w:pStyle w:val="ListParagraph"/>
        <w:rPr>
          <w:rFonts w:ascii="Arial" w:hAnsi="Arial" w:cs="Arial"/>
          <w:sz w:val="20"/>
          <w:szCs w:val="20"/>
        </w:rPr>
      </w:pPr>
      <w:r w:rsidRPr="00F41519">
        <w:rPr>
          <w:rFonts w:ascii="Arial" w:hAnsi="Arial" w:cs="Arial"/>
          <w:sz w:val="20"/>
          <w:szCs w:val="20"/>
        </w:rPr>
        <w:t xml:space="preserve">To ask the Scottish Government for what reason NHS Shetland has been allocated less funding than the </w:t>
      </w:r>
      <w:proofErr w:type="spellStart"/>
      <w:r w:rsidRPr="00F41519">
        <w:rPr>
          <w:rFonts w:ascii="Arial" w:hAnsi="Arial" w:cs="Arial"/>
          <w:sz w:val="20"/>
          <w:szCs w:val="20"/>
        </w:rPr>
        <w:t>NHSScotland</w:t>
      </w:r>
      <w:proofErr w:type="spellEnd"/>
      <w:r w:rsidRPr="00F41519">
        <w:rPr>
          <w:rFonts w:ascii="Arial" w:hAnsi="Arial" w:cs="Arial"/>
          <w:sz w:val="20"/>
          <w:szCs w:val="20"/>
        </w:rPr>
        <w:t xml:space="preserve"> Resource Allocation Committee (NRAC) target in 2014-15, 2015-16 and 2016-17.</w:t>
      </w:r>
    </w:p>
    <w:p w:rsidR="00F41519" w:rsidRPr="00006BBB" w:rsidRDefault="00F41519" w:rsidP="00F41519">
      <w:pPr>
        <w:pStyle w:val="ListParagraph"/>
        <w:rPr>
          <w:rFonts w:ascii="Arial" w:hAnsi="Arial" w:cs="Arial"/>
        </w:rPr>
      </w:pPr>
    </w:p>
    <w:p w:rsidR="006760D0" w:rsidRDefault="006760D0" w:rsidP="00F41519">
      <w:pPr>
        <w:pStyle w:val="ListParagraph"/>
        <w:rPr>
          <w:rFonts w:ascii="Arial" w:hAnsi="Arial" w:cs="Arial"/>
        </w:rPr>
      </w:pPr>
      <w:r>
        <w:rPr>
          <w:rFonts w:ascii="Arial" w:hAnsi="Arial" w:cs="Arial"/>
        </w:rPr>
        <w:t xml:space="preserve">Answered by </w:t>
      </w:r>
      <w:r w:rsidR="00F41519" w:rsidRPr="006760D0">
        <w:rPr>
          <w:rFonts w:ascii="Arial" w:hAnsi="Arial" w:cs="Arial"/>
        </w:rPr>
        <w:t>Shona Robison</w:t>
      </w:r>
      <w:r w:rsidR="00F41519">
        <w:rPr>
          <w:rFonts w:ascii="Arial" w:hAnsi="Arial" w:cs="Arial"/>
        </w:rPr>
        <w:t xml:space="preserve"> </w:t>
      </w:r>
      <w:r>
        <w:rPr>
          <w:rFonts w:ascii="Arial" w:hAnsi="Arial" w:cs="Arial"/>
        </w:rPr>
        <w:t>(</w:t>
      </w:r>
      <w:r w:rsidRPr="006760D0">
        <w:rPr>
          <w:rFonts w:ascii="Arial" w:hAnsi="Arial" w:cs="Arial"/>
        </w:rPr>
        <w:t>21/03/2016</w:t>
      </w:r>
      <w:r>
        <w:rPr>
          <w:rFonts w:ascii="Arial" w:hAnsi="Arial" w:cs="Arial"/>
        </w:rPr>
        <w:t>):</w:t>
      </w:r>
    </w:p>
    <w:p w:rsidR="00F41519" w:rsidRDefault="00F41519" w:rsidP="00F41519">
      <w:pPr>
        <w:pStyle w:val="ListParagraph"/>
        <w:rPr>
          <w:rFonts w:ascii="Arial" w:hAnsi="Arial" w:cs="Arial"/>
        </w:rPr>
      </w:pPr>
    </w:p>
    <w:p w:rsidR="00F41519" w:rsidRPr="00F41519" w:rsidRDefault="00F41519" w:rsidP="00F41519">
      <w:pPr>
        <w:pStyle w:val="ListParagraph"/>
        <w:rPr>
          <w:rFonts w:ascii="Arial" w:hAnsi="Arial" w:cs="Arial"/>
          <w:sz w:val="20"/>
          <w:szCs w:val="20"/>
        </w:rPr>
      </w:pPr>
      <w:r w:rsidRPr="00F41519">
        <w:rPr>
          <w:rFonts w:ascii="Arial" w:hAnsi="Arial" w:cs="Arial"/>
          <w:sz w:val="20"/>
          <w:szCs w:val="20"/>
        </w:rPr>
        <w:t>NHS Shetland has received resource budget increases of 2.4% in 2014-15, 2.8% in 2015-16 and 4.5% in 2016-17.</w:t>
      </w:r>
    </w:p>
    <w:p w:rsidR="00F41519" w:rsidRPr="00F41519" w:rsidRDefault="00F41519" w:rsidP="00F41519">
      <w:pPr>
        <w:pStyle w:val="ListParagraph"/>
        <w:rPr>
          <w:rFonts w:ascii="Arial" w:hAnsi="Arial" w:cs="Arial"/>
          <w:sz w:val="20"/>
          <w:szCs w:val="20"/>
        </w:rPr>
      </w:pPr>
    </w:p>
    <w:p w:rsidR="00F41519" w:rsidRPr="00F41519" w:rsidRDefault="00F41519" w:rsidP="00F41519">
      <w:pPr>
        <w:pStyle w:val="ListParagraph"/>
        <w:rPr>
          <w:rFonts w:ascii="Arial" w:hAnsi="Arial" w:cs="Arial"/>
          <w:sz w:val="20"/>
          <w:szCs w:val="20"/>
        </w:rPr>
      </w:pPr>
      <w:r w:rsidRPr="00F41519">
        <w:rPr>
          <w:rFonts w:ascii="Arial" w:hAnsi="Arial" w:cs="Arial"/>
          <w:sz w:val="20"/>
          <w:szCs w:val="20"/>
        </w:rPr>
        <w:t>Between 2010-11 and 2013-14 NHS Shetland received significantly more than its NRAC share, and was second highest of all Boards above parity in each of those years. As a consequence of small percentage changes in the NRAC formula, Boards can move above and below parity depending upon relative changes to the total share.  However in the years 2014-15 to 2016-17, when taking into account the significant in-year allocations the Board receives, the Board is not behind its target share.</w:t>
      </w:r>
    </w:p>
    <w:p w:rsidR="00F41519" w:rsidRDefault="00F41519" w:rsidP="00173748">
      <w:pPr>
        <w:rPr>
          <w:rFonts w:ascii="Arial" w:hAnsi="Arial" w:cs="Arial"/>
        </w:rPr>
      </w:pPr>
    </w:p>
    <w:p w:rsidR="00006BBB" w:rsidRDefault="00006BBB" w:rsidP="00006BBB">
      <w:pPr>
        <w:pStyle w:val="ListParagraph"/>
        <w:numPr>
          <w:ilvl w:val="0"/>
          <w:numId w:val="6"/>
        </w:numPr>
        <w:rPr>
          <w:rFonts w:ascii="Arial" w:hAnsi="Arial" w:cs="Arial"/>
        </w:rPr>
      </w:pPr>
      <w:r>
        <w:rPr>
          <w:rFonts w:ascii="Arial" w:hAnsi="Arial" w:cs="Arial"/>
        </w:rPr>
        <w:t xml:space="preserve">Question </w:t>
      </w:r>
      <w:proofErr w:type="spellStart"/>
      <w:r w:rsidRPr="00006BBB">
        <w:rPr>
          <w:rFonts w:ascii="Arial" w:hAnsi="Arial" w:cs="Arial"/>
        </w:rPr>
        <w:t>S4W</w:t>
      </w:r>
      <w:proofErr w:type="spellEnd"/>
      <w:r w:rsidRPr="00006BBB">
        <w:rPr>
          <w:rFonts w:ascii="Arial" w:hAnsi="Arial" w:cs="Arial"/>
        </w:rPr>
        <w:t>-30531</w:t>
      </w:r>
      <w:r>
        <w:rPr>
          <w:rFonts w:ascii="Arial" w:hAnsi="Arial" w:cs="Arial"/>
        </w:rPr>
        <w:t xml:space="preserve">: </w:t>
      </w:r>
      <w:r w:rsidRPr="00A35A7E">
        <w:rPr>
          <w:rFonts w:ascii="Arial" w:hAnsi="Arial" w:cs="Arial"/>
        </w:rPr>
        <w:t>Liam McArthur,</w:t>
      </w:r>
      <w:r>
        <w:rPr>
          <w:rFonts w:ascii="Arial" w:hAnsi="Arial" w:cs="Arial"/>
        </w:rPr>
        <w:t xml:space="preserve"> Orkney, Scottish Liberal Democrats,</w:t>
      </w:r>
      <w:r w:rsidRPr="00A35A7E">
        <w:rPr>
          <w:rFonts w:ascii="Arial" w:hAnsi="Arial" w:cs="Arial"/>
        </w:rPr>
        <w:t xml:space="preserve"> Date Lodged: 09/03/2016</w:t>
      </w:r>
    </w:p>
    <w:p w:rsidR="00006BBB" w:rsidRDefault="00006BBB" w:rsidP="00006BBB">
      <w:pPr>
        <w:pStyle w:val="ListParagraph"/>
        <w:rPr>
          <w:rFonts w:ascii="Arial" w:hAnsi="Arial" w:cs="Arial"/>
        </w:rPr>
      </w:pPr>
    </w:p>
    <w:p w:rsidR="00006BBB" w:rsidRDefault="00006BBB" w:rsidP="00006BBB">
      <w:pPr>
        <w:pStyle w:val="ListParagraph"/>
        <w:rPr>
          <w:rFonts w:ascii="Arial" w:hAnsi="Arial" w:cs="Arial"/>
          <w:sz w:val="20"/>
          <w:szCs w:val="20"/>
        </w:rPr>
      </w:pPr>
      <w:r w:rsidRPr="00006BBB">
        <w:rPr>
          <w:rFonts w:ascii="Arial" w:hAnsi="Arial" w:cs="Arial"/>
          <w:sz w:val="20"/>
          <w:szCs w:val="20"/>
        </w:rPr>
        <w:t>To ask the Scottish Government for what reason NHS Orkney was allocated less funding than the NHS Scotland Resource Allocation Committee target in (a) 2010-11, (b) 2011-12, (c) 2013-14, (d) 2014-15 and (e) 2015-16.</w:t>
      </w:r>
    </w:p>
    <w:p w:rsidR="00006BBB" w:rsidRPr="00006BBB" w:rsidRDefault="00006BBB" w:rsidP="00006BBB">
      <w:pPr>
        <w:pStyle w:val="ListParagraph"/>
        <w:rPr>
          <w:rFonts w:ascii="Arial" w:hAnsi="Arial" w:cs="Arial"/>
        </w:rPr>
      </w:pPr>
    </w:p>
    <w:p w:rsidR="00006BBB" w:rsidRDefault="00006BBB" w:rsidP="00006BBB">
      <w:pPr>
        <w:pStyle w:val="ListParagraph"/>
        <w:rPr>
          <w:rFonts w:ascii="Arial" w:hAnsi="Arial" w:cs="Arial"/>
        </w:rPr>
      </w:pPr>
      <w:r>
        <w:rPr>
          <w:rFonts w:ascii="Arial" w:hAnsi="Arial" w:cs="Arial"/>
        </w:rPr>
        <w:t>Answered by Shona Robinson (</w:t>
      </w:r>
      <w:r w:rsidRPr="006760D0">
        <w:rPr>
          <w:rFonts w:ascii="Arial" w:hAnsi="Arial" w:cs="Arial"/>
        </w:rPr>
        <w:t>21/03/2016</w:t>
      </w:r>
      <w:r>
        <w:rPr>
          <w:rFonts w:ascii="Arial" w:hAnsi="Arial" w:cs="Arial"/>
        </w:rPr>
        <w:t>):</w:t>
      </w:r>
    </w:p>
    <w:p w:rsidR="00006BBB" w:rsidRDefault="00006BBB" w:rsidP="00006BBB">
      <w:pPr>
        <w:pStyle w:val="ListParagraph"/>
        <w:rPr>
          <w:rFonts w:ascii="Arial" w:hAnsi="Arial" w:cs="Arial"/>
        </w:rPr>
      </w:pPr>
    </w:p>
    <w:p w:rsidR="00006BBB" w:rsidRDefault="00844997" w:rsidP="00006BBB">
      <w:pPr>
        <w:pStyle w:val="ListParagraph"/>
        <w:rPr>
          <w:rFonts w:ascii="Arial" w:hAnsi="Arial" w:cs="Arial"/>
          <w:sz w:val="20"/>
          <w:szCs w:val="20"/>
        </w:rPr>
      </w:pPr>
      <w:r w:rsidRPr="00844997">
        <w:rPr>
          <w:rFonts w:ascii="Arial" w:hAnsi="Arial" w:cs="Arial"/>
          <w:sz w:val="20"/>
          <w:szCs w:val="20"/>
        </w:rPr>
        <w:lastRenderedPageBreak/>
        <w:t>In 2016-17 NHS Orkney’s resource budget will increase by 4.6% to £43.2 million, an above inflation increase, and in line with the NRAC target, which reflects our commitment to move all Board’s to parity using the ‘differential growth’ model.</w:t>
      </w:r>
    </w:p>
    <w:p w:rsidR="00844997" w:rsidRPr="00844997" w:rsidRDefault="00844997" w:rsidP="00006BBB">
      <w:pPr>
        <w:pStyle w:val="ListParagraph"/>
        <w:rPr>
          <w:rFonts w:ascii="Arial" w:hAnsi="Arial" w:cs="Arial"/>
        </w:rPr>
      </w:pPr>
    </w:p>
    <w:p w:rsidR="00A35A7E" w:rsidRDefault="006760D0" w:rsidP="00173748">
      <w:pPr>
        <w:pStyle w:val="ListParagraph"/>
        <w:numPr>
          <w:ilvl w:val="0"/>
          <w:numId w:val="6"/>
        </w:numPr>
        <w:rPr>
          <w:rFonts w:ascii="Arial" w:hAnsi="Arial" w:cs="Arial"/>
        </w:rPr>
      </w:pPr>
      <w:r w:rsidRPr="00A35A7E">
        <w:rPr>
          <w:rFonts w:ascii="Arial" w:hAnsi="Arial" w:cs="Arial"/>
        </w:rPr>
        <w:t xml:space="preserve">Question </w:t>
      </w:r>
      <w:proofErr w:type="spellStart"/>
      <w:r w:rsidRPr="00A35A7E">
        <w:rPr>
          <w:rFonts w:ascii="Arial" w:hAnsi="Arial" w:cs="Arial"/>
        </w:rPr>
        <w:t>S4W</w:t>
      </w:r>
      <w:proofErr w:type="spellEnd"/>
      <w:r w:rsidRPr="00A35A7E">
        <w:rPr>
          <w:rFonts w:ascii="Arial" w:hAnsi="Arial" w:cs="Arial"/>
        </w:rPr>
        <w:t>-30532: Liam McArthur,</w:t>
      </w:r>
      <w:r w:rsidR="00AB0DBB">
        <w:rPr>
          <w:rFonts w:ascii="Arial" w:hAnsi="Arial" w:cs="Arial"/>
        </w:rPr>
        <w:t xml:space="preserve"> Orkney, Scottish Liberal Democrats,</w:t>
      </w:r>
      <w:r w:rsidRPr="00A35A7E">
        <w:rPr>
          <w:rFonts w:ascii="Arial" w:hAnsi="Arial" w:cs="Arial"/>
        </w:rPr>
        <w:t xml:space="preserve"> Date Lodged: 09/03/2016</w:t>
      </w:r>
    </w:p>
    <w:p w:rsidR="00A35A7E" w:rsidRDefault="00A35A7E" w:rsidP="00A35A7E">
      <w:pPr>
        <w:pStyle w:val="ListParagraph"/>
        <w:rPr>
          <w:rFonts w:ascii="Arial" w:hAnsi="Arial" w:cs="Arial"/>
        </w:rPr>
      </w:pPr>
    </w:p>
    <w:p w:rsidR="00A35A7E" w:rsidRDefault="00F41519" w:rsidP="00A35A7E">
      <w:pPr>
        <w:pStyle w:val="ListParagraph"/>
        <w:rPr>
          <w:rFonts w:ascii="Arial" w:hAnsi="Arial" w:cs="Arial"/>
          <w:sz w:val="20"/>
          <w:szCs w:val="20"/>
        </w:rPr>
      </w:pPr>
      <w:r w:rsidRPr="00A35A7E">
        <w:rPr>
          <w:rFonts w:ascii="Arial" w:hAnsi="Arial" w:cs="Arial"/>
          <w:sz w:val="20"/>
          <w:szCs w:val="20"/>
        </w:rPr>
        <w:t>To ask the Scottish Government, given that NHS Orkney's funding has been £6.1 million below the NHS Scotland Resource Allocation Committee (NRAC) target between 2010-11 and 2015-16, what plans it has to provide NHS Orkney with the £6.1 million to bring it into line with the NRAC target.</w:t>
      </w:r>
    </w:p>
    <w:p w:rsidR="00A35A7E" w:rsidRPr="00006BBB" w:rsidRDefault="00A35A7E" w:rsidP="00A35A7E">
      <w:pPr>
        <w:pStyle w:val="ListParagraph"/>
        <w:rPr>
          <w:rFonts w:ascii="Arial" w:hAnsi="Arial" w:cs="Arial"/>
        </w:rPr>
      </w:pPr>
    </w:p>
    <w:p w:rsidR="006760D0" w:rsidRDefault="006760D0" w:rsidP="00A35A7E">
      <w:pPr>
        <w:pStyle w:val="ListParagraph"/>
        <w:rPr>
          <w:rFonts w:ascii="Arial" w:hAnsi="Arial" w:cs="Arial"/>
        </w:rPr>
      </w:pPr>
      <w:r>
        <w:rPr>
          <w:rFonts w:ascii="Arial" w:hAnsi="Arial" w:cs="Arial"/>
        </w:rPr>
        <w:t>Answered by</w:t>
      </w:r>
      <w:r w:rsidR="00AB0DBB">
        <w:rPr>
          <w:rFonts w:ascii="Arial" w:hAnsi="Arial" w:cs="Arial"/>
        </w:rPr>
        <w:t xml:space="preserve"> Shona Robinson</w:t>
      </w:r>
      <w:r>
        <w:rPr>
          <w:rFonts w:ascii="Arial" w:hAnsi="Arial" w:cs="Arial"/>
        </w:rPr>
        <w:t xml:space="preserve"> (</w:t>
      </w:r>
      <w:r w:rsidRPr="006760D0">
        <w:rPr>
          <w:rFonts w:ascii="Arial" w:hAnsi="Arial" w:cs="Arial"/>
        </w:rPr>
        <w:t>21/03/2016</w:t>
      </w:r>
      <w:r>
        <w:rPr>
          <w:rFonts w:ascii="Arial" w:hAnsi="Arial" w:cs="Arial"/>
        </w:rPr>
        <w:t>):</w:t>
      </w:r>
    </w:p>
    <w:p w:rsidR="00A35A7E" w:rsidRDefault="00A35A7E" w:rsidP="00A35A7E">
      <w:pPr>
        <w:pStyle w:val="ListParagraph"/>
        <w:rPr>
          <w:rFonts w:ascii="Arial" w:hAnsi="Arial" w:cs="Arial"/>
        </w:rPr>
      </w:pPr>
    </w:p>
    <w:p w:rsidR="00006BBB" w:rsidRDefault="00AB0DBB" w:rsidP="00AB0DBB">
      <w:pPr>
        <w:pStyle w:val="ListParagraph"/>
        <w:rPr>
          <w:rFonts w:ascii="Arial" w:hAnsi="Arial" w:cs="Arial"/>
          <w:sz w:val="20"/>
          <w:szCs w:val="20"/>
        </w:rPr>
      </w:pPr>
      <w:r w:rsidRPr="00AB0DBB">
        <w:rPr>
          <w:rFonts w:ascii="Arial" w:hAnsi="Arial" w:cs="Arial"/>
          <w:sz w:val="20"/>
          <w:szCs w:val="20"/>
        </w:rPr>
        <w:t>NHS Orkney’s funding for 2016-17 is in line with the NRAC target. NHS Orkney’s resource budget will increase by 4.6% to £43.2 million, an above inflation increase, having previously increased by 15.1% in 2015-16.</w:t>
      </w:r>
    </w:p>
    <w:p w:rsidR="00006BBB" w:rsidRPr="00006BBB" w:rsidRDefault="00006BBB" w:rsidP="00AB0DBB">
      <w:pPr>
        <w:pStyle w:val="ListParagraph"/>
        <w:rPr>
          <w:rFonts w:ascii="Arial" w:hAnsi="Arial" w:cs="Arial"/>
        </w:rPr>
      </w:pPr>
    </w:p>
    <w:p w:rsidR="00006BBB" w:rsidRDefault="00006BBB" w:rsidP="00006BBB">
      <w:pPr>
        <w:pStyle w:val="ListParagraph"/>
        <w:numPr>
          <w:ilvl w:val="0"/>
          <w:numId w:val="6"/>
        </w:numPr>
        <w:rPr>
          <w:rFonts w:ascii="Arial" w:hAnsi="Arial" w:cs="Arial"/>
        </w:rPr>
      </w:pPr>
      <w:r w:rsidRPr="00F41519">
        <w:rPr>
          <w:rFonts w:ascii="Arial" w:hAnsi="Arial" w:cs="Arial"/>
        </w:rPr>
        <w:t xml:space="preserve">Question </w:t>
      </w:r>
      <w:proofErr w:type="spellStart"/>
      <w:r w:rsidRPr="00F41519">
        <w:rPr>
          <w:rFonts w:ascii="Arial" w:hAnsi="Arial" w:cs="Arial"/>
        </w:rPr>
        <w:t>S4W</w:t>
      </w:r>
      <w:proofErr w:type="spellEnd"/>
      <w:r w:rsidRPr="00F41519">
        <w:rPr>
          <w:rFonts w:ascii="Arial" w:hAnsi="Arial" w:cs="Arial"/>
        </w:rPr>
        <w:t xml:space="preserve">-30540: </w:t>
      </w:r>
      <w:proofErr w:type="spellStart"/>
      <w:r w:rsidRPr="00F41519">
        <w:rPr>
          <w:rFonts w:ascii="Arial" w:hAnsi="Arial" w:cs="Arial"/>
        </w:rPr>
        <w:t>Tavish</w:t>
      </w:r>
      <w:proofErr w:type="spellEnd"/>
      <w:r w:rsidRPr="00F41519">
        <w:rPr>
          <w:rFonts w:ascii="Arial" w:hAnsi="Arial" w:cs="Arial"/>
        </w:rPr>
        <w:t xml:space="preserve"> Scott, Shetland, Scottish Liberal Democrats, Date Lodged: 09/03/2016</w:t>
      </w:r>
    </w:p>
    <w:p w:rsidR="00006BBB" w:rsidRDefault="00006BBB" w:rsidP="00006BBB">
      <w:pPr>
        <w:pStyle w:val="ListParagraph"/>
        <w:rPr>
          <w:rFonts w:ascii="Arial" w:hAnsi="Arial" w:cs="Arial"/>
        </w:rPr>
      </w:pPr>
    </w:p>
    <w:p w:rsidR="00006BBB" w:rsidRDefault="00006BBB" w:rsidP="00006BBB">
      <w:pPr>
        <w:pStyle w:val="ListParagraph"/>
        <w:rPr>
          <w:rFonts w:ascii="Arial" w:hAnsi="Arial" w:cs="Arial"/>
          <w:sz w:val="20"/>
          <w:szCs w:val="20"/>
        </w:rPr>
      </w:pPr>
      <w:r w:rsidRPr="00F41519">
        <w:rPr>
          <w:rFonts w:ascii="Arial" w:hAnsi="Arial" w:cs="Arial"/>
          <w:sz w:val="20"/>
          <w:szCs w:val="20"/>
        </w:rPr>
        <w:t>To ask the Scottish Government, given that NHS Shetland’s funding was £1.1 million below the NHS Scotland Resource Allocation Committee (NRAC) target between 2014-15 and 2015-16, what plans it has to provide NHS Shetland with the £600,000 required to bring it into line with the NRAC target for 2016-17.</w:t>
      </w:r>
    </w:p>
    <w:p w:rsidR="00006BBB" w:rsidRPr="00006BBB" w:rsidRDefault="00006BBB" w:rsidP="00006BBB">
      <w:pPr>
        <w:pStyle w:val="ListParagraph"/>
        <w:rPr>
          <w:rFonts w:ascii="Arial" w:hAnsi="Arial" w:cs="Arial"/>
        </w:rPr>
      </w:pPr>
    </w:p>
    <w:p w:rsidR="00006BBB" w:rsidRDefault="00006BBB" w:rsidP="00006BBB">
      <w:pPr>
        <w:pStyle w:val="ListParagraph"/>
        <w:rPr>
          <w:rFonts w:ascii="Arial" w:hAnsi="Arial" w:cs="Arial"/>
        </w:rPr>
      </w:pPr>
      <w:r>
        <w:rPr>
          <w:rFonts w:ascii="Arial" w:hAnsi="Arial" w:cs="Arial"/>
        </w:rPr>
        <w:t>Answered by Shona Robinson (</w:t>
      </w:r>
      <w:r w:rsidRPr="006760D0">
        <w:rPr>
          <w:rFonts w:ascii="Arial" w:hAnsi="Arial" w:cs="Arial"/>
        </w:rPr>
        <w:t>21/03/2016</w:t>
      </w:r>
      <w:r>
        <w:rPr>
          <w:rFonts w:ascii="Arial" w:hAnsi="Arial" w:cs="Arial"/>
        </w:rPr>
        <w:t>):</w:t>
      </w:r>
    </w:p>
    <w:p w:rsidR="00006BBB" w:rsidRDefault="00006BBB" w:rsidP="00006BBB">
      <w:pPr>
        <w:pStyle w:val="ListParagraph"/>
        <w:rPr>
          <w:rFonts w:ascii="Arial" w:hAnsi="Arial" w:cs="Arial"/>
        </w:rPr>
      </w:pPr>
    </w:p>
    <w:p w:rsidR="00006BBB" w:rsidRDefault="00006BBB" w:rsidP="00006BBB">
      <w:pPr>
        <w:pStyle w:val="ListParagraph"/>
        <w:rPr>
          <w:rFonts w:ascii="Arial" w:hAnsi="Arial" w:cs="Arial"/>
          <w:sz w:val="20"/>
          <w:szCs w:val="20"/>
        </w:rPr>
      </w:pPr>
      <w:r w:rsidRPr="00F41519">
        <w:rPr>
          <w:rFonts w:ascii="Arial" w:hAnsi="Arial" w:cs="Arial"/>
          <w:sz w:val="20"/>
          <w:szCs w:val="20"/>
        </w:rPr>
        <w:t>In 2016-17, NHS Shetland’s resource budget will increase by 4.5% to £42.6 million, an above inflation increase, having previously increased by 2.8% in 2015-16.</w:t>
      </w:r>
    </w:p>
    <w:p w:rsidR="00006BBB" w:rsidRDefault="00006BBB" w:rsidP="00006BBB">
      <w:pPr>
        <w:pStyle w:val="ListParagraph"/>
        <w:rPr>
          <w:rFonts w:ascii="Arial" w:hAnsi="Arial" w:cs="Arial"/>
          <w:sz w:val="20"/>
          <w:szCs w:val="20"/>
        </w:rPr>
      </w:pPr>
    </w:p>
    <w:p w:rsidR="00C15EB7" w:rsidRPr="00006BBB" w:rsidRDefault="00006BBB" w:rsidP="00006BBB">
      <w:pPr>
        <w:pStyle w:val="ListParagraph"/>
        <w:rPr>
          <w:rFonts w:ascii="Arial" w:hAnsi="Arial" w:cs="Arial"/>
        </w:rPr>
      </w:pPr>
      <w:r w:rsidRPr="00F41519">
        <w:rPr>
          <w:rFonts w:ascii="Arial" w:hAnsi="Arial" w:cs="Arial"/>
          <w:sz w:val="20"/>
          <w:szCs w:val="20"/>
        </w:rPr>
        <w:t>NHS Shetland receives significant in-year funding over and above the baseline allocation, which when taken into account, takes the Board ahead of parity in 2016-17.</w:t>
      </w:r>
    </w:p>
    <w:sectPr w:rsidR="00C15EB7" w:rsidRPr="00006BBB"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D0" w:rsidRDefault="006760D0">
      <w:r>
        <w:separator/>
      </w:r>
    </w:p>
  </w:endnote>
  <w:endnote w:type="continuationSeparator" w:id="0">
    <w:p w:rsidR="006760D0" w:rsidRDefault="006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0" w:rsidRPr="0067486A" w:rsidRDefault="006760D0"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D0" w:rsidRDefault="006760D0">
      <w:r>
        <w:separator/>
      </w:r>
    </w:p>
  </w:footnote>
  <w:footnote w:type="continuationSeparator" w:id="0">
    <w:p w:rsidR="006760D0" w:rsidRDefault="0067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0" w:rsidRPr="0067486A" w:rsidRDefault="006760D0"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2">
    <w:nsid w:val="53037323"/>
    <w:multiLevelType w:val="hybridMultilevel"/>
    <w:tmpl w:val="AF8AC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5"/>
    <w:rsid w:val="00006BBB"/>
    <w:rsid w:val="0008446D"/>
    <w:rsid w:val="00100021"/>
    <w:rsid w:val="00104EF3"/>
    <w:rsid w:val="001267F7"/>
    <w:rsid w:val="00157346"/>
    <w:rsid w:val="00163CD8"/>
    <w:rsid w:val="00173748"/>
    <w:rsid w:val="00192DC7"/>
    <w:rsid w:val="002F31C7"/>
    <w:rsid w:val="002F3688"/>
    <w:rsid w:val="003D1F0D"/>
    <w:rsid w:val="003F2479"/>
    <w:rsid w:val="00411FC4"/>
    <w:rsid w:val="004C4727"/>
    <w:rsid w:val="0051186C"/>
    <w:rsid w:val="00653200"/>
    <w:rsid w:val="0067486A"/>
    <w:rsid w:val="006760D0"/>
    <w:rsid w:val="006D26F7"/>
    <w:rsid w:val="0080694A"/>
    <w:rsid w:val="00844997"/>
    <w:rsid w:val="008B55E8"/>
    <w:rsid w:val="00952710"/>
    <w:rsid w:val="00960A30"/>
    <w:rsid w:val="009B4D23"/>
    <w:rsid w:val="009F71B8"/>
    <w:rsid w:val="00A35A6A"/>
    <w:rsid w:val="00A35A7E"/>
    <w:rsid w:val="00A56EBA"/>
    <w:rsid w:val="00A90A53"/>
    <w:rsid w:val="00AB0DBB"/>
    <w:rsid w:val="00AB54FF"/>
    <w:rsid w:val="00AB67F8"/>
    <w:rsid w:val="00AC310B"/>
    <w:rsid w:val="00AE01CB"/>
    <w:rsid w:val="00B52162"/>
    <w:rsid w:val="00BB473B"/>
    <w:rsid w:val="00C1159D"/>
    <w:rsid w:val="00C15EB7"/>
    <w:rsid w:val="00C86FBA"/>
    <w:rsid w:val="00CC7056"/>
    <w:rsid w:val="00D432C5"/>
    <w:rsid w:val="00D7709E"/>
    <w:rsid w:val="00E01AC9"/>
    <w:rsid w:val="00E20E15"/>
    <w:rsid w:val="00E3599D"/>
    <w:rsid w:val="00E36759"/>
    <w:rsid w:val="00E94FD0"/>
    <w:rsid w:val="00F41519"/>
    <w:rsid w:val="00F7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F4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922</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15</cp:revision>
  <cp:lastPrinted>2016-01-22T15:37:00Z</cp:lastPrinted>
  <dcterms:created xsi:type="dcterms:W3CDTF">2016-02-24T11:00:00Z</dcterms:created>
  <dcterms:modified xsi:type="dcterms:W3CDTF">2016-05-06T11:30:00Z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A13417077</vt:lpwstr>
  </property>
  <property fmtid="{D5CDD505-2E9C-101B-9397-08002B2CF9AE}" pid="4" name="Objective-Title">
    <vt:lpwstr>ASDHD \ 2016 \ TAGRA \ Meeting 1 \ Agenda</vt:lpwstr>
  </property>
  <property fmtid="{D5CDD505-2E9C-101B-9397-08002B2CF9AE}" pid="5" name="Objective-Comment">
    <vt:lpwstr>
    </vt:lpwstr>
  </property>
  <property fmtid="{D5CDD505-2E9C-101B-9397-08002B2CF9AE}" pid="6" name="Objective-CreationStamp">
    <vt:filetime>2016-02-12T15:13:49Z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2016-02-12T15:13:50Z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