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DB8" w:rsidRPr="00E01F9E" w:rsidRDefault="008E1AFC" w:rsidP="00E01F9E">
      <w:pPr>
        <w:pStyle w:val="Heading2"/>
        <w:spacing w:line="360" w:lineRule="auto"/>
        <w:ind w:left="2835" w:hanging="2835"/>
      </w:pPr>
      <w:r>
        <w:t xml:space="preserve">Report </w:t>
      </w:r>
      <w:r w:rsidR="00D32C8E">
        <w:t>Summary:</w:t>
      </w:r>
      <w:r w:rsidR="00D32C8E">
        <w:tab/>
      </w:r>
      <w:r w:rsidR="005C1DB8" w:rsidRPr="005C1DB8">
        <w:rPr>
          <w:color w:val="808080" w:themeColor="background1" w:themeShade="80"/>
        </w:rPr>
        <w:t>Stabilising the Unavoidable</w:t>
      </w:r>
      <w:r w:rsidR="00E01F9E">
        <w:rPr>
          <w:color w:val="808080" w:themeColor="background1" w:themeShade="80"/>
        </w:rPr>
        <w:t xml:space="preserve"> Excess Costs component of NRAC (TAGRA 2018).</w:t>
      </w:r>
    </w:p>
    <w:p w:rsidR="00E01F9E" w:rsidRDefault="00E01F9E" w:rsidP="00E01F9E">
      <w:pPr>
        <w:pStyle w:val="ListParagraph"/>
        <w:spacing w:line="360" w:lineRule="auto"/>
        <w:ind w:left="567"/>
        <w:jc w:val="both"/>
        <w:rPr>
          <w:b/>
        </w:rPr>
      </w:pPr>
    </w:p>
    <w:p w:rsidR="005C1DB8" w:rsidRPr="005C1DB8" w:rsidRDefault="005C1DB8" w:rsidP="00665C2A">
      <w:pPr>
        <w:pStyle w:val="ListParagraph"/>
        <w:numPr>
          <w:ilvl w:val="0"/>
          <w:numId w:val="3"/>
        </w:numPr>
        <w:spacing w:line="360" w:lineRule="auto"/>
        <w:ind w:left="567" w:hanging="567"/>
        <w:jc w:val="both"/>
        <w:rPr>
          <w:b/>
        </w:rPr>
      </w:pPr>
      <w:r w:rsidRPr="005C1DB8">
        <w:rPr>
          <w:b/>
        </w:rPr>
        <w:t>Context for Change</w:t>
      </w:r>
    </w:p>
    <w:p w:rsidR="005C1DB8" w:rsidRDefault="005C1DB8" w:rsidP="00665C2A">
      <w:pPr>
        <w:jc w:val="both"/>
      </w:pPr>
      <w:r>
        <w:t xml:space="preserve">The Excess </w:t>
      </w:r>
      <w:r w:rsidR="008A1EF6">
        <w:t xml:space="preserve">Cost adjustment </w:t>
      </w:r>
      <w:r w:rsidR="00D735F8">
        <w:t xml:space="preserve">is one of the 4 components of the </w:t>
      </w:r>
      <w:proofErr w:type="spellStart"/>
      <w:r w:rsidR="00D735F8">
        <w:t>NRAC</w:t>
      </w:r>
      <w:proofErr w:type="spellEnd"/>
      <w:r w:rsidR="00D735F8">
        <w:t xml:space="preserve"> formula, and reflect</w:t>
      </w:r>
      <w:r w:rsidR="008A1EF6">
        <w:t>s</w:t>
      </w:r>
      <w:r w:rsidR="00D735F8">
        <w:t xml:space="preserve"> </w:t>
      </w:r>
      <w:r w:rsidR="008A1EF6">
        <w:t>the variation in the costs of delivering health services across different geographies</w:t>
      </w:r>
      <w:r w:rsidR="00D735F8">
        <w:t xml:space="preserve">. </w:t>
      </w:r>
      <w:r w:rsidR="00521558">
        <w:t xml:space="preserve">It is based on </w:t>
      </w:r>
      <w:r w:rsidR="008A1EF6">
        <w:t xml:space="preserve">the </w:t>
      </w:r>
      <w:r w:rsidR="00521558">
        <w:t xml:space="preserve">ratio of local to national cost per unit of healthcare activity (episode) over 3 </w:t>
      </w:r>
      <w:proofErr w:type="spellStart"/>
      <w:r w:rsidR="00521558">
        <w:t>yrs</w:t>
      </w:r>
      <w:proofErr w:type="spellEnd"/>
      <w:r w:rsidR="00521558">
        <w:t xml:space="preserve"> at the </w:t>
      </w:r>
      <w:proofErr w:type="spellStart"/>
      <w:r w:rsidR="00521558">
        <w:t>Datazone</w:t>
      </w:r>
      <w:proofErr w:type="spellEnd"/>
      <w:r w:rsidR="00521558">
        <w:t xml:space="preserve"> level, using </w:t>
      </w:r>
      <w:r w:rsidR="008A1EF6">
        <w:t xml:space="preserve">an average calculated for each of </w:t>
      </w:r>
      <w:r w:rsidR="00521558">
        <w:t xml:space="preserve">the 8 </w:t>
      </w:r>
      <w:proofErr w:type="spellStart"/>
      <w:r w:rsidR="00521558">
        <w:t>NRAC</w:t>
      </w:r>
      <w:proofErr w:type="spellEnd"/>
      <w:r w:rsidR="00521558">
        <w:t xml:space="preserve"> Urban-Rural</w:t>
      </w:r>
      <w:r w:rsidR="008A1EF6">
        <w:t xml:space="preserve"> (UR)</w:t>
      </w:r>
      <w:r w:rsidR="00521558">
        <w:t xml:space="preserve"> Categories</w:t>
      </w:r>
      <w:r w:rsidR="00A35A5A">
        <w:t xml:space="preserve">. </w:t>
      </w:r>
    </w:p>
    <w:p w:rsidR="00E03EEA" w:rsidRDefault="00E03EEA" w:rsidP="00665C2A">
      <w:pPr>
        <w:jc w:val="both"/>
        <w:rPr>
          <w:rFonts w:cs="Arial"/>
        </w:rPr>
      </w:pPr>
      <w:r>
        <w:rPr>
          <w:rFonts w:cs="Arial"/>
        </w:rPr>
        <w:t xml:space="preserve">In the 2015 </w:t>
      </w:r>
      <w:r w:rsidR="008A1EF6">
        <w:rPr>
          <w:rFonts w:cs="Arial"/>
        </w:rPr>
        <w:t xml:space="preserve">the updating of </w:t>
      </w:r>
      <w:r>
        <w:rPr>
          <w:rFonts w:cs="Arial"/>
        </w:rPr>
        <w:t xml:space="preserve">the Age-Sex and Excess Costs components of </w:t>
      </w:r>
      <w:proofErr w:type="spellStart"/>
      <w:r>
        <w:rPr>
          <w:rFonts w:cs="Arial"/>
        </w:rPr>
        <w:t>NRAC</w:t>
      </w:r>
      <w:proofErr w:type="spellEnd"/>
      <w:r>
        <w:rPr>
          <w:rFonts w:cs="Arial"/>
        </w:rPr>
        <w:t xml:space="preserve"> </w:t>
      </w:r>
      <w:r w:rsidR="008A1EF6">
        <w:rPr>
          <w:rFonts w:cs="Arial"/>
        </w:rPr>
        <w:t>generated a</w:t>
      </w:r>
      <w:r w:rsidRPr="00B52BE5">
        <w:rPr>
          <w:rFonts w:cs="Arial"/>
        </w:rPr>
        <w:t xml:space="preserve"> large increase in the </w:t>
      </w:r>
      <w:r>
        <w:rPr>
          <w:rFonts w:cs="Arial"/>
        </w:rPr>
        <w:t>Excess Costs index</w:t>
      </w:r>
      <w:r w:rsidRPr="00B52BE5">
        <w:rPr>
          <w:rFonts w:cs="Arial"/>
        </w:rPr>
        <w:t xml:space="preserve"> for </w:t>
      </w:r>
      <w:r w:rsidRPr="001C623D">
        <w:rPr>
          <w:rFonts w:cs="Arial"/>
        </w:rPr>
        <w:t>Care of the Elderly</w:t>
      </w:r>
      <w:r w:rsidRPr="00B52BE5">
        <w:rPr>
          <w:rFonts w:cs="Arial"/>
        </w:rPr>
        <w:t xml:space="preserve"> </w:t>
      </w:r>
      <w:r>
        <w:rPr>
          <w:rFonts w:cs="Arial"/>
        </w:rPr>
        <w:t>(</w:t>
      </w:r>
      <w:r w:rsidRPr="00B52BE5">
        <w:rPr>
          <w:rFonts w:cs="Arial"/>
        </w:rPr>
        <w:t>COTE</w:t>
      </w:r>
      <w:r>
        <w:rPr>
          <w:rFonts w:cs="Arial"/>
        </w:rPr>
        <w:t>)</w:t>
      </w:r>
      <w:r w:rsidRPr="00B52BE5">
        <w:rPr>
          <w:rFonts w:cs="Arial"/>
        </w:rPr>
        <w:t xml:space="preserve"> in Urban-Rural category 8</w:t>
      </w:r>
      <w:r>
        <w:rPr>
          <w:rFonts w:cs="Arial"/>
        </w:rPr>
        <w:t>.</w:t>
      </w:r>
      <w:r w:rsidR="0093329B">
        <w:rPr>
          <w:rFonts w:cs="Arial"/>
        </w:rPr>
        <w:t xml:space="preserve"> </w:t>
      </w:r>
      <w:r w:rsidRPr="00B52BE5">
        <w:rPr>
          <w:rFonts w:cs="Arial"/>
        </w:rPr>
        <w:t xml:space="preserve">This </w:t>
      </w:r>
      <w:r>
        <w:rPr>
          <w:rFonts w:cs="Arial"/>
        </w:rPr>
        <w:t xml:space="preserve">resulted in an unreasonably steep </w:t>
      </w:r>
      <w:r w:rsidRPr="00B52BE5">
        <w:rPr>
          <w:rFonts w:cs="Arial"/>
        </w:rPr>
        <w:t>increase in the</w:t>
      </w:r>
      <w:r>
        <w:rPr>
          <w:rFonts w:cs="Arial"/>
        </w:rPr>
        <w:t xml:space="preserve"> overall</w:t>
      </w:r>
      <w:r w:rsidRPr="00B52BE5">
        <w:rPr>
          <w:rFonts w:cs="Arial"/>
        </w:rPr>
        <w:t xml:space="preserve"> Board-level index</w:t>
      </w:r>
      <w:r>
        <w:rPr>
          <w:rFonts w:cs="Arial"/>
        </w:rPr>
        <w:t xml:space="preserve"> for the Island Boards</w:t>
      </w:r>
      <w:r w:rsidR="008A1EF6">
        <w:rPr>
          <w:rFonts w:cs="Arial"/>
        </w:rPr>
        <w:t>.  On the grounds of</w:t>
      </w:r>
      <w:r w:rsidR="00C5288F">
        <w:rPr>
          <w:rFonts w:cs="Arial"/>
        </w:rPr>
        <w:t xml:space="preserve"> the core c</w:t>
      </w:r>
      <w:r w:rsidR="00F0183F">
        <w:rPr>
          <w:rFonts w:cs="Arial"/>
        </w:rPr>
        <w:t>r</w:t>
      </w:r>
      <w:r w:rsidR="00C5288F">
        <w:rPr>
          <w:rFonts w:cs="Arial"/>
        </w:rPr>
        <w:t>iterion of</w:t>
      </w:r>
      <w:r w:rsidR="008A1EF6">
        <w:rPr>
          <w:rFonts w:cs="Arial"/>
        </w:rPr>
        <w:t xml:space="preserve"> </w:t>
      </w:r>
      <w:r w:rsidR="00C5288F">
        <w:rPr>
          <w:rFonts w:cs="Arial"/>
        </w:rPr>
        <w:t>‘</w:t>
      </w:r>
      <w:r w:rsidR="008A1EF6">
        <w:rPr>
          <w:rFonts w:cs="Arial"/>
        </w:rPr>
        <w:t>face validity</w:t>
      </w:r>
      <w:r w:rsidR="00C5288F">
        <w:rPr>
          <w:rFonts w:cs="Arial"/>
        </w:rPr>
        <w:t>’</w:t>
      </w:r>
      <w:r w:rsidR="0093329B">
        <w:rPr>
          <w:rFonts w:cs="Arial"/>
        </w:rPr>
        <w:t xml:space="preserve"> t</w:t>
      </w:r>
      <w:r>
        <w:rPr>
          <w:rFonts w:cs="Arial"/>
        </w:rPr>
        <w:t>he update</w:t>
      </w:r>
      <w:r w:rsidR="008A1EF6">
        <w:rPr>
          <w:rFonts w:cs="Arial"/>
        </w:rPr>
        <w:t xml:space="preserve"> for COTE</w:t>
      </w:r>
      <w:r>
        <w:rPr>
          <w:rFonts w:cs="Arial"/>
        </w:rPr>
        <w:t xml:space="preserve"> was not applied </w:t>
      </w:r>
      <w:r w:rsidR="008A1EF6">
        <w:rPr>
          <w:rFonts w:cs="Arial"/>
        </w:rPr>
        <w:t>in that formula run</w:t>
      </w:r>
      <w:r>
        <w:rPr>
          <w:rFonts w:cs="Arial"/>
        </w:rPr>
        <w:t xml:space="preserve">: the </w:t>
      </w:r>
      <w:r w:rsidR="0093329B">
        <w:rPr>
          <w:rFonts w:cs="Arial"/>
        </w:rPr>
        <w:t xml:space="preserve">2014 </w:t>
      </w:r>
      <w:r>
        <w:rPr>
          <w:rFonts w:cs="Arial"/>
        </w:rPr>
        <w:t xml:space="preserve">cost ratios were retained instead, with </w:t>
      </w:r>
      <w:r w:rsidR="0093329B">
        <w:rPr>
          <w:rFonts w:cs="Arial"/>
        </w:rPr>
        <w:t>a</w:t>
      </w:r>
      <w:r w:rsidR="003058A1">
        <w:rPr>
          <w:rFonts w:cs="Arial"/>
        </w:rPr>
        <w:t>n</w:t>
      </w:r>
      <w:r w:rsidR="008A1EF6">
        <w:rPr>
          <w:rFonts w:cs="Arial"/>
        </w:rPr>
        <w:t xml:space="preserve"> explanatory</w:t>
      </w:r>
      <w:r w:rsidR="0093329B">
        <w:rPr>
          <w:rFonts w:cs="Arial"/>
        </w:rPr>
        <w:t xml:space="preserve"> </w:t>
      </w:r>
      <w:r w:rsidR="008C4620">
        <w:rPr>
          <w:rFonts w:cs="Arial"/>
        </w:rPr>
        <w:t>note added to the publication.</w:t>
      </w:r>
    </w:p>
    <w:p w:rsidR="00BD376D" w:rsidRDefault="00BD376D" w:rsidP="00665C2A">
      <w:pPr>
        <w:jc w:val="both"/>
        <w:rPr>
          <w:rFonts w:cs="Arial"/>
        </w:rPr>
      </w:pPr>
      <w:r>
        <w:rPr>
          <w:rFonts w:cs="Arial"/>
        </w:rPr>
        <w:t>In recent years there have been</w:t>
      </w:r>
      <w:r w:rsidR="008A1EF6">
        <w:rPr>
          <w:rFonts w:cs="Arial"/>
        </w:rPr>
        <w:t xml:space="preserve"> </w:t>
      </w:r>
      <w:r w:rsidR="005134DC">
        <w:rPr>
          <w:rFonts w:cs="Arial"/>
        </w:rPr>
        <w:t>changing</w:t>
      </w:r>
      <w:r>
        <w:rPr>
          <w:rFonts w:cs="Arial"/>
        </w:rPr>
        <w:t xml:space="preserve"> levels of COTE activity recorded in </w:t>
      </w:r>
      <w:proofErr w:type="spellStart"/>
      <w:r w:rsidR="00F255C9">
        <w:rPr>
          <w:rFonts w:cs="Arial"/>
        </w:rPr>
        <w:t>SDIA</w:t>
      </w:r>
      <w:proofErr w:type="spellEnd"/>
      <w:r>
        <w:rPr>
          <w:rFonts w:cs="Arial"/>
        </w:rPr>
        <w:t xml:space="preserve"> areas, </w:t>
      </w:r>
      <w:r w:rsidR="008A1EF6">
        <w:rPr>
          <w:rFonts w:cs="Arial"/>
        </w:rPr>
        <w:t xml:space="preserve">which give rise to </w:t>
      </w:r>
      <w:r>
        <w:rPr>
          <w:rFonts w:cs="Arial"/>
        </w:rPr>
        <w:t>large fluctuations in unit costs</w:t>
      </w:r>
      <w:r w:rsidR="008A1EF6">
        <w:rPr>
          <w:rFonts w:cs="Arial"/>
        </w:rPr>
        <w:t xml:space="preserve"> (as expenditure is more stable)</w:t>
      </w:r>
      <w:r>
        <w:rPr>
          <w:rFonts w:cs="Arial"/>
        </w:rPr>
        <w:t>. COTE consists of Geriatric Long Stay (</w:t>
      </w:r>
      <w:proofErr w:type="spellStart"/>
      <w:r>
        <w:rPr>
          <w:rFonts w:cs="Arial"/>
        </w:rPr>
        <w:t>GLS</w:t>
      </w:r>
      <w:proofErr w:type="spellEnd"/>
      <w:r>
        <w:rPr>
          <w:rFonts w:cs="Arial"/>
        </w:rPr>
        <w:t>) episodes and it is a specialty considered out of</w:t>
      </w:r>
      <w:r w:rsidR="005134DC">
        <w:rPr>
          <w:rFonts w:cs="Arial"/>
        </w:rPr>
        <w:t xml:space="preserve"> date:</w:t>
      </w:r>
      <w:r>
        <w:rPr>
          <w:rFonts w:cs="Arial"/>
        </w:rPr>
        <w:t xml:space="preserve"> reduction in activity may be caused by changes in specialty classification and treatment protocols</w:t>
      </w:r>
      <w:r w:rsidR="00AD7669">
        <w:rPr>
          <w:rFonts w:cs="Arial"/>
        </w:rPr>
        <w:t>. In addition</w:t>
      </w:r>
      <w:r w:rsidR="008A1EF6">
        <w:rPr>
          <w:rFonts w:cs="Arial"/>
        </w:rPr>
        <w:t>,</w:t>
      </w:r>
      <w:r w:rsidR="00AD7669">
        <w:rPr>
          <w:rFonts w:cs="Arial"/>
        </w:rPr>
        <w:t xml:space="preserve"> </w:t>
      </w:r>
      <w:proofErr w:type="spellStart"/>
      <w:r w:rsidR="00F255C9">
        <w:rPr>
          <w:rFonts w:cs="Arial"/>
        </w:rPr>
        <w:t>SDIA</w:t>
      </w:r>
      <w:proofErr w:type="spellEnd"/>
      <w:r w:rsidR="00AD7669">
        <w:rPr>
          <w:rFonts w:cs="Arial"/>
        </w:rPr>
        <w:t xml:space="preserve"> areas have </w:t>
      </w:r>
      <w:r w:rsidR="008A1EF6">
        <w:rPr>
          <w:rFonts w:cs="Arial"/>
        </w:rPr>
        <w:t xml:space="preserve">a </w:t>
      </w:r>
      <w:r w:rsidR="00AD7669">
        <w:rPr>
          <w:rFonts w:cs="Arial"/>
        </w:rPr>
        <w:t xml:space="preserve">very small </w:t>
      </w:r>
      <w:r w:rsidR="008A1EF6">
        <w:rPr>
          <w:rFonts w:cs="Arial"/>
        </w:rPr>
        <w:t xml:space="preserve">share </w:t>
      </w:r>
      <w:r w:rsidR="00AD7669">
        <w:rPr>
          <w:rFonts w:cs="Arial"/>
        </w:rPr>
        <w:t xml:space="preserve">of the national population and </w:t>
      </w:r>
      <w:r w:rsidR="005134DC">
        <w:rPr>
          <w:rFonts w:cs="Arial"/>
        </w:rPr>
        <w:t xml:space="preserve">are </w:t>
      </w:r>
      <w:r w:rsidR="00AD7669">
        <w:rPr>
          <w:rFonts w:cs="Arial"/>
        </w:rPr>
        <w:t>therefor</w:t>
      </w:r>
      <w:r w:rsidR="005134DC">
        <w:rPr>
          <w:rFonts w:cs="Arial"/>
        </w:rPr>
        <w:t>e</w:t>
      </w:r>
      <w:r w:rsidR="00AD7669">
        <w:rPr>
          <w:rFonts w:cs="Arial"/>
        </w:rPr>
        <w:t xml:space="preserve"> prone to</w:t>
      </w:r>
      <w:r w:rsidR="005134DC">
        <w:rPr>
          <w:rFonts w:cs="Arial"/>
        </w:rPr>
        <w:t xml:space="preserve"> random</w:t>
      </w:r>
      <w:r w:rsidR="00AD7669">
        <w:rPr>
          <w:rFonts w:cs="Arial"/>
        </w:rPr>
        <w:t xml:space="preserve"> activity fluctuations.</w:t>
      </w:r>
    </w:p>
    <w:p w:rsidR="00665C2A" w:rsidRDefault="00AD7669" w:rsidP="00665C2A">
      <w:pPr>
        <w:jc w:val="both"/>
      </w:pPr>
      <w:r>
        <w:rPr>
          <w:rFonts w:cs="Arial"/>
        </w:rPr>
        <w:t xml:space="preserve">Analysis shows that cost per day has risen for all the UR areas, demonstrating the costs of fixed overheads </w:t>
      </w:r>
      <w:r w:rsidR="00665C2A">
        <w:rPr>
          <w:rFonts w:cs="Arial"/>
        </w:rPr>
        <w:t>against</w:t>
      </w:r>
      <w:r>
        <w:rPr>
          <w:rFonts w:cs="Arial"/>
        </w:rPr>
        <w:t xml:space="preserve"> a reduction in activity. The increase for </w:t>
      </w:r>
      <w:proofErr w:type="spellStart"/>
      <w:r w:rsidR="00F255C9">
        <w:rPr>
          <w:rFonts w:cs="Arial"/>
        </w:rPr>
        <w:t>SDIA’s</w:t>
      </w:r>
      <w:proofErr w:type="spellEnd"/>
      <w:r>
        <w:rPr>
          <w:rFonts w:cs="Arial"/>
        </w:rPr>
        <w:t xml:space="preserve"> wa</w:t>
      </w:r>
      <w:r w:rsidR="005134DC">
        <w:rPr>
          <w:rFonts w:cs="Arial"/>
        </w:rPr>
        <w:t>s markedly higher, especially 2</w:t>
      </w:r>
      <w:r>
        <w:rPr>
          <w:rFonts w:cs="Arial"/>
        </w:rPr>
        <w:t>012 and 2013</w:t>
      </w:r>
      <w:r w:rsidR="00665C2A">
        <w:rPr>
          <w:rFonts w:cs="Arial"/>
        </w:rPr>
        <w:t xml:space="preserve">, </w:t>
      </w:r>
      <w:r w:rsidR="009C1A9F">
        <w:rPr>
          <w:rFonts w:cs="Arial"/>
        </w:rPr>
        <w:t>when</w:t>
      </w:r>
      <w:r w:rsidR="00665C2A" w:rsidRPr="00665C2A">
        <w:t xml:space="preserve"> </w:t>
      </w:r>
      <w:r w:rsidR="00665C2A">
        <w:t xml:space="preserve">only 1 hospital, Gilbert Bain Hospital in Shetland, recorded any COTE expenditure and activity. </w:t>
      </w:r>
      <w:r w:rsidR="00C5288F">
        <w:t>Using</w:t>
      </w:r>
      <w:r w:rsidR="00665C2A">
        <w:t xml:space="preserve"> one </w:t>
      </w:r>
      <w:r w:rsidR="00323E26">
        <w:t xml:space="preserve">UR-8 </w:t>
      </w:r>
      <w:r w:rsidR="00665C2A">
        <w:t>hospital</w:t>
      </w:r>
      <w:r w:rsidR="00323E26">
        <w:t>’s recorded activity</w:t>
      </w:r>
      <w:r w:rsidR="005134DC">
        <w:t>,</w:t>
      </w:r>
      <w:r w:rsidR="005134DC" w:rsidRPr="005134DC">
        <w:t xml:space="preserve"> </w:t>
      </w:r>
      <w:r w:rsidR="005134DC">
        <w:t>with a small population,</w:t>
      </w:r>
      <w:r w:rsidR="00323E26">
        <w:t xml:space="preserve"> as a predictor of costs in Orkney, Western Isles </w:t>
      </w:r>
      <w:proofErr w:type="spellStart"/>
      <w:r w:rsidR="00323E26">
        <w:t>etc</w:t>
      </w:r>
      <w:proofErr w:type="spellEnd"/>
      <w:r w:rsidR="00323E26">
        <w:t xml:space="preserve">, </w:t>
      </w:r>
      <w:r w:rsidR="00665C2A">
        <w:t>can result in large fluctuations</w:t>
      </w:r>
      <w:r w:rsidR="005134DC">
        <w:t>, which contravenes</w:t>
      </w:r>
      <w:r w:rsidR="00C5288F">
        <w:t xml:space="preserve"> the core criterion of ‘</w:t>
      </w:r>
      <w:proofErr w:type="spellStart"/>
      <w:r w:rsidR="00C5288F">
        <w:t>stablility</w:t>
      </w:r>
      <w:proofErr w:type="spellEnd"/>
      <w:r w:rsidR="00C5288F">
        <w:t>’</w:t>
      </w:r>
      <w:r w:rsidR="00323E26">
        <w:t xml:space="preserve">. </w:t>
      </w:r>
      <w:r w:rsidR="00665C2A">
        <w:t xml:space="preserve"> </w:t>
      </w:r>
    </w:p>
    <w:p w:rsidR="005C1DB8" w:rsidRDefault="00665C2A" w:rsidP="005C1DB8">
      <w:r>
        <w:t>A compounding</w:t>
      </w:r>
      <w:r w:rsidR="00015809">
        <w:t xml:space="preserve"> factor is</w:t>
      </w:r>
      <w:r w:rsidR="00744CC9">
        <w:t xml:space="preserve"> that</w:t>
      </w:r>
      <w:r w:rsidR="00015809">
        <w:t xml:space="preserve"> the </w:t>
      </w:r>
      <w:r w:rsidR="00744CC9">
        <w:t>COTE index is included in the final shares using national care programme weights, even though the prog</w:t>
      </w:r>
      <w:r w:rsidR="000D5297">
        <w:t>r</w:t>
      </w:r>
      <w:r w:rsidR="00744CC9">
        <w:t xml:space="preserve">amme is very small in this UR category.  This means that the transmission of the fluctuation to final shares is excessive.  </w:t>
      </w:r>
    </w:p>
    <w:p w:rsidR="00F056F7" w:rsidRDefault="00F056F7" w:rsidP="00C72535">
      <w:pPr>
        <w:pStyle w:val="ListParagraph"/>
        <w:numPr>
          <w:ilvl w:val="0"/>
          <w:numId w:val="3"/>
        </w:numPr>
        <w:spacing w:line="360" w:lineRule="auto"/>
        <w:ind w:left="567" w:hanging="567"/>
        <w:jc w:val="both"/>
        <w:rPr>
          <w:b/>
        </w:rPr>
      </w:pPr>
      <w:r>
        <w:rPr>
          <w:b/>
        </w:rPr>
        <w:t>Proposed Solution</w:t>
      </w:r>
    </w:p>
    <w:p w:rsidR="00C72535" w:rsidRDefault="00C5288F" w:rsidP="00C72535">
      <w:pPr>
        <w:jc w:val="both"/>
      </w:pPr>
      <w:r>
        <w:t>The</w:t>
      </w:r>
      <w:r w:rsidR="00C72535">
        <w:t xml:space="preserve"> solution </w:t>
      </w:r>
      <w:proofErr w:type="spellStart"/>
      <w:r w:rsidR="00C72535">
        <w:t>ISD</w:t>
      </w:r>
      <w:proofErr w:type="spellEnd"/>
      <w:r w:rsidR="00C72535">
        <w:t xml:space="preserve"> proposes</w:t>
      </w:r>
      <w:r>
        <w:t xml:space="preserve"> is to </w:t>
      </w:r>
      <w:r w:rsidR="00C72535">
        <w:t xml:space="preserve"> merge COTE with the Acute, for the purposes of the Excess Cost calculations only. This would be </w:t>
      </w:r>
      <w:r>
        <w:t xml:space="preserve">achieved </w:t>
      </w:r>
      <w:r w:rsidR="00C72535">
        <w:t xml:space="preserve">by summing local costs and calculating an overall, combined cost ratio for the </w:t>
      </w:r>
      <w:r>
        <w:t xml:space="preserve">two </w:t>
      </w:r>
      <w:r w:rsidR="00C72535">
        <w:t>care programmes.</w:t>
      </w:r>
    </w:p>
    <w:p w:rsidR="00C72535" w:rsidRDefault="00C72535" w:rsidP="00C72535">
      <w:pPr>
        <w:jc w:val="both"/>
      </w:pPr>
      <w:r>
        <w:t>The rationale behind this merger is;</w:t>
      </w:r>
    </w:p>
    <w:p w:rsidR="00C72535" w:rsidRDefault="00C72535" w:rsidP="000D2A7D">
      <w:pPr>
        <w:pStyle w:val="ListParagraph"/>
        <w:numPr>
          <w:ilvl w:val="0"/>
          <w:numId w:val="4"/>
        </w:numPr>
        <w:ind w:hanging="578"/>
        <w:jc w:val="both"/>
      </w:pPr>
      <w:r>
        <w:t>Combining COTE and Acute at the unit cost calculations stage</w:t>
      </w:r>
      <w:r w:rsidR="00744CC9">
        <w:t xml:space="preserve"> would ensure that the COTE cost ratios are included in the formula with the implicit local care programme expenditure weight and thus avoid any excessive fluctuation affecting the final shares in a disproportionate way. </w:t>
      </w:r>
    </w:p>
    <w:p w:rsidR="002F33C5" w:rsidRDefault="001C3182" w:rsidP="000D2A7D">
      <w:pPr>
        <w:pStyle w:val="ListParagraph"/>
        <w:numPr>
          <w:ilvl w:val="0"/>
          <w:numId w:val="4"/>
        </w:numPr>
        <w:ind w:hanging="578"/>
        <w:jc w:val="both"/>
      </w:pPr>
      <w:r>
        <w:lastRenderedPageBreak/>
        <w:t xml:space="preserve">Acute is the most </w:t>
      </w:r>
      <w:r w:rsidR="007F09DA">
        <w:t xml:space="preserve">appropriate </w:t>
      </w:r>
      <w:r w:rsidR="002F33C5">
        <w:t xml:space="preserve">programme to merge with, as the reclassification of </w:t>
      </w:r>
      <w:proofErr w:type="spellStart"/>
      <w:r w:rsidR="002F33C5">
        <w:t>GLS</w:t>
      </w:r>
      <w:proofErr w:type="spellEnd"/>
      <w:r w:rsidR="002F33C5">
        <w:t xml:space="preserve"> activity will be into Acute Specialties. In addition, due to the relative size of Acute to the COTE programme, the proposed combined index will not be unduly influenced by large changes on COTE unit costs. </w:t>
      </w:r>
    </w:p>
    <w:p w:rsidR="000D2A7D" w:rsidRDefault="000D2A7D" w:rsidP="000D2A7D">
      <w:pPr>
        <w:pStyle w:val="ListParagraph"/>
        <w:jc w:val="both"/>
      </w:pPr>
    </w:p>
    <w:p w:rsidR="002F33C5" w:rsidRDefault="002F33C5" w:rsidP="00232D06">
      <w:pPr>
        <w:pStyle w:val="ListParagraph"/>
        <w:numPr>
          <w:ilvl w:val="0"/>
          <w:numId w:val="3"/>
        </w:numPr>
        <w:spacing w:line="360" w:lineRule="auto"/>
        <w:ind w:left="567" w:hanging="567"/>
        <w:jc w:val="both"/>
        <w:rPr>
          <w:b/>
        </w:rPr>
      </w:pPr>
      <w:r>
        <w:rPr>
          <w:b/>
        </w:rPr>
        <w:t>Additional Considerations</w:t>
      </w:r>
    </w:p>
    <w:p w:rsidR="00232D06" w:rsidRDefault="00232D06" w:rsidP="000D2A7D">
      <w:pPr>
        <w:pStyle w:val="ListParagraph"/>
        <w:numPr>
          <w:ilvl w:val="0"/>
          <w:numId w:val="6"/>
        </w:numPr>
        <w:ind w:left="709" w:hanging="567"/>
        <w:jc w:val="both"/>
      </w:pPr>
      <w:r w:rsidRPr="00232D06">
        <w:t xml:space="preserve">A previous review, </w:t>
      </w:r>
      <w:r>
        <w:t xml:space="preserve">identified unit costs in </w:t>
      </w:r>
      <w:proofErr w:type="spellStart"/>
      <w:r>
        <w:t>SDIA</w:t>
      </w:r>
      <w:proofErr w:type="spellEnd"/>
      <w:r>
        <w:t xml:space="preserve"> to be significantly different to similar very remote areas, such as UR Cat 5, justifying this very small category. However, the small size of this category is part of the cause behind the COTE instability: it is therefore reasonable to reconsider the UR classification, as part </w:t>
      </w:r>
      <w:r w:rsidR="00744CC9">
        <w:t xml:space="preserve">of </w:t>
      </w:r>
      <w:r>
        <w:t>the work to resolve the issue.</w:t>
      </w:r>
    </w:p>
    <w:p w:rsidR="002F33C5" w:rsidRDefault="00F4067E" w:rsidP="000D2A7D">
      <w:pPr>
        <w:pStyle w:val="ListParagraph"/>
        <w:numPr>
          <w:ilvl w:val="0"/>
          <w:numId w:val="6"/>
        </w:numPr>
        <w:ind w:left="709" w:hanging="567"/>
        <w:jc w:val="both"/>
      </w:pPr>
      <w:r>
        <w:t>Re-testing the 2012 report using the</w:t>
      </w:r>
      <w:r w:rsidR="00AB702C">
        <w:t xml:space="preserve"> three, 3-year windows; (2009/10 – 2011/12), (2011/12 – 2013/14) and (2012/12 -2014/15), was performed to evaluate if indices for Cat 5 and Cat 8 were significantly different. The relative </w:t>
      </w:r>
      <w:r w:rsidR="00606558">
        <w:t>magnitudes of the unit costs, including Acute, appear</w:t>
      </w:r>
      <w:r w:rsidR="00AB702C">
        <w:t xml:space="preserve"> to be unstable over these </w:t>
      </w:r>
      <w:r w:rsidR="00606558">
        <w:t>time periods, especially for Cat 5 areas. The 2012 review identifying Cat 8 (</w:t>
      </w:r>
      <w:proofErr w:type="spellStart"/>
      <w:r w:rsidR="00606558">
        <w:t>SDIA</w:t>
      </w:r>
      <w:proofErr w:type="spellEnd"/>
      <w:r w:rsidR="00606558">
        <w:t>) as higher than those for Cat 5, may have been  the results of random fluctuations as opposed to a systemic, robust and repeatable and real difference.</w:t>
      </w:r>
    </w:p>
    <w:p w:rsidR="000D2A7D" w:rsidRDefault="000D2A7D" w:rsidP="000D2A7D">
      <w:pPr>
        <w:jc w:val="both"/>
      </w:pPr>
    </w:p>
    <w:p w:rsidR="000D2A7D" w:rsidRDefault="000D2A7D" w:rsidP="000D2A7D">
      <w:pPr>
        <w:pStyle w:val="ListParagraph"/>
        <w:numPr>
          <w:ilvl w:val="0"/>
          <w:numId w:val="3"/>
        </w:numPr>
        <w:spacing w:line="360" w:lineRule="auto"/>
        <w:ind w:left="567" w:hanging="567"/>
        <w:jc w:val="both"/>
        <w:rPr>
          <w:b/>
        </w:rPr>
      </w:pPr>
      <w:r>
        <w:rPr>
          <w:b/>
        </w:rPr>
        <w:t>Conclusions</w:t>
      </w:r>
    </w:p>
    <w:p w:rsidR="000D2A7D" w:rsidRPr="004B3C82" w:rsidRDefault="004B3C82" w:rsidP="004B3C82">
      <w:pPr>
        <w:pStyle w:val="ListParagraph"/>
        <w:numPr>
          <w:ilvl w:val="0"/>
          <w:numId w:val="7"/>
        </w:numPr>
        <w:ind w:left="709" w:hanging="567"/>
        <w:jc w:val="both"/>
        <w:rPr>
          <w:b/>
        </w:rPr>
      </w:pPr>
      <w:r>
        <w:t>Merge COTE and Acute care programmes (</w:t>
      </w:r>
      <w:r w:rsidRPr="004B3C82">
        <w:rPr>
          <w:b/>
        </w:rPr>
        <w:t>for Excess Costs only</w:t>
      </w:r>
      <w:r>
        <w:t xml:space="preserve">). This will be manageable to implement for this </w:t>
      </w:r>
      <w:r w:rsidR="00744CC9">
        <w:t>year’s</w:t>
      </w:r>
      <w:r>
        <w:t xml:space="preserve"> report and will mitigate excessive weighting being applied to COTE in </w:t>
      </w:r>
      <w:proofErr w:type="spellStart"/>
      <w:r>
        <w:t>SDIA</w:t>
      </w:r>
      <w:proofErr w:type="spellEnd"/>
      <w:r>
        <w:t xml:space="preserve"> (Urban-Rural Category 8) areas.</w:t>
      </w:r>
    </w:p>
    <w:p w:rsidR="004B3C82" w:rsidRPr="000D2A7D" w:rsidRDefault="004B3C82" w:rsidP="004B3C82">
      <w:pPr>
        <w:pStyle w:val="ListParagraph"/>
        <w:numPr>
          <w:ilvl w:val="0"/>
          <w:numId w:val="7"/>
        </w:numPr>
        <w:ind w:left="709" w:hanging="567"/>
        <w:jc w:val="both"/>
        <w:rPr>
          <w:b/>
        </w:rPr>
      </w:pPr>
      <w:r>
        <w:t>Monitor Urban-Rural Category 5 &amp; 8, to see if a trend of similar unit costs can be identified or if further examples of instability develop, consider merging the two categories.</w:t>
      </w:r>
    </w:p>
    <w:p w:rsidR="000D2A7D" w:rsidRDefault="000D2A7D" w:rsidP="000D2A7D">
      <w:pPr>
        <w:jc w:val="both"/>
      </w:pPr>
    </w:p>
    <w:p w:rsidR="002F33C5" w:rsidRPr="00C72535" w:rsidRDefault="002F33C5" w:rsidP="002F33C5">
      <w:pPr>
        <w:ind w:left="360"/>
      </w:pPr>
    </w:p>
    <w:p w:rsidR="005C1DB8" w:rsidRDefault="005C1DB8" w:rsidP="005C1DB8"/>
    <w:p w:rsidR="005C1DB8" w:rsidRDefault="005C1DB8" w:rsidP="005C1DB8"/>
    <w:p w:rsidR="005C1DB8" w:rsidRDefault="005C1DB8" w:rsidP="005C1DB8"/>
    <w:p w:rsidR="005C1DB8" w:rsidRDefault="005C1DB8" w:rsidP="005C1DB8"/>
    <w:p w:rsidR="005C1DB8" w:rsidRDefault="005C1DB8" w:rsidP="005C1DB8"/>
    <w:p w:rsidR="000C557D" w:rsidRDefault="000C557D" w:rsidP="005C1DB8"/>
    <w:p w:rsidR="004B3C82" w:rsidRDefault="004B3C82" w:rsidP="00D619F2">
      <w:pPr>
        <w:pStyle w:val="Heading2"/>
        <w:rPr>
          <w:rFonts w:eastAsia="Calibri" w:cs="Times New Roman"/>
          <w:b w:val="0"/>
          <w:bCs w:val="0"/>
          <w:sz w:val="22"/>
          <w:szCs w:val="22"/>
        </w:rPr>
      </w:pPr>
    </w:p>
    <w:p w:rsidR="00D619F2" w:rsidRDefault="00A612DA" w:rsidP="00D619F2">
      <w:pPr>
        <w:pStyle w:val="Heading2"/>
      </w:pPr>
      <w:r>
        <w:t xml:space="preserve">Stabilising the Unavoidable Excess Costs component of the </w:t>
      </w:r>
      <w:proofErr w:type="spellStart"/>
      <w:r>
        <w:t>NRAC</w:t>
      </w:r>
      <w:proofErr w:type="spellEnd"/>
      <w:r>
        <w:t xml:space="preserve"> formula</w:t>
      </w:r>
    </w:p>
    <w:p w:rsidR="002B0502" w:rsidRPr="002B0502" w:rsidRDefault="002B0502" w:rsidP="002B0502">
      <w:pPr>
        <w:pStyle w:val="Heading2"/>
      </w:pPr>
      <w:proofErr w:type="spellStart"/>
      <w:r>
        <w:t>TAGRA</w:t>
      </w:r>
      <w:proofErr w:type="spellEnd"/>
      <w:r w:rsidR="00A612DA">
        <w:t xml:space="preserve"> </w:t>
      </w:r>
      <w:r>
        <w:t>(20</w:t>
      </w:r>
      <w:r w:rsidR="00A612DA">
        <w:t>18</w:t>
      </w:r>
      <w:r>
        <w:t>)</w:t>
      </w:r>
      <w:r w:rsidR="00A612DA">
        <w:t xml:space="preserve"> </w:t>
      </w:r>
    </w:p>
    <w:p w:rsidR="00E71C9F" w:rsidRDefault="00D619F2" w:rsidP="00D619F2">
      <w:pPr>
        <w:pStyle w:val="Heading2"/>
      </w:pPr>
      <w:r>
        <w:t xml:space="preserve">1. </w:t>
      </w:r>
      <w:r w:rsidR="00A612DA">
        <w:t>Background</w:t>
      </w:r>
    </w:p>
    <w:p w:rsidR="00ED4696" w:rsidRDefault="00A612DA" w:rsidP="00A612DA">
      <w:pPr>
        <w:rPr>
          <w:rFonts w:cs="Arial"/>
        </w:rPr>
      </w:pPr>
      <w:r w:rsidRPr="001C623D">
        <w:rPr>
          <w:rFonts w:cs="Arial"/>
        </w:rPr>
        <w:t xml:space="preserve">The Excess Costs component of the </w:t>
      </w:r>
      <w:proofErr w:type="spellStart"/>
      <w:r w:rsidRPr="001C623D">
        <w:rPr>
          <w:rFonts w:cs="Arial"/>
        </w:rPr>
        <w:t>NRAC</w:t>
      </w:r>
      <w:proofErr w:type="spellEnd"/>
      <w:r w:rsidRPr="001C623D">
        <w:rPr>
          <w:rFonts w:cs="Arial"/>
        </w:rPr>
        <w:t xml:space="preserve"> formula (for Acute, Care of the Elderly, Maternity, and M</w:t>
      </w:r>
      <w:r>
        <w:rPr>
          <w:rFonts w:cs="Arial"/>
        </w:rPr>
        <w:t xml:space="preserve">ental </w:t>
      </w:r>
      <w:r w:rsidRPr="001C623D">
        <w:rPr>
          <w:rFonts w:cs="Arial"/>
        </w:rPr>
        <w:t>H</w:t>
      </w:r>
      <w:r>
        <w:rPr>
          <w:rFonts w:cs="Arial"/>
        </w:rPr>
        <w:t xml:space="preserve">ealth </w:t>
      </w:r>
      <w:r w:rsidRPr="001C623D">
        <w:rPr>
          <w:rFonts w:cs="Arial"/>
        </w:rPr>
        <w:t>&amp;</w:t>
      </w:r>
      <w:r>
        <w:rPr>
          <w:rFonts w:cs="Arial"/>
        </w:rPr>
        <w:t xml:space="preserve"> </w:t>
      </w:r>
      <w:r w:rsidRPr="001C623D">
        <w:rPr>
          <w:rFonts w:cs="Arial"/>
        </w:rPr>
        <w:t>L</w:t>
      </w:r>
      <w:r>
        <w:rPr>
          <w:rFonts w:cs="Arial"/>
        </w:rPr>
        <w:t xml:space="preserve">earning </w:t>
      </w:r>
      <w:r w:rsidRPr="001C623D">
        <w:rPr>
          <w:rFonts w:cs="Arial"/>
        </w:rPr>
        <w:t>D</w:t>
      </w:r>
      <w:r>
        <w:rPr>
          <w:rFonts w:cs="Arial"/>
        </w:rPr>
        <w:t>ifficulties</w:t>
      </w:r>
      <w:r w:rsidRPr="001C623D">
        <w:rPr>
          <w:rFonts w:cs="Arial"/>
        </w:rPr>
        <w:t xml:space="preserve">) </w:t>
      </w:r>
      <w:r>
        <w:rPr>
          <w:rFonts w:cs="Arial"/>
        </w:rPr>
        <w:t>relates to the unavoidable excess cost of providing healthcare service</w:t>
      </w:r>
      <w:r w:rsidR="00A371C8">
        <w:rPr>
          <w:rFonts w:cs="Arial"/>
        </w:rPr>
        <w:t>s in remote and rural settings. It is designed to take these into account in the target shares, ensuring</w:t>
      </w:r>
      <w:r>
        <w:rPr>
          <w:rFonts w:cs="Arial"/>
        </w:rPr>
        <w:t xml:space="preserve"> that the overall </w:t>
      </w:r>
      <w:r w:rsidR="00A371C8">
        <w:rPr>
          <w:rFonts w:cs="Arial"/>
        </w:rPr>
        <w:t>Board shares reflect not only the needs of the population but</w:t>
      </w:r>
      <w:r w:rsidR="00D61AA9">
        <w:rPr>
          <w:rFonts w:cs="Arial"/>
        </w:rPr>
        <w:t xml:space="preserve"> also</w:t>
      </w:r>
      <w:r w:rsidR="00A371C8">
        <w:rPr>
          <w:rFonts w:cs="Arial"/>
        </w:rPr>
        <w:t xml:space="preserve"> the cost of providing the needed services.</w:t>
      </w:r>
    </w:p>
    <w:p w:rsidR="00ED4696" w:rsidRDefault="00A612DA" w:rsidP="00A612DA">
      <w:pPr>
        <w:rPr>
          <w:rFonts w:cs="Arial"/>
        </w:rPr>
      </w:pPr>
      <w:r>
        <w:rPr>
          <w:rFonts w:cs="Arial"/>
        </w:rPr>
        <w:t>The</w:t>
      </w:r>
      <w:r w:rsidR="00A371C8">
        <w:rPr>
          <w:rFonts w:cs="Arial"/>
        </w:rPr>
        <w:t xml:space="preserve"> Excess Costs</w:t>
      </w:r>
      <w:r>
        <w:rPr>
          <w:rFonts w:cs="Arial"/>
        </w:rPr>
        <w:t xml:space="preserve"> calculation</w:t>
      </w:r>
      <w:r w:rsidR="00ED4696">
        <w:rPr>
          <w:rFonts w:cs="Arial"/>
        </w:rPr>
        <w:t>:</w:t>
      </w:r>
    </w:p>
    <w:p w:rsidR="00ED4696" w:rsidRDefault="00A612DA" w:rsidP="00ED4696">
      <w:pPr>
        <w:pStyle w:val="ListParagraph"/>
        <w:numPr>
          <w:ilvl w:val="0"/>
          <w:numId w:val="1"/>
        </w:numPr>
        <w:rPr>
          <w:rFonts w:cs="Arial"/>
        </w:rPr>
      </w:pPr>
      <w:r w:rsidRPr="00ED4696">
        <w:rPr>
          <w:rFonts w:cs="Arial"/>
        </w:rPr>
        <w:t xml:space="preserve">is based on a cost ratio: the ratio of the </w:t>
      </w:r>
      <w:r w:rsidRPr="00ED4696">
        <w:rPr>
          <w:rFonts w:cs="Arial"/>
          <w:i/>
        </w:rPr>
        <w:t>local cost</w:t>
      </w:r>
      <w:r w:rsidRPr="00ED4696">
        <w:rPr>
          <w:rFonts w:cs="Arial"/>
        </w:rPr>
        <w:t xml:space="preserve"> per unit of healthcare activity (e.g. a hospital episode), to the </w:t>
      </w:r>
      <w:r w:rsidRPr="00ED4696">
        <w:rPr>
          <w:rFonts w:cs="Arial"/>
          <w:i/>
        </w:rPr>
        <w:t>national average</w:t>
      </w:r>
      <w:r w:rsidRPr="00ED4696">
        <w:rPr>
          <w:rFonts w:cs="Arial"/>
        </w:rPr>
        <w:t xml:space="preserve"> cost of the same unit of activity</w:t>
      </w:r>
    </w:p>
    <w:p w:rsidR="00ED4696" w:rsidRPr="00ED4696" w:rsidRDefault="00ED4696" w:rsidP="00ED4696">
      <w:pPr>
        <w:pStyle w:val="ListParagraph"/>
        <w:numPr>
          <w:ilvl w:val="0"/>
          <w:numId w:val="1"/>
        </w:numPr>
        <w:rPr>
          <w:rFonts w:cs="Arial"/>
        </w:rPr>
      </w:pPr>
      <w:r w:rsidRPr="00ED4696">
        <w:rPr>
          <w:rFonts w:cs="Arial"/>
        </w:rPr>
        <w:t>is based on three years of costs and activity, and is calculated at data zone level</w:t>
      </w:r>
    </w:p>
    <w:p w:rsidR="00ED4696" w:rsidRPr="00ED4696" w:rsidRDefault="00ED4696" w:rsidP="00ED4696">
      <w:pPr>
        <w:pStyle w:val="ListParagraph"/>
        <w:numPr>
          <w:ilvl w:val="0"/>
          <w:numId w:val="1"/>
        </w:numPr>
        <w:rPr>
          <w:rFonts w:cs="Arial"/>
        </w:rPr>
      </w:pPr>
      <w:r>
        <w:t xml:space="preserve">uses averaging across </w:t>
      </w:r>
      <w:r w:rsidRPr="001C623D">
        <w:t xml:space="preserve">the </w:t>
      </w:r>
      <w:r>
        <w:t xml:space="preserve">eight </w:t>
      </w:r>
      <w:proofErr w:type="spellStart"/>
      <w:r>
        <w:t>NRAC</w:t>
      </w:r>
      <w:proofErr w:type="spellEnd"/>
      <w:r>
        <w:t xml:space="preserve"> </w:t>
      </w:r>
      <w:r w:rsidRPr="001C623D">
        <w:t>Urban-Rural categories</w:t>
      </w:r>
      <w:r>
        <w:t xml:space="preserve"> (see table 1 below) as the basis for predicted cost ratios in the allocation period</w:t>
      </w:r>
    </w:p>
    <w:p w:rsidR="00ED4696" w:rsidRPr="00ED4696" w:rsidRDefault="00ED4696" w:rsidP="00ED4696">
      <w:pPr>
        <w:pStyle w:val="ListParagraph"/>
        <w:numPr>
          <w:ilvl w:val="0"/>
          <w:numId w:val="1"/>
        </w:numPr>
        <w:rPr>
          <w:rFonts w:cs="Arial"/>
        </w:rPr>
      </w:pPr>
      <w:r>
        <w:t xml:space="preserve">includes </w:t>
      </w:r>
      <w:r w:rsidRPr="001C623D">
        <w:t xml:space="preserve">a small additional adjustment for </w:t>
      </w:r>
      <w:r>
        <w:t>Scottish Distant Islands Allowance (</w:t>
      </w:r>
      <w:proofErr w:type="spellStart"/>
      <w:r w:rsidRPr="001C623D">
        <w:t>SDIA</w:t>
      </w:r>
      <w:proofErr w:type="spellEnd"/>
      <w:r>
        <w:t>)</w:t>
      </w:r>
      <w:r w:rsidRPr="001C623D">
        <w:t xml:space="preserve"> staff costs</w:t>
      </w:r>
      <w:r w:rsidR="00E62524">
        <w:t xml:space="preserve"> – an additional amount</w:t>
      </w:r>
      <w:r w:rsidR="00E62524" w:rsidRPr="00E62524">
        <w:t xml:space="preserve"> </w:t>
      </w:r>
      <w:r w:rsidR="00E62524">
        <w:t>added to salaries</w:t>
      </w:r>
      <w:r w:rsidR="00E62524" w:rsidRPr="00E62524">
        <w:t xml:space="preserve"> to </w:t>
      </w:r>
      <w:r w:rsidR="00E62524">
        <w:t>help</w:t>
      </w:r>
      <w:r w:rsidR="00E62524" w:rsidRPr="00E62524">
        <w:t xml:space="preserve"> </w:t>
      </w:r>
      <w:r w:rsidR="00E62524">
        <w:t>maintain</w:t>
      </w:r>
      <w:r w:rsidR="00E62524" w:rsidRPr="00E62524">
        <w:t xml:space="preserve"> staff levels in the rem</w:t>
      </w:r>
      <w:r w:rsidR="00E62524">
        <w:t>ote areas of Scotland</w:t>
      </w:r>
    </w:p>
    <w:p w:rsidR="00ED4696" w:rsidRDefault="00ED4696" w:rsidP="00ED4696">
      <w:pPr>
        <w:pStyle w:val="ListParagraph"/>
        <w:numPr>
          <w:ilvl w:val="0"/>
          <w:numId w:val="1"/>
        </w:numPr>
        <w:rPr>
          <w:rFonts w:cs="Arial"/>
        </w:rPr>
      </w:pPr>
      <w:r>
        <w:t>results in an Excess Costs ‘index’ – a measure in which 1 represents the national average, a value greater than 1 indicates greater than average expected unit costs, and vice versa</w:t>
      </w:r>
    </w:p>
    <w:p w:rsidR="00A612DA" w:rsidRPr="00B420B1" w:rsidRDefault="00A612DA" w:rsidP="00A612DA">
      <w:pPr>
        <w:pStyle w:val="Caption"/>
      </w:pPr>
      <w:r>
        <w:t>Table 1</w:t>
      </w:r>
      <w:r w:rsidRPr="00B420B1">
        <w:t xml:space="preserve">: 8-fold urban-rural classification used in </w:t>
      </w:r>
      <w:proofErr w:type="spellStart"/>
      <w:r w:rsidRPr="00B420B1">
        <w:t>NRAC</w:t>
      </w:r>
      <w:proofErr w:type="spellEnd"/>
      <w:r w:rsidRPr="00B420B1">
        <w:t xml:space="preserve"> following the 2012 review</w:t>
      </w:r>
    </w:p>
    <w:tbl>
      <w:tblPr>
        <w:tblStyle w:val="TableGrid"/>
        <w:tblW w:w="0" w:type="auto"/>
        <w:tblLook w:val="04A0" w:firstRow="1" w:lastRow="0" w:firstColumn="1" w:lastColumn="0" w:noHBand="0" w:noVBand="1"/>
      </w:tblPr>
      <w:tblGrid>
        <w:gridCol w:w="2660"/>
        <w:gridCol w:w="4111"/>
        <w:gridCol w:w="2471"/>
      </w:tblGrid>
      <w:tr w:rsidR="00A612DA" w:rsidRPr="009151D1" w:rsidTr="002B66BE">
        <w:tc>
          <w:tcPr>
            <w:tcW w:w="2660" w:type="dxa"/>
          </w:tcPr>
          <w:p w:rsidR="00A612DA" w:rsidRPr="009151D1" w:rsidRDefault="00A612DA" w:rsidP="002B66BE">
            <w:pPr>
              <w:jc w:val="both"/>
              <w:rPr>
                <w:b/>
              </w:rPr>
            </w:pPr>
            <w:r w:rsidRPr="009151D1">
              <w:rPr>
                <w:b/>
              </w:rPr>
              <w:t>Category</w:t>
            </w:r>
          </w:p>
        </w:tc>
        <w:tc>
          <w:tcPr>
            <w:tcW w:w="4111" w:type="dxa"/>
          </w:tcPr>
          <w:p w:rsidR="00A612DA" w:rsidRPr="009151D1" w:rsidRDefault="00A612DA" w:rsidP="002B66BE">
            <w:pPr>
              <w:jc w:val="both"/>
              <w:rPr>
                <w:b/>
              </w:rPr>
            </w:pPr>
            <w:r w:rsidRPr="009151D1">
              <w:rPr>
                <w:b/>
              </w:rPr>
              <w:t>Description</w:t>
            </w:r>
          </w:p>
        </w:tc>
        <w:tc>
          <w:tcPr>
            <w:tcW w:w="2471" w:type="dxa"/>
          </w:tcPr>
          <w:p w:rsidR="00A612DA" w:rsidRPr="009151D1" w:rsidRDefault="00A612DA" w:rsidP="002B66BE">
            <w:pPr>
              <w:jc w:val="both"/>
              <w:rPr>
                <w:b/>
              </w:rPr>
            </w:pPr>
            <w:r w:rsidRPr="009151D1">
              <w:rPr>
                <w:b/>
              </w:rPr>
              <w:t>Number of data zones</w:t>
            </w:r>
          </w:p>
        </w:tc>
      </w:tr>
      <w:tr w:rsidR="00A612DA" w:rsidTr="002B66BE">
        <w:tc>
          <w:tcPr>
            <w:tcW w:w="2660" w:type="dxa"/>
          </w:tcPr>
          <w:p w:rsidR="00A612DA" w:rsidRDefault="00A612DA" w:rsidP="002B66BE">
            <w:r>
              <w:t>1: Large urban areas</w:t>
            </w:r>
          </w:p>
        </w:tc>
        <w:tc>
          <w:tcPr>
            <w:tcW w:w="4111" w:type="dxa"/>
          </w:tcPr>
          <w:p w:rsidR="00A612DA" w:rsidRDefault="00A612DA" w:rsidP="002B66BE">
            <w:r>
              <w:t xml:space="preserve">Same as category 1 from </w:t>
            </w:r>
            <w:proofErr w:type="spellStart"/>
            <w:r>
              <w:t>SG</w:t>
            </w:r>
            <w:proofErr w:type="spellEnd"/>
            <w:r>
              <w:t xml:space="preserve"> 8-fold UR classification</w:t>
            </w:r>
          </w:p>
        </w:tc>
        <w:tc>
          <w:tcPr>
            <w:tcW w:w="2471" w:type="dxa"/>
          </w:tcPr>
          <w:p w:rsidR="00A612DA" w:rsidRDefault="00A612DA" w:rsidP="002B66BE">
            <w:pPr>
              <w:jc w:val="center"/>
            </w:pPr>
            <w:r>
              <w:t>2</w:t>
            </w:r>
            <w:r w:rsidR="00C702E2">
              <w:t>,</w:t>
            </w:r>
            <w:r>
              <w:t>319</w:t>
            </w:r>
          </w:p>
        </w:tc>
      </w:tr>
      <w:tr w:rsidR="00A612DA" w:rsidTr="002B66BE">
        <w:tc>
          <w:tcPr>
            <w:tcW w:w="2660" w:type="dxa"/>
          </w:tcPr>
          <w:p w:rsidR="00A612DA" w:rsidRDefault="00A612DA" w:rsidP="002B66BE">
            <w:r>
              <w:t>2: Other urban areas</w:t>
            </w:r>
          </w:p>
        </w:tc>
        <w:tc>
          <w:tcPr>
            <w:tcW w:w="4111" w:type="dxa"/>
          </w:tcPr>
          <w:p w:rsidR="00A612DA" w:rsidRDefault="00A612DA" w:rsidP="002B66BE">
            <w:r>
              <w:t xml:space="preserve">Same as category 2 from </w:t>
            </w:r>
            <w:proofErr w:type="spellStart"/>
            <w:r>
              <w:t>SG</w:t>
            </w:r>
            <w:proofErr w:type="spellEnd"/>
            <w:r>
              <w:t xml:space="preserve"> 8-fold UR classification</w:t>
            </w:r>
          </w:p>
        </w:tc>
        <w:tc>
          <w:tcPr>
            <w:tcW w:w="2471" w:type="dxa"/>
          </w:tcPr>
          <w:p w:rsidR="00A612DA" w:rsidRDefault="00A612DA" w:rsidP="002B66BE">
            <w:pPr>
              <w:jc w:val="center"/>
            </w:pPr>
            <w:r>
              <w:t>2</w:t>
            </w:r>
            <w:r w:rsidR="00C702E2">
              <w:t>,</w:t>
            </w:r>
            <w:r>
              <w:t>518</w:t>
            </w:r>
          </w:p>
        </w:tc>
      </w:tr>
      <w:tr w:rsidR="00A612DA" w:rsidTr="002B66BE">
        <w:tc>
          <w:tcPr>
            <w:tcW w:w="2660" w:type="dxa"/>
          </w:tcPr>
          <w:p w:rsidR="00A612DA" w:rsidRDefault="00A612DA" w:rsidP="002B66BE">
            <w:r>
              <w:t>3: Accessible small towns</w:t>
            </w:r>
          </w:p>
        </w:tc>
        <w:tc>
          <w:tcPr>
            <w:tcW w:w="4111" w:type="dxa"/>
          </w:tcPr>
          <w:p w:rsidR="00A612DA" w:rsidRDefault="00A612DA" w:rsidP="002B66BE">
            <w:r>
              <w:t xml:space="preserve">Same as category 3 from </w:t>
            </w:r>
            <w:proofErr w:type="spellStart"/>
            <w:r>
              <w:t>SG</w:t>
            </w:r>
            <w:proofErr w:type="spellEnd"/>
            <w:r>
              <w:t xml:space="preserve"> 8-fold UR classification</w:t>
            </w:r>
          </w:p>
        </w:tc>
        <w:tc>
          <w:tcPr>
            <w:tcW w:w="2471" w:type="dxa"/>
          </w:tcPr>
          <w:p w:rsidR="00A612DA" w:rsidRDefault="00A612DA" w:rsidP="002B66BE">
            <w:pPr>
              <w:jc w:val="center"/>
            </w:pPr>
            <w:r>
              <w:t>663</w:t>
            </w:r>
          </w:p>
        </w:tc>
      </w:tr>
      <w:tr w:rsidR="00A612DA" w:rsidTr="002B66BE">
        <w:tc>
          <w:tcPr>
            <w:tcW w:w="2660" w:type="dxa"/>
          </w:tcPr>
          <w:p w:rsidR="00A612DA" w:rsidRDefault="00A612DA" w:rsidP="002B66BE">
            <w:r>
              <w:t>4: Remote small towns</w:t>
            </w:r>
          </w:p>
        </w:tc>
        <w:tc>
          <w:tcPr>
            <w:tcW w:w="4111" w:type="dxa"/>
          </w:tcPr>
          <w:p w:rsidR="00A612DA" w:rsidRDefault="00A612DA" w:rsidP="002B66BE">
            <w:r>
              <w:t xml:space="preserve">Same as category 4 from </w:t>
            </w:r>
            <w:proofErr w:type="spellStart"/>
            <w:r>
              <w:t>SG</w:t>
            </w:r>
            <w:proofErr w:type="spellEnd"/>
            <w:r>
              <w:t xml:space="preserve"> 8-fold UR classification</w:t>
            </w:r>
          </w:p>
        </w:tc>
        <w:tc>
          <w:tcPr>
            <w:tcW w:w="2471" w:type="dxa"/>
          </w:tcPr>
          <w:p w:rsidR="00A612DA" w:rsidRDefault="00A612DA" w:rsidP="002B66BE">
            <w:pPr>
              <w:jc w:val="center"/>
            </w:pPr>
            <w:r>
              <w:t>151</w:t>
            </w:r>
          </w:p>
        </w:tc>
      </w:tr>
      <w:tr w:rsidR="00A612DA" w:rsidTr="002B66BE">
        <w:tc>
          <w:tcPr>
            <w:tcW w:w="2660" w:type="dxa"/>
          </w:tcPr>
          <w:p w:rsidR="00A612DA" w:rsidRDefault="00A612DA" w:rsidP="002B66BE">
            <w:r>
              <w:t>5: Very remote (non-</w:t>
            </w:r>
            <w:proofErr w:type="spellStart"/>
            <w:r>
              <w:t>SDIA</w:t>
            </w:r>
            <w:proofErr w:type="spellEnd"/>
            <w:r>
              <w:t>) areas</w:t>
            </w:r>
          </w:p>
        </w:tc>
        <w:tc>
          <w:tcPr>
            <w:tcW w:w="4111" w:type="dxa"/>
          </w:tcPr>
          <w:p w:rsidR="00A612DA" w:rsidRDefault="00A612DA" w:rsidP="002B66BE">
            <w:r>
              <w:t xml:space="preserve">Comprises parts of categories 5 and 8 from </w:t>
            </w:r>
            <w:proofErr w:type="spellStart"/>
            <w:r>
              <w:t>SG</w:t>
            </w:r>
            <w:proofErr w:type="spellEnd"/>
            <w:r>
              <w:t xml:space="preserve"> 8-fold UR classification (all areas except </w:t>
            </w:r>
            <w:proofErr w:type="spellStart"/>
            <w:r>
              <w:t>SDIA</w:t>
            </w:r>
            <w:proofErr w:type="spellEnd"/>
            <w:r>
              <w:t xml:space="preserve"> islands)</w:t>
            </w:r>
          </w:p>
        </w:tc>
        <w:tc>
          <w:tcPr>
            <w:tcW w:w="2471" w:type="dxa"/>
          </w:tcPr>
          <w:p w:rsidR="00A612DA" w:rsidRDefault="00A612DA" w:rsidP="002B66BE">
            <w:pPr>
              <w:jc w:val="center"/>
            </w:pPr>
            <w:r>
              <w:t>205</w:t>
            </w:r>
          </w:p>
        </w:tc>
      </w:tr>
      <w:tr w:rsidR="00A612DA" w:rsidTr="002B66BE">
        <w:tc>
          <w:tcPr>
            <w:tcW w:w="2660" w:type="dxa"/>
          </w:tcPr>
          <w:p w:rsidR="00A612DA" w:rsidRDefault="00A612DA" w:rsidP="002B66BE">
            <w:r>
              <w:t>6: Accessible rural areas</w:t>
            </w:r>
          </w:p>
        </w:tc>
        <w:tc>
          <w:tcPr>
            <w:tcW w:w="4111" w:type="dxa"/>
          </w:tcPr>
          <w:p w:rsidR="00A612DA" w:rsidRDefault="00A612DA" w:rsidP="002B66BE">
            <w:r>
              <w:t xml:space="preserve">Same as category 6 from </w:t>
            </w:r>
            <w:proofErr w:type="spellStart"/>
            <w:r>
              <w:t>SG</w:t>
            </w:r>
            <w:proofErr w:type="spellEnd"/>
            <w:r>
              <w:t xml:space="preserve"> 8-fold UR classification</w:t>
            </w:r>
          </w:p>
        </w:tc>
        <w:tc>
          <w:tcPr>
            <w:tcW w:w="2471" w:type="dxa"/>
          </w:tcPr>
          <w:p w:rsidR="00A612DA" w:rsidRDefault="00A612DA" w:rsidP="002B66BE">
            <w:pPr>
              <w:jc w:val="center"/>
            </w:pPr>
            <w:r>
              <w:t>802</w:t>
            </w:r>
          </w:p>
        </w:tc>
      </w:tr>
      <w:tr w:rsidR="00A612DA" w:rsidTr="002B66BE">
        <w:tc>
          <w:tcPr>
            <w:tcW w:w="2660" w:type="dxa"/>
          </w:tcPr>
          <w:p w:rsidR="00A612DA" w:rsidRDefault="00A612DA" w:rsidP="002B66BE">
            <w:r>
              <w:t>7: Remote rural areas</w:t>
            </w:r>
          </w:p>
        </w:tc>
        <w:tc>
          <w:tcPr>
            <w:tcW w:w="4111" w:type="dxa"/>
          </w:tcPr>
          <w:p w:rsidR="00A612DA" w:rsidRDefault="00A612DA" w:rsidP="002B66BE">
            <w:r>
              <w:t xml:space="preserve">Same as category 7 from </w:t>
            </w:r>
            <w:proofErr w:type="spellStart"/>
            <w:r>
              <w:t>SG</w:t>
            </w:r>
            <w:proofErr w:type="spellEnd"/>
            <w:r>
              <w:t xml:space="preserve"> 8-fold UR classification</w:t>
            </w:r>
          </w:p>
        </w:tc>
        <w:tc>
          <w:tcPr>
            <w:tcW w:w="2471" w:type="dxa"/>
          </w:tcPr>
          <w:p w:rsidR="00A612DA" w:rsidRDefault="00A612DA" w:rsidP="002B66BE">
            <w:pPr>
              <w:jc w:val="center"/>
            </w:pPr>
            <w:r>
              <w:t>217</w:t>
            </w:r>
          </w:p>
        </w:tc>
      </w:tr>
      <w:tr w:rsidR="00A612DA" w:rsidTr="002B66BE">
        <w:tc>
          <w:tcPr>
            <w:tcW w:w="2660" w:type="dxa"/>
          </w:tcPr>
          <w:p w:rsidR="00A612DA" w:rsidRDefault="00A612DA" w:rsidP="002B66BE">
            <w:r>
              <w:t xml:space="preserve">8: </w:t>
            </w:r>
            <w:proofErr w:type="spellStart"/>
            <w:r>
              <w:t>SDIA</w:t>
            </w:r>
            <w:proofErr w:type="spellEnd"/>
            <w:r>
              <w:t xml:space="preserve"> islands</w:t>
            </w:r>
          </w:p>
        </w:tc>
        <w:tc>
          <w:tcPr>
            <w:tcW w:w="4111" w:type="dxa"/>
          </w:tcPr>
          <w:p w:rsidR="00A612DA" w:rsidRDefault="00A612DA" w:rsidP="002B66BE">
            <w:r>
              <w:t xml:space="preserve">Comprises parts of categories 5 and 8 from </w:t>
            </w:r>
            <w:proofErr w:type="spellStart"/>
            <w:r>
              <w:t>SG</w:t>
            </w:r>
            <w:proofErr w:type="spellEnd"/>
            <w:r>
              <w:t xml:space="preserve"> 8-fold UR classification (</w:t>
            </w:r>
            <w:proofErr w:type="spellStart"/>
            <w:r>
              <w:t>SDIA</w:t>
            </w:r>
            <w:proofErr w:type="spellEnd"/>
            <w:r>
              <w:t xml:space="preserve"> islands only)</w:t>
            </w:r>
          </w:p>
        </w:tc>
        <w:tc>
          <w:tcPr>
            <w:tcW w:w="2471" w:type="dxa"/>
          </w:tcPr>
          <w:p w:rsidR="00A612DA" w:rsidRDefault="00A612DA" w:rsidP="002B66BE">
            <w:pPr>
              <w:jc w:val="center"/>
            </w:pPr>
            <w:r>
              <w:t>101</w:t>
            </w:r>
          </w:p>
        </w:tc>
      </w:tr>
    </w:tbl>
    <w:p w:rsidR="00452BE7" w:rsidRDefault="00452BE7" w:rsidP="00452BE7"/>
    <w:p w:rsidR="00452BE7" w:rsidRDefault="00452BE7" w:rsidP="00452BE7">
      <w:pPr>
        <w:rPr>
          <w:rFonts w:cs="Arial"/>
        </w:rPr>
      </w:pPr>
      <w:r>
        <w:rPr>
          <w:rFonts w:cs="Arial"/>
        </w:rPr>
        <w:lastRenderedPageBreak/>
        <w:t>In the 2015 run of the formula,</w:t>
      </w:r>
      <w:r w:rsidR="008C5B80">
        <w:rPr>
          <w:rFonts w:cs="Arial"/>
        </w:rPr>
        <w:t xml:space="preserve"> the Age-Sex and Excess Costs components were updated.</w:t>
      </w:r>
      <w:r w:rsidRPr="00B52BE5">
        <w:rPr>
          <w:rFonts w:cs="Arial"/>
        </w:rPr>
        <w:t xml:space="preserve"> </w:t>
      </w:r>
      <w:r w:rsidR="008C5B80">
        <w:rPr>
          <w:rFonts w:cs="Arial"/>
        </w:rPr>
        <w:t>A</w:t>
      </w:r>
      <w:r w:rsidRPr="00B52BE5">
        <w:rPr>
          <w:rFonts w:cs="Arial"/>
        </w:rPr>
        <w:t xml:space="preserve"> large increase in the </w:t>
      </w:r>
      <w:r w:rsidR="008C5B80">
        <w:rPr>
          <w:rFonts w:cs="Arial"/>
        </w:rPr>
        <w:t>Excess Costs index</w:t>
      </w:r>
      <w:r w:rsidRPr="00B52BE5">
        <w:rPr>
          <w:rFonts w:cs="Arial"/>
        </w:rPr>
        <w:t xml:space="preserve"> was observed for </w:t>
      </w:r>
      <w:r w:rsidR="008C5B80" w:rsidRPr="001C623D">
        <w:rPr>
          <w:rFonts w:cs="Arial"/>
        </w:rPr>
        <w:t>Care of the Elderly</w:t>
      </w:r>
      <w:r w:rsidR="008C5B80" w:rsidRPr="00B52BE5">
        <w:rPr>
          <w:rFonts w:cs="Arial"/>
        </w:rPr>
        <w:t xml:space="preserve"> </w:t>
      </w:r>
      <w:r w:rsidR="008C5B80">
        <w:rPr>
          <w:rFonts w:cs="Arial"/>
        </w:rPr>
        <w:t>(</w:t>
      </w:r>
      <w:r w:rsidRPr="00B52BE5">
        <w:rPr>
          <w:rFonts w:cs="Arial"/>
        </w:rPr>
        <w:t>COTE</w:t>
      </w:r>
      <w:r w:rsidR="008C5B80">
        <w:rPr>
          <w:rFonts w:cs="Arial"/>
        </w:rPr>
        <w:t>)</w:t>
      </w:r>
      <w:r w:rsidRPr="00B52BE5">
        <w:rPr>
          <w:rFonts w:cs="Arial"/>
        </w:rPr>
        <w:t xml:space="preserve"> in Urban-Rural category 8, which represents the Scottish Distant Islands Allowance </w:t>
      </w:r>
      <w:r>
        <w:rPr>
          <w:rFonts w:cs="Arial"/>
        </w:rPr>
        <w:t>(</w:t>
      </w:r>
      <w:proofErr w:type="spellStart"/>
      <w:r>
        <w:rPr>
          <w:rFonts w:cs="Arial"/>
        </w:rPr>
        <w:t>SDIA</w:t>
      </w:r>
      <w:proofErr w:type="spellEnd"/>
      <w:r>
        <w:rPr>
          <w:rFonts w:cs="Arial"/>
        </w:rPr>
        <w:t xml:space="preserve">) </w:t>
      </w:r>
      <w:r w:rsidRPr="00B52BE5">
        <w:rPr>
          <w:rFonts w:cs="Arial"/>
        </w:rPr>
        <w:t>areas</w:t>
      </w:r>
      <w:r w:rsidR="00110A7F">
        <w:rPr>
          <w:rFonts w:cs="Arial"/>
        </w:rPr>
        <w:t xml:space="preserve"> – </w:t>
      </w:r>
      <w:r w:rsidR="00797DD0">
        <w:rPr>
          <w:rFonts w:cs="Arial"/>
        </w:rPr>
        <w:t xml:space="preserve">covering </w:t>
      </w:r>
      <w:r w:rsidR="00110A7F">
        <w:rPr>
          <w:rFonts w:cs="Arial"/>
        </w:rPr>
        <w:t>Western Isles, Shetland, Orkney, and some islands within NHS Highland</w:t>
      </w:r>
      <w:r w:rsidRPr="00B52BE5">
        <w:rPr>
          <w:rFonts w:cs="Arial"/>
        </w:rPr>
        <w:t xml:space="preserve">. This </w:t>
      </w:r>
      <w:r w:rsidR="008C5B80">
        <w:rPr>
          <w:rFonts w:cs="Arial"/>
        </w:rPr>
        <w:t xml:space="preserve">resulted in an unreasonably steep </w:t>
      </w:r>
      <w:r w:rsidRPr="00B52BE5">
        <w:rPr>
          <w:rFonts w:cs="Arial"/>
        </w:rPr>
        <w:t>increase in the</w:t>
      </w:r>
      <w:r w:rsidR="008C5B80">
        <w:rPr>
          <w:rFonts w:cs="Arial"/>
        </w:rPr>
        <w:t xml:space="preserve"> overall</w:t>
      </w:r>
      <w:r w:rsidRPr="00B52BE5">
        <w:rPr>
          <w:rFonts w:cs="Arial"/>
        </w:rPr>
        <w:t xml:space="preserve"> Board-level index</w:t>
      </w:r>
      <w:r w:rsidR="00797DD0">
        <w:rPr>
          <w:rFonts w:cs="Arial"/>
        </w:rPr>
        <w:t xml:space="preserve"> for the Island Boards</w:t>
      </w:r>
      <w:r w:rsidR="00E741C5">
        <w:rPr>
          <w:rFonts w:cs="Arial"/>
        </w:rPr>
        <w:t xml:space="preserve"> (compare Tables 2 and 3)</w:t>
      </w:r>
      <w:r w:rsidRPr="00B52BE5">
        <w:rPr>
          <w:rFonts w:cs="Arial"/>
        </w:rPr>
        <w:t xml:space="preserve">. </w:t>
      </w:r>
      <w:r w:rsidR="008C5B80">
        <w:rPr>
          <w:rFonts w:cs="Arial"/>
        </w:rPr>
        <w:t>T</w:t>
      </w:r>
      <w:r>
        <w:rPr>
          <w:rFonts w:cs="Arial"/>
        </w:rPr>
        <w:t xml:space="preserve">he </w:t>
      </w:r>
      <w:r w:rsidR="008C5B80">
        <w:rPr>
          <w:rFonts w:cs="Arial"/>
        </w:rPr>
        <w:t>update was not applied for COTE</w:t>
      </w:r>
      <w:r w:rsidR="00797DD0">
        <w:rPr>
          <w:rFonts w:cs="Arial"/>
        </w:rPr>
        <w:t>:</w:t>
      </w:r>
      <w:r w:rsidR="008C5B80">
        <w:rPr>
          <w:rFonts w:cs="Arial"/>
        </w:rPr>
        <w:t xml:space="preserve"> the </w:t>
      </w:r>
      <w:r>
        <w:rPr>
          <w:rFonts w:cs="Arial"/>
        </w:rPr>
        <w:t xml:space="preserve">previous year’s cost ratios were </w:t>
      </w:r>
      <w:r w:rsidR="00434E95">
        <w:rPr>
          <w:rFonts w:cs="Arial"/>
        </w:rPr>
        <w:t>retained</w:t>
      </w:r>
      <w:r w:rsidR="008C5B80">
        <w:rPr>
          <w:rFonts w:cs="Arial"/>
        </w:rPr>
        <w:t xml:space="preserve"> instead</w:t>
      </w:r>
      <w:r>
        <w:rPr>
          <w:rFonts w:cs="Arial"/>
        </w:rPr>
        <w:t xml:space="preserve">, with </w:t>
      </w:r>
      <w:r w:rsidR="008C5B80">
        <w:rPr>
          <w:rFonts w:cs="Arial"/>
        </w:rPr>
        <w:t>the following note added to the publication:</w:t>
      </w:r>
    </w:p>
    <w:p w:rsidR="008C5B80" w:rsidRDefault="008C5B80" w:rsidP="00A371C8">
      <w:pPr>
        <w:ind w:left="720"/>
        <w:rPr>
          <w:rFonts w:cs="Arial"/>
          <w:i/>
        </w:rPr>
      </w:pPr>
      <w:r w:rsidRPr="00A371C8">
        <w:rPr>
          <w:rFonts w:cs="Arial"/>
          <w:i/>
        </w:rPr>
        <w:t>“</w:t>
      </w:r>
      <w:proofErr w:type="spellStart"/>
      <w:r w:rsidRPr="00A371C8">
        <w:rPr>
          <w:rFonts w:cs="Arial"/>
          <w:i/>
        </w:rPr>
        <w:t>HCHS</w:t>
      </w:r>
      <w:proofErr w:type="spellEnd"/>
      <w:r w:rsidRPr="00A371C8">
        <w:rPr>
          <w:rFonts w:cs="Arial"/>
          <w:i/>
        </w:rPr>
        <w:t xml:space="preserve"> Excess Cost Adjustment Care of the Elderly only: For the data zones from the </w:t>
      </w:r>
      <w:proofErr w:type="spellStart"/>
      <w:r w:rsidRPr="00A371C8">
        <w:rPr>
          <w:rFonts w:cs="Arial"/>
          <w:i/>
        </w:rPr>
        <w:t>SDIA</w:t>
      </w:r>
      <w:proofErr w:type="spellEnd"/>
      <w:r w:rsidRPr="00A371C8">
        <w:rPr>
          <w:rFonts w:cs="Arial"/>
          <w:i/>
        </w:rPr>
        <w:t xml:space="preserve"> (Scottish Distant Islands Allowance) Islands Urban-Rural category, the unit costs have been replaced with those used in the previous update. This is because in recent years, very low activity levels were accompanied by very high unit costs in one hospital, which would lead to a large degree of instability in the board level excess cost indices for this care programme. Further work will be undertaken to adjust the standard formula method, so as to prevent such instabilities from arising in future.”</w:t>
      </w:r>
    </w:p>
    <w:p w:rsidR="00E741C5" w:rsidRDefault="00D85C5F" w:rsidP="00E741C5">
      <w:pPr>
        <w:rPr>
          <w:rFonts w:cs="Arial"/>
        </w:rPr>
      </w:pPr>
      <w:r>
        <w:rPr>
          <w:rFonts w:cs="Arial"/>
        </w:rPr>
        <w:t xml:space="preserve">The further work mentioned in the note has been carried out, and this paper presents the results and a proposed fix. </w:t>
      </w:r>
      <w:proofErr w:type="spellStart"/>
      <w:r>
        <w:rPr>
          <w:rFonts w:cs="Arial"/>
        </w:rPr>
        <w:t>TAGRA</w:t>
      </w:r>
      <w:proofErr w:type="spellEnd"/>
      <w:r>
        <w:rPr>
          <w:rFonts w:cs="Arial"/>
        </w:rPr>
        <w:t xml:space="preserve"> is asked to discuss and approve the proposed change to the Excess Costs calculation.</w:t>
      </w:r>
    </w:p>
    <w:p w:rsidR="00D85C5F" w:rsidRPr="00E741C5" w:rsidRDefault="00D85C5F" w:rsidP="00E741C5">
      <w:pPr>
        <w:rPr>
          <w:rFonts w:cs="Arial"/>
        </w:rPr>
      </w:pPr>
    </w:p>
    <w:p w:rsidR="00E741C5" w:rsidRPr="00272243" w:rsidRDefault="00E741C5" w:rsidP="00E741C5">
      <w:pPr>
        <w:pStyle w:val="Caption"/>
      </w:pPr>
      <w:r>
        <w:t>Table 2: The Excess Cost Index from the summer 2014 update at Health Board level (Care of the Elderly highlighted in grey).</w:t>
      </w:r>
      <w:r w:rsidRPr="00FA3AB8">
        <w:t xml:space="preserve"> </w:t>
      </w:r>
      <w:r>
        <w:t>Based on data from 2009/10, 2010/11 and 2011/12.</w:t>
      </w:r>
    </w:p>
    <w:tbl>
      <w:tblPr>
        <w:tblStyle w:val="TableGrid"/>
        <w:tblW w:w="8897" w:type="dxa"/>
        <w:tblLayout w:type="fixed"/>
        <w:tblLook w:val="04A0" w:firstRow="1" w:lastRow="0" w:firstColumn="1" w:lastColumn="0" w:noHBand="0" w:noVBand="1"/>
      </w:tblPr>
      <w:tblGrid>
        <w:gridCol w:w="1809"/>
        <w:gridCol w:w="993"/>
        <w:gridCol w:w="992"/>
        <w:gridCol w:w="992"/>
        <w:gridCol w:w="1134"/>
        <w:gridCol w:w="992"/>
        <w:gridCol w:w="993"/>
        <w:gridCol w:w="992"/>
      </w:tblGrid>
      <w:tr w:rsidR="00E741C5" w:rsidRPr="00FE4172" w:rsidTr="002B66BE">
        <w:trPr>
          <w:trHeight w:val="863"/>
        </w:trPr>
        <w:tc>
          <w:tcPr>
            <w:tcW w:w="1809" w:type="dxa"/>
            <w:tcBorders>
              <w:top w:val="single" w:sz="24" w:space="0" w:color="auto"/>
              <w:left w:val="single" w:sz="24" w:space="0" w:color="auto"/>
              <w:bottom w:val="single" w:sz="24" w:space="0" w:color="auto"/>
            </w:tcBorders>
          </w:tcPr>
          <w:p w:rsidR="00E741C5" w:rsidRPr="000C659F" w:rsidRDefault="00E741C5" w:rsidP="002B66BE">
            <w:pPr>
              <w:jc w:val="both"/>
              <w:rPr>
                <w:rFonts w:eastAsia="Times New Roman" w:cs="Arial"/>
                <w:b/>
                <w:bCs/>
                <w:color w:val="FFFFFF"/>
                <w:szCs w:val="20"/>
                <w:lang w:eastAsia="en-GB"/>
              </w:rPr>
            </w:pPr>
            <w:r w:rsidRPr="000C659F">
              <w:rPr>
                <w:rFonts w:eastAsia="Times New Roman" w:cs="Arial"/>
                <w:b/>
                <w:szCs w:val="20"/>
                <w:lang w:eastAsia="en-GB"/>
              </w:rPr>
              <w:t>H</w:t>
            </w:r>
            <w:r>
              <w:rPr>
                <w:rFonts w:eastAsia="Times New Roman" w:cs="Arial"/>
                <w:b/>
                <w:szCs w:val="20"/>
                <w:lang w:eastAsia="en-GB"/>
              </w:rPr>
              <w:t>ealth Board</w:t>
            </w:r>
          </w:p>
        </w:tc>
        <w:tc>
          <w:tcPr>
            <w:tcW w:w="993" w:type="dxa"/>
            <w:tcBorders>
              <w:top w:val="single" w:sz="24" w:space="0" w:color="auto"/>
              <w:left w:val="single" w:sz="24" w:space="0" w:color="auto"/>
              <w:bottom w:val="single" w:sz="24" w:space="0" w:color="auto"/>
            </w:tcBorders>
          </w:tcPr>
          <w:p w:rsidR="00E741C5" w:rsidRPr="000C659F" w:rsidRDefault="00E741C5" w:rsidP="002B66BE">
            <w:pPr>
              <w:jc w:val="both"/>
              <w:rPr>
                <w:rFonts w:cs="Arial"/>
                <w:b/>
                <w:bCs/>
                <w:color w:val="000000"/>
                <w:szCs w:val="20"/>
              </w:rPr>
            </w:pPr>
            <w:r w:rsidRPr="000C659F">
              <w:rPr>
                <w:rFonts w:cs="Arial"/>
                <w:b/>
                <w:bCs/>
                <w:color w:val="000000"/>
                <w:szCs w:val="20"/>
              </w:rPr>
              <w:t>Acute Excess Costs Index</w:t>
            </w:r>
          </w:p>
        </w:tc>
        <w:tc>
          <w:tcPr>
            <w:tcW w:w="992" w:type="dxa"/>
            <w:tcBorders>
              <w:top w:val="single" w:sz="24" w:space="0" w:color="auto"/>
              <w:bottom w:val="single" w:sz="24" w:space="0" w:color="auto"/>
            </w:tcBorders>
            <w:shd w:val="clear" w:color="auto" w:fill="D9D9D9" w:themeFill="background1" w:themeFillShade="D9"/>
          </w:tcPr>
          <w:p w:rsidR="00E741C5" w:rsidRPr="000C659F" w:rsidRDefault="00E741C5" w:rsidP="002B66BE">
            <w:pPr>
              <w:jc w:val="both"/>
              <w:rPr>
                <w:rFonts w:cs="Arial"/>
                <w:b/>
                <w:bCs/>
                <w:color w:val="000000"/>
                <w:szCs w:val="20"/>
              </w:rPr>
            </w:pPr>
            <w:r w:rsidRPr="000C659F">
              <w:rPr>
                <w:rFonts w:cs="Arial"/>
                <w:b/>
                <w:bCs/>
                <w:color w:val="000000"/>
                <w:szCs w:val="20"/>
              </w:rPr>
              <w:t>COTE Excess Costs Index</w:t>
            </w:r>
          </w:p>
        </w:tc>
        <w:tc>
          <w:tcPr>
            <w:tcW w:w="992" w:type="dxa"/>
            <w:tcBorders>
              <w:top w:val="single" w:sz="24" w:space="0" w:color="auto"/>
              <w:bottom w:val="single" w:sz="24" w:space="0" w:color="auto"/>
            </w:tcBorders>
          </w:tcPr>
          <w:p w:rsidR="00E741C5" w:rsidRPr="000C659F" w:rsidRDefault="00E741C5" w:rsidP="002B66BE">
            <w:pPr>
              <w:jc w:val="both"/>
              <w:rPr>
                <w:rFonts w:cs="Arial"/>
                <w:b/>
                <w:bCs/>
                <w:color w:val="000000"/>
                <w:szCs w:val="20"/>
              </w:rPr>
            </w:pPr>
            <w:proofErr w:type="spellStart"/>
            <w:r w:rsidRPr="000C659F">
              <w:rPr>
                <w:rFonts w:cs="Arial"/>
                <w:b/>
                <w:bCs/>
                <w:color w:val="000000"/>
                <w:szCs w:val="20"/>
              </w:rPr>
              <w:t>MHLD</w:t>
            </w:r>
            <w:proofErr w:type="spellEnd"/>
            <w:r w:rsidRPr="000C659F">
              <w:rPr>
                <w:rFonts w:cs="Arial"/>
                <w:b/>
                <w:bCs/>
                <w:color w:val="000000"/>
                <w:szCs w:val="20"/>
              </w:rPr>
              <w:t xml:space="preserve"> Excess Costs Index</w:t>
            </w:r>
          </w:p>
        </w:tc>
        <w:tc>
          <w:tcPr>
            <w:tcW w:w="1134" w:type="dxa"/>
            <w:tcBorders>
              <w:top w:val="single" w:sz="24" w:space="0" w:color="auto"/>
              <w:bottom w:val="single" w:sz="24" w:space="0" w:color="auto"/>
              <w:right w:val="single" w:sz="24" w:space="0" w:color="auto"/>
            </w:tcBorders>
          </w:tcPr>
          <w:p w:rsidR="00E741C5" w:rsidRPr="000C659F" w:rsidRDefault="00E741C5" w:rsidP="002B66BE">
            <w:pPr>
              <w:jc w:val="both"/>
              <w:rPr>
                <w:rFonts w:cs="Arial"/>
                <w:b/>
                <w:bCs/>
                <w:color w:val="000000"/>
                <w:szCs w:val="20"/>
              </w:rPr>
            </w:pPr>
            <w:r w:rsidRPr="000C659F">
              <w:rPr>
                <w:rFonts w:cs="Arial"/>
                <w:b/>
                <w:bCs/>
                <w:color w:val="000000"/>
                <w:szCs w:val="20"/>
              </w:rPr>
              <w:t>Maternity Excess Costs Index</w:t>
            </w:r>
          </w:p>
        </w:tc>
        <w:tc>
          <w:tcPr>
            <w:tcW w:w="992" w:type="dxa"/>
            <w:tcBorders>
              <w:top w:val="single" w:sz="24" w:space="0" w:color="auto"/>
              <w:left w:val="single" w:sz="24" w:space="0" w:color="auto"/>
              <w:bottom w:val="single" w:sz="24" w:space="0" w:color="auto"/>
              <w:right w:val="single" w:sz="24" w:space="0" w:color="auto"/>
            </w:tcBorders>
          </w:tcPr>
          <w:p w:rsidR="00E741C5" w:rsidRDefault="00E741C5" w:rsidP="002B66BE">
            <w:pPr>
              <w:jc w:val="both"/>
              <w:rPr>
                <w:rFonts w:cs="Arial"/>
                <w:b/>
                <w:bCs/>
                <w:color w:val="000000"/>
                <w:szCs w:val="20"/>
              </w:rPr>
            </w:pPr>
            <w:proofErr w:type="spellStart"/>
            <w:r>
              <w:rPr>
                <w:rFonts w:cs="Arial"/>
                <w:b/>
                <w:bCs/>
                <w:color w:val="000000"/>
                <w:szCs w:val="20"/>
              </w:rPr>
              <w:t>HCHS</w:t>
            </w:r>
            <w:proofErr w:type="spellEnd"/>
            <w:r>
              <w:rPr>
                <w:rFonts w:cs="Arial"/>
                <w:b/>
                <w:bCs/>
                <w:color w:val="000000"/>
                <w:szCs w:val="20"/>
              </w:rPr>
              <w:t xml:space="preserve"> Excess Costs Index</w:t>
            </w:r>
          </w:p>
        </w:tc>
        <w:tc>
          <w:tcPr>
            <w:tcW w:w="993" w:type="dxa"/>
            <w:tcBorders>
              <w:top w:val="single" w:sz="24" w:space="0" w:color="auto"/>
              <w:left w:val="single" w:sz="24" w:space="0" w:color="auto"/>
              <w:bottom w:val="single" w:sz="24" w:space="0" w:color="auto"/>
            </w:tcBorders>
          </w:tcPr>
          <w:p w:rsidR="00E741C5" w:rsidRDefault="00E741C5" w:rsidP="002B66BE">
            <w:pPr>
              <w:jc w:val="both"/>
              <w:rPr>
                <w:rFonts w:cs="Arial"/>
                <w:b/>
                <w:bCs/>
                <w:color w:val="000000"/>
                <w:szCs w:val="20"/>
              </w:rPr>
            </w:pPr>
            <w:proofErr w:type="spellStart"/>
            <w:r>
              <w:rPr>
                <w:rFonts w:cs="Arial"/>
                <w:b/>
                <w:bCs/>
                <w:color w:val="000000"/>
                <w:szCs w:val="20"/>
              </w:rPr>
              <w:t>HCHS</w:t>
            </w:r>
            <w:proofErr w:type="spellEnd"/>
            <w:r>
              <w:rPr>
                <w:rFonts w:cs="Arial"/>
                <w:b/>
                <w:bCs/>
                <w:color w:val="000000"/>
                <w:szCs w:val="20"/>
              </w:rPr>
              <w:t xml:space="preserve"> Overall Index</w:t>
            </w:r>
          </w:p>
        </w:tc>
        <w:tc>
          <w:tcPr>
            <w:tcW w:w="992" w:type="dxa"/>
            <w:tcBorders>
              <w:top w:val="single" w:sz="24" w:space="0" w:color="auto"/>
              <w:bottom w:val="single" w:sz="24" w:space="0" w:color="auto"/>
              <w:right w:val="single" w:sz="24" w:space="0" w:color="auto"/>
            </w:tcBorders>
          </w:tcPr>
          <w:p w:rsidR="00E741C5" w:rsidRDefault="00E741C5" w:rsidP="002B66BE">
            <w:pPr>
              <w:jc w:val="both"/>
              <w:rPr>
                <w:rFonts w:cs="Arial"/>
                <w:b/>
                <w:bCs/>
                <w:color w:val="000000"/>
                <w:szCs w:val="20"/>
              </w:rPr>
            </w:pPr>
            <w:proofErr w:type="spellStart"/>
            <w:r>
              <w:rPr>
                <w:rFonts w:cs="Arial"/>
                <w:b/>
                <w:bCs/>
                <w:color w:val="000000"/>
                <w:szCs w:val="20"/>
              </w:rPr>
              <w:t>NRAC</w:t>
            </w:r>
            <w:proofErr w:type="spellEnd"/>
            <w:r>
              <w:rPr>
                <w:rFonts w:cs="Arial"/>
                <w:b/>
                <w:bCs/>
                <w:color w:val="000000"/>
                <w:szCs w:val="20"/>
              </w:rPr>
              <w:t xml:space="preserve"> </w:t>
            </w:r>
            <w:proofErr w:type="spellStart"/>
            <w:r>
              <w:rPr>
                <w:rFonts w:cs="Arial"/>
                <w:b/>
                <w:bCs/>
                <w:color w:val="000000"/>
                <w:szCs w:val="20"/>
              </w:rPr>
              <w:t>HCHS</w:t>
            </w:r>
            <w:proofErr w:type="spellEnd"/>
            <w:r>
              <w:rPr>
                <w:rFonts w:cs="Arial"/>
                <w:b/>
                <w:bCs/>
                <w:color w:val="000000"/>
                <w:szCs w:val="20"/>
              </w:rPr>
              <w:t xml:space="preserve"> Share</w:t>
            </w:r>
          </w:p>
        </w:tc>
      </w:tr>
      <w:tr w:rsidR="00E741C5" w:rsidRPr="00FE4172" w:rsidTr="002B66BE">
        <w:trPr>
          <w:trHeight w:val="216"/>
        </w:trPr>
        <w:tc>
          <w:tcPr>
            <w:tcW w:w="1809" w:type="dxa"/>
            <w:tcBorders>
              <w:top w:val="single" w:sz="24" w:space="0" w:color="auto"/>
              <w:left w:val="single" w:sz="24" w:space="0" w:color="auto"/>
            </w:tcBorders>
            <w:vAlign w:val="bottom"/>
          </w:tcPr>
          <w:p w:rsidR="00E741C5" w:rsidRDefault="00E741C5" w:rsidP="002B66BE">
            <w:pPr>
              <w:rPr>
                <w:rFonts w:cs="Arial"/>
                <w:szCs w:val="20"/>
              </w:rPr>
            </w:pPr>
            <w:r>
              <w:rPr>
                <w:rFonts w:cs="Arial"/>
                <w:szCs w:val="20"/>
              </w:rPr>
              <w:t>Ayrshire &amp; Arran</w:t>
            </w:r>
          </w:p>
        </w:tc>
        <w:tc>
          <w:tcPr>
            <w:tcW w:w="993" w:type="dxa"/>
            <w:tcBorders>
              <w:top w:val="single" w:sz="24" w:space="0" w:color="auto"/>
              <w:left w:val="single" w:sz="24" w:space="0" w:color="auto"/>
            </w:tcBorders>
            <w:vAlign w:val="bottom"/>
          </w:tcPr>
          <w:p w:rsidR="00E741C5" w:rsidRDefault="00E741C5" w:rsidP="002B66BE">
            <w:pPr>
              <w:jc w:val="center"/>
              <w:rPr>
                <w:rFonts w:cs="Arial"/>
                <w:szCs w:val="20"/>
              </w:rPr>
            </w:pPr>
            <w:r>
              <w:rPr>
                <w:rFonts w:cs="Arial"/>
                <w:szCs w:val="20"/>
              </w:rPr>
              <w:t>0.989</w:t>
            </w:r>
          </w:p>
        </w:tc>
        <w:tc>
          <w:tcPr>
            <w:tcW w:w="992" w:type="dxa"/>
            <w:tcBorders>
              <w:top w:val="single" w:sz="24" w:space="0" w:color="auto"/>
            </w:tcBorders>
            <w:shd w:val="clear" w:color="auto" w:fill="D9D9D9" w:themeFill="background1" w:themeFillShade="D9"/>
            <w:vAlign w:val="bottom"/>
          </w:tcPr>
          <w:p w:rsidR="00E741C5" w:rsidRDefault="00E741C5" w:rsidP="002B66BE">
            <w:pPr>
              <w:jc w:val="center"/>
              <w:rPr>
                <w:rFonts w:cs="Arial"/>
                <w:szCs w:val="20"/>
              </w:rPr>
            </w:pPr>
            <w:r>
              <w:rPr>
                <w:rFonts w:cs="Arial"/>
                <w:szCs w:val="20"/>
              </w:rPr>
              <w:t>1.039</w:t>
            </w:r>
          </w:p>
        </w:tc>
        <w:tc>
          <w:tcPr>
            <w:tcW w:w="992" w:type="dxa"/>
            <w:tcBorders>
              <w:top w:val="single" w:sz="24" w:space="0" w:color="auto"/>
            </w:tcBorders>
            <w:vAlign w:val="bottom"/>
          </w:tcPr>
          <w:p w:rsidR="00E741C5" w:rsidRDefault="00E741C5" w:rsidP="002B66BE">
            <w:pPr>
              <w:jc w:val="center"/>
              <w:rPr>
                <w:rFonts w:cs="Arial"/>
                <w:szCs w:val="20"/>
              </w:rPr>
            </w:pPr>
            <w:r>
              <w:rPr>
                <w:rFonts w:cs="Arial"/>
                <w:szCs w:val="20"/>
              </w:rPr>
              <w:t>0.977</w:t>
            </w:r>
          </w:p>
        </w:tc>
        <w:tc>
          <w:tcPr>
            <w:tcW w:w="1134" w:type="dxa"/>
            <w:tcBorders>
              <w:top w:val="single" w:sz="24" w:space="0" w:color="auto"/>
              <w:right w:val="single" w:sz="24" w:space="0" w:color="auto"/>
            </w:tcBorders>
            <w:vAlign w:val="bottom"/>
          </w:tcPr>
          <w:p w:rsidR="00E741C5" w:rsidRDefault="00E741C5" w:rsidP="002B66BE">
            <w:pPr>
              <w:jc w:val="center"/>
              <w:rPr>
                <w:rFonts w:cs="Arial"/>
                <w:szCs w:val="20"/>
              </w:rPr>
            </w:pPr>
            <w:r>
              <w:rPr>
                <w:rFonts w:cs="Arial"/>
                <w:szCs w:val="20"/>
              </w:rPr>
              <w:t>1.027</w:t>
            </w:r>
          </w:p>
        </w:tc>
        <w:tc>
          <w:tcPr>
            <w:tcW w:w="992" w:type="dxa"/>
            <w:tcBorders>
              <w:top w:val="single" w:sz="24" w:space="0" w:color="auto"/>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0.990</w:t>
            </w:r>
          </w:p>
        </w:tc>
        <w:tc>
          <w:tcPr>
            <w:tcW w:w="993" w:type="dxa"/>
            <w:tcBorders>
              <w:top w:val="single" w:sz="24" w:space="0" w:color="auto"/>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1.079</w:t>
            </w:r>
          </w:p>
        </w:tc>
        <w:tc>
          <w:tcPr>
            <w:tcW w:w="992" w:type="dxa"/>
            <w:tcBorders>
              <w:top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7.38%</w:t>
            </w:r>
          </w:p>
        </w:tc>
      </w:tr>
      <w:tr w:rsidR="00E741C5" w:rsidRPr="00FE4172" w:rsidTr="002B66BE">
        <w:trPr>
          <w:trHeight w:val="216"/>
        </w:trPr>
        <w:tc>
          <w:tcPr>
            <w:tcW w:w="1809" w:type="dxa"/>
            <w:tcBorders>
              <w:left w:val="single" w:sz="24" w:space="0" w:color="auto"/>
            </w:tcBorders>
            <w:vAlign w:val="bottom"/>
          </w:tcPr>
          <w:p w:rsidR="00E741C5" w:rsidRDefault="00E741C5" w:rsidP="002B66BE">
            <w:pPr>
              <w:rPr>
                <w:rFonts w:cs="Arial"/>
                <w:szCs w:val="20"/>
              </w:rPr>
            </w:pPr>
            <w:r>
              <w:rPr>
                <w:rFonts w:cs="Arial"/>
                <w:szCs w:val="20"/>
              </w:rPr>
              <w:t>Borders</w:t>
            </w:r>
          </w:p>
        </w:tc>
        <w:tc>
          <w:tcPr>
            <w:tcW w:w="993" w:type="dxa"/>
            <w:tcBorders>
              <w:left w:val="single" w:sz="24" w:space="0" w:color="auto"/>
            </w:tcBorders>
            <w:vAlign w:val="bottom"/>
          </w:tcPr>
          <w:p w:rsidR="00E741C5" w:rsidRDefault="00E741C5" w:rsidP="002B66BE">
            <w:pPr>
              <w:jc w:val="center"/>
              <w:rPr>
                <w:rFonts w:cs="Arial"/>
                <w:szCs w:val="20"/>
              </w:rPr>
            </w:pPr>
            <w:r>
              <w:rPr>
                <w:rFonts w:cs="Arial"/>
                <w:szCs w:val="20"/>
              </w:rPr>
              <w:t>0.997</w:t>
            </w:r>
          </w:p>
        </w:tc>
        <w:tc>
          <w:tcPr>
            <w:tcW w:w="992" w:type="dxa"/>
            <w:shd w:val="clear" w:color="auto" w:fill="D9D9D9" w:themeFill="background1" w:themeFillShade="D9"/>
            <w:vAlign w:val="bottom"/>
          </w:tcPr>
          <w:p w:rsidR="00E741C5" w:rsidRDefault="00E741C5" w:rsidP="002B66BE">
            <w:pPr>
              <w:jc w:val="center"/>
              <w:rPr>
                <w:rFonts w:cs="Arial"/>
                <w:szCs w:val="20"/>
              </w:rPr>
            </w:pPr>
            <w:r>
              <w:rPr>
                <w:rFonts w:cs="Arial"/>
                <w:szCs w:val="20"/>
              </w:rPr>
              <w:t>1.061</w:t>
            </w:r>
          </w:p>
        </w:tc>
        <w:tc>
          <w:tcPr>
            <w:tcW w:w="992" w:type="dxa"/>
            <w:vAlign w:val="bottom"/>
          </w:tcPr>
          <w:p w:rsidR="00E741C5" w:rsidRDefault="00E741C5" w:rsidP="002B66BE">
            <w:pPr>
              <w:jc w:val="center"/>
              <w:rPr>
                <w:rFonts w:cs="Arial"/>
                <w:szCs w:val="20"/>
              </w:rPr>
            </w:pPr>
            <w:r>
              <w:rPr>
                <w:rFonts w:cs="Arial"/>
                <w:szCs w:val="20"/>
              </w:rPr>
              <w:t>0.984</w:t>
            </w:r>
          </w:p>
        </w:tc>
        <w:tc>
          <w:tcPr>
            <w:tcW w:w="1134" w:type="dxa"/>
            <w:tcBorders>
              <w:right w:val="single" w:sz="24" w:space="0" w:color="auto"/>
            </w:tcBorders>
            <w:vAlign w:val="bottom"/>
          </w:tcPr>
          <w:p w:rsidR="00E741C5" w:rsidRDefault="00E741C5" w:rsidP="002B66BE">
            <w:pPr>
              <w:jc w:val="center"/>
              <w:rPr>
                <w:rFonts w:cs="Arial"/>
                <w:szCs w:val="20"/>
              </w:rPr>
            </w:pPr>
            <w:r>
              <w:rPr>
                <w:rFonts w:cs="Arial"/>
                <w:szCs w:val="20"/>
              </w:rPr>
              <w:t>1.034</w:t>
            </w:r>
          </w:p>
        </w:tc>
        <w:tc>
          <w:tcPr>
            <w:tcW w:w="992" w:type="dxa"/>
            <w:tcBorders>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1.008</w:t>
            </w:r>
          </w:p>
        </w:tc>
        <w:tc>
          <w:tcPr>
            <w:tcW w:w="993" w:type="dxa"/>
            <w:tcBorders>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1.001</w:t>
            </w:r>
          </w:p>
        </w:tc>
        <w:tc>
          <w:tcPr>
            <w:tcW w:w="992" w:type="dxa"/>
            <w:tcBorders>
              <w:right w:val="single" w:sz="24" w:space="0" w:color="auto"/>
            </w:tcBorders>
            <w:vAlign w:val="bottom"/>
          </w:tcPr>
          <w:p w:rsidR="00E741C5" w:rsidRDefault="00E741C5" w:rsidP="002B66BE">
            <w:pPr>
              <w:jc w:val="right"/>
              <w:rPr>
                <w:rFonts w:cs="Arial"/>
                <w:szCs w:val="20"/>
              </w:rPr>
            </w:pPr>
            <w:r>
              <w:rPr>
                <w:rFonts w:cs="Arial"/>
                <w:szCs w:val="20"/>
              </w:rPr>
              <w:t>2.11%</w:t>
            </w:r>
          </w:p>
        </w:tc>
      </w:tr>
      <w:tr w:rsidR="00E741C5" w:rsidRPr="00FE4172" w:rsidTr="002B66BE">
        <w:trPr>
          <w:trHeight w:val="216"/>
        </w:trPr>
        <w:tc>
          <w:tcPr>
            <w:tcW w:w="1809" w:type="dxa"/>
            <w:tcBorders>
              <w:left w:val="single" w:sz="24" w:space="0" w:color="auto"/>
            </w:tcBorders>
            <w:vAlign w:val="bottom"/>
          </w:tcPr>
          <w:p w:rsidR="00E741C5" w:rsidRDefault="00E741C5" w:rsidP="002B66BE">
            <w:pPr>
              <w:rPr>
                <w:rFonts w:cs="Arial"/>
                <w:szCs w:val="20"/>
              </w:rPr>
            </w:pPr>
            <w:r>
              <w:rPr>
                <w:rFonts w:cs="Arial"/>
                <w:szCs w:val="20"/>
              </w:rPr>
              <w:t>Fife</w:t>
            </w:r>
          </w:p>
        </w:tc>
        <w:tc>
          <w:tcPr>
            <w:tcW w:w="993" w:type="dxa"/>
            <w:tcBorders>
              <w:left w:val="single" w:sz="24" w:space="0" w:color="auto"/>
            </w:tcBorders>
            <w:vAlign w:val="bottom"/>
          </w:tcPr>
          <w:p w:rsidR="00E741C5" w:rsidRDefault="00E741C5" w:rsidP="002B66BE">
            <w:pPr>
              <w:jc w:val="center"/>
              <w:rPr>
                <w:rFonts w:cs="Arial"/>
                <w:szCs w:val="20"/>
              </w:rPr>
            </w:pPr>
            <w:r>
              <w:rPr>
                <w:rFonts w:cs="Arial"/>
                <w:szCs w:val="20"/>
              </w:rPr>
              <w:t>0.988</w:t>
            </w:r>
          </w:p>
        </w:tc>
        <w:tc>
          <w:tcPr>
            <w:tcW w:w="992" w:type="dxa"/>
            <w:shd w:val="clear" w:color="auto" w:fill="D9D9D9" w:themeFill="background1" w:themeFillShade="D9"/>
            <w:vAlign w:val="bottom"/>
          </w:tcPr>
          <w:p w:rsidR="00E741C5" w:rsidRDefault="00E741C5" w:rsidP="002B66BE">
            <w:pPr>
              <w:jc w:val="center"/>
              <w:rPr>
                <w:rFonts w:cs="Arial"/>
                <w:szCs w:val="20"/>
              </w:rPr>
            </w:pPr>
            <w:r>
              <w:rPr>
                <w:rFonts w:cs="Arial"/>
                <w:szCs w:val="20"/>
              </w:rPr>
              <w:t>1.003</w:t>
            </w:r>
          </w:p>
        </w:tc>
        <w:tc>
          <w:tcPr>
            <w:tcW w:w="992" w:type="dxa"/>
            <w:vAlign w:val="bottom"/>
          </w:tcPr>
          <w:p w:rsidR="00E741C5" w:rsidRDefault="00E741C5" w:rsidP="002B66BE">
            <w:pPr>
              <w:jc w:val="center"/>
              <w:rPr>
                <w:rFonts w:cs="Arial"/>
                <w:szCs w:val="20"/>
              </w:rPr>
            </w:pPr>
            <w:r>
              <w:rPr>
                <w:rFonts w:cs="Arial"/>
                <w:szCs w:val="20"/>
              </w:rPr>
              <w:t>0.960</w:t>
            </w:r>
          </w:p>
        </w:tc>
        <w:tc>
          <w:tcPr>
            <w:tcW w:w="1134" w:type="dxa"/>
            <w:tcBorders>
              <w:right w:val="single" w:sz="24" w:space="0" w:color="auto"/>
            </w:tcBorders>
            <w:vAlign w:val="bottom"/>
          </w:tcPr>
          <w:p w:rsidR="00E741C5" w:rsidRDefault="00E741C5" w:rsidP="002B66BE">
            <w:pPr>
              <w:jc w:val="center"/>
              <w:rPr>
                <w:rFonts w:cs="Arial"/>
                <w:szCs w:val="20"/>
              </w:rPr>
            </w:pPr>
            <w:r>
              <w:rPr>
                <w:rFonts w:cs="Arial"/>
                <w:szCs w:val="20"/>
              </w:rPr>
              <w:t>1.010</w:t>
            </w:r>
          </w:p>
        </w:tc>
        <w:tc>
          <w:tcPr>
            <w:tcW w:w="992" w:type="dxa"/>
            <w:tcBorders>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0.982</w:t>
            </w:r>
          </w:p>
        </w:tc>
        <w:tc>
          <w:tcPr>
            <w:tcW w:w="993" w:type="dxa"/>
            <w:tcBorders>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0.992</w:t>
            </w:r>
          </w:p>
        </w:tc>
        <w:tc>
          <w:tcPr>
            <w:tcW w:w="992" w:type="dxa"/>
            <w:tcBorders>
              <w:right w:val="single" w:sz="24" w:space="0" w:color="auto"/>
            </w:tcBorders>
            <w:vAlign w:val="bottom"/>
          </w:tcPr>
          <w:p w:rsidR="00E741C5" w:rsidRDefault="00E741C5" w:rsidP="002B66BE">
            <w:pPr>
              <w:jc w:val="right"/>
              <w:rPr>
                <w:rFonts w:cs="Arial"/>
                <w:szCs w:val="20"/>
              </w:rPr>
            </w:pPr>
            <w:r>
              <w:rPr>
                <w:rFonts w:cs="Arial"/>
                <w:szCs w:val="20"/>
              </w:rPr>
              <w:t>6.80%</w:t>
            </w:r>
          </w:p>
        </w:tc>
      </w:tr>
      <w:tr w:rsidR="00E741C5" w:rsidRPr="00FE4172" w:rsidTr="002B66BE">
        <w:trPr>
          <w:trHeight w:val="216"/>
        </w:trPr>
        <w:tc>
          <w:tcPr>
            <w:tcW w:w="1809" w:type="dxa"/>
            <w:tcBorders>
              <w:left w:val="single" w:sz="24" w:space="0" w:color="auto"/>
            </w:tcBorders>
            <w:vAlign w:val="bottom"/>
          </w:tcPr>
          <w:p w:rsidR="00E741C5" w:rsidRDefault="00E741C5" w:rsidP="002B66BE">
            <w:pPr>
              <w:rPr>
                <w:rFonts w:cs="Arial"/>
                <w:szCs w:val="20"/>
              </w:rPr>
            </w:pPr>
            <w:r>
              <w:rPr>
                <w:rFonts w:cs="Arial"/>
                <w:szCs w:val="20"/>
              </w:rPr>
              <w:t>Greater Glasgow &amp; Clyde</w:t>
            </w:r>
          </w:p>
        </w:tc>
        <w:tc>
          <w:tcPr>
            <w:tcW w:w="993" w:type="dxa"/>
            <w:tcBorders>
              <w:left w:val="single" w:sz="24" w:space="0" w:color="auto"/>
            </w:tcBorders>
            <w:vAlign w:val="bottom"/>
          </w:tcPr>
          <w:p w:rsidR="00E741C5" w:rsidRDefault="00E741C5" w:rsidP="002B66BE">
            <w:pPr>
              <w:jc w:val="center"/>
              <w:rPr>
                <w:rFonts w:cs="Arial"/>
                <w:szCs w:val="20"/>
              </w:rPr>
            </w:pPr>
            <w:r>
              <w:rPr>
                <w:rFonts w:cs="Arial"/>
                <w:szCs w:val="20"/>
              </w:rPr>
              <w:t>1.005</w:t>
            </w:r>
          </w:p>
        </w:tc>
        <w:tc>
          <w:tcPr>
            <w:tcW w:w="992" w:type="dxa"/>
            <w:shd w:val="clear" w:color="auto" w:fill="D9D9D9" w:themeFill="background1" w:themeFillShade="D9"/>
            <w:vAlign w:val="bottom"/>
          </w:tcPr>
          <w:p w:rsidR="00E741C5" w:rsidRDefault="00E741C5" w:rsidP="002B66BE">
            <w:pPr>
              <w:jc w:val="center"/>
              <w:rPr>
                <w:rFonts w:cs="Arial"/>
                <w:szCs w:val="20"/>
              </w:rPr>
            </w:pPr>
            <w:r>
              <w:rPr>
                <w:rFonts w:cs="Arial"/>
                <w:szCs w:val="20"/>
              </w:rPr>
              <w:t>0.874</w:t>
            </w:r>
          </w:p>
        </w:tc>
        <w:tc>
          <w:tcPr>
            <w:tcW w:w="992" w:type="dxa"/>
            <w:vAlign w:val="bottom"/>
          </w:tcPr>
          <w:p w:rsidR="00E741C5" w:rsidRDefault="00E741C5" w:rsidP="002B66BE">
            <w:pPr>
              <w:jc w:val="center"/>
              <w:rPr>
                <w:rFonts w:cs="Arial"/>
                <w:szCs w:val="20"/>
              </w:rPr>
            </w:pPr>
            <w:r>
              <w:rPr>
                <w:rFonts w:cs="Arial"/>
                <w:szCs w:val="20"/>
              </w:rPr>
              <w:t>1.009</w:t>
            </w:r>
          </w:p>
        </w:tc>
        <w:tc>
          <w:tcPr>
            <w:tcW w:w="1134" w:type="dxa"/>
            <w:tcBorders>
              <w:right w:val="single" w:sz="24" w:space="0" w:color="auto"/>
            </w:tcBorders>
            <w:vAlign w:val="bottom"/>
          </w:tcPr>
          <w:p w:rsidR="00E741C5" w:rsidRDefault="00E741C5" w:rsidP="002B66BE">
            <w:pPr>
              <w:jc w:val="center"/>
              <w:rPr>
                <w:rFonts w:cs="Arial"/>
                <w:szCs w:val="20"/>
              </w:rPr>
            </w:pPr>
            <w:r>
              <w:rPr>
                <w:rFonts w:cs="Arial"/>
                <w:szCs w:val="20"/>
              </w:rPr>
              <w:t>0.951</w:t>
            </w:r>
          </w:p>
        </w:tc>
        <w:tc>
          <w:tcPr>
            <w:tcW w:w="992" w:type="dxa"/>
            <w:tcBorders>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0.991</w:t>
            </w:r>
          </w:p>
        </w:tc>
        <w:tc>
          <w:tcPr>
            <w:tcW w:w="993" w:type="dxa"/>
            <w:tcBorders>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1.044</w:t>
            </w:r>
          </w:p>
        </w:tc>
        <w:tc>
          <w:tcPr>
            <w:tcW w:w="992" w:type="dxa"/>
            <w:tcBorders>
              <w:right w:val="single" w:sz="24" w:space="0" w:color="auto"/>
            </w:tcBorders>
            <w:vAlign w:val="bottom"/>
          </w:tcPr>
          <w:p w:rsidR="00E741C5" w:rsidRDefault="00E741C5" w:rsidP="002B66BE">
            <w:pPr>
              <w:jc w:val="right"/>
              <w:rPr>
                <w:rFonts w:cs="Arial"/>
                <w:szCs w:val="20"/>
              </w:rPr>
            </w:pPr>
            <w:r>
              <w:rPr>
                <w:rFonts w:cs="Arial"/>
                <w:szCs w:val="20"/>
              </w:rPr>
              <w:t>22.28%</w:t>
            </w:r>
          </w:p>
        </w:tc>
      </w:tr>
      <w:tr w:rsidR="00E741C5" w:rsidRPr="00FE4172" w:rsidTr="002B66BE">
        <w:trPr>
          <w:trHeight w:val="216"/>
        </w:trPr>
        <w:tc>
          <w:tcPr>
            <w:tcW w:w="1809" w:type="dxa"/>
            <w:tcBorders>
              <w:left w:val="single" w:sz="24" w:space="0" w:color="auto"/>
            </w:tcBorders>
            <w:vAlign w:val="bottom"/>
          </w:tcPr>
          <w:p w:rsidR="00E741C5" w:rsidRDefault="00E741C5" w:rsidP="002B66BE">
            <w:pPr>
              <w:rPr>
                <w:rFonts w:cs="Arial"/>
                <w:szCs w:val="20"/>
              </w:rPr>
            </w:pPr>
            <w:r>
              <w:rPr>
                <w:rFonts w:cs="Arial"/>
                <w:szCs w:val="20"/>
              </w:rPr>
              <w:t>Highland</w:t>
            </w:r>
          </w:p>
        </w:tc>
        <w:tc>
          <w:tcPr>
            <w:tcW w:w="993" w:type="dxa"/>
            <w:tcBorders>
              <w:left w:val="single" w:sz="24" w:space="0" w:color="auto"/>
            </w:tcBorders>
            <w:vAlign w:val="bottom"/>
          </w:tcPr>
          <w:p w:rsidR="00E741C5" w:rsidRDefault="00E741C5" w:rsidP="002B66BE">
            <w:pPr>
              <w:jc w:val="center"/>
              <w:rPr>
                <w:rFonts w:cs="Arial"/>
                <w:szCs w:val="20"/>
              </w:rPr>
            </w:pPr>
            <w:r>
              <w:rPr>
                <w:rFonts w:cs="Arial"/>
                <w:szCs w:val="20"/>
              </w:rPr>
              <w:t>1.013</w:t>
            </w:r>
          </w:p>
        </w:tc>
        <w:tc>
          <w:tcPr>
            <w:tcW w:w="992" w:type="dxa"/>
            <w:shd w:val="clear" w:color="auto" w:fill="D9D9D9" w:themeFill="background1" w:themeFillShade="D9"/>
            <w:vAlign w:val="bottom"/>
          </w:tcPr>
          <w:p w:rsidR="00E741C5" w:rsidRDefault="00E741C5" w:rsidP="002B66BE">
            <w:pPr>
              <w:jc w:val="center"/>
              <w:rPr>
                <w:rFonts w:cs="Arial"/>
                <w:szCs w:val="20"/>
              </w:rPr>
            </w:pPr>
            <w:r>
              <w:rPr>
                <w:rFonts w:cs="Arial"/>
                <w:szCs w:val="20"/>
              </w:rPr>
              <w:t>1.207</w:t>
            </w:r>
          </w:p>
        </w:tc>
        <w:tc>
          <w:tcPr>
            <w:tcW w:w="992" w:type="dxa"/>
            <w:vAlign w:val="bottom"/>
          </w:tcPr>
          <w:p w:rsidR="00E741C5" w:rsidRDefault="00E741C5" w:rsidP="002B66BE">
            <w:pPr>
              <w:jc w:val="center"/>
              <w:rPr>
                <w:rFonts w:cs="Arial"/>
                <w:szCs w:val="20"/>
              </w:rPr>
            </w:pPr>
            <w:r>
              <w:rPr>
                <w:rFonts w:cs="Arial"/>
                <w:szCs w:val="20"/>
              </w:rPr>
              <w:t>1.108</w:t>
            </w:r>
          </w:p>
        </w:tc>
        <w:tc>
          <w:tcPr>
            <w:tcW w:w="1134" w:type="dxa"/>
            <w:tcBorders>
              <w:right w:val="single" w:sz="24" w:space="0" w:color="auto"/>
            </w:tcBorders>
            <w:vAlign w:val="bottom"/>
          </w:tcPr>
          <w:p w:rsidR="00E741C5" w:rsidRDefault="00E741C5" w:rsidP="002B66BE">
            <w:pPr>
              <w:jc w:val="center"/>
              <w:rPr>
                <w:rFonts w:cs="Arial"/>
                <w:szCs w:val="20"/>
              </w:rPr>
            </w:pPr>
            <w:r>
              <w:rPr>
                <w:rFonts w:cs="Arial"/>
                <w:szCs w:val="20"/>
              </w:rPr>
              <w:t>1.126</w:t>
            </w:r>
          </w:p>
        </w:tc>
        <w:tc>
          <w:tcPr>
            <w:tcW w:w="992" w:type="dxa"/>
            <w:tcBorders>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1.083</w:t>
            </w:r>
          </w:p>
        </w:tc>
        <w:tc>
          <w:tcPr>
            <w:tcW w:w="993" w:type="dxa"/>
            <w:tcBorders>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1.092</w:t>
            </w:r>
          </w:p>
        </w:tc>
        <w:tc>
          <w:tcPr>
            <w:tcW w:w="992" w:type="dxa"/>
            <w:tcBorders>
              <w:right w:val="single" w:sz="24" w:space="0" w:color="auto"/>
            </w:tcBorders>
            <w:vAlign w:val="bottom"/>
          </w:tcPr>
          <w:p w:rsidR="00E741C5" w:rsidRDefault="00E741C5" w:rsidP="002B66BE">
            <w:pPr>
              <w:jc w:val="right"/>
              <w:rPr>
                <w:rFonts w:cs="Arial"/>
                <w:szCs w:val="20"/>
              </w:rPr>
            </w:pPr>
            <w:r>
              <w:rPr>
                <w:rFonts w:cs="Arial"/>
                <w:szCs w:val="20"/>
              </w:rPr>
              <w:t>6.49%</w:t>
            </w:r>
          </w:p>
        </w:tc>
      </w:tr>
      <w:tr w:rsidR="00E741C5" w:rsidRPr="00FE4172" w:rsidTr="002B66BE">
        <w:trPr>
          <w:trHeight w:val="216"/>
        </w:trPr>
        <w:tc>
          <w:tcPr>
            <w:tcW w:w="1809" w:type="dxa"/>
            <w:tcBorders>
              <w:left w:val="single" w:sz="24" w:space="0" w:color="auto"/>
            </w:tcBorders>
            <w:vAlign w:val="bottom"/>
          </w:tcPr>
          <w:p w:rsidR="00E741C5" w:rsidRDefault="00E741C5" w:rsidP="002B66BE">
            <w:pPr>
              <w:rPr>
                <w:rFonts w:cs="Arial"/>
                <w:szCs w:val="20"/>
              </w:rPr>
            </w:pPr>
            <w:r>
              <w:rPr>
                <w:rFonts w:cs="Arial"/>
                <w:szCs w:val="20"/>
              </w:rPr>
              <w:t>Lanarkshire</w:t>
            </w:r>
          </w:p>
        </w:tc>
        <w:tc>
          <w:tcPr>
            <w:tcW w:w="993" w:type="dxa"/>
            <w:tcBorders>
              <w:left w:val="single" w:sz="24" w:space="0" w:color="auto"/>
            </w:tcBorders>
            <w:vAlign w:val="bottom"/>
          </w:tcPr>
          <w:p w:rsidR="00E741C5" w:rsidRDefault="00E741C5" w:rsidP="002B66BE">
            <w:pPr>
              <w:jc w:val="center"/>
              <w:rPr>
                <w:rFonts w:cs="Arial"/>
                <w:szCs w:val="20"/>
              </w:rPr>
            </w:pPr>
            <w:r>
              <w:rPr>
                <w:rFonts w:cs="Arial"/>
                <w:szCs w:val="20"/>
              </w:rPr>
              <w:t>0.987</w:t>
            </w:r>
          </w:p>
        </w:tc>
        <w:tc>
          <w:tcPr>
            <w:tcW w:w="992" w:type="dxa"/>
            <w:shd w:val="clear" w:color="auto" w:fill="D9D9D9" w:themeFill="background1" w:themeFillShade="D9"/>
            <w:vAlign w:val="bottom"/>
          </w:tcPr>
          <w:p w:rsidR="00E741C5" w:rsidRDefault="00E741C5" w:rsidP="002B66BE">
            <w:pPr>
              <w:jc w:val="center"/>
              <w:rPr>
                <w:rFonts w:cs="Arial"/>
                <w:szCs w:val="20"/>
              </w:rPr>
            </w:pPr>
            <w:r>
              <w:rPr>
                <w:rFonts w:cs="Arial"/>
                <w:szCs w:val="20"/>
              </w:rPr>
              <w:t>0.986</w:t>
            </w:r>
          </w:p>
        </w:tc>
        <w:tc>
          <w:tcPr>
            <w:tcW w:w="992" w:type="dxa"/>
            <w:vAlign w:val="bottom"/>
          </w:tcPr>
          <w:p w:rsidR="00E741C5" w:rsidRDefault="00E741C5" w:rsidP="002B66BE">
            <w:pPr>
              <w:jc w:val="center"/>
              <w:rPr>
                <w:rFonts w:cs="Arial"/>
                <w:szCs w:val="20"/>
              </w:rPr>
            </w:pPr>
            <w:r>
              <w:rPr>
                <w:rFonts w:cs="Arial"/>
                <w:szCs w:val="20"/>
              </w:rPr>
              <w:t>0.967</w:t>
            </w:r>
          </w:p>
        </w:tc>
        <w:tc>
          <w:tcPr>
            <w:tcW w:w="1134" w:type="dxa"/>
            <w:tcBorders>
              <w:right w:val="single" w:sz="24" w:space="0" w:color="auto"/>
            </w:tcBorders>
            <w:vAlign w:val="bottom"/>
          </w:tcPr>
          <w:p w:rsidR="00E741C5" w:rsidRDefault="00E741C5" w:rsidP="002B66BE">
            <w:pPr>
              <w:jc w:val="center"/>
              <w:rPr>
                <w:rFonts w:cs="Arial"/>
                <w:szCs w:val="20"/>
              </w:rPr>
            </w:pPr>
            <w:r>
              <w:rPr>
                <w:rFonts w:cs="Arial"/>
                <w:szCs w:val="20"/>
              </w:rPr>
              <w:t>1.002</w:t>
            </w:r>
          </w:p>
        </w:tc>
        <w:tc>
          <w:tcPr>
            <w:tcW w:w="992" w:type="dxa"/>
            <w:tcBorders>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0.981</w:t>
            </w:r>
          </w:p>
        </w:tc>
        <w:tc>
          <w:tcPr>
            <w:tcW w:w="993" w:type="dxa"/>
            <w:tcBorders>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1.013</w:t>
            </w:r>
          </w:p>
        </w:tc>
        <w:tc>
          <w:tcPr>
            <w:tcW w:w="992" w:type="dxa"/>
            <w:tcBorders>
              <w:right w:val="single" w:sz="24" w:space="0" w:color="auto"/>
            </w:tcBorders>
            <w:vAlign w:val="bottom"/>
          </w:tcPr>
          <w:p w:rsidR="00E741C5" w:rsidRDefault="00E741C5" w:rsidP="002B66BE">
            <w:pPr>
              <w:jc w:val="right"/>
              <w:rPr>
                <w:rFonts w:cs="Arial"/>
                <w:szCs w:val="20"/>
              </w:rPr>
            </w:pPr>
            <w:r>
              <w:rPr>
                <w:rFonts w:cs="Arial"/>
                <w:szCs w:val="20"/>
              </w:rPr>
              <w:t>12.28%</w:t>
            </w:r>
          </w:p>
        </w:tc>
      </w:tr>
      <w:tr w:rsidR="00E741C5" w:rsidRPr="00FE4172" w:rsidTr="002B66BE">
        <w:trPr>
          <w:trHeight w:val="216"/>
        </w:trPr>
        <w:tc>
          <w:tcPr>
            <w:tcW w:w="1809" w:type="dxa"/>
            <w:tcBorders>
              <w:left w:val="single" w:sz="24" w:space="0" w:color="auto"/>
            </w:tcBorders>
            <w:vAlign w:val="bottom"/>
          </w:tcPr>
          <w:p w:rsidR="00E741C5" w:rsidRDefault="00E741C5" w:rsidP="002B66BE">
            <w:pPr>
              <w:rPr>
                <w:rFonts w:cs="Arial"/>
                <w:szCs w:val="20"/>
              </w:rPr>
            </w:pPr>
            <w:r>
              <w:rPr>
                <w:rFonts w:cs="Arial"/>
                <w:szCs w:val="20"/>
              </w:rPr>
              <w:t>Grampian</w:t>
            </w:r>
          </w:p>
        </w:tc>
        <w:tc>
          <w:tcPr>
            <w:tcW w:w="993" w:type="dxa"/>
            <w:tcBorders>
              <w:left w:val="single" w:sz="24" w:space="0" w:color="auto"/>
            </w:tcBorders>
            <w:vAlign w:val="bottom"/>
          </w:tcPr>
          <w:p w:rsidR="00E741C5" w:rsidRDefault="00E741C5" w:rsidP="002B66BE">
            <w:pPr>
              <w:jc w:val="center"/>
              <w:rPr>
                <w:rFonts w:cs="Arial"/>
                <w:szCs w:val="20"/>
              </w:rPr>
            </w:pPr>
            <w:r>
              <w:rPr>
                <w:rFonts w:cs="Arial"/>
                <w:szCs w:val="20"/>
              </w:rPr>
              <w:t>1.002</w:t>
            </w:r>
          </w:p>
        </w:tc>
        <w:tc>
          <w:tcPr>
            <w:tcW w:w="992" w:type="dxa"/>
            <w:shd w:val="clear" w:color="auto" w:fill="D9D9D9" w:themeFill="background1" w:themeFillShade="D9"/>
            <w:vAlign w:val="bottom"/>
          </w:tcPr>
          <w:p w:rsidR="00E741C5" w:rsidRDefault="00E741C5" w:rsidP="002B66BE">
            <w:pPr>
              <w:jc w:val="center"/>
              <w:rPr>
                <w:rFonts w:cs="Arial"/>
                <w:szCs w:val="20"/>
              </w:rPr>
            </w:pPr>
            <w:r>
              <w:rPr>
                <w:rFonts w:cs="Arial"/>
                <w:szCs w:val="20"/>
              </w:rPr>
              <w:t>1.012</w:t>
            </w:r>
          </w:p>
        </w:tc>
        <w:tc>
          <w:tcPr>
            <w:tcW w:w="992" w:type="dxa"/>
            <w:vAlign w:val="bottom"/>
          </w:tcPr>
          <w:p w:rsidR="00E741C5" w:rsidRDefault="00E741C5" w:rsidP="002B66BE">
            <w:pPr>
              <w:jc w:val="center"/>
              <w:rPr>
                <w:rFonts w:cs="Arial"/>
                <w:szCs w:val="20"/>
              </w:rPr>
            </w:pPr>
            <w:r>
              <w:rPr>
                <w:rFonts w:cs="Arial"/>
                <w:szCs w:val="20"/>
              </w:rPr>
              <w:t>1.010</w:t>
            </w:r>
          </w:p>
        </w:tc>
        <w:tc>
          <w:tcPr>
            <w:tcW w:w="1134" w:type="dxa"/>
            <w:tcBorders>
              <w:right w:val="single" w:sz="24" w:space="0" w:color="auto"/>
            </w:tcBorders>
            <w:vAlign w:val="bottom"/>
          </w:tcPr>
          <w:p w:rsidR="00E741C5" w:rsidRDefault="00E741C5" w:rsidP="002B66BE">
            <w:pPr>
              <w:jc w:val="center"/>
              <w:rPr>
                <w:rFonts w:cs="Arial"/>
                <w:szCs w:val="20"/>
              </w:rPr>
            </w:pPr>
            <w:r>
              <w:rPr>
                <w:rFonts w:cs="Arial"/>
                <w:szCs w:val="20"/>
              </w:rPr>
              <w:t>1.002</w:t>
            </w:r>
          </w:p>
        </w:tc>
        <w:tc>
          <w:tcPr>
            <w:tcW w:w="992" w:type="dxa"/>
            <w:tcBorders>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1.003</w:t>
            </w:r>
          </w:p>
        </w:tc>
        <w:tc>
          <w:tcPr>
            <w:tcW w:w="993" w:type="dxa"/>
            <w:tcBorders>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0.902</w:t>
            </w:r>
          </w:p>
        </w:tc>
        <w:tc>
          <w:tcPr>
            <w:tcW w:w="992" w:type="dxa"/>
            <w:tcBorders>
              <w:right w:val="single" w:sz="24" w:space="0" w:color="auto"/>
            </w:tcBorders>
            <w:vAlign w:val="bottom"/>
          </w:tcPr>
          <w:p w:rsidR="00E741C5" w:rsidRDefault="00E741C5" w:rsidP="002B66BE">
            <w:pPr>
              <w:jc w:val="right"/>
              <w:rPr>
                <w:rFonts w:cs="Arial"/>
                <w:szCs w:val="20"/>
              </w:rPr>
            </w:pPr>
            <w:r>
              <w:rPr>
                <w:rFonts w:cs="Arial"/>
                <w:szCs w:val="20"/>
              </w:rPr>
              <w:t>9.94%</w:t>
            </w:r>
          </w:p>
        </w:tc>
      </w:tr>
      <w:tr w:rsidR="00E741C5" w:rsidRPr="00FE4172" w:rsidTr="002B66BE">
        <w:trPr>
          <w:trHeight w:val="216"/>
        </w:trPr>
        <w:tc>
          <w:tcPr>
            <w:tcW w:w="1809" w:type="dxa"/>
            <w:tcBorders>
              <w:left w:val="single" w:sz="24" w:space="0" w:color="auto"/>
            </w:tcBorders>
            <w:vAlign w:val="bottom"/>
          </w:tcPr>
          <w:p w:rsidR="00E741C5" w:rsidRDefault="00E741C5" w:rsidP="002B66BE">
            <w:pPr>
              <w:rPr>
                <w:rFonts w:cs="Arial"/>
                <w:szCs w:val="20"/>
              </w:rPr>
            </w:pPr>
            <w:r>
              <w:rPr>
                <w:rFonts w:cs="Arial"/>
                <w:szCs w:val="20"/>
              </w:rPr>
              <w:t>Orkney</w:t>
            </w:r>
          </w:p>
        </w:tc>
        <w:tc>
          <w:tcPr>
            <w:tcW w:w="993" w:type="dxa"/>
            <w:tcBorders>
              <w:left w:val="single" w:sz="24" w:space="0" w:color="auto"/>
            </w:tcBorders>
            <w:vAlign w:val="bottom"/>
          </w:tcPr>
          <w:p w:rsidR="00E741C5" w:rsidRDefault="00E741C5" w:rsidP="002B66BE">
            <w:pPr>
              <w:jc w:val="center"/>
              <w:rPr>
                <w:rFonts w:cs="Arial"/>
                <w:szCs w:val="20"/>
              </w:rPr>
            </w:pPr>
            <w:r>
              <w:rPr>
                <w:rFonts w:cs="Arial"/>
                <w:szCs w:val="20"/>
              </w:rPr>
              <w:t>1.136</w:t>
            </w:r>
          </w:p>
        </w:tc>
        <w:tc>
          <w:tcPr>
            <w:tcW w:w="992" w:type="dxa"/>
            <w:shd w:val="clear" w:color="auto" w:fill="D9D9D9" w:themeFill="background1" w:themeFillShade="D9"/>
            <w:vAlign w:val="bottom"/>
          </w:tcPr>
          <w:p w:rsidR="00E741C5" w:rsidRDefault="00E741C5" w:rsidP="002B66BE">
            <w:pPr>
              <w:jc w:val="center"/>
              <w:rPr>
                <w:rFonts w:cs="Arial"/>
                <w:szCs w:val="20"/>
              </w:rPr>
            </w:pPr>
            <w:r>
              <w:rPr>
                <w:rFonts w:cs="Arial"/>
                <w:szCs w:val="20"/>
              </w:rPr>
              <w:t>2.238</w:t>
            </w:r>
          </w:p>
        </w:tc>
        <w:tc>
          <w:tcPr>
            <w:tcW w:w="992" w:type="dxa"/>
            <w:vAlign w:val="bottom"/>
          </w:tcPr>
          <w:p w:rsidR="00E741C5" w:rsidRDefault="00E741C5" w:rsidP="002B66BE">
            <w:pPr>
              <w:jc w:val="center"/>
              <w:rPr>
                <w:rFonts w:cs="Arial"/>
                <w:szCs w:val="20"/>
              </w:rPr>
            </w:pPr>
            <w:r>
              <w:rPr>
                <w:rFonts w:cs="Arial"/>
                <w:szCs w:val="20"/>
              </w:rPr>
              <w:t>1.130</w:t>
            </w:r>
          </w:p>
        </w:tc>
        <w:tc>
          <w:tcPr>
            <w:tcW w:w="1134" w:type="dxa"/>
            <w:tcBorders>
              <w:right w:val="single" w:sz="24" w:space="0" w:color="auto"/>
            </w:tcBorders>
            <w:vAlign w:val="bottom"/>
          </w:tcPr>
          <w:p w:rsidR="00E741C5" w:rsidRDefault="00E741C5" w:rsidP="002B66BE">
            <w:pPr>
              <w:jc w:val="center"/>
              <w:rPr>
                <w:rFonts w:cs="Arial"/>
                <w:szCs w:val="20"/>
              </w:rPr>
            </w:pPr>
            <w:r>
              <w:rPr>
                <w:rFonts w:cs="Arial"/>
                <w:szCs w:val="20"/>
              </w:rPr>
              <w:t>1.339</w:t>
            </w:r>
          </w:p>
        </w:tc>
        <w:tc>
          <w:tcPr>
            <w:tcW w:w="992" w:type="dxa"/>
            <w:tcBorders>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1.209</w:t>
            </w:r>
          </w:p>
        </w:tc>
        <w:tc>
          <w:tcPr>
            <w:tcW w:w="993" w:type="dxa"/>
            <w:tcBorders>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1.227</w:t>
            </w:r>
          </w:p>
        </w:tc>
        <w:tc>
          <w:tcPr>
            <w:tcW w:w="992" w:type="dxa"/>
            <w:tcBorders>
              <w:right w:val="single" w:sz="24" w:space="0" w:color="auto"/>
            </w:tcBorders>
            <w:vAlign w:val="bottom"/>
          </w:tcPr>
          <w:p w:rsidR="00E741C5" w:rsidRDefault="00E741C5" w:rsidP="002B66BE">
            <w:pPr>
              <w:jc w:val="right"/>
              <w:rPr>
                <w:rFonts w:cs="Arial"/>
                <w:szCs w:val="20"/>
              </w:rPr>
            </w:pPr>
            <w:r>
              <w:rPr>
                <w:rFonts w:cs="Arial"/>
                <w:szCs w:val="20"/>
              </w:rPr>
              <w:t>0.49%</w:t>
            </w:r>
          </w:p>
        </w:tc>
      </w:tr>
      <w:tr w:rsidR="00E741C5" w:rsidRPr="00FE4172" w:rsidTr="002B66BE">
        <w:trPr>
          <w:trHeight w:val="216"/>
        </w:trPr>
        <w:tc>
          <w:tcPr>
            <w:tcW w:w="1809" w:type="dxa"/>
            <w:tcBorders>
              <w:left w:val="single" w:sz="24" w:space="0" w:color="auto"/>
            </w:tcBorders>
            <w:vAlign w:val="bottom"/>
          </w:tcPr>
          <w:p w:rsidR="00E741C5" w:rsidRDefault="00E741C5" w:rsidP="002B66BE">
            <w:pPr>
              <w:rPr>
                <w:rFonts w:cs="Arial"/>
                <w:szCs w:val="20"/>
              </w:rPr>
            </w:pPr>
            <w:r>
              <w:rPr>
                <w:rFonts w:cs="Arial"/>
                <w:szCs w:val="20"/>
              </w:rPr>
              <w:t>Lothian</w:t>
            </w:r>
          </w:p>
        </w:tc>
        <w:tc>
          <w:tcPr>
            <w:tcW w:w="993" w:type="dxa"/>
            <w:tcBorders>
              <w:left w:val="single" w:sz="24" w:space="0" w:color="auto"/>
            </w:tcBorders>
            <w:vAlign w:val="bottom"/>
          </w:tcPr>
          <w:p w:rsidR="00E741C5" w:rsidRDefault="00E741C5" w:rsidP="002B66BE">
            <w:pPr>
              <w:jc w:val="center"/>
              <w:rPr>
                <w:rFonts w:cs="Arial"/>
                <w:szCs w:val="20"/>
              </w:rPr>
            </w:pPr>
            <w:r>
              <w:rPr>
                <w:rFonts w:cs="Arial"/>
                <w:szCs w:val="20"/>
              </w:rPr>
              <w:t>1.001</w:t>
            </w:r>
          </w:p>
        </w:tc>
        <w:tc>
          <w:tcPr>
            <w:tcW w:w="992" w:type="dxa"/>
            <w:shd w:val="clear" w:color="auto" w:fill="D9D9D9" w:themeFill="background1" w:themeFillShade="D9"/>
            <w:vAlign w:val="bottom"/>
          </w:tcPr>
          <w:p w:rsidR="00E741C5" w:rsidRDefault="00E741C5" w:rsidP="002B66BE">
            <w:pPr>
              <w:jc w:val="center"/>
              <w:rPr>
                <w:rFonts w:cs="Arial"/>
                <w:szCs w:val="20"/>
              </w:rPr>
            </w:pPr>
            <w:r>
              <w:rPr>
                <w:rFonts w:cs="Arial"/>
                <w:szCs w:val="20"/>
              </w:rPr>
              <w:t>0.924</w:t>
            </w:r>
          </w:p>
        </w:tc>
        <w:tc>
          <w:tcPr>
            <w:tcW w:w="992" w:type="dxa"/>
            <w:vAlign w:val="bottom"/>
          </w:tcPr>
          <w:p w:rsidR="00E741C5" w:rsidRDefault="00E741C5" w:rsidP="002B66BE">
            <w:pPr>
              <w:jc w:val="center"/>
              <w:rPr>
                <w:rFonts w:cs="Arial"/>
                <w:szCs w:val="20"/>
              </w:rPr>
            </w:pPr>
            <w:r>
              <w:rPr>
                <w:rFonts w:cs="Arial"/>
                <w:szCs w:val="20"/>
              </w:rPr>
              <w:t>0.997</w:t>
            </w:r>
          </w:p>
        </w:tc>
        <w:tc>
          <w:tcPr>
            <w:tcW w:w="1134" w:type="dxa"/>
            <w:tcBorders>
              <w:right w:val="single" w:sz="24" w:space="0" w:color="auto"/>
            </w:tcBorders>
            <w:vAlign w:val="bottom"/>
          </w:tcPr>
          <w:p w:rsidR="00E741C5" w:rsidRDefault="00E741C5" w:rsidP="002B66BE">
            <w:pPr>
              <w:jc w:val="center"/>
              <w:rPr>
                <w:rFonts w:cs="Arial"/>
                <w:szCs w:val="20"/>
              </w:rPr>
            </w:pPr>
            <w:r>
              <w:rPr>
                <w:rFonts w:cs="Arial"/>
                <w:szCs w:val="20"/>
              </w:rPr>
              <w:t>0.972</w:t>
            </w:r>
          </w:p>
        </w:tc>
        <w:tc>
          <w:tcPr>
            <w:tcW w:w="992" w:type="dxa"/>
            <w:tcBorders>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0.990</w:t>
            </w:r>
          </w:p>
        </w:tc>
        <w:tc>
          <w:tcPr>
            <w:tcW w:w="993" w:type="dxa"/>
            <w:tcBorders>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0.910</w:t>
            </w:r>
          </w:p>
        </w:tc>
        <w:tc>
          <w:tcPr>
            <w:tcW w:w="992" w:type="dxa"/>
            <w:tcBorders>
              <w:right w:val="single" w:sz="24" w:space="0" w:color="auto"/>
            </w:tcBorders>
            <w:vAlign w:val="bottom"/>
          </w:tcPr>
          <w:p w:rsidR="00E741C5" w:rsidRDefault="00E741C5" w:rsidP="002B66BE">
            <w:pPr>
              <w:jc w:val="right"/>
              <w:rPr>
                <w:rFonts w:cs="Arial"/>
                <w:szCs w:val="20"/>
              </w:rPr>
            </w:pPr>
            <w:r>
              <w:rPr>
                <w:rFonts w:cs="Arial"/>
                <w:szCs w:val="20"/>
              </w:rPr>
              <w:t>14.84%</w:t>
            </w:r>
          </w:p>
        </w:tc>
      </w:tr>
      <w:tr w:rsidR="00E741C5" w:rsidRPr="00FE4172" w:rsidTr="002B66BE">
        <w:trPr>
          <w:trHeight w:val="216"/>
        </w:trPr>
        <w:tc>
          <w:tcPr>
            <w:tcW w:w="1809" w:type="dxa"/>
            <w:tcBorders>
              <w:left w:val="single" w:sz="24" w:space="0" w:color="auto"/>
            </w:tcBorders>
            <w:vAlign w:val="bottom"/>
          </w:tcPr>
          <w:p w:rsidR="00E741C5" w:rsidRDefault="00E741C5" w:rsidP="002B66BE">
            <w:pPr>
              <w:rPr>
                <w:rFonts w:cs="Arial"/>
                <w:szCs w:val="20"/>
              </w:rPr>
            </w:pPr>
            <w:r>
              <w:rPr>
                <w:rFonts w:cs="Arial"/>
                <w:szCs w:val="20"/>
              </w:rPr>
              <w:t>Tayside</w:t>
            </w:r>
          </w:p>
        </w:tc>
        <w:tc>
          <w:tcPr>
            <w:tcW w:w="993" w:type="dxa"/>
            <w:tcBorders>
              <w:left w:val="single" w:sz="24" w:space="0" w:color="auto"/>
            </w:tcBorders>
            <w:vAlign w:val="bottom"/>
          </w:tcPr>
          <w:p w:rsidR="00E741C5" w:rsidRDefault="00E741C5" w:rsidP="002B66BE">
            <w:pPr>
              <w:jc w:val="center"/>
              <w:rPr>
                <w:rFonts w:cs="Arial"/>
                <w:szCs w:val="20"/>
              </w:rPr>
            </w:pPr>
            <w:r>
              <w:rPr>
                <w:rFonts w:cs="Arial"/>
                <w:szCs w:val="20"/>
              </w:rPr>
              <w:t>1.000</w:t>
            </w:r>
          </w:p>
        </w:tc>
        <w:tc>
          <w:tcPr>
            <w:tcW w:w="992" w:type="dxa"/>
            <w:shd w:val="clear" w:color="auto" w:fill="D9D9D9" w:themeFill="background1" w:themeFillShade="D9"/>
            <w:vAlign w:val="bottom"/>
          </w:tcPr>
          <w:p w:rsidR="00E741C5" w:rsidRDefault="00E741C5" w:rsidP="002B66BE">
            <w:pPr>
              <w:jc w:val="center"/>
              <w:rPr>
                <w:rFonts w:cs="Arial"/>
                <w:szCs w:val="20"/>
              </w:rPr>
            </w:pPr>
            <w:r>
              <w:rPr>
                <w:rFonts w:cs="Arial"/>
                <w:szCs w:val="20"/>
              </w:rPr>
              <w:t>0.979</w:t>
            </w:r>
          </w:p>
        </w:tc>
        <w:tc>
          <w:tcPr>
            <w:tcW w:w="992" w:type="dxa"/>
            <w:vAlign w:val="bottom"/>
          </w:tcPr>
          <w:p w:rsidR="00E741C5" w:rsidRDefault="00E741C5" w:rsidP="002B66BE">
            <w:pPr>
              <w:jc w:val="center"/>
              <w:rPr>
                <w:rFonts w:cs="Arial"/>
                <w:szCs w:val="20"/>
              </w:rPr>
            </w:pPr>
            <w:r>
              <w:rPr>
                <w:rFonts w:cs="Arial"/>
                <w:szCs w:val="20"/>
              </w:rPr>
              <w:t>1.002</w:t>
            </w:r>
          </w:p>
        </w:tc>
        <w:tc>
          <w:tcPr>
            <w:tcW w:w="1134" w:type="dxa"/>
            <w:tcBorders>
              <w:right w:val="single" w:sz="24" w:space="0" w:color="auto"/>
            </w:tcBorders>
            <w:vAlign w:val="bottom"/>
          </w:tcPr>
          <w:p w:rsidR="00E741C5" w:rsidRDefault="00E741C5" w:rsidP="002B66BE">
            <w:pPr>
              <w:jc w:val="center"/>
              <w:rPr>
                <w:rFonts w:cs="Arial"/>
                <w:szCs w:val="20"/>
              </w:rPr>
            </w:pPr>
            <w:r>
              <w:rPr>
                <w:rFonts w:cs="Arial"/>
                <w:szCs w:val="20"/>
              </w:rPr>
              <w:t>0.993</w:t>
            </w:r>
          </w:p>
        </w:tc>
        <w:tc>
          <w:tcPr>
            <w:tcW w:w="992" w:type="dxa"/>
            <w:tcBorders>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0.999</w:t>
            </w:r>
          </w:p>
        </w:tc>
        <w:tc>
          <w:tcPr>
            <w:tcW w:w="993" w:type="dxa"/>
            <w:tcBorders>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1.015</w:t>
            </w:r>
          </w:p>
        </w:tc>
        <w:tc>
          <w:tcPr>
            <w:tcW w:w="992" w:type="dxa"/>
            <w:tcBorders>
              <w:right w:val="single" w:sz="24" w:space="0" w:color="auto"/>
            </w:tcBorders>
            <w:vAlign w:val="bottom"/>
          </w:tcPr>
          <w:p w:rsidR="00E741C5" w:rsidRDefault="00E741C5" w:rsidP="002B66BE">
            <w:pPr>
              <w:jc w:val="right"/>
              <w:rPr>
                <w:rFonts w:cs="Arial"/>
                <w:szCs w:val="20"/>
              </w:rPr>
            </w:pPr>
            <w:r>
              <w:rPr>
                <w:rFonts w:cs="Arial"/>
                <w:szCs w:val="20"/>
              </w:rPr>
              <w:t>7.87%</w:t>
            </w:r>
          </w:p>
        </w:tc>
      </w:tr>
      <w:tr w:rsidR="00E741C5" w:rsidRPr="00FE4172" w:rsidTr="002B66BE">
        <w:trPr>
          <w:trHeight w:val="216"/>
        </w:trPr>
        <w:tc>
          <w:tcPr>
            <w:tcW w:w="1809" w:type="dxa"/>
            <w:tcBorders>
              <w:left w:val="single" w:sz="24" w:space="0" w:color="auto"/>
            </w:tcBorders>
            <w:vAlign w:val="bottom"/>
          </w:tcPr>
          <w:p w:rsidR="00E741C5" w:rsidRDefault="00E741C5" w:rsidP="002B66BE">
            <w:pPr>
              <w:rPr>
                <w:rFonts w:cs="Arial"/>
                <w:szCs w:val="20"/>
              </w:rPr>
            </w:pPr>
            <w:r>
              <w:rPr>
                <w:rFonts w:cs="Arial"/>
                <w:szCs w:val="20"/>
              </w:rPr>
              <w:t>Forth Valley</w:t>
            </w:r>
          </w:p>
        </w:tc>
        <w:tc>
          <w:tcPr>
            <w:tcW w:w="993" w:type="dxa"/>
            <w:tcBorders>
              <w:left w:val="single" w:sz="24" w:space="0" w:color="auto"/>
            </w:tcBorders>
            <w:vAlign w:val="bottom"/>
          </w:tcPr>
          <w:p w:rsidR="00E741C5" w:rsidRDefault="00E741C5" w:rsidP="002B66BE">
            <w:pPr>
              <w:jc w:val="center"/>
              <w:rPr>
                <w:rFonts w:cs="Arial"/>
                <w:szCs w:val="20"/>
              </w:rPr>
            </w:pPr>
            <w:r>
              <w:rPr>
                <w:rFonts w:cs="Arial"/>
                <w:szCs w:val="20"/>
              </w:rPr>
              <w:t>0.986</w:t>
            </w:r>
          </w:p>
        </w:tc>
        <w:tc>
          <w:tcPr>
            <w:tcW w:w="992" w:type="dxa"/>
            <w:shd w:val="clear" w:color="auto" w:fill="D9D9D9" w:themeFill="background1" w:themeFillShade="D9"/>
            <w:vAlign w:val="bottom"/>
          </w:tcPr>
          <w:p w:rsidR="00E741C5" w:rsidRDefault="00E741C5" w:rsidP="002B66BE">
            <w:pPr>
              <w:jc w:val="center"/>
              <w:rPr>
                <w:rFonts w:cs="Arial"/>
                <w:szCs w:val="20"/>
              </w:rPr>
            </w:pPr>
            <w:r>
              <w:rPr>
                <w:rFonts w:cs="Arial"/>
                <w:szCs w:val="20"/>
              </w:rPr>
              <w:t>1.002</w:t>
            </w:r>
          </w:p>
        </w:tc>
        <w:tc>
          <w:tcPr>
            <w:tcW w:w="992" w:type="dxa"/>
            <w:vAlign w:val="bottom"/>
          </w:tcPr>
          <w:p w:rsidR="00E741C5" w:rsidRDefault="00E741C5" w:rsidP="002B66BE">
            <w:pPr>
              <w:jc w:val="center"/>
              <w:rPr>
                <w:rFonts w:cs="Arial"/>
                <w:szCs w:val="20"/>
              </w:rPr>
            </w:pPr>
            <w:r>
              <w:rPr>
                <w:rFonts w:cs="Arial"/>
                <w:szCs w:val="20"/>
              </w:rPr>
              <w:t>0.963</w:t>
            </w:r>
          </w:p>
        </w:tc>
        <w:tc>
          <w:tcPr>
            <w:tcW w:w="1134" w:type="dxa"/>
            <w:tcBorders>
              <w:right w:val="single" w:sz="24" w:space="0" w:color="auto"/>
            </w:tcBorders>
            <w:vAlign w:val="bottom"/>
          </w:tcPr>
          <w:p w:rsidR="00E741C5" w:rsidRDefault="00E741C5" w:rsidP="002B66BE">
            <w:pPr>
              <w:jc w:val="center"/>
              <w:rPr>
                <w:rFonts w:cs="Arial"/>
                <w:szCs w:val="20"/>
              </w:rPr>
            </w:pPr>
            <w:r>
              <w:rPr>
                <w:rFonts w:cs="Arial"/>
                <w:szCs w:val="20"/>
              </w:rPr>
              <w:t>1.011</w:t>
            </w:r>
          </w:p>
        </w:tc>
        <w:tc>
          <w:tcPr>
            <w:tcW w:w="992" w:type="dxa"/>
            <w:tcBorders>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0.983</w:t>
            </w:r>
          </w:p>
        </w:tc>
        <w:tc>
          <w:tcPr>
            <w:tcW w:w="993" w:type="dxa"/>
            <w:tcBorders>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0.956</w:t>
            </w:r>
          </w:p>
        </w:tc>
        <w:tc>
          <w:tcPr>
            <w:tcW w:w="992" w:type="dxa"/>
            <w:tcBorders>
              <w:right w:val="single" w:sz="24" w:space="0" w:color="auto"/>
            </w:tcBorders>
            <w:vAlign w:val="bottom"/>
          </w:tcPr>
          <w:p w:rsidR="00E741C5" w:rsidRDefault="00E741C5" w:rsidP="002B66BE">
            <w:pPr>
              <w:jc w:val="right"/>
              <w:rPr>
                <w:rFonts w:cs="Arial"/>
                <w:szCs w:val="20"/>
              </w:rPr>
            </w:pPr>
            <w:r>
              <w:rPr>
                <w:rFonts w:cs="Arial"/>
                <w:szCs w:val="20"/>
              </w:rPr>
              <w:t>5.39%</w:t>
            </w:r>
          </w:p>
        </w:tc>
      </w:tr>
      <w:tr w:rsidR="00E741C5" w:rsidRPr="00FE4172" w:rsidTr="002B66BE">
        <w:trPr>
          <w:trHeight w:val="216"/>
        </w:trPr>
        <w:tc>
          <w:tcPr>
            <w:tcW w:w="1809" w:type="dxa"/>
            <w:tcBorders>
              <w:left w:val="single" w:sz="24" w:space="0" w:color="auto"/>
            </w:tcBorders>
            <w:vAlign w:val="bottom"/>
          </w:tcPr>
          <w:p w:rsidR="00E741C5" w:rsidRDefault="00E741C5" w:rsidP="002B66BE">
            <w:pPr>
              <w:rPr>
                <w:rFonts w:cs="Arial"/>
                <w:szCs w:val="20"/>
              </w:rPr>
            </w:pPr>
            <w:r>
              <w:rPr>
                <w:rFonts w:cs="Arial"/>
                <w:szCs w:val="20"/>
              </w:rPr>
              <w:t>Western Isles</w:t>
            </w:r>
          </w:p>
        </w:tc>
        <w:tc>
          <w:tcPr>
            <w:tcW w:w="993" w:type="dxa"/>
            <w:tcBorders>
              <w:left w:val="single" w:sz="24" w:space="0" w:color="auto"/>
            </w:tcBorders>
            <w:vAlign w:val="bottom"/>
          </w:tcPr>
          <w:p w:rsidR="00E741C5" w:rsidRDefault="00E741C5" w:rsidP="002B66BE">
            <w:pPr>
              <w:jc w:val="center"/>
              <w:rPr>
                <w:rFonts w:cs="Arial"/>
                <w:szCs w:val="20"/>
              </w:rPr>
            </w:pPr>
            <w:r>
              <w:rPr>
                <w:rFonts w:cs="Arial"/>
                <w:szCs w:val="20"/>
              </w:rPr>
              <w:t>1.135</w:t>
            </w:r>
          </w:p>
        </w:tc>
        <w:tc>
          <w:tcPr>
            <w:tcW w:w="992" w:type="dxa"/>
            <w:shd w:val="clear" w:color="auto" w:fill="D9D9D9" w:themeFill="background1" w:themeFillShade="D9"/>
            <w:vAlign w:val="bottom"/>
          </w:tcPr>
          <w:p w:rsidR="00E741C5" w:rsidRDefault="00E741C5" w:rsidP="002B66BE">
            <w:pPr>
              <w:jc w:val="center"/>
              <w:rPr>
                <w:rFonts w:cs="Arial"/>
                <w:szCs w:val="20"/>
              </w:rPr>
            </w:pPr>
            <w:r>
              <w:rPr>
                <w:rFonts w:cs="Arial"/>
                <w:szCs w:val="20"/>
              </w:rPr>
              <w:t>2.236</w:t>
            </w:r>
          </w:p>
        </w:tc>
        <w:tc>
          <w:tcPr>
            <w:tcW w:w="992" w:type="dxa"/>
            <w:vAlign w:val="bottom"/>
          </w:tcPr>
          <w:p w:rsidR="00E741C5" w:rsidRDefault="00E741C5" w:rsidP="002B66BE">
            <w:pPr>
              <w:jc w:val="center"/>
              <w:rPr>
                <w:rFonts w:cs="Arial"/>
                <w:szCs w:val="20"/>
              </w:rPr>
            </w:pPr>
            <w:r>
              <w:rPr>
                <w:rFonts w:cs="Arial"/>
                <w:szCs w:val="20"/>
              </w:rPr>
              <w:t>1.129</w:t>
            </w:r>
          </w:p>
        </w:tc>
        <w:tc>
          <w:tcPr>
            <w:tcW w:w="1134" w:type="dxa"/>
            <w:tcBorders>
              <w:right w:val="single" w:sz="24" w:space="0" w:color="auto"/>
            </w:tcBorders>
            <w:vAlign w:val="bottom"/>
          </w:tcPr>
          <w:p w:rsidR="00E741C5" w:rsidRDefault="00E741C5" w:rsidP="002B66BE">
            <w:pPr>
              <w:jc w:val="center"/>
              <w:rPr>
                <w:rFonts w:cs="Arial"/>
                <w:szCs w:val="20"/>
              </w:rPr>
            </w:pPr>
            <w:r>
              <w:rPr>
                <w:rFonts w:cs="Arial"/>
                <w:szCs w:val="20"/>
              </w:rPr>
              <w:t>1.338</w:t>
            </w:r>
          </w:p>
        </w:tc>
        <w:tc>
          <w:tcPr>
            <w:tcW w:w="992" w:type="dxa"/>
            <w:tcBorders>
              <w:left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1.231</w:t>
            </w:r>
          </w:p>
        </w:tc>
        <w:tc>
          <w:tcPr>
            <w:tcW w:w="993" w:type="dxa"/>
            <w:tcBorders>
              <w:left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1.353</w:t>
            </w:r>
          </w:p>
        </w:tc>
        <w:tc>
          <w:tcPr>
            <w:tcW w:w="992" w:type="dxa"/>
            <w:tcBorders>
              <w:right w:val="single" w:sz="24" w:space="0" w:color="auto"/>
            </w:tcBorders>
            <w:vAlign w:val="bottom"/>
          </w:tcPr>
          <w:p w:rsidR="00E741C5" w:rsidRDefault="00E741C5" w:rsidP="002B66BE">
            <w:pPr>
              <w:jc w:val="right"/>
              <w:rPr>
                <w:rFonts w:cs="Arial"/>
                <w:szCs w:val="20"/>
              </w:rPr>
            </w:pPr>
            <w:r>
              <w:rPr>
                <w:rFonts w:cs="Arial"/>
                <w:szCs w:val="20"/>
              </w:rPr>
              <w:t>0.67%</w:t>
            </w:r>
          </w:p>
        </w:tc>
      </w:tr>
      <w:tr w:rsidR="00E741C5" w:rsidRPr="00FE4172" w:rsidTr="002B66BE">
        <w:trPr>
          <w:trHeight w:val="216"/>
        </w:trPr>
        <w:tc>
          <w:tcPr>
            <w:tcW w:w="1809" w:type="dxa"/>
            <w:tcBorders>
              <w:left w:val="single" w:sz="24" w:space="0" w:color="auto"/>
              <w:bottom w:val="single" w:sz="4" w:space="0" w:color="auto"/>
            </w:tcBorders>
            <w:vAlign w:val="bottom"/>
          </w:tcPr>
          <w:p w:rsidR="00E741C5" w:rsidRDefault="00E741C5" w:rsidP="002B66BE">
            <w:pPr>
              <w:rPr>
                <w:rFonts w:cs="Arial"/>
                <w:szCs w:val="20"/>
              </w:rPr>
            </w:pPr>
            <w:r>
              <w:rPr>
                <w:rFonts w:cs="Arial"/>
                <w:szCs w:val="20"/>
              </w:rPr>
              <w:t>Dumfries &amp; Galloway</w:t>
            </w:r>
          </w:p>
        </w:tc>
        <w:tc>
          <w:tcPr>
            <w:tcW w:w="993" w:type="dxa"/>
            <w:tcBorders>
              <w:left w:val="single" w:sz="24" w:space="0" w:color="auto"/>
              <w:bottom w:val="single" w:sz="4" w:space="0" w:color="auto"/>
            </w:tcBorders>
            <w:vAlign w:val="bottom"/>
          </w:tcPr>
          <w:p w:rsidR="00E741C5" w:rsidRDefault="00E741C5" w:rsidP="002B66BE">
            <w:pPr>
              <w:jc w:val="center"/>
              <w:rPr>
                <w:rFonts w:cs="Arial"/>
                <w:szCs w:val="20"/>
              </w:rPr>
            </w:pPr>
            <w:r>
              <w:rPr>
                <w:rFonts w:cs="Arial"/>
                <w:szCs w:val="20"/>
              </w:rPr>
              <w:t>0.997</w:t>
            </w:r>
          </w:p>
        </w:tc>
        <w:tc>
          <w:tcPr>
            <w:tcW w:w="992" w:type="dxa"/>
            <w:tcBorders>
              <w:bottom w:val="single" w:sz="4" w:space="0" w:color="auto"/>
            </w:tcBorders>
            <w:shd w:val="clear" w:color="auto" w:fill="D9D9D9" w:themeFill="background1" w:themeFillShade="D9"/>
            <w:vAlign w:val="bottom"/>
          </w:tcPr>
          <w:p w:rsidR="00E741C5" w:rsidRDefault="00E741C5" w:rsidP="002B66BE">
            <w:pPr>
              <w:jc w:val="center"/>
              <w:rPr>
                <w:rFonts w:cs="Arial"/>
                <w:szCs w:val="20"/>
              </w:rPr>
            </w:pPr>
            <w:r>
              <w:rPr>
                <w:rFonts w:cs="Arial"/>
                <w:szCs w:val="20"/>
              </w:rPr>
              <w:t>1.101</w:t>
            </w:r>
          </w:p>
        </w:tc>
        <w:tc>
          <w:tcPr>
            <w:tcW w:w="992" w:type="dxa"/>
            <w:tcBorders>
              <w:bottom w:val="single" w:sz="4" w:space="0" w:color="auto"/>
            </w:tcBorders>
            <w:vAlign w:val="bottom"/>
          </w:tcPr>
          <w:p w:rsidR="00E741C5" w:rsidRDefault="00E741C5" w:rsidP="002B66BE">
            <w:pPr>
              <w:jc w:val="center"/>
              <w:rPr>
                <w:rFonts w:cs="Arial"/>
                <w:szCs w:val="20"/>
              </w:rPr>
            </w:pPr>
            <w:r>
              <w:rPr>
                <w:rFonts w:cs="Arial"/>
                <w:szCs w:val="20"/>
              </w:rPr>
              <w:t>1.003</w:t>
            </w:r>
          </w:p>
        </w:tc>
        <w:tc>
          <w:tcPr>
            <w:tcW w:w="1134" w:type="dxa"/>
            <w:tcBorders>
              <w:bottom w:val="single" w:sz="4" w:space="0" w:color="auto"/>
              <w:right w:val="single" w:sz="24" w:space="0" w:color="auto"/>
            </w:tcBorders>
            <w:vAlign w:val="bottom"/>
          </w:tcPr>
          <w:p w:rsidR="00E741C5" w:rsidRDefault="00E741C5" w:rsidP="002B66BE">
            <w:pPr>
              <w:jc w:val="center"/>
              <w:rPr>
                <w:rFonts w:cs="Arial"/>
                <w:szCs w:val="20"/>
              </w:rPr>
            </w:pPr>
            <w:r>
              <w:rPr>
                <w:rFonts w:cs="Arial"/>
                <w:szCs w:val="20"/>
              </w:rPr>
              <w:t>1.048</w:t>
            </w:r>
          </w:p>
        </w:tc>
        <w:tc>
          <w:tcPr>
            <w:tcW w:w="992" w:type="dxa"/>
            <w:tcBorders>
              <w:left w:val="single" w:sz="24" w:space="0" w:color="auto"/>
              <w:bottom w:val="single" w:sz="4" w:space="0" w:color="auto"/>
              <w:right w:val="single" w:sz="24" w:space="0" w:color="auto"/>
            </w:tcBorders>
            <w:vAlign w:val="bottom"/>
          </w:tcPr>
          <w:p w:rsidR="00E741C5" w:rsidRDefault="00E741C5" w:rsidP="002B66BE">
            <w:pPr>
              <w:jc w:val="right"/>
              <w:rPr>
                <w:rFonts w:cs="Arial"/>
                <w:szCs w:val="20"/>
              </w:rPr>
            </w:pPr>
            <w:r>
              <w:rPr>
                <w:rFonts w:cs="Arial"/>
                <w:szCs w:val="20"/>
              </w:rPr>
              <w:t>1.013</w:t>
            </w:r>
          </w:p>
        </w:tc>
        <w:tc>
          <w:tcPr>
            <w:tcW w:w="993" w:type="dxa"/>
            <w:tcBorders>
              <w:left w:val="single" w:sz="24" w:space="0" w:color="auto"/>
              <w:bottom w:val="single" w:sz="4" w:space="0" w:color="auto"/>
            </w:tcBorders>
            <w:vAlign w:val="bottom"/>
          </w:tcPr>
          <w:p w:rsidR="00E741C5" w:rsidRPr="00272243" w:rsidRDefault="00E741C5" w:rsidP="002B66BE">
            <w:pPr>
              <w:jc w:val="right"/>
              <w:rPr>
                <w:rFonts w:cs="Arial"/>
                <w:bCs/>
                <w:szCs w:val="20"/>
              </w:rPr>
            </w:pPr>
            <w:r w:rsidRPr="00272243">
              <w:rPr>
                <w:rFonts w:cs="Arial"/>
                <w:bCs/>
                <w:szCs w:val="20"/>
              </w:rPr>
              <w:t>1.078</w:t>
            </w:r>
          </w:p>
        </w:tc>
        <w:tc>
          <w:tcPr>
            <w:tcW w:w="992" w:type="dxa"/>
            <w:tcBorders>
              <w:bottom w:val="single" w:sz="4" w:space="0" w:color="auto"/>
              <w:right w:val="single" w:sz="24" w:space="0" w:color="auto"/>
            </w:tcBorders>
            <w:vAlign w:val="bottom"/>
          </w:tcPr>
          <w:p w:rsidR="00E741C5" w:rsidRDefault="00E741C5" w:rsidP="002B66BE">
            <w:pPr>
              <w:jc w:val="right"/>
              <w:rPr>
                <w:rFonts w:cs="Arial"/>
                <w:szCs w:val="20"/>
              </w:rPr>
            </w:pPr>
            <w:r>
              <w:rPr>
                <w:rFonts w:cs="Arial"/>
                <w:szCs w:val="20"/>
              </w:rPr>
              <w:t>2.97%</w:t>
            </w:r>
          </w:p>
        </w:tc>
      </w:tr>
      <w:tr w:rsidR="00E741C5" w:rsidRPr="00FE4172" w:rsidTr="002B66BE">
        <w:trPr>
          <w:trHeight w:val="229"/>
        </w:trPr>
        <w:tc>
          <w:tcPr>
            <w:tcW w:w="1809" w:type="dxa"/>
            <w:tcBorders>
              <w:left w:val="single" w:sz="24" w:space="0" w:color="auto"/>
              <w:bottom w:val="single" w:sz="24" w:space="0" w:color="auto"/>
            </w:tcBorders>
            <w:vAlign w:val="bottom"/>
          </w:tcPr>
          <w:p w:rsidR="00E741C5" w:rsidRDefault="00E741C5" w:rsidP="002B66BE">
            <w:pPr>
              <w:rPr>
                <w:rFonts w:cs="Arial"/>
                <w:szCs w:val="20"/>
              </w:rPr>
            </w:pPr>
            <w:r>
              <w:rPr>
                <w:rFonts w:cs="Arial"/>
                <w:szCs w:val="20"/>
              </w:rPr>
              <w:t>Shetland</w:t>
            </w:r>
          </w:p>
        </w:tc>
        <w:tc>
          <w:tcPr>
            <w:tcW w:w="993" w:type="dxa"/>
            <w:tcBorders>
              <w:left w:val="single" w:sz="24" w:space="0" w:color="auto"/>
              <w:bottom w:val="single" w:sz="24" w:space="0" w:color="auto"/>
            </w:tcBorders>
            <w:vAlign w:val="bottom"/>
          </w:tcPr>
          <w:p w:rsidR="00E741C5" w:rsidRDefault="00E741C5" w:rsidP="002B66BE">
            <w:pPr>
              <w:jc w:val="center"/>
              <w:rPr>
                <w:rFonts w:cs="Arial"/>
                <w:szCs w:val="20"/>
              </w:rPr>
            </w:pPr>
            <w:r>
              <w:rPr>
                <w:rFonts w:cs="Arial"/>
                <w:szCs w:val="20"/>
              </w:rPr>
              <w:t>1.140</w:t>
            </w:r>
          </w:p>
        </w:tc>
        <w:tc>
          <w:tcPr>
            <w:tcW w:w="992" w:type="dxa"/>
            <w:tcBorders>
              <w:bottom w:val="single" w:sz="24" w:space="0" w:color="auto"/>
            </w:tcBorders>
            <w:shd w:val="clear" w:color="auto" w:fill="D9D9D9" w:themeFill="background1" w:themeFillShade="D9"/>
            <w:vAlign w:val="bottom"/>
          </w:tcPr>
          <w:p w:rsidR="00E741C5" w:rsidRDefault="00E741C5" w:rsidP="002B66BE">
            <w:pPr>
              <w:jc w:val="center"/>
              <w:rPr>
                <w:rFonts w:cs="Arial"/>
                <w:szCs w:val="20"/>
              </w:rPr>
            </w:pPr>
            <w:r>
              <w:rPr>
                <w:rFonts w:cs="Arial"/>
                <w:szCs w:val="20"/>
              </w:rPr>
              <w:t>2.247</w:t>
            </w:r>
          </w:p>
        </w:tc>
        <w:tc>
          <w:tcPr>
            <w:tcW w:w="992" w:type="dxa"/>
            <w:tcBorders>
              <w:bottom w:val="single" w:sz="24" w:space="0" w:color="auto"/>
            </w:tcBorders>
            <w:vAlign w:val="bottom"/>
          </w:tcPr>
          <w:p w:rsidR="00E741C5" w:rsidRDefault="00E741C5" w:rsidP="002B66BE">
            <w:pPr>
              <w:jc w:val="center"/>
              <w:rPr>
                <w:rFonts w:cs="Arial"/>
                <w:szCs w:val="20"/>
              </w:rPr>
            </w:pPr>
            <w:r>
              <w:rPr>
                <w:rFonts w:cs="Arial"/>
                <w:szCs w:val="20"/>
              </w:rPr>
              <w:t>1.134</w:t>
            </w:r>
          </w:p>
        </w:tc>
        <w:tc>
          <w:tcPr>
            <w:tcW w:w="1134" w:type="dxa"/>
            <w:tcBorders>
              <w:bottom w:val="single" w:sz="24" w:space="0" w:color="auto"/>
              <w:right w:val="single" w:sz="24" w:space="0" w:color="auto"/>
            </w:tcBorders>
            <w:vAlign w:val="bottom"/>
          </w:tcPr>
          <w:p w:rsidR="00E741C5" w:rsidRDefault="00E741C5" w:rsidP="002B66BE">
            <w:pPr>
              <w:jc w:val="center"/>
              <w:rPr>
                <w:rFonts w:cs="Arial"/>
                <w:szCs w:val="20"/>
              </w:rPr>
            </w:pPr>
            <w:r>
              <w:rPr>
                <w:rFonts w:cs="Arial"/>
                <w:szCs w:val="20"/>
              </w:rPr>
              <w:t>1.344</w:t>
            </w:r>
          </w:p>
        </w:tc>
        <w:tc>
          <w:tcPr>
            <w:tcW w:w="992" w:type="dxa"/>
            <w:tcBorders>
              <w:left w:val="single" w:sz="24" w:space="0" w:color="auto"/>
              <w:bottom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1.220</w:t>
            </w:r>
          </w:p>
        </w:tc>
        <w:tc>
          <w:tcPr>
            <w:tcW w:w="993" w:type="dxa"/>
            <w:tcBorders>
              <w:left w:val="single" w:sz="24" w:space="0" w:color="auto"/>
              <w:bottom w:val="single" w:sz="24" w:space="0" w:color="auto"/>
            </w:tcBorders>
            <w:vAlign w:val="bottom"/>
          </w:tcPr>
          <w:p w:rsidR="00E741C5" w:rsidRPr="00272243" w:rsidRDefault="00E741C5" w:rsidP="002B66BE">
            <w:pPr>
              <w:jc w:val="right"/>
              <w:rPr>
                <w:rFonts w:cs="Arial"/>
                <w:bCs/>
                <w:szCs w:val="20"/>
              </w:rPr>
            </w:pPr>
            <w:r w:rsidRPr="00272243">
              <w:rPr>
                <w:rFonts w:cs="Arial"/>
                <w:bCs/>
                <w:szCs w:val="20"/>
              </w:rPr>
              <w:t>1.153</w:t>
            </w:r>
          </w:p>
        </w:tc>
        <w:tc>
          <w:tcPr>
            <w:tcW w:w="992" w:type="dxa"/>
            <w:tcBorders>
              <w:bottom w:val="single" w:sz="24" w:space="0" w:color="auto"/>
              <w:right w:val="single" w:sz="24" w:space="0" w:color="auto"/>
            </w:tcBorders>
            <w:vAlign w:val="bottom"/>
          </w:tcPr>
          <w:p w:rsidR="00E741C5" w:rsidRDefault="00E741C5" w:rsidP="002B66BE">
            <w:pPr>
              <w:jc w:val="right"/>
              <w:rPr>
                <w:rFonts w:cs="Arial"/>
                <w:szCs w:val="20"/>
              </w:rPr>
            </w:pPr>
            <w:r>
              <w:rPr>
                <w:rFonts w:cs="Arial"/>
                <w:szCs w:val="20"/>
              </w:rPr>
              <w:t>0.50%</w:t>
            </w:r>
          </w:p>
        </w:tc>
      </w:tr>
    </w:tbl>
    <w:p w:rsidR="00E741C5" w:rsidRDefault="00E741C5" w:rsidP="00E741C5"/>
    <w:p w:rsidR="005134DC" w:rsidRDefault="005134DC">
      <w:pPr>
        <w:rPr>
          <w:rFonts w:eastAsiaTheme="majorEastAsia" w:cstheme="majorBidi"/>
          <w:bCs/>
          <w:i/>
          <w:sz w:val="20"/>
          <w:szCs w:val="18"/>
          <w:lang w:val="en-US" w:bidi="en-US"/>
        </w:rPr>
      </w:pPr>
      <w:r>
        <w:rPr>
          <w:rFonts w:eastAsiaTheme="majorEastAsia" w:cstheme="majorBidi"/>
          <w:bCs/>
          <w:i/>
          <w:sz w:val="20"/>
          <w:szCs w:val="18"/>
          <w:lang w:val="en-US" w:bidi="en-US"/>
        </w:rPr>
        <w:br w:type="page"/>
      </w:r>
    </w:p>
    <w:p w:rsidR="00E741C5" w:rsidRDefault="00E741C5">
      <w:pPr>
        <w:rPr>
          <w:rFonts w:eastAsiaTheme="majorEastAsia" w:cstheme="majorBidi"/>
          <w:bCs/>
          <w:i/>
          <w:sz w:val="20"/>
          <w:szCs w:val="18"/>
          <w:lang w:val="en-US" w:bidi="en-US"/>
        </w:rPr>
      </w:pPr>
    </w:p>
    <w:p w:rsidR="0026008A" w:rsidRPr="00222BC6" w:rsidRDefault="0026008A" w:rsidP="0026008A">
      <w:pPr>
        <w:pStyle w:val="Caption"/>
      </w:pPr>
      <w:r>
        <w:t xml:space="preserve">Table </w:t>
      </w:r>
      <w:r w:rsidR="00E741C5">
        <w:t>3</w:t>
      </w:r>
      <w:r>
        <w:t xml:space="preserve">: The Excess Cost Index from the summer 2015 update at Health Board level (Care of the Elderly </w:t>
      </w:r>
      <w:r w:rsidRPr="00222BC6">
        <w:t>highlighted in grey).</w:t>
      </w:r>
      <w:r>
        <w:t xml:space="preserve"> </w:t>
      </w:r>
      <w:r w:rsidRPr="00222BC6">
        <w:t>Based on data from 2011/12,</w:t>
      </w:r>
      <w:r>
        <w:t xml:space="preserve"> </w:t>
      </w:r>
      <w:r w:rsidRPr="00222BC6">
        <w:t>2012/13 and 2013/14.</w:t>
      </w:r>
      <w:r w:rsidR="00E741C5">
        <w:t xml:space="preserve"> The COTE index update was not applied in the target shares due to unreasonably large changes compared to those in Table 2.</w:t>
      </w:r>
    </w:p>
    <w:tbl>
      <w:tblPr>
        <w:tblStyle w:val="TableGrid"/>
        <w:tblW w:w="8897" w:type="dxa"/>
        <w:tblLayout w:type="fixed"/>
        <w:tblLook w:val="04A0" w:firstRow="1" w:lastRow="0" w:firstColumn="1" w:lastColumn="0" w:noHBand="0" w:noVBand="1"/>
      </w:tblPr>
      <w:tblGrid>
        <w:gridCol w:w="1809"/>
        <w:gridCol w:w="993"/>
        <w:gridCol w:w="992"/>
        <w:gridCol w:w="992"/>
        <w:gridCol w:w="1134"/>
        <w:gridCol w:w="992"/>
        <w:gridCol w:w="993"/>
        <w:gridCol w:w="992"/>
      </w:tblGrid>
      <w:tr w:rsidR="0026008A" w:rsidRPr="00FE4172" w:rsidTr="002B66BE">
        <w:trPr>
          <w:trHeight w:val="863"/>
        </w:trPr>
        <w:tc>
          <w:tcPr>
            <w:tcW w:w="1809" w:type="dxa"/>
            <w:tcBorders>
              <w:top w:val="single" w:sz="24" w:space="0" w:color="auto"/>
              <w:left w:val="single" w:sz="24" w:space="0" w:color="auto"/>
              <w:bottom w:val="single" w:sz="24" w:space="0" w:color="auto"/>
            </w:tcBorders>
          </w:tcPr>
          <w:p w:rsidR="0026008A" w:rsidRPr="000C659F" w:rsidRDefault="0026008A" w:rsidP="002B66BE">
            <w:pPr>
              <w:jc w:val="both"/>
              <w:rPr>
                <w:rFonts w:eastAsia="Times New Roman" w:cs="Arial"/>
                <w:b/>
                <w:bCs/>
                <w:color w:val="FFFFFF"/>
                <w:szCs w:val="20"/>
                <w:lang w:eastAsia="en-GB"/>
              </w:rPr>
            </w:pPr>
            <w:r w:rsidRPr="000C659F">
              <w:rPr>
                <w:rFonts w:eastAsia="Times New Roman" w:cs="Arial"/>
                <w:b/>
                <w:szCs w:val="20"/>
                <w:lang w:eastAsia="en-GB"/>
              </w:rPr>
              <w:t>H</w:t>
            </w:r>
            <w:r>
              <w:rPr>
                <w:rFonts w:eastAsia="Times New Roman" w:cs="Arial"/>
                <w:b/>
                <w:szCs w:val="20"/>
                <w:lang w:eastAsia="en-GB"/>
              </w:rPr>
              <w:t>ealth Board</w:t>
            </w:r>
          </w:p>
        </w:tc>
        <w:tc>
          <w:tcPr>
            <w:tcW w:w="993" w:type="dxa"/>
            <w:tcBorders>
              <w:top w:val="single" w:sz="24" w:space="0" w:color="auto"/>
              <w:left w:val="single" w:sz="24" w:space="0" w:color="auto"/>
              <w:bottom w:val="single" w:sz="24" w:space="0" w:color="auto"/>
            </w:tcBorders>
          </w:tcPr>
          <w:p w:rsidR="0026008A" w:rsidRPr="000C659F" w:rsidRDefault="0026008A" w:rsidP="002B66BE">
            <w:pPr>
              <w:jc w:val="both"/>
              <w:rPr>
                <w:rFonts w:cs="Arial"/>
                <w:b/>
                <w:bCs/>
                <w:color w:val="000000"/>
                <w:szCs w:val="20"/>
              </w:rPr>
            </w:pPr>
            <w:r w:rsidRPr="000C659F">
              <w:rPr>
                <w:rFonts w:cs="Arial"/>
                <w:b/>
                <w:bCs/>
                <w:color w:val="000000"/>
                <w:szCs w:val="20"/>
              </w:rPr>
              <w:t>Acute Excess Costs Index</w:t>
            </w:r>
          </w:p>
        </w:tc>
        <w:tc>
          <w:tcPr>
            <w:tcW w:w="992" w:type="dxa"/>
            <w:tcBorders>
              <w:top w:val="single" w:sz="24" w:space="0" w:color="auto"/>
              <w:bottom w:val="single" w:sz="24" w:space="0" w:color="auto"/>
            </w:tcBorders>
            <w:shd w:val="clear" w:color="auto" w:fill="D9D9D9" w:themeFill="background1" w:themeFillShade="D9"/>
          </w:tcPr>
          <w:p w:rsidR="0026008A" w:rsidRPr="000C659F" w:rsidRDefault="0026008A" w:rsidP="002B66BE">
            <w:pPr>
              <w:jc w:val="both"/>
              <w:rPr>
                <w:rFonts w:cs="Arial"/>
                <w:b/>
                <w:bCs/>
                <w:color w:val="000000"/>
                <w:szCs w:val="20"/>
              </w:rPr>
            </w:pPr>
            <w:r w:rsidRPr="000C659F">
              <w:rPr>
                <w:rFonts w:cs="Arial"/>
                <w:b/>
                <w:bCs/>
                <w:color w:val="000000"/>
                <w:szCs w:val="20"/>
              </w:rPr>
              <w:t>COTE Excess Costs Index</w:t>
            </w:r>
          </w:p>
        </w:tc>
        <w:tc>
          <w:tcPr>
            <w:tcW w:w="992" w:type="dxa"/>
            <w:tcBorders>
              <w:top w:val="single" w:sz="24" w:space="0" w:color="auto"/>
              <w:bottom w:val="single" w:sz="24" w:space="0" w:color="auto"/>
            </w:tcBorders>
          </w:tcPr>
          <w:p w:rsidR="0026008A" w:rsidRPr="000C659F" w:rsidRDefault="0026008A" w:rsidP="002B66BE">
            <w:pPr>
              <w:jc w:val="both"/>
              <w:rPr>
                <w:rFonts w:cs="Arial"/>
                <w:b/>
                <w:bCs/>
                <w:color w:val="000000"/>
                <w:szCs w:val="20"/>
              </w:rPr>
            </w:pPr>
            <w:proofErr w:type="spellStart"/>
            <w:r w:rsidRPr="000C659F">
              <w:rPr>
                <w:rFonts w:cs="Arial"/>
                <w:b/>
                <w:bCs/>
                <w:color w:val="000000"/>
                <w:szCs w:val="20"/>
              </w:rPr>
              <w:t>MHLD</w:t>
            </w:r>
            <w:proofErr w:type="spellEnd"/>
            <w:r w:rsidRPr="000C659F">
              <w:rPr>
                <w:rFonts w:cs="Arial"/>
                <w:b/>
                <w:bCs/>
                <w:color w:val="000000"/>
                <w:szCs w:val="20"/>
              </w:rPr>
              <w:t xml:space="preserve"> Excess Costs Index</w:t>
            </w:r>
          </w:p>
        </w:tc>
        <w:tc>
          <w:tcPr>
            <w:tcW w:w="1134" w:type="dxa"/>
            <w:tcBorders>
              <w:top w:val="single" w:sz="24" w:space="0" w:color="auto"/>
              <w:bottom w:val="single" w:sz="24" w:space="0" w:color="auto"/>
              <w:right w:val="single" w:sz="24" w:space="0" w:color="auto"/>
            </w:tcBorders>
          </w:tcPr>
          <w:p w:rsidR="0026008A" w:rsidRPr="000C659F" w:rsidRDefault="0026008A" w:rsidP="002B66BE">
            <w:pPr>
              <w:jc w:val="both"/>
              <w:rPr>
                <w:rFonts w:cs="Arial"/>
                <w:b/>
                <w:bCs/>
                <w:color w:val="000000"/>
                <w:szCs w:val="20"/>
              </w:rPr>
            </w:pPr>
            <w:r w:rsidRPr="000C659F">
              <w:rPr>
                <w:rFonts w:cs="Arial"/>
                <w:b/>
                <w:bCs/>
                <w:color w:val="000000"/>
                <w:szCs w:val="20"/>
              </w:rPr>
              <w:t>Maternity Excess Costs Index</w:t>
            </w:r>
          </w:p>
        </w:tc>
        <w:tc>
          <w:tcPr>
            <w:tcW w:w="992" w:type="dxa"/>
            <w:tcBorders>
              <w:top w:val="single" w:sz="24" w:space="0" w:color="auto"/>
              <w:left w:val="single" w:sz="24" w:space="0" w:color="auto"/>
              <w:bottom w:val="single" w:sz="24" w:space="0" w:color="auto"/>
              <w:right w:val="single" w:sz="24" w:space="0" w:color="auto"/>
            </w:tcBorders>
          </w:tcPr>
          <w:p w:rsidR="0026008A" w:rsidRDefault="0026008A" w:rsidP="002B66BE">
            <w:pPr>
              <w:jc w:val="both"/>
              <w:rPr>
                <w:rFonts w:cs="Arial"/>
                <w:b/>
                <w:bCs/>
                <w:color w:val="000000"/>
                <w:szCs w:val="20"/>
              </w:rPr>
            </w:pPr>
            <w:proofErr w:type="spellStart"/>
            <w:r>
              <w:rPr>
                <w:rFonts w:cs="Arial"/>
                <w:b/>
                <w:bCs/>
                <w:color w:val="000000"/>
                <w:szCs w:val="20"/>
              </w:rPr>
              <w:t>HCHS</w:t>
            </w:r>
            <w:proofErr w:type="spellEnd"/>
            <w:r>
              <w:rPr>
                <w:rFonts w:cs="Arial"/>
                <w:b/>
                <w:bCs/>
                <w:color w:val="000000"/>
                <w:szCs w:val="20"/>
              </w:rPr>
              <w:t xml:space="preserve"> Excess Costs Index</w:t>
            </w:r>
          </w:p>
        </w:tc>
        <w:tc>
          <w:tcPr>
            <w:tcW w:w="993" w:type="dxa"/>
            <w:tcBorders>
              <w:top w:val="single" w:sz="24" w:space="0" w:color="auto"/>
              <w:left w:val="single" w:sz="24" w:space="0" w:color="auto"/>
              <w:bottom w:val="single" w:sz="24" w:space="0" w:color="auto"/>
            </w:tcBorders>
          </w:tcPr>
          <w:p w:rsidR="0026008A" w:rsidRDefault="0026008A" w:rsidP="002B66BE">
            <w:pPr>
              <w:jc w:val="both"/>
              <w:rPr>
                <w:rFonts w:cs="Arial"/>
                <w:b/>
                <w:bCs/>
                <w:color w:val="000000"/>
                <w:szCs w:val="20"/>
              </w:rPr>
            </w:pPr>
            <w:proofErr w:type="spellStart"/>
            <w:r>
              <w:rPr>
                <w:rFonts w:cs="Arial"/>
                <w:b/>
                <w:bCs/>
                <w:color w:val="000000"/>
                <w:szCs w:val="20"/>
              </w:rPr>
              <w:t>HCHS</w:t>
            </w:r>
            <w:proofErr w:type="spellEnd"/>
            <w:r>
              <w:rPr>
                <w:rFonts w:cs="Arial"/>
                <w:b/>
                <w:bCs/>
                <w:color w:val="000000"/>
                <w:szCs w:val="20"/>
              </w:rPr>
              <w:t xml:space="preserve"> Overall Index</w:t>
            </w:r>
          </w:p>
        </w:tc>
        <w:tc>
          <w:tcPr>
            <w:tcW w:w="992" w:type="dxa"/>
            <w:tcBorders>
              <w:top w:val="single" w:sz="24" w:space="0" w:color="auto"/>
              <w:bottom w:val="single" w:sz="24" w:space="0" w:color="auto"/>
              <w:right w:val="single" w:sz="24" w:space="0" w:color="auto"/>
            </w:tcBorders>
          </w:tcPr>
          <w:p w:rsidR="0026008A" w:rsidRDefault="0026008A" w:rsidP="002B66BE">
            <w:pPr>
              <w:jc w:val="both"/>
              <w:rPr>
                <w:rFonts w:cs="Arial"/>
                <w:b/>
                <w:bCs/>
                <w:color w:val="000000"/>
                <w:szCs w:val="20"/>
              </w:rPr>
            </w:pPr>
            <w:proofErr w:type="spellStart"/>
            <w:r>
              <w:rPr>
                <w:rFonts w:cs="Arial"/>
                <w:b/>
                <w:bCs/>
                <w:color w:val="000000"/>
                <w:szCs w:val="20"/>
              </w:rPr>
              <w:t>NRAC</w:t>
            </w:r>
            <w:proofErr w:type="spellEnd"/>
            <w:r>
              <w:rPr>
                <w:rFonts w:cs="Arial"/>
                <w:b/>
                <w:bCs/>
                <w:color w:val="000000"/>
                <w:szCs w:val="20"/>
              </w:rPr>
              <w:t xml:space="preserve"> </w:t>
            </w:r>
            <w:proofErr w:type="spellStart"/>
            <w:r>
              <w:rPr>
                <w:rFonts w:cs="Arial"/>
                <w:b/>
                <w:bCs/>
                <w:color w:val="000000"/>
                <w:szCs w:val="20"/>
              </w:rPr>
              <w:t>HCHS</w:t>
            </w:r>
            <w:proofErr w:type="spellEnd"/>
            <w:r>
              <w:rPr>
                <w:rFonts w:cs="Arial"/>
                <w:b/>
                <w:bCs/>
                <w:color w:val="000000"/>
                <w:szCs w:val="20"/>
              </w:rPr>
              <w:t xml:space="preserve"> Share</w:t>
            </w:r>
          </w:p>
        </w:tc>
      </w:tr>
      <w:tr w:rsidR="0026008A" w:rsidRPr="00FE4172" w:rsidTr="002B66BE">
        <w:trPr>
          <w:trHeight w:val="216"/>
        </w:trPr>
        <w:tc>
          <w:tcPr>
            <w:tcW w:w="1809" w:type="dxa"/>
            <w:tcBorders>
              <w:top w:val="single" w:sz="24" w:space="0" w:color="auto"/>
              <w:left w:val="single" w:sz="24" w:space="0" w:color="auto"/>
            </w:tcBorders>
            <w:vAlign w:val="bottom"/>
          </w:tcPr>
          <w:p w:rsidR="0026008A" w:rsidRDefault="0026008A" w:rsidP="002B66BE">
            <w:pPr>
              <w:rPr>
                <w:rFonts w:cs="Arial"/>
                <w:szCs w:val="20"/>
              </w:rPr>
            </w:pPr>
            <w:r>
              <w:rPr>
                <w:rFonts w:cs="Arial"/>
                <w:szCs w:val="20"/>
              </w:rPr>
              <w:t>Ayrshire &amp; Arran</w:t>
            </w:r>
          </w:p>
        </w:tc>
        <w:tc>
          <w:tcPr>
            <w:tcW w:w="993" w:type="dxa"/>
            <w:tcBorders>
              <w:top w:val="single" w:sz="24" w:space="0" w:color="auto"/>
              <w:left w:val="single" w:sz="24" w:space="0" w:color="auto"/>
            </w:tcBorders>
          </w:tcPr>
          <w:p w:rsidR="0026008A" w:rsidRPr="000C659F" w:rsidRDefault="0026008A" w:rsidP="002B66BE">
            <w:pPr>
              <w:jc w:val="both"/>
              <w:rPr>
                <w:rFonts w:cs="Arial"/>
                <w:szCs w:val="20"/>
              </w:rPr>
            </w:pPr>
            <w:r w:rsidRPr="000C659F">
              <w:rPr>
                <w:rFonts w:cs="Arial"/>
                <w:szCs w:val="20"/>
              </w:rPr>
              <w:t>0.989</w:t>
            </w:r>
          </w:p>
        </w:tc>
        <w:tc>
          <w:tcPr>
            <w:tcW w:w="992" w:type="dxa"/>
            <w:tcBorders>
              <w:top w:val="single" w:sz="24" w:space="0" w:color="auto"/>
            </w:tcBorders>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0.980</w:t>
            </w:r>
          </w:p>
        </w:tc>
        <w:tc>
          <w:tcPr>
            <w:tcW w:w="992" w:type="dxa"/>
            <w:tcBorders>
              <w:top w:val="single" w:sz="24" w:space="0" w:color="auto"/>
            </w:tcBorders>
          </w:tcPr>
          <w:p w:rsidR="0026008A" w:rsidRPr="000C659F" w:rsidRDefault="0026008A" w:rsidP="002B66BE">
            <w:pPr>
              <w:jc w:val="both"/>
              <w:rPr>
                <w:rFonts w:cs="Arial"/>
                <w:szCs w:val="20"/>
              </w:rPr>
            </w:pPr>
            <w:r w:rsidRPr="000C659F">
              <w:rPr>
                <w:rFonts w:cs="Arial"/>
                <w:szCs w:val="20"/>
              </w:rPr>
              <w:t>0.977</w:t>
            </w:r>
          </w:p>
        </w:tc>
        <w:tc>
          <w:tcPr>
            <w:tcW w:w="1134" w:type="dxa"/>
            <w:tcBorders>
              <w:top w:val="single" w:sz="24" w:space="0" w:color="auto"/>
              <w:right w:val="single" w:sz="24" w:space="0" w:color="auto"/>
            </w:tcBorders>
          </w:tcPr>
          <w:p w:rsidR="0026008A" w:rsidRPr="000C659F" w:rsidRDefault="0026008A" w:rsidP="002B66BE">
            <w:pPr>
              <w:jc w:val="both"/>
              <w:rPr>
                <w:rFonts w:cs="Arial"/>
                <w:szCs w:val="20"/>
              </w:rPr>
            </w:pPr>
            <w:r w:rsidRPr="000C659F">
              <w:rPr>
                <w:rFonts w:cs="Arial"/>
                <w:szCs w:val="20"/>
              </w:rPr>
              <w:t>1.026</w:t>
            </w:r>
          </w:p>
        </w:tc>
        <w:tc>
          <w:tcPr>
            <w:tcW w:w="992" w:type="dxa"/>
            <w:tcBorders>
              <w:top w:val="single" w:sz="24" w:space="0" w:color="auto"/>
              <w:left w:val="single" w:sz="24" w:space="0" w:color="auto"/>
              <w:right w:val="single" w:sz="24" w:space="0" w:color="auto"/>
            </w:tcBorders>
          </w:tcPr>
          <w:p w:rsidR="0026008A" w:rsidRDefault="0026008A" w:rsidP="002B66BE">
            <w:pPr>
              <w:jc w:val="both"/>
              <w:rPr>
                <w:rFonts w:cs="Arial"/>
                <w:szCs w:val="20"/>
              </w:rPr>
            </w:pPr>
            <w:r>
              <w:rPr>
                <w:rFonts w:cs="Arial"/>
                <w:szCs w:val="20"/>
              </w:rPr>
              <w:t>0.988</w:t>
            </w:r>
          </w:p>
        </w:tc>
        <w:tc>
          <w:tcPr>
            <w:tcW w:w="993" w:type="dxa"/>
            <w:tcBorders>
              <w:top w:val="single" w:sz="24" w:space="0" w:color="auto"/>
              <w:left w:val="single" w:sz="24" w:space="0" w:color="auto"/>
            </w:tcBorders>
          </w:tcPr>
          <w:p w:rsidR="0026008A" w:rsidRPr="007D2E45" w:rsidRDefault="0026008A" w:rsidP="002B66BE">
            <w:pPr>
              <w:jc w:val="both"/>
              <w:rPr>
                <w:rFonts w:cs="Arial"/>
                <w:bCs/>
                <w:szCs w:val="20"/>
              </w:rPr>
            </w:pPr>
            <w:r w:rsidRPr="007D2E45">
              <w:rPr>
                <w:rFonts w:cs="Arial"/>
                <w:bCs/>
                <w:szCs w:val="20"/>
              </w:rPr>
              <w:t>1.063</w:t>
            </w:r>
          </w:p>
        </w:tc>
        <w:tc>
          <w:tcPr>
            <w:tcW w:w="992" w:type="dxa"/>
            <w:tcBorders>
              <w:top w:val="single" w:sz="24" w:space="0" w:color="auto"/>
              <w:right w:val="single" w:sz="24" w:space="0" w:color="auto"/>
            </w:tcBorders>
          </w:tcPr>
          <w:p w:rsidR="0026008A" w:rsidRDefault="0026008A" w:rsidP="002B66BE">
            <w:pPr>
              <w:jc w:val="both"/>
              <w:rPr>
                <w:rFonts w:cs="Arial"/>
                <w:szCs w:val="20"/>
              </w:rPr>
            </w:pPr>
            <w:r>
              <w:rPr>
                <w:rFonts w:cs="Arial"/>
                <w:szCs w:val="20"/>
              </w:rPr>
              <w:t>7.31%</w:t>
            </w:r>
          </w:p>
        </w:tc>
      </w:tr>
      <w:tr w:rsidR="0026008A" w:rsidRPr="00FE4172" w:rsidTr="002B66BE">
        <w:trPr>
          <w:trHeight w:val="216"/>
        </w:trPr>
        <w:tc>
          <w:tcPr>
            <w:tcW w:w="1809" w:type="dxa"/>
            <w:tcBorders>
              <w:left w:val="single" w:sz="24" w:space="0" w:color="auto"/>
            </w:tcBorders>
            <w:vAlign w:val="bottom"/>
          </w:tcPr>
          <w:p w:rsidR="0026008A" w:rsidRDefault="0026008A" w:rsidP="002B66BE">
            <w:pPr>
              <w:rPr>
                <w:rFonts w:cs="Arial"/>
                <w:szCs w:val="20"/>
              </w:rPr>
            </w:pPr>
            <w:r>
              <w:rPr>
                <w:rFonts w:cs="Arial"/>
                <w:szCs w:val="20"/>
              </w:rPr>
              <w:t>Borders</w:t>
            </w:r>
          </w:p>
        </w:tc>
        <w:tc>
          <w:tcPr>
            <w:tcW w:w="993" w:type="dxa"/>
            <w:tcBorders>
              <w:left w:val="single" w:sz="24" w:space="0" w:color="auto"/>
            </w:tcBorders>
          </w:tcPr>
          <w:p w:rsidR="0026008A" w:rsidRPr="000C659F" w:rsidRDefault="0026008A" w:rsidP="002B66BE">
            <w:pPr>
              <w:jc w:val="both"/>
              <w:rPr>
                <w:rFonts w:cs="Arial"/>
                <w:szCs w:val="20"/>
              </w:rPr>
            </w:pPr>
            <w:r w:rsidRPr="000C659F">
              <w:rPr>
                <w:rFonts w:cs="Arial"/>
                <w:szCs w:val="20"/>
              </w:rPr>
              <w:t>0.997</w:t>
            </w:r>
          </w:p>
        </w:tc>
        <w:tc>
          <w:tcPr>
            <w:tcW w:w="992" w:type="dxa"/>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1.002</w:t>
            </w:r>
          </w:p>
        </w:tc>
        <w:tc>
          <w:tcPr>
            <w:tcW w:w="992" w:type="dxa"/>
          </w:tcPr>
          <w:p w:rsidR="0026008A" w:rsidRPr="000C659F" w:rsidRDefault="0026008A" w:rsidP="002B66BE">
            <w:pPr>
              <w:jc w:val="both"/>
              <w:rPr>
                <w:rFonts w:cs="Arial"/>
                <w:szCs w:val="20"/>
              </w:rPr>
            </w:pPr>
            <w:r w:rsidRPr="000C659F">
              <w:rPr>
                <w:rFonts w:cs="Arial"/>
                <w:szCs w:val="20"/>
              </w:rPr>
              <w:t>0.986</w:t>
            </w:r>
          </w:p>
        </w:tc>
        <w:tc>
          <w:tcPr>
            <w:tcW w:w="1134" w:type="dxa"/>
            <w:tcBorders>
              <w:right w:val="single" w:sz="24" w:space="0" w:color="auto"/>
            </w:tcBorders>
          </w:tcPr>
          <w:p w:rsidR="0026008A" w:rsidRPr="000C659F" w:rsidRDefault="0026008A" w:rsidP="002B66BE">
            <w:pPr>
              <w:jc w:val="both"/>
              <w:rPr>
                <w:rFonts w:cs="Arial"/>
                <w:szCs w:val="20"/>
              </w:rPr>
            </w:pPr>
            <w:r w:rsidRPr="000C659F">
              <w:rPr>
                <w:rFonts w:cs="Arial"/>
                <w:szCs w:val="20"/>
              </w:rPr>
              <w:t>1.034</w:t>
            </w:r>
          </w:p>
        </w:tc>
        <w:tc>
          <w:tcPr>
            <w:tcW w:w="992" w:type="dxa"/>
            <w:tcBorders>
              <w:left w:val="single" w:sz="24" w:space="0" w:color="auto"/>
              <w:right w:val="single" w:sz="24" w:space="0" w:color="auto"/>
            </w:tcBorders>
          </w:tcPr>
          <w:p w:rsidR="0026008A" w:rsidRDefault="0026008A" w:rsidP="002B66BE">
            <w:pPr>
              <w:jc w:val="both"/>
              <w:rPr>
                <w:rFonts w:cs="Arial"/>
                <w:szCs w:val="20"/>
              </w:rPr>
            </w:pPr>
            <w:r>
              <w:rPr>
                <w:rFonts w:cs="Arial"/>
                <w:szCs w:val="20"/>
              </w:rPr>
              <w:t>1.007</w:t>
            </w:r>
          </w:p>
        </w:tc>
        <w:tc>
          <w:tcPr>
            <w:tcW w:w="993" w:type="dxa"/>
            <w:tcBorders>
              <w:left w:val="single" w:sz="24" w:space="0" w:color="auto"/>
            </w:tcBorders>
          </w:tcPr>
          <w:p w:rsidR="0026008A" w:rsidRPr="007D2E45" w:rsidRDefault="0026008A" w:rsidP="002B66BE">
            <w:pPr>
              <w:jc w:val="both"/>
              <w:rPr>
                <w:rFonts w:cs="Arial"/>
                <w:bCs/>
                <w:szCs w:val="20"/>
              </w:rPr>
            </w:pPr>
            <w:r w:rsidRPr="007D2E45">
              <w:rPr>
                <w:rFonts w:cs="Arial"/>
                <w:bCs/>
                <w:szCs w:val="20"/>
              </w:rPr>
              <w:t>0.990</w:t>
            </w:r>
          </w:p>
        </w:tc>
        <w:tc>
          <w:tcPr>
            <w:tcW w:w="992" w:type="dxa"/>
            <w:tcBorders>
              <w:right w:val="single" w:sz="24" w:space="0" w:color="auto"/>
            </w:tcBorders>
          </w:tcPr>
          <w:p w:rsidR="0026008A" w:rsidRDefault="0026008A" w:rsidP="002B66BE">
            <w:pPr>
              <w:jc w:val="both"/>
              <w:rPr>
                <w:rFonts w:cs="Arial"/>
                <w:szCs w:val="20"/>
              </w:rPr>
            </w:pPr>
            <w:r>
              <w:rPr>
                <w:rFonts w:cs="Arial"/>
                <w:szCs w:val="20"/>
              </w:rPr>
              <w:t>2.10%</w:t>
            </w:r>
          </w:p>
        </w:tc>
      </w:tr>
      <w:tr w:rsidR="0026008A" w:rsidRPr="00FE4172" w:rsidTr="002B66BE">
        <w:trPr>
          <w:trHeight w:val="216"/>
        </w:trPr>
        <w:tc>
          <w:tcPr>
            <w:tcW w:w="1809" w:type="dxa"/>
            <w:tcBorders>
              <w:left w:val="single" w:sz="24" w:space="0" w:color="auto"/>
            </w:tcBorders>
            <w:vAlign w:val="bottom"/>
          </w:tcPr>
          <w:p w:rsidR="0026008A" w:rsidRDefault="0026008A" w:rsidP="002B66BE">
            <w:pPr>
              <w:rPr>
                <w:rFonts w:cs="Arial"/>
                <w:szCs w:val="20"/>
              </w:rPr>
            </w:pPr>
            <w:r>
              <w:rPr>
                <w:rFonts w:cs="Arial"/>
                <w:szCs w:val="20"/>
              </w:rPr>
              <w:t>Fife</w:t>
            </w:r>
          </w:p>
        </w:tc>
        <w:tc>
          <w:tcPr>
            <w:tcW w:w="993" w:type="dxa"/>
            <w:tcBorders>
              <w:left w:val="single" w:sz="24" w:space="0" w:color="auto"/>
            </w:tcBorders>
          </w:tcPr>
          <w:p w:rsidR="0026008A" w:rsidRPr="000C659F" w:rsidRDefault="0026008A" w:rsidP="002B66BE">
            <w:pPr>
              <w:jc w:val="both"/>
              <w:rPr>
                <w:rFonts w:cs="Arial"/>
                <w:szCs w:val="20"/>
              </w:rPr>
            </w:pPr>
            <w:r w:rsidRPr="000C659F">
              <w:rPr>
                <w:rFonts w:cs="Arial"/>
                <w:szCs w:val="20"/>
              </w:rPr>
              <w:t>0.987</w:t>
            </w:r>
          </w:p>
        </w:tc>
        <w:tc>
          <w:tcPr>
            <w:tcW w:w="992" w:type="dxa"/>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0.947</w:t>
            </w:r>
          </w:p>
        </w:tc>
        <w:tc>
          <w:tcPr>
            <w:tcW w:w="992" w:type="dxa"/>
          </w:tcPr>
          <w:p w:rsidR="0026008A" w:rsidRPr="000C659F" w:rsidRDefault="0026008A" w:rsidP="002B66BE">
            <w:pPr>
              <w:jc w:val="both"/>
              <w:rPr>
                <w:rFonts w:cs="Arial"/>
                <w:szCs w:val="20"/>
              </w:rPr>
            </w:pPr>
            <w:r w:rsidRPr="000C659F">
              <w:rPr>
                <w:rFonts w:cs="Arial"/>
                <w:szCs w:val="20"/>
              </w:rPr>
              <w:t>0.960</w:t>
            </w:r>
          </w:p>
        </w:tc>
        <w:tc>
          <w:tcPr>
            <w:tcW w:w="1134" w:type="dxa"/>
            <w:tcBorders>
              <w:right w:val="single" w:sz="24" w:space="0" w:color="auto"/>
            </w:tcBorders>
          </w:tcPr>
          <w:p w:rsidR="0026008A" w:rsidRPr="000C659F" w:rsidRDefault="0026008A" w:rsidP="002B66BE">
            <w:pPr>
              <w:jc w:val="both"/>
              <w:rPr>
                <w:rFonts w:cs="Arial"/>
                <w:szCs w:val="20"/>
              </w:rPr>
            </w:pPr>
            <w:r w:rsidRPr="000C659F">
              <w:rPr>
                <w:rFonts w:cs="Arial"/>
                <w:szCs w:val="20"/>
              </w:rPr>
              <w:t>1.010</w:t>
            </w:r>
          </w:p>
        </w:tc>
        <w:tc>
          <w:tcPr>
            <w:tcW w:w="992" w:type="dxa"/>
            <w:tcBorders>
              <w:left w:val="single" w:sz="24" w:space="0" w:color="auto"/>
              <w:right w:val="single" w:sz="24" w:space="0" w:color="auto"/>
            </w:tcBorders>
          </w:tcPr>
          <w:p w:rsidR="0026008A" w:rsidRDefault="0026008A" w:rsidP="002B66BE">
            <w:pPr>
              <w:jc w:val="both"/>
              <w:rPr>
                <w:rFonts w:cs="Arial"/>
                <w:szCs w:val="20"/>
              </w:rPr>
            </w:pPr>
            <w:r>
              <w:rPr>
                <w:rFonts w:cs="Arial"/>
                <w:szCs w:val="20"/>
              </w:rPr>
              <w:t>0.980</w:t>
            </w:r>
          </w:p>
        </w:tc>
        <w:tc>
          <w:tcPr>
            <w:tcW w:w="993" w:type="dxa"/>
            <w:tcBorders>
              <w:left w:val="single" w:sz="24" w:space="0" w:color="auto"/>
            </w:tcBorders>
          </w:tcPr>
          <w:p w:rsidR="0026008A" w:rsidRPr="007D2E45" w:rsidRDefault="0026008A" w:rsidP="002B66BE">
            <w:pPr>
              <w:jc w:val="both"/>
              <w:rPr>
                <w:rFonts w:cs="Arial"/>
                <w:bCs/>
                <w:szCs w:val="20"/>
              </w:rPr>
            </w:pPr>
            <w:r w:rsidRPr="007D2E45">
              <w:rPr>
                <w:rFonts w:cs="Arial"/>
                <w:bCs/>
                <w:szCs w:val="20"/>
              </w:rPr>
              <w:t>0.973</w:t>
            </w:r>
          </w:p>
        </w:tc>
        <w:tc>
          <w:tcPr>
            <w:tcW w:w="992" w:type="dxa"/>
            <w:tcBorders>
              <w:right w:val="single" w:sz="24" w:space="0" w:color="auto"/>
            </w:tcBorders>
          </w:tcPr>
          <w:p w:rsidR="0026008A" w:rsidRDefault="0026008A" w:rsidP="002B66BE">
            <w:pPr>
              <w:jc w:val="both"/>
              <w:rPr>
                <w:rFonts w:cs="Arial"/>
                <w:szCs w:val="20"/>
              </w:rPr>
            </w:pPr>
            <w:r>
              <w:rPr>
                <w:rFonts w:cs="Arial"/>
                <w:szCs w:val="20"/>
              </w:rPr>
              <w:t>6.68%</w:t>
            </w:r>
          </w:p>
        </w:tc>
      </w:tr>
      <w:tr w:rsidR="0026008A" w:rsidRPr="00FE4172" w:rsidTr="002B66BE">
        <w:trPr>
          <w:trHeight w:val="216"/>
        </w:trPr>
        <w:tc>
          <w:tcPr>
            <w:tcW w:w="1809" w:type="dxa"/>
            <w:tcBorders>
              <w:left w:val="single" w:sz="24" w:space="0" w:color="auto"/>
            </w:tcBorders>
            <w:vAlign w:val="bottom"/>
          </w:tcPr>
          <w:p w:rsidR="0026008A" w:rsidRDefault="0026008A" w:rsidP="002B66BE">
            <w:pPr>
              <w:rPr>
                <w:rFonts w:cs="Arial"/>
                <w:szCs w:val="20"/>
              </w:rPr>
            </w:pPr>
            <w:r>
              <w:rPr>
                <w:rFonts w:cs="Arial"/>
                <w:szCs w:val="20"/>
              </w:rPr>
              <w:t>Greater Glasgow &amp; Clyde</w:t>
            </w:r>
          </w:p>
        </w:tc>
        <w:tc>
          <w:tcPr>
            <w:tcW w:w="993" w:type="dxa"/>
            <w:tcBorders>
              <w:left w:val="single" w:sz="24" w:space="0" w:color="auto"/>
            </w:tcBorders>
          </w:tcPr>
          <w:p w:rsidR="0026008A" w:rsidRPr="000C659F" w:rsidRDefault="0026008A" w:rsidP="002B66BE">
            <w:pPr>
              <w:jc w:val="both"/>
              <w:rPr>
                <w:rFonts w:cs="Arial"/>
                <w:szCs w:val="20"/>
              </w:rPr>
            </w:pPr>
            <w:r w:rsidRPr="000C659F">
              <w:rPr>
                <w:rFonts w:cs="Arial"/>
                <w:szCs w:val="20"/>
              </w:rPr>
              <w:t>1.006</w:t>
            </w:r>
          </w:p>
        </w:tc>
        <w:tc>
          <w:tcPr>
            <w:tcW w:w="992" w:type="dxa"/>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0.825</w:t>
            </w:r>
          </w:p>
        </w:tc>
        <w:tc>
          <w:tcPr>
            <w:tcW w:w="992" w:type="dxa"/>
          </w:tcPr>
          <w:p w:rsidR="0026008A" w:rsidRPr="000C659F" w:rsidRDefault="0026008A" w:rsidP="002B66BE">
            <w:pPr>
              <w:jc w:val="both"/>
              <w:rPr>
                <w:rFonts w:cs="Arial"/>
                <w:szCs w:val="20"/>
              </w:rPr>
            </w:pPr>
            <w:r w:rsidRPr="000C659F">
              <w:rPr>
                <w:rFonts w:cs="Arial"/>
                <w:szCs w:val="20"/>
              </w:rPr>
              <w:t>1.007</w:t>
            </w:r>
          </w:p>
        </w:tc>
        <w:tc>
          <w:tcPr>
            <w:tcW w:w="1134" w:type="dxa"/>
            <w:tcBorders>
              <w:right w:val="single" w:sz="24" w:space="0" w:color="auto"/>
            </w:tcBorders>
          </w:tcPr>
          <w:p w:rsidR="0026008A" w:rsidRPr="000C659F" w:rsidRDefault="0026008A" w:rsidP="002B66BE">
            <w:pPr>
              <w:jc w:val="both"/>
              <w:rPr>
                <w:rFonts w:cs="Arial"/>
                <w:szCs w:val="20"/>
              </w:rPr>
            </w:pPr>
            <w:r w:rsidRPr="000C659F">
              <w:rPr>
                <w:rFonts w:cs="Arial"/>
                <w:szCs w:val="20"/>
              </w:rPr>
              <w:t>0.951</w:t>
            </w:r>
          </w:p>
        </w:tc>
        <w:tc>
          <w:tcPr>
            <w:tcW w:w="992" w:type="dxa"/>
            <w:tcBorders>
              <w:left w:val="single" w:sz="24" w:space="0" w:color="auto"/>
              <w:right w:val="single" w:sz="24" w:space="0" w:color="auto"/>
            </w:tcBorders>
          </w:tcPr>
          <w:p w:rsidR="0026008A" w:rsidRDefault="0026008A" w:rsidP="002B66BE">
            <w:pPr>
              <w:jc w:val="both"/>
              <w:rPr>
                <w:rFonts w:cs="Arial"/>
                <w:szCs w:val="20"/>
              </w:rPr>
            </w:pPr>
            <w:r>
              <w:rPr>
                <w:rFonts w:cs="Arial"/>
                <w:szCs w:val="20"/>
              </w:rPr>
              <w:t>0.990</w:t>
            </w:r>
          </w:p>
        </w:tc>
        <w:tc>
          <w:tcPr>
            <w:tcW w:w="993" w:type="dxa"/>
            <w:tcBorders>
              <w:left w:val="single" w:sz="24" w:space="0" w:color="auto"/>
            </w:tcBorders>
          </w:tcPr>
          <w:p w:rsidR="0026008A" w:rsidRPr="007D2E45" w:rsidRDefault="0026008A" w:rsidP="002B66BE">
            <w:pPr>
              <w:jc w:val="both"/>
              <w:rPr>
                <w:rFonts w:cs="Arial"/>
                <w:bCs/>
                <w:szCs w:val="20"/>
              </w:rPr>
            </w:pPr>
            <w:r w:rsidRPr="007D2E45">
              <w:rPr>
                <w:rFonts w:cs="Arial"/>
                <w:bCs/>
                <w:szCs w:val="20"/>
              </w:rPr>
              <w:t>1.058</w:t>
            </w:r>
          </w:p>
        </w:tc>
        <w:tc>
          <w:tcPr>
            <w:tcW w:w="992" w:type="dxa"/>
            <w:tcBorders>
              <w:right w:val="single" w:sz="24" w:space="0" w:color="auto"/>
            </w:tcBorders>
          </w:tcPr>
          <w:p w:rsidR="0026008A" w:rsidRDefault="0026008A" w:rsidP="002B66BE">
            <w:pPr>
              <w:jc w:val="both"/>
              <w:rPr>
                <w:rFonts w:cs="Arial"/>
                <w:szCs w:val="20"/>
              </w:rPr>
            </w:pPr>
            <w:r>
              <w:rPr>
                <w:rFonts w:cs="Arial"/>
                <w:szCs w:val="20"/>
              </w:rPr>
              <w:t>22.54%</w:t>
            </w:r>
          </w:p>
        </w:tc>
      </w:tr>
      <w:tr w:rsidR="0026008A" w:rsidRPr="00FE4172" w:rsidTr="002B66BE">
        <w:trPr>
          <w:trHeight w:val="216"/>
        </w:trPr>
        <w:tc>
          <w:tcPr>
            <w:tcW w:w="1809" w:type="dxa"/>
            <w:tcBorders>
              <w:left w:val="single" w:sz="24" w:space="0" w:color="auto"/>
            </w:tcBorders>
            <w:vAlign w:val="bottom"/>
          </w:tcPr>
          <w:p w:rsidR="0026008A" w:rsidRDefault="0026008A" w:rsidP="002B66BE">
            <w:pPr>
              <w:rPr>
                <w:rFonts w:cs="Arial"/>
                <w:szCs w:val="20"/>
              </w:rPr>
            </w:pPr>
            <w:r>
              <w:rPr>
                <w:rFonts w:cs="Arial"/>
                <w:szCs w:val="20"/>
              </w:rPr>
              <w:t>Highland</w:t>
            </w:r>
          </w:p>
        </w:tc>
        <w:tc>
          <w:tcPr>
            <w:tcW w:w="993" w:type="dxa"/>
            <w:tcBorders>
              <w:left w:val="single" w:sz="24" w:space="0" w:color="auto"/>
            </w:tcBorders>
          </w:tcPr>
          <w:p w:rsidR="0026008A" w:rsidRPr="000C659F" w:rsidRDefault="0026008A" w:rsidP="002B66BE">
            <w:pPr>
              <w:jc w:val="both"/>
              <w:rPr>
                <w:rFonts w:cs="Arial"/>
                <w:szCs w:val="20"/>
              </w:rPr>
            </w:pPr>
            <w:r w:rsidRPr="000C659F">
              <w:rPr>
                <w:rFonts w:cs="Arial"/>
                <w:szCs w:val="20"/>
              </w:rPr>
              <w:t>1.013</w:t>
            </w:r>
          </w:p>
        </w:tc>
        <w:tc>
          <w:tcPr>
            <w:tcW w:w="992" w:type="dxa"/>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1.172</w:t>
            </w:r>
          </w:p>
        </w:tc>
        <w:tc>
          <w:tcPr>
            <w:tcW w:w="992" w:type="dxa"/>
          </w:tcPr>
          <w:p w:rsidR="0026008A" w:rsidRPr="000C659F" w:rsidRDefault="0026008A" w:rsidP="002B66BE">
            <w:pPr>
              <w:jc w:val="both"/>
              <w:rPr>
                <w:rFonts w:cs="Arial"/>
                <w:szCs w:val="20"/>
              </w:rPr>
            </w:pPr>
            <w:r w:rsidRPr="000C659F">
              <w:rPr>
                <w:rFonts w:cs="Arial"/>
                <w:szCs w:val="20"/>
              </w:rPr>
              <w:t>1.111</w:t>
            </w:r>
          </w:p>
        </w:tc>
        <w:tc>
          <w:tcPr>
            <w:tcW w:w="1134" w:type="dxa"/>
            <w:tcBorders>
              <w:right w:val="single" w:sz="24" w:space="0" w:color="auto"/>
            </w:tcBorders>
          </w:tcPr>
          <w:p w:rsidR="0026008A" w:rsidRPr="000C659F" w:rsidRDefault="0026008A" w:rsidP="002B66BE">
            <w:pPr>
              <w:jc w:val="both"/>
              <w:rPr>
                <w:rFonts w:cs="Arial"/>
                <w:szCs w:val="20"/>
              </w:rPr>
            </w:pPr>
            <w:r w:rsidRPr="000C659F">
              <w:rPr>
                <w:rFonts w:cs="Arial"/>
                <w:szCs w:val="20"/>
              </w:rPr>
              <w:t>1.125</w:t>
            </w:r>
          </w:p>
        </w:tc>
        <w:tc>
          <w:tcPr>
            <w:tcW w:w="992" w:type="dxa"/>
            <w:tcBorders>
              <w:left w:val="single" w:sz="24" w:space="0" w:color="auto"/>
              <w:right w:val="single" w:sz="24" w:space="0" w:color="auto"/>
            </w:tcBorders>
          </w:tcPr>
          <w:p w:rsidR="0026008A" w:rsidRDefault="0026008A" w:rsidP="002B66BE">
            <w:pPr>
              <w:jc w:val="both"/>
              <w:rPr>
                <w:rFonts w:cs="Arial"/>
                <w:szCs w:val="20"/>
              </w:rPr>
            </w:pPr>
            <w:r>
              <w:rPr>
                <w:rFonts w:cs="Arial"/>
                <w:szCs w:val="20"/>
              </w:rPr>
              <w:t>1.083</w:t>
            </w:r>
          </w:p>
        </w:tc>
        <w:tc>
          <w:tcPr>
            <w:tcW w:w="993" w:type="dxa"/>
            <w:tcBorders>
              <w:left w:val="single" w:sz="24" w:space="0" w:color="auto"/>
            </w:tcBorders>
          </w:tcPr>
          <w:p w:rsidR="0026008A" w:rsidRPr="007D2E45" w:rsidRDefault="0026008A" w:rsidP="002B66BE">
            <w:pPr>
              <w:jc w:val="both"/>
              <w:rPr>
                <w:rFonts w:cs="Arial"/>
                <w:bCs/>
                <w:szCs w:val="20"/>
              </w:rPr>
            </w:pPr>
            <w:r w:rsidRPr="007D2E45">
              <w:rPr>
                <w:rFonts w:cs="Arial"/>
                <w:bCs/>
                <w:szCs w:val="20"/>
              </w:rPr>
              <w:t>1.097</w:t>
            </w:r>
          </w:p>
        </w:tc>
        <w:tc>
          <w:tcPr>
            <w:tcW w:w="992" w:type="dxa"/>
            <w:tcBorders>
              <w:right w:val="single" w:sz="24" w:space="0" w:color="auto"/>
            </w:tcBorders>
          </w:tcPr>
          <w:p w:rsidR="0026008A" w:rsidRDefault="0026008A" w:rsidP="002B66BE">
            <w:pPr>
              <w:jc w:val="both"/>
              <w:rPr>
                <w:rFonts w:cs="Arial"/>
                <w:szCs w:val="20"/>
              </w:rPr>
            </w:pPr>
            <w:r>
              <w:rPr>
                <w:rFonts w:cs="Arial"/>
                <w:szCs w:val="20"/>
              </w:rPr>
              <w:t>6.54%</w:t>
            </w:r>
          </w:p>
        </w:tc>
      </w:tr>
      <w:tr w:rsidR="0026008A" w:rsidRPr="00FE4172" w:rsidTr="002B66BE">
        <w:trPr>
          <w:trHeight w:val="216"/>
        </w:trPr>
        <w:tc>
          <w:tcPr>
            <w:tcW w:w="1809" w:type="dxa"/>
            <w:tcBorders>
              <w:left w:val="single" w:sz="24" w:space="0" w:color="auto"/>
            </w:tcBorders>
            <w:vAlign w:val="bottom"/>
          </w:tcPr>
          <w:p w:rsidR="0026008A" w:rsidRDefault="0026008A" w:rsidP="002B66BE">
            <w:pPr>
              <w:rPr>
                <w:rFonts w:cs="Arial"/>
                <w:szCs w:val="20"/>
              </w:rPr>
            </w:pPr>
            <w:r>
              <w:rPr>
                <w:rFonts w:cs="Arial"/>
                <w:szCs w:val="20"/>
              </w:rPr>
              <w:t>Lanarkshire</w:t>
            </w:r>
          </w:p>
        </w:tc>
        <w:tc>
          <w:tcPr>
            <w:tcW w:w="993" w:type="dxa"/>
            <w:tcBorders>
              <w:left w:val="single" w:sz="24" w:space="0" w:color="auto"/>
            </w:tcBorders>
          </w:tcPr>
          <w:p w:rsidR="0026008A" w:rsidRPr="000C659F" w:rsidRDefault="0026008A" w:rsidP="002B66BE">
            <w:pPr>
              <w:jc w:val="both"/>
              <w:rPr>
                <w:rFonts w:cs="Arial"/>
                <w:szCs w:val="20"/>
              </w:rPr>
            </w:pPr>
            <w:r w:rsidRPr="000C659F">
              <w:rPr>
                <w:rFonts w:cs="Arial"/>
                <w:szCs w:val="20"/>
              </w:rPr>
              <w:t>0.987</w:t>
            </w:r>
          </w:p>
        </w:tc>
        <w:tc>
          <w:tcPr>
            <w:tcW w:w="992" w:type="dxa"/>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0.930</w:t>
            </w:r>
          </w:p>
        </w:tc>
        <w:tc>
          <w:tcPr>
            <w:tcW w:w="992" w:type="dxa"/>
          </w:tcPr>
          <w:p w:rsidR="0026008A" w:rsidRPr="000C659F" w:rsidRDefault="0026008A" w:rsidP="002B66BE">
            <w:pPr>
              <w:jc w:val="both"/>
              <w:rPr>
                <w:rFonts w:cs="Arial"/>
                <w:szCs w:val="20"/>
              </w:rPr>
            </w:pPr>
            <w:r w:rsidRPr="000C659F">
              <w:rPr>
                <w:rFonts w:cs="Arial"/>
                <w:szCs w:val="20"/>
              </w:rPr>
              <w:t>0.967</w:t>
            </w:r>
          </w:p>
        </w:tc>
        <w:tc>
          <w:tcPr>
            <w:tcW w:w="1134" w:type="dxa"/>
            <w:tcBorders>
              <w:right w:val="single" w:sz="24" w:space="0" w:color="auto"/>
            </w:tcBorders>
          </w:tcPr>
          <w:p w:rsidR="0026008A" w:rsidRPr="000C659F" w:rsidRDefault="0026008A" w:rsidP="002B66BE">
            <w:pPr>
              <w:jc w:val="both"/>
              <w:rPr>
                <w:rFonts w:cs="Arial"/>
                <w:szCs w:val="20"/>
              </w:rPr>
            </w:pPr>
            <w:r w:rsidRPr="000C659F">
              <w:rPr>
                <w:rFonts w:cs="Arial"/>
                <w:szCs w:val="20"/>
              </w:rPr>
              <w:t>1.003</w:t>
            </w:r>
          </w:p>
        </w:tc>
        <w:tc>
          <w:tcPr>
            <w:tcW w:w="992" w:type="dxa"/>
            <w:tcBorders>
              <w:left w:val="single" w:sz="24" w:space="0" w:color="auto"/>
              <w:right w:val="single" w:sz="24" w:space="0" w:color="auto"/>
            </w:tcBorders>
          </w:tcPr>
          <w:p w:rsidR="0026008A" w:rsidRDefault="0026008A" w:rsidP="002B66BE">
            <w:pPr>
              <w:jc w:val="both"/>
              <w:rPr>
                <w:rFonts w:cs="Arial"/>
                <w:szCs w:val="20"/>
              </w:rPr>
            </w:pPr>
            <w:r>
              <w:rPr>
                <w:rFonts w:cs="Arial"/>
                <w:szCs w:val="20"/>
              </w:rPr>
              <w:t>0.980</w:t>
            </w:r>
          </w:p>
        </w:tc>
        <w:tc>
          <w:tcPr>
            <w:tcW w:w="993" w:type="dxa"/>
            <w:tcBorders>
              <w:left w:val="single" w:sz="24" w:space="0" w:color="auto"/>
            </w:tcBorders>
          </w:tcPr>
          <w:p w:rsidR="0026008A" w:rsidRPr="007D2E45" w:rsidRDefault="0026008A" w:rsidP="002B66BE">
            <w:pPr>
              <w:jc w:val="both"/>
              <w:rPr>
                <w:rFonts w:cs="Arial"/>
                <w:bCs/>
                <w:szCs w:val="20"/>
              </w:rPr>
            </w:pPr>
            <w:r w:rsidRPr="007D2E45">
              <w:rPr>
                <w:rFonts w:cs="Arial"/>
                <w:bCs/>
                <w:szCs w:val="20"/>
              </w:rPr>
              <w:t>1.013</w:t>
            </w:r>
          </w:p>
        </w:tc>
        <w:tc>
          <w:tcPr>
            <w:tcW w:w="992" w:type="dxa"/>
            <w:tcBorders>
              <w:right w:val="single" w:sz="24" w:space="0" w:color="auto"/>
            </w:tcBorders>
          </w:tcPr>
          <w:p w:rsidR="0026008A" w:rsidRDefault="0026008A" w:rsidP="002B66BE">
            <w:pPr>
              <w:jc w:val="both"/>
              <w:rPr>
                <w:rFonts w:cs="Arial"/>
                <w:szCs w:val="20"/>
              </w:rPr>
            </w:pPr>
            <w:r>
              <w:rPr>
                <w:rFonts w:cs="Arial"/>
                <w:szCs w:val="20"/>
              </w:rPr>
              <w:t>12.32%</w:t>
            </w:r>
          </w:p>
        </w:tc>
      </w:tr>
      <w:tr w:rsidR="0026008A" w:rsidRPr="00FE4172" w:rsidTr="002B66BE">
        <w:trPr>
          <w:trHeight w:val="216"/>
        </w:trPr>
        <w:tc>
          <w:tcPr>
            <w:tcW w:w="1809" w:type="dxa"/>
            <w:tcBorders>
              <w:left w:val="single" w:sz="24" w:space="0" w:color="auto"/>
            </w:tcBorders>
            <w:vAlign w:val="bottom"/>
          </w:tcPr>
          <w:p w:rsidR="0026008A" w:rsidRDefault="0026008A" w:rsidP="002B66BE">
            <w:pPr>
              <w:rPr>
                <w:rFonts w:cs="Arial"/>
                <w:szCs w:val="20"/>
              </w:rPr>
            </w:pPr>
            <w:r>
              <w:rPr>
                <w:rFonts w:cs="Arial"/>
                <w:szCs w:val="20"/>
              </w:rPr>
              <w:t>Grampian</w:t>
            </w:r>
          </w:p>
        </w:tc>
        <w:tc>
          <w:tcPr>
            <w:tcW w:w="993" w:type="dxa"/>
            <w:tcBorders>
              <w:left w:val="single" w:sz="24" w:space="0" w:color="auto"/>
            </w:tcBorders>
          </w:tcPr>
          <w:p w:rsidR="0026008A" w:rsidRPr="000C659F" w:rsidRDefault="0026008A" w:rsidP="002B66BE">
            <w:pPr>
              <w:jc w:val="both"/>
              <w:rPr>
                <w:rFonts w:cs="Arial"/>
                <w:szCs w:val="20"/>
              </w:rPr>
            </w:pPr>
            <w:r w:rsidRPr="000C659F">
              <w:rPr>
                <w:rFonts w:cs="Arial"/>
                <w:szCs w:val="20"/>
              </w:rPr>
              <w:t>1.003</w:t>
            </w:r>
          </w:p>
        </w:tc>
        <w:tc>
          <w:tcPr>
            <w:tcW w:w="992" w:type="dxa"/>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0.952</w:t>
            </w:r>
          </w:p>
        </w:tc>
        <w:tc>
          <w:tcPr>
            <w:tcW w:w="992" w:type="dxa"/>
          </w:tcPr>
          <w:p w:rsidR="0026008A" w:rsidRPr="000C659F" w:rsidRDefault="0026008A" w:rsidP="002B66BE">
            <w:pPr>
              <w:jc w:val="both"/>
              <w:rPr>
                <w:rFonts w:cs="Arial"/>
                <w:szCs w:val="20"/>
              </w:rPr>
            </w:pPr>
            <w:r w:rsidRPr="000C659F">
              <w:rPr>
                <w:rFonts w:cs="Arial"/>
                <w:szCs w:val="20"/>
              </w:rPr>
              <w:t>1.010</w:t>
            </w:r>
          </w:p>
        </w:tc>
        <w:tc>
          <w:tcPr>
            <w:tcW w:w="1134" w:type="dxa"/>
            <w:tcBorders>
              <w:right w:val="single" w:sz="24" w:space="0" w:color="auto"/>
            </w:tcBorders>
          </w:tcPr>
          <w:p w:rsidR="0026008A" w:rsidRPr="000C659F" w:rsidRDefault="0026008A" w:rsidP="002B66BE">
            <w:pPr>
              <w:jc w:val="both"/>
              <w:rPr>
                <w:rFonts w:cs="Arial"/>
                <w:szCs w:val="20"/>
              </w:rPr>
            </w:pPr>
            <w:r w:rsidRPr="000C659F">
              <w:rPr>
                <w:rFonts w:cs="Arial"/>
                <w:szCs w:val="20"/>
              </w:rPr>
              <w:t>1.002</w:t>
            </w:r>
          </w:p>
        </w:tc>
        <w:tc>
          <w:tcPr>
            <w:tcW w:w="992" w:type="dxa"/>
            <w:tcBorders>
              <w:left w:val="single" w:sz="24" w:space="0" w:color="auto"/>
              <w:right w:val="single" w:sz="24" w:space="0" w:color="auto"/>
            </w:tcBorders>
          </w:tcPr>
          <w:p w:rsidR="0026008A" w:rsidRDefault="0026008A" w:rsidP="002B66BE">
            <w:pPr>
              <w:jc w:val="both"/>
              <w:rPr>
                <w:rFonts w:cs="Arial"/>
                <w:szCs w:val="20"/>
              </w:rPr>
            </w:pPr>
            <w:r>
              <w:rPr>
                <w:rFonts w:cs="Arial"/>
                <w:szCs w:val="20"/>
              </w:rPr>
              <w:t>1.002</w:t>
            </w:r>
          </w:p>
        </w:tc>
        <w:tc>
          <w:tcPr>
            <w:tcW w:w="993" w:type="dxa"/>
            <w:tcBorders>
              <w:left w:val="single" w:sz="24" w:space="0" w:color="auto"/>
            </w:tcBorders>
          </w:tcPr>
          <w:p w:rsidR="0026008A" w:rsidRPr="007D2E45" w:rsidRDefault="0026008A" w:rsidP="002B66BE">
            <w:pPr>
              <w:jc w:val="both"/>
              <w:rPr>
                <w:rFonts w:cs="Arial"/>
                <w:bCs/>
                <w:szCs w:val="20"/>
              </w:rPr>
            </w:pPr>
            <w:r w:rsidRPr="007D2E45">
              <w:rPr>
                <w:rFonts w:cs="Arial"/>
                <w:bCs/>
                <w:szCs w:val="20"/>
              </w:rPr>
              <w:t>0.906</w:t>
            </w:r>
          </w:p>
        </w:tc>
        <w:tc>
          <w:tcPr>
            <w:tcW w:w="992" w:type="dxa"/>
            <w:tcBorders>
              <w:right w:val="single" w:sz="24" w:space="0" w:color="auto"/>
            </w:tcBorders>
          </w:tcPr>
          <w:p w:rsidR="0026008A" w:rsidRDefault="0026008A" w:rsidP="002B66BE">
            <w:pPr>
              <w:jc w:val="both"/>
              <w:rPr>
                <w:rFonts w:cs="Arial"/>
                <w:szCs w:val="20"/>
              </w:rPr>
            </w:pPr>
            <w:r>
              <w:rPr>
                <w:rFonts w:cs="Arial"/>
                <w:szCs w:val="20"/>
              </w:rPr>
              <w:t>9.96%</w:t>
            </w:r>
          </w:p>
        </w:tc>
      </w:tr>
      <w:tr w:rsidR="0026008A" w:rsidRPr="00FE4172" w:rsidTr="002B66BE">
        <w:trPr>
          <w:trHeight w:val="216"/>
        </w:trPr>
        <w:tc>
          <w:tcPr>
            <w:tcW w:w="1809" w:type="dxa"/>
            <w:tcBorders>
              <w:left w:val="single" w:sz="24" w:space="0" w:color="auto"/>
            </w:tcBorders>
            <w:vAlign w:val="bottom"/>
          </w:tcPr>
          <w:p w:rsidR="0026008A" w:rsidRDefault="0026008A" w:rsidP="002B66BE">
            <w:pPr>
              <w:rPr>
                <w:rFonts w:cs="Arial"/>
                <w:szCs w:val="20"/>
              </w:rPr>
            </w:pPr>
            <w:r>
              <w:rPr>
                <w:rFonts w:cs="Arial"/>
                <w:szCs w:val="20"/>
              </w:rPr>
              <w:t>Orkney</w:t>
            </w:r>
          </w:p>
        </w:tc>
        <w:tc>
          <w:tcPr>
            <w:tcW w:w="993" w:type="dxa"/>
            <w:tcBorders>
              <w:left w:val="single" w:sz="24" w:space="0" w:color="auto"/>
            </w:tcBorders>
          </w:tcPr>
          <w:p w:rsidR="0026008A" w:rsidRPr="000C659F" w:rsidRDefault="0026008A" w:rsidP="002B66BE">
            <w:pPr>
              <w:jc w:val="both"/>
              <w:rPr>
                <w:rFonts w:cs="Arial"/>
                <w:szCs w:val="20"/>
              </w:rPr>
            </w:pPr>
            <w:r w:rsidRPr="000C659F">
              <w:rPr>
                <w:rFonts w:cs="Arial"/>
                <w:szCs w:val="20"/>
              </w:rPr>
              <w:t>1.135</w:t>
            </w:r>
          </w:p>
        </w:tc>
        <w:tc>
          <w:tcPr>
            <w:tcW w:w="992" w:type="dxa"/>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5.665</w:t>
            </w:r>
          </w:p>
        </w:tc>
        <w:tc>
          <w:tcPr>
            <w:tcW w:w="992" w:type="dxa"/>
          </w:tcPr>
          <w:p w:rsidR="0026008A" w:rsidRPr="000C659F" w:rsidRDefault="0026008A" w:rsidP="002B66BE">
            <w:pPr>
              <w:jc w:val="both"/>
              <w:rPr>
                <w:rFonts w:cs="Arial"/>
                <w:szCs w:val="20"/>
              </w:rPr>
            </w:pPr>
            <w:r w:rsidRPr="000C659F">
              <w:rPr>
                <w:rFonts w:cs="Arial"/>
                <w:szCs w:val="20"/>
              </w:rPr>
              <w:t>1.128</w:t>
            </w:r>
          </w:p>
        </w:tc>
        <w:tc>
          <w:tcPr>
            <w:tcW w:w="1134" w:type="dxa"/>
            <w:tcBorders>
              <w:right w:val="single" w:sz="24" w:space="0" w:color="auto"/>
            </w:tcBorders>
          </w:tcPr>
          <w:p w:rsidR="0026008A" w:rsidRPr="000C659F" w:rsidRDefault="0026008A" w:rsidP="002B66BE">
            <w:pPr>
              <w:jc w:val="both"/>
              <w:rPr>
                <w:rFonts w:cs="Arial"/>
                <w:szCs w:val="20"/>
              </w:rPr>
            </w:pPr>
            <w:r w:rsidRPr="000C659F">
              <w:rPr>
                <w:rFonts w:cs="Arial"/>
                <w:szCs w:val="20"/>
              </w:rPr>
              <w:t>1.340</w:t>
            </w:r>
          </w:p>
        </w:tc>
        <w:tc>
          <w:tcPr>
            <w:tcW w:w="992" w:type="dxa"/>
            <w:tcBorders>
              <w:left w:val="single" w:sz="24" w:space="0" w:color="auto"/>
              <w:right w:val="single" w:sz="24" w:space="0" w:color="auto"/>
            </w:tcBorders>
          </w:tcPr>
          <w:p w:rsidR="0026008A" w:rsidRDefault="0026008A" w:rsidP="002B66BE">
            <w:pPr>
              <w:jc w:val="both"/>
              <w:rPr>
                <w:rFonts w:cs="Arial"/>
                <w:szCs w:val="20"/>
              </w:rPr>
            </w:pPr>
            <w:r>
              <w:rPr>
                <w:rFonts w:cs="Arial"/>
                <w:szCs w:val="20"/>
              </w:rPr>
              <w:t>1.314</w:t>
            </w:r>
          </w:p>
        </w:tc>
        <w:tc>
          <w:tcPr>
            <w:tcW w:w="993" w:type="dxa"/>
            <w:tcBorders>
              <w:left w:val="single" w:sz="24" w:space="0" w:color="auto"/>
            </w:tcBorders>
          </w:tcPr>
          <w:p w:rsidR="0026008A" w:rsidRPr="007D2E45" w:rsidRDefault="0026008A" w:rsidP="002B66BE">
            <w:pPr>
              <w:jc w:val="both"/>
              <w:rPr>
                <w:rFonts w:cs="Arial"/>
                <w:bCs/>
                <w:szCs w:val="20"/>
              </w:rPr>
            </w:pPr>
            <w:r w:rsidRPr="007D2E45">
              <w:rPr>
                <w:rFonts w:cs="Arial"/>
                <w:bCs/>
                <w:szCs w:val="20"/>
              </w:rPr>
              <w:t>1.309</w:t>
            </w:r>
          </w:p>
        </w:tc>
        <w:tc>
          <w:tcPr>
            <w:tcW w:w="992" w:type="dxa"/>
            <w:tcBorders>
              <w:right w:val="single" w:sz="24" w:space="0" w:color="auto"/>
            </w:tcBorders>
          </w:tcPr>
          <w:p w:rsidR="0026008A" w:rsidRDefault="0026008A" w:rsidP="002B66BE">
            <w:pPr>
              <w:jc w:val="both"/>
              <w:rPr>
                <w:rFonts w:cs="Arial"/>
                <w:szCs w:val="20"/>
              </w:rPr>
            </w:pPr>
            <w:r>
              <w:rPr>
                <w:rFonts w:cs="Arial"/>
                <w:szCs w:val="20"/>
              </w:rPr>
              <w:t>0.53%</w:t>
            </w:r>
          </w:p>
        </w:tc>
      </w:tr>
      <w:tr w:rsidR="0026008A" w:rsidRPr="00FE4172" w:rsidTr="002B66BE">
        <w:trPr>
          <w:trHeight w:val="216"/>
        </w:trPr>
        <w:tc>
          <w:tcPr>
            <w:tcW w:w="1809" w:type="dxa"/>
            <w:tcBorders>
              <w:left w:val="single" w:sz="24" w:space="0" w:color="auto"/>
            </w:tcBorders>
            <w:vAlign w:val="bottom"/>
          </w:tcPr>
          <w:p w:rsidR="0026008A" w:rsidRDefault="0026008A" w:rsidP="002B66BE">
            <w:pPr>
              <w:rPr>
                <w:rFonts w:cs="Arial"/>
                <w:szCs w:val="20"/>
              </w:rPr>
            </w:pPr>
            <w:r>
              <w:rPr>
                <w:rFonts w:cs="Arial"/>
                <w:szCs w:val="20"/>
              </w:rPr>
              <w:t>Lothian</w:t>
            </w:r>
          </w:p>
        </w:tc>
        <w:tc>
          <w:tcPr>
            <w:tcW w:w="993" w:type="dxa"/>
            <w:tcBorders>
              <w:left w:val="single" w:sz="24" w:space="0" w:color="auto"/>
            </w:tcBorders>
          </w:tcPr>
          <w:p w:rsidR="0026008A" w:rsidRPr="000C659F" w:rsidRDefault="0026008A" w:rsidP="002B66BE">
            <w:pPr>
              <w:jc w:val="both"/>
              <w:rPr>
                <w:rFonts w:cs="Arial"/>
                <w:szCs w:val="20"/>
              </w:rPr>
            </w:pPr>
            <w:r w:rsidRPr="000C659F">
              <w:rPr>
                <w:rFonts w:cs="Arial"/>
                <w:szCs w:val="20"/>
              </w:rPr>
              <w:t>1.001</w:t>
            </w:r>
          </w:p>
        </w:tc>
        <w:tc>
          <w:tcPr>
            <w:tcW w:w="992" w:type="dxa"/>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0.870</w:t>
            </w:r>
          </w:p>
        </w:tc>
        <w:tc>
          <w:tcPr>
            <w:tcW w:w="992" w:type="dxa"/>
          </w:tcPr>
          <w:p w:rsidR="0026008A" w:rsidRPr="000C659F" w:rsidRDefault="0026008A" w:rsidP="002B66BE">
            <w:pPr>
              <w:jc w:val="both"/>
              <w:rPr>
                <w:rFonts w:cs="Arial"/>
                <w:szCs w:val="20"/>
              </w:rPr>
            </w:pPr>
            <w:r w:rsidRPr="000C659F">
              <w:rPr>
                <w:rFonts w:cs="Arial"/>
                <w:szCs w:val="20"/>
              </w:rPr>
              <w:t>0.996</w:t>
            </w:r>
          </w:p>
        </w:tc>
        <w:tc>
          <w:tcPr>
            <w:tcW w:w="1134" w:type="dxa"/>
            <w:tcBorders>
              <w:right w:val="single" w:sz="24" w:space="0" w:color="auto"/>
            </w:tcBorders>
          </w:tcPr>
          <w:p w:rsidR="0026008A" w:rsidRPr="000C659F" w:rsidRDefault="0026008A" w:rsidP="002B66BE">
            <w:pPr>
              <w:jc w:val="both"/>
              <w:rPr>
                <w:rFonts w:cs="Arial"/>
                <w:szCs w:val="20"/>
              </w:rPr>
            </w:pPr>
            <w:r w:rsidRPr="000C659F">
              <w:rPr>
                <w:rFonts w:cs="Arial"/>
                <w:szCs w:val="20"/>
              </w:rPr>
              <w:t>0.971</w:t>
            </w:r>
          </w:p>
        </w:tc>
        <w:tc>
          <w:tcPr>
            <w:tcW w:w="992" w:type="dxa"/>
            <w:tcBorders>
              <w:left w:val="single" w:sz="24" w:space="0" w:color="auto"/>
              <w:right w:val="single" w:sz="24" w:space="0" w:color="auto"/>
            </w:tcBorders>
          </w:tcPr>
          <w:p w:rsidR="0026008A" w:rsidRDefault="0026008A" w:rsidP="002B66BE">
            <w:pPr>
              <w:jc w:val="both"/>
              <w:rPr>
                <w:rFonts w:cs="Arial"/>
                <w:szCs w:val="20"/>
              </w:rPr>
            </w:pPr>
            <w:r>
              <w:rPr>
                <w:rFonts w:cs="Arial"/>
                <w:szCs w:val="20"/>
              </w:rPr>
              <w:t>0.988</w:t>
            </w:r>
          </w:p>
        </w:tc>
        <w:tc>
          <w:tcPr>
            <w:tcW w:w="993" w:type="dxa"/>
            <w:tcBorders>
              <w:left w:val="single" w:sz="24" w:space="0" w:color="auto"/>
            </w:tcBorders>
          </w:tcPr>
          <w:p w:rsidR="0026008A" w:rsidRPr="007D2E45" w:rsidRDefault="0026008A" w:rsidP="002B66BE">
            <w:pPr>
              <w:jc w:val="both"/>
              <w:rPr>
                <w:rFonts w:cs="Arial"/>
                <w:bCs/>
                <w:szCs w:val="20"/>
              </w:rPr>
            </w:pPr>
            <w:r w:rsidRPr="007D2E45">
              <w:rPr>
                <w:rFonts w:cs="Arial"/>
                <w:bCs/>
                <w:szCs w:val="20"/>
              </w:rPr>
              <w:t>0.907</w:t>
            </w:r>
          </w:p>
        </w:tc>
        <w:tc>
          <w:tcPr>
            <w:tcW w:w="992" w:type="dxa"/>
            <w:tcBorders>
              <w:right w:val="single" w:sz="24" w:space="0" w:color="auto"/>
            </w:tcBorders>
          </w:tcPr>
          <w:p w:rsidR="0026008A" w:rsidRDefault="0026008A" w:rsidP="002B66BE">
            <w:pPr>
              <w:jc w:val="both"/>
              <w:rPr>
                <w:rFonts w:cs="Arial"/>
                <w:szCs w:val="20"/>
              </w:rPr>
            </w:pPr>
            <w:r>
              <w:rPr>
                <w:rFonts w:cs="Arial"/>
                <w:szCs w:val="20"/>
              </w:rPr>
              <w:t>14.69%</w:t>
            </w:r>
          </w:p>
        </w:tc>
      </w:tr>
      <w:tr w:rsidR="0026008A" w:rsidRPr="00FE4172" w:rsidTr="002B66BE">
        <w:trPr>
          <w:trHeight w:val="216"/>
        </w:trPr>
        <w:tc>
          <w:tcPr>
            <w:tcW w:w="1809" w:type="dxa"/>
            <w:tcBorders>
              <w:left w:val="single" w:sz="24" w:space="0" w:color="auto"/>
            </w:tcBorders>
            <w:vAlign w:val="bottom"/>
          </w:tcPr>
          <w:p w:rsidR="0026008A" w:rsidRDefault="0026008A" w:rsidP="002B66BE">
            <w:pPr>
              <w:rPr>
                <w:rFonts w:cs="Arial"/>
                <w:szCs w:val="20"/>
              </w:rPr>
            </w:pPr>
            <w:r>
              <w:rPr>
                <w:rFonts w:cs="Arial"/>
                <w:szCs w:val="20"/>
              </w:rPr>
              <w:t>Tayside</w:t>
            </w:r>
          </w:p>
        </w:tc>
        <w:tc>
          <w:tcPr>
            <w:tcW w:w="993" w:type="dxa"/>
            <w:tcBorders>
              <w:left w:val="single" w:sz="24" w:space="0" w:color="auto"/>
            </w:tcBorders>
          </w:tcPr>
          <w:p w:rsidR="0026008A" w:rsidRPr="000C659F" w:rsidRDefault="0026008A" w:rsidP="002B66BE">
            <w:pPr>
              <w:jc w:val="both"/>
              <w:rPr>
                <w:rFonts w:cs="Arial"/>
                <w:szCs w:val="20"/>
              </w:rPr>
            </w:pPr>
            <w:r w:rsidRPr="000C659F">
              <w:rPr>
                <w:rFonts w:cs="Arial"/>
                <w:szCs w:val="20"/>
              </w:rPr>
              <w:t>1.000</w:t>
            </w:r>
          </w:p>
        </w:tc>
        <w:tc>
          <w:tcPr>
            <w:tcW w:w="992" w:type="dxa"/>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0.926</w:t>
            </w:r>
          </w:p>
        </w:tc>
        <w:tc>
          <w:tcPr>
            <w:tcW w:w="992" w:type="dxa"/>
          </w:tcPr>
          <w:p w:rsidR="0026008A" w:rsidRPr="000C659F" w:rsidRDefault="0026008A" w:rsidP="002B66BE">
            <w:pPr>
              <w:jc w:val="both"/>
              <w:rPr>
                <w:rFonts w:cs="Arial"/>
                <w:szCs w:val="20"/>
              </w:rPr>
            </w:pPr>
            <w:r w:rsidRPr="000C659F">
              <w:rPr>
                <w:rFonts w:cs="Arial"/>
                <w:szCs w:val="20"/>
              </w:rPr>
              <w:t>1.001</w:t>
            </w:r>
          </w:p>
        </w:tc>
        <w:tc>
          <w:tcPr>
            <w:tcW w:w="1134" w:type="dxa"/>
            <w:tcBorders>
              <w:right w:val="single" w:sz="24" w:space="0" w:color="auto"/>
            </w:tcBorders>
          </w:tcPr>
          <w:p w:rsidR="0026008A" w:rsidRPr="000C659F" w:rsidRDefault="0026008A" w:rsidP="002B66BE">
            <w:pPr>
              <w:jc w:val="both"/>
              <w:rPr>
                <w:rFonts w:cs="Arial"/>
                <w:szCs w:val="20"/>
              </w:rPr>
            </w:pPr>
            <w:r w:rsidRPr="000C659F">
              <w:rPr>
                <w:rFonts w:cs="Arial"/>
                <w:szCs w:val="20"/>
              </w:rPr>
              <w:t>0.992</w:t>
            </w:r>
          </w:p>
        </w:tc>
        <w:tc>
          <w:tcPr>
            <w:tcW w:w="992" w:type="dxa"/>
            <w:tcBorders>
              <w:left w:val="single" w:sz="24" w:space="0" w:color="auto"/>
              <w:right w:val="single" w:sz="24" w:space="0" w:color="auto"/>
            </w:tcBorders>
          </w:tcPr>
          <w:p w:rsidR="0026008A" w:rsidRDefault="0026008A" w:rsidP="002B66BE">
            <w:pPr>
              <w:jc w:val="both"/>
              <w:rPr>
                <w:rFonts w:cs="Arial"/>
                <w:szCs w:val="20"/>
              </w:rPr>
            </w:pPr>
            <w:r>
              <w:rPr>
                <w:rFonts w:cs="Arial"/>
                <w:szCs w:val="20"/>
              </w:rPr>
              <w:t>0.997</w:t>
            </w:r>
          </w:p>
        </w:tc>
        <w:tc>
          <w:tcPr>
            <w:tcW w:w="993" w:type="dxa"/>
            <w:tcBorders>
              <w:left w:val="single" w:sz="24" w:space="0" w:color="auto"/>
            </w:tcBorders>
          </w:tcPr>
          <w:p w:rsidR="0026008A" w:rsidRPr="007D2E45" w:rsidRDefault="0026008A" w:rsidP="002B66BE">
            <w:pPr>
              <w:jc w:val="both"/>
              <w:rPr>
                <w:rFonts w:cs="Arial"/>
                <w:bCs/>
                <w:szCs w:val="20"/>
              </w:rPr>
            </w:pPr>
            <w:r w:rsidRPr="007D2E45">
              <w:rPr>
                <w:rFonts w:cs="Arial"/>
                <w:bCs/>
                <w:szCs w:val="20"/>
              </w:rPr>
              <w:t>0.995</w:t>
            </w:r>
          </w:p>
        </w:tc>
        <w:tc>
          <w:tcPr>
            <w:tcW w:w="992" w:type="dxa"/>
            <w:tcBorders>
              <w:right w:val="single" w:sz="24" w:space="0" w:color="auto"/>
            </w:tcBorders>
          </w:tcPr>
          <w:p w:rsidR="0026008A" w:rsidRDefault="0026008A" w:rsidP="002B66BE">
            <w:pPr>
              <w:jc w:val="both"/>
              <w:rPr>
                <w:rFonts w:cs="Arial"/>
                <w:szCs w:val="20"/>
              </w:rPr>
            </w:pPr>
            <w:r>
              <w:rPr>
                <w:rFonts w:cs="Arial"/>
                <w:szCs w:val="20"/>
              </w:rPr>
              <w:t>7.72%</w:t>
            </w:r>
          </w:p>
        </w:tc>
      </w:tr>
      <w:tr w:rsidR="0026008A" w:rsidRPr="00FE4172" w:rsidTr="002B66BE">
        <w:trPr>
          <w:trHeight w:val="216"/>
        </w:trPr>
        <w:tc>
          <w:tcPr>
            <w:tcW w:w="1809" w:type="dxa"/>
            <w:tcBorders>
              <w:left w:val="single" w:sz="24" w:space="0" w:color="auto"/>
            </w:tcBorders>
            <w:vAlign w:val="bottom"/>
          </w:tcPr>
          <w:p w:rsidR="0026008A" w:rsidRDefault="0026008A" w:rsidP="002B66BE">
            <w:pPr>
              <w:rPr>
                <w:rFonts w:cs="Arial"/>
                <w:szCs w:val="20"/>
              </w:rPr>
            </w:pPr>
            <w:r>
              <w:rPr>
                <w:rFonts w:cs="Arial"/>
                <w:szCs w:val="20"/>
              </w:rPr>
              <w:t>Forth Valley</w:t>
            </w:r>
          </w:p>
        </w:tc>
        <w:tc>
          <w:tcPr>
            <w:tcW w:w="993" w:type="dxa"/>
            <w:tcBorders>
              <w:left w:val="single" w:sz="24" w:space="0" w:color="auto"/>
            </w:tcBorders>
          </w:tcPr>
          <w:p w:rsidR="0026008A" w:rsidRPr="000C659F" w:rsidRDefault="0026008A" w:rsidP="002B66BE">
            <w:pPr>
              <w:jc w:val="both"/>
              <w:rPr>
                <w:rFonts w:cs="Arial"/>
                <w:szCs w:val="20"/>
              </w:rPr>
            </w:pPr>
            <w:r w:rsidRPr="000C659F">
              <w:rPr>
                <w:rFonts w:cs="Arial"/>
                <w:szCs w:val="20"/>
              </w:rPr>
              <w:t>0.986</w:t>
            </w:r>
          </w:p>
        </w:tc>
        <w:tc>
          <w:tcPr>
            <w:tcW w:w="992" w:type="dxa"/>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0.947</w:t>
            </w:r>
          </w:p>
        </w:tc>
        <w:tc>
          <w:tcPr>
            <w:tcW w:w="992" w:type="dxa"/>
          </w:tcPr>
          <w:p w:rsidR="0026008A" w:rsidRPr="000C659F" w:rsidRDefault="0026008A" w:rsidP="002B66BE">
            <w:pPr>
              <w:jc w:val="both"/>
              <w:rPr>
                <w:rFonts w:cs="Arial"/>
                <w:szCs w:val="20"/>
              </w:rPr>
            </w:pPr>
            <w:r w:rsidRPr="000C659F">
              <w:rPr>
                <w:rFonts w:cs="Arial"/>
                <w:szCs w:val="20"/>
              </w:rPr>
              <w:t>0.963</w:t>
            </w:r>
          </w:p>
        </w:tc>
        <w:tc>
          <w:tcPr>
            <w:tcW w:w="1134" w:type="dxa"/>
            <w:tcBorders>
              <w:right w:val="single" w:sz="24" w:space="0" w:color="auto"/>
            </w:tcBorders>
          </w:tcPr>
          <w:p w:rsidR="0026008A" w:rsidRPr="000C659F" w:rsidRDefault="0026008A" w:rsidP="002B66BE">
            <w:pPr>
              <w:jc w:val="both"/>
              <w:rPr>
                <w:rFonts w:cs="Arial"/>
                <w:szCs w:val="20"/>
              </w:rPr>
            </w:pPr>
            <w:r w:rsidRPr="000C659F">
              <w:rPr>
                <w:rFonts w:cs="Arial"/>
                <w:szCs w:val="20"/>
              </w:rPr>
              <w:t>1.011</w:t>
            </w:r>
          </w:p>
        </w:tc>
        <w:tc>
          <w:tcPr>
            <w:tcW w:w="992" w:type="dxa"/>
            <w:tcBorders>
              <w:left w:val="single" w:sz="24" w:space="0" w:color="auto"/>
              <w:right w:val="single" w:sz="24" w:space="0" w:color="auto"/>
            </w:tcBorders>
          </w:tcPr>
          <w:p w:rsidR="0026008A" w:rsidRDefault="0026008A" w:rsidP="002B66BE">
            <w:pPr>
              <w:jc w:val="both"/>
              <w:rPr>
                <w:rFonts w:cs="Arial"/>
                <w:szCs w:val="20"/>
              </w:rPr>
            </w:pPr>
            <w:r>
              <w:rPr>
                <w:rFonts w:cs="Arial"/>
                <w:szCs w:val="20"/>
              </w:rPr>
              <w:t>0.981</w:t>
            </w:r>
          </w:p>
        </w:tc>
        <w:tc>
          <w:tcPr>
            <w:tcW w:w="993" w:type="dxa"/>
            <w:tcBorders>
              <w:left w:val="single" w:sz="24" w:space="0" w:color="auto"/>
            </w:tcBorders>
          </w:tcPr>
          <w:p w:rsidR="0026008A" w:rsidRPr="007D2E45" w:rsidRDefault="0026008A" w:rsidP="002B66BE">
            <w:pPr>
              <w:jc w:val="both"/>
              <w:rPr>
                <w:rFonts w:cs="Arial"/>
                <w:bCs/>
                <w:szCs w:val="20"/>
              </w:rPr>
            </w:pPr>
            <w:r w:rsidRPr="007D2E45">
              <w:rPr>
                <w:rFonts w:cs="Arial"/>
                <w:bCs/>
                <w:szCs w:val="20"/>
              </w:rPr>
              <w:t>0.958</w:t>
            </w:r>
          </w:p>
        </w:tc>
        <w:tc>
          <w:tcPr>
            <w:tcW w:w="992" w:type="dxa"/>
            <w:tcBorders>
              <w:right w:val="single" w:sz="24" w:space="0" w:color="auto"/>
            </w:tcBorders>
          </w:tcPr>
          <w:p w:rsidR="0026008A" w:rsidRDefault="0026008A" w:rsidP="002B66BE">
            <w:pPr>
              <w:jc w:val="both"/>
              <w:rPr>
                <w:rFonts w:cs="Arial"/>
                <w:szCs w:val="20"/>
              </w:rPr>
            </w:pPr>
            <w:r>
              <w:rPr>
                <w:rFonts w:cs="Arial"/>
                <w:szCs w:val="20"/>
              </w:rPr>
              <w:t>5.39%</w:t>
            </w:r>
          </w:p>
        </w:tc>
      </w:tr>
      <w:tr w:rsidR="0026008A" w:rsidRPr="00FE4172" w:rsidTr="002B66BE">
        <w:trPr>
          <w:trHeight w:val="216"/>
        </w:trPr>
        <w:tc>
          <w:tcPr>
            <w:tcW w:w="1809" w:type="dxa"/>
            <w:tcBorders>
              <w:left w:val="single" w:sz="24" w:space="0" w:color="auto"/>
            </w:tcBorders>
            <w:vAlign w:val="bottom"/>
          </w:tcPr>
          <w:p w:rsidR="0026008A" w:rsidRDefault="0026008A" w:rsidP="002B66BE">
            <w:pPr>
              <w:rPr>
                <w:rFonts w:cs="Arial"/>
                <w:szCs w:val="20"/>
              </w:rPr>
            </w:pPr>
            <w:r>
              <w:rPr>
                <w:rFonts w:cs="Arial"/>
                <w:szCs w:val="20"/>
              </w:rPr>
              <w:t>Western Isles</w:t>
            </w:r>
          </w:p>
        </w:tc>
        <w:tc>
          <w:tcPr>
            <w:tcW w:w="993" w:type="dxa"/>
            <w:tcBorders>
              <w:left w:val="single" w:sz="24" w:space="0" w:color="auto"/>
            </w:tcBorders>
          </w:tcPr>
          <w:p w:rsidR="0026008A" w:rsidRPr="000C659F" w:rsidRDefault="0026008A" w:rsidP="002B66BE">
            <w:pPr>
              <w:jc w:val="both"/>
              <w:rPr>
                <w:rFonts w:cs="Arial"/>
                <w:szCs w:val="20"/>
              </w:rPr>
            </w:pPr>
            <w:r w:rsidRPr="000C659F">
              <w:rPr>
                <w:rFonts w:cs="Arial"/>
                <w:szCs w:val="20"/>
              </w:rPr>
              <w:t>1.133</w:t>
            </w:r>
          </w:p>
        </w:tc>
        <w:tc>
          <w:tcPr>
            <w:tcW w:w="992" w:type="dxa"/>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5.658</w:t>
            </w:r>
          </w:p>
        </w:tc>
        <w:tc>
          <w:tcPr>
            <w:tcW w:w="992" w:type="dxa"/>
          </w:tcPr>
          <w:p w:rsidR="0026008A" w:rsidRPr="000C659F" w:rsidRDefault="0026008A" w:rsidP="002B66BE">
            <w:pPr>
              <w:jc w:val="both"/>
              <w:rPr>
                <w:rFonts w:cs="Arial"/>
                <w:szCs w:val="20"/>
              </w:rPr>
            </w:pPr>
            <w:r w:rsidRPr="000C659F">
              <w:rPr>
                <w:rFonts w:cs="Arial"/>
                <w:szCs w:val="20"/>
              </w:rPr>
              <w:t>1.127</w:t>
            </w:r>
          </w:p>
        </w:tc>
        <w:tc>
          <w:tcPr>
            <w:tcW w:w="1134" w:type="dxa"/>
            <w:tcBorders>
              <w:right w:val="single" w:sz="24" w:space="0" w:color="auto"/>
            </w:tcBorders>
          </w:tcPr>
          <w:p w:rsidR="0026008A" w:rsidRPr="000C659F" w:rsidRDefault="0026008A" w:rsidP="002B66BE">
            <w:pPr>
              <w:jc w:val="both"/>
              <w:rPr>
                <w:rFonts w:cs="Arial"/>
                <w:szCs w:val="20"/>
              </w:rPr>
            </w:pPr>
            <w:r w:rsidRPr="000C659F">
              <w:rPr>
                <w:rFonts w:cs="Arial"/>
                <w:szCs w:val="20"/>
              </w:rPr>
              <w:t>1.338</w:t>
            </w:r>
          </w:p>
        </w:tc>
        <w:tc>
          <w:tcPr>
            <w:tcW w:w="992" w:type="dxa"/>
            <w:tcBorders>
              <w:left w:val="single" w:sz="24" w:space="0" w:color="auto"/>
              <w:right w:val="single" w:sz="24" w:space="0" w:color="auto"/>
            </w:tcBorders>
          </w:tcPr>
          <w:p w:rsidR="0026008A" w:rsidRDefault="0026008A" w:rsidP="002B66BE">
            <w:pPr>
              <w:jc w:val="both"/>
              <w:rPr>
                <w:rFonts w:cs="Arial"/>
                <w:szCs w:val="20"/>
              </w:rPr>
            </w:pPr>
            <w:r>
              <w:rPr>
                <w:rFonts w:cs="Arial"/>
                <w:szCs w:val="20"/>
              </w:rPr>
              <w:t>1.351</w:t>
            </w:r>
          </w:p>
        </w:tc>
        <w:tc>
          <w:tcPr>
            <w:tcW w:w="993" w:type="dxa"/>
            <w:tcBorders>
              <w:left w:val="single" w:sz="24" w:space="0" w:color="auto"/>
            </w:tcBorders>
          </w:tcPr>
          <w:p w:rsidR="0026008A" w:rsidRPr="007D2E45" w:rsidRDefault="0026008A" w:rsidP="002B66BE">
            <w:pPr>
              <w:jc w:val="both"/>
              <w:rPr>
                <w:rFonts w:cs="Arial"/>
                <w:bCs/>
                <w:szCs w:val="20"/>
              </w:rPr>
            </w:pPr>
            <w:r w:rsidRPr="007D2E45">
              <w:rPr>
                <w:rFonts w:cs="Arial"/>
                <w:bCs/>
                <w:szCs w:val="20"/>
              </w:rPr>
              <w:t>1.491</w:t>
            </w:r>
          </w:p>
        </w:tc>
        <w:tc>
          <w:tcPr>
            <w:tcW w:w="992" w:type="dxa"/>
            <w:tcBorders>
              <w:right w:val="single" w:sz="24" w:space="0" w:color="auto"/>
            </w:tcBorders>
          </w:tcPr>
          <w:p w:rsidR="0026008A" w:rsidRDefault="0026008A" w:rsidP="002B66BE">
            <w:pPr>
              <w:jc w:val="both"/>
              <w:rPr>
                <w:rFonts w:cs="Arial"/>
                <w:szCs w:val="20"/>
              </w:rPr>
            </w:pPr>
            <w:r>
              <w:rPr>
                <w:rFonts w:cs="Arial"/>
                <w:szCs w:val="20"/>
              </w:rPr>
              <w:t>0.75%</w:t>
            </w:r>
          </w:p>
        </w:tc>
      </w:tr>
      <w:tr w:rsidR="0026008A" w:rsidRPr="00FE4172" w:rsidTr="002B66BE">
        <w:trPr>
          <w:trHeight w:val="216"/>
        </w:trPr>
        <w:tc>
          <w:tcPr>
            <w:tcW w:w="1809" w:type="dxa"/>
            <w:tcBorders>
              <w:left w:val="single" w:sz="24" w:space="0" w:color="auto"/>
              <w:bottom w:val="single" w:sz="4" w:space="0" w:color="auto"/>
            </w:tcBorders>
            <w:vAlign w:val="bottom"/>
          </w:tcPr>
          <w:p w:rsidR="0026008A" w:rsidRDefault="0026008A" w:rsidP="002B66BE">
            <w:pPr>
              <w:rPr>
                <w:rFonts w:cs="Arial"/>
                <w:szCs w:val="20"/>
              </w:rPr>
            </w:pPr>
            <w:r>
              <w:rPr>
                <w:rFonts w:cs="Arial"/>
                <w:szCs w:val="20"/>
              </w:rPr>
              <w:t>Dumfries &amp; Galloway</w:t>
            </w:r>
          </w:p>
        </w:tc>
        <w:tc>
          <w:tcPr>
            <w:tcW w:w="993" w:type="dxa"/>
            <w:tcBorders>
              <w:left w:val="single" w:sz="24" w:space="0" w:color="auto"/>
              <w:bottom w:val="single" w:sz="4" w:space="0" w:color="auto"/>
            </w:tcBorders>
          </w:tcPr>
          <w:p w:rsidR="0026008A" w:rsidRPr="000C659F" w:rsidRDefault="0026008A" w:rsidP="002B66BE">
            <w:pPr>
              <w:jc w:val="both"/>
              <w:rPr>
                <w:rFonts w:cs="Arial"/>
                <w:szCs w:val="20"/>
              </w:rPr>
            </w:pPr>
            <w:r w:rsidRPr="000C659F">
              <w:rPr>
                <w:rFonts w:cs="Arial"/>
                <w:szCs w:val="20"/>
              </w:rPr>
              <w:t>0.996</w:t>
            </w:r>
          </w:p>
        </w:tc>
        <w:tc>
          <w:tcPr>
            <w:tcW w:w="992" w:type="dxa"/>
            <w:tcBorders>
              <w:bottom w:val="single" w:sz="4" w:space="0" w:color="auto"/>
            </w:tcBorders>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1.039</w:t>
            </w:r>
          </w:p>
        </w:tc>
        <w:tc>
          <w:tcPr>
            <w:tcW w:w="992" w:type="dxa"/>
            <w:tcBorders>
              <w:bottom w:val="single" w:sz="4" w:space="0" w:color="auto"/>
            </w:tcBorders>
          </w:tcPr>
          <w:p w:rsidR="0026008A" w:rsidRPr="000C659F" w:rsidRDefault="0026008A" w:rsidP="002B66BE">
            <w:pPr>
              <w:jc w:val="both"/>
              <w:rPr>
                <w:rFonts w:cs="Arial"/>
                <w:szCs w:val="20"/>
              </w:rPr>
            </w:pPr>
            <w:r w:rsidRPr="000C659F">
              <w:rPr>
                <w:rFonts w:cs="Arial"/>
                <w:szCs w:val="20"/>
              </w:rPr>
              <w:t>1.002</w:t>
            </w:r>
          </w:p>
        </w:tc>
        <w:tc>
          <w:tcPr>
            <w:tcW w:w="1134" w:type="dxa"/>
            <w:tcBorders>
              <w:bottom w:val="single" w:sz="4" w:space="0" w:color="auto"/>
              <w:right w:val="single" w:sz="24" w:space="0" w:color="auto"/>
            </w:tcBorders>
          </w:tcPr>
          <w:p w:rsidR="0026008A" w:rsidRPr="000C659F" w:rsidRDefault="0026008A" w:rsidP="002B66BE">
            <w:pPr>
              <w:jc w:val="both"/>
              <w:rPr>
                <w:rFonts w:cs="Arial"/>
                <w:szCs w:val="20"/>
              </w:rPr>
            </w:pPr>
            <w:r w:rsidRPr="000C659F">
              <w:rPr>
                <w:rFonts w:cs="Arial"/>
                <w:szCs w:val="20"/>
              </w:rPr>
              <w:t>1.052</w:t>
            </w:r>
          </w:p>
        </w:tc>
        <w:tc>
          <w:tcPr>
            <w:tcW w:w="992" w:type="dxa"/>
            <w:tcBorders>
              <w:left w:val="single" w:sz="24" w:space="0" w:color="auto"/>
              <w:bottom w:val="single" w:sz="4" w:space="0" w:color="auto"/>
              <w:right w:val="single" w:sz="24" w:space="0" w:color="auto"/>
            </w:tcBorders>
          </w:tcPr>
          <w:p w:rsidR="0026008A" w:rsidRDefault="0026008A" w:rsidP="002B66BE">
            <w:pPr>
              <w:jc w:val="both"/>
              <w:rPr>
                <w:rFonts w:cs="Arial"/>
                <w:szCs w:val="20"/>
              </w:rPr>
            </w:pPr>
            <w:r>
              <w:rPr>
                <w:rFonts w:cs="Arial"/>
                <w:szCs w:val="20"/>
              </w:rPr>
              <w:t>1.013</w:t>
            </w:r>
          </w:p>
        </w:tc>
        <w:tc>
          <w:tcPr>
            <w:tcW w:w="993" w:type="dxa"/>
            <w:tcBorders>
              <w:left w:val="single" w:sz="24" w:space="0" w:color="auto"/>
              <w:bottom w:val="single" w:sz="4" w:space="0" w:color="auto"/>
            </w:tcBorders>
          </w:tcPr>
          <w:p w:rsidR="0026008A" w:rsidRPr="007D2E45" w:rsidRDefault="0026008A" w:rsidP="002B66BE">
            <w:pPr>
              <w:jc w:val="both"/>
              <w:rPr>
                <w:rFonts w:cs="Arial"/>
                <w:bCs/>
                <w:szCs w:val="20"/>
              </w:rPr>
            </w:pPr>
            <w:r w:rsidRPr="007D2E45">
              <w:rPr>
                <w:rFonts w:cs="Arial"/>
                <w:bCs/>
                <w:szCs w:val="20"/>
              </w:rPr>
              <w:t>1.059</w:t>
            </w:r>
          </w:p>
        </w:tc>
        <w:tc>
          <w:tcPr>
            <w:tcW w:w="992" w:type="dxa"/>
            <w:tcBorders>
              <w:bottom w:val="single" w:sz="4" w:space="0" w:color="auto"/>
              <w:right w:val="single" w:sz="24" w:space="0" w:color="auto"/>
            </w:tcBorders>
          </w:tcPr>
          <w:p w:rsidR="0026008A" w:rsidRDefault="0026008A" w:rsidP="002B66BE">
            <w:pPr>
              <w:jc w:val="both"/>
              <w:rPr>
                <w:rFonts w:cs="Arial"/>
                <w:szCs w:val="20"/>
              </w:rPr>
            </w:pPr>
            <w:r>
              <w:rPr>
                <w:rFonts w:cs="Arial"/>
                <w:szCs w:val="20"/>
              </w:rPr>
              <w:t>2.94%</w:t>
            </w:r>
          </w:p>
        </w:tc>
      </w:tr>
      <w:tr w:rsidR="0026008A" w:rsidRPr="00FE4172" w:rsidTr="002B66BE">
        <w:trPr>
          <w:trHeight w:val="229"/>
        </w:trPr>
        <w:tc>
          <w:tcPr>
            <w:tcW w:w="1809" w:type="dxa"/>
            <w:tcBorders>
              <w:left w:val="single" w:sz="24" w:space="0" w:color="auto"/>
              <w:bottom w:val="single" w:sz="24" w:space="0" w:color="auto"/>
            </w:tcBorders>
            <w:vAlign w:val="bottom"/>
          </w:tcPr>
          <w:p w:rsidR="0026008A" w:rsidRDefault="0026008A" w:rsidP="002B66BE">
            <w:pPr>
              <w:rPr>
                <w:rFonts w:cs="Arial"/>
                <w:szCs w:val="20"/>
              </w:rPr>
            </w:pPr>
            <w:r>
              <w:rPr>
                <w:rFonts w:cs="Arial"/>
                <w:szCs w:val="20"/>
              </w:rPr>
              <w:t>Shetland</w:t>
            </w:r>
          </w:p>
        </w:tc>
        <w:tc>
          <w:tcPr>
            <w:tcW w:w="993" w:type="dxa"/>
            <w:tcBorders>
              <w:left w:val="single" w:sz="24" w:space="0" w:color="auto"/>
              <w:bottom w:val="single" w:sz="24" w:space="0" w:color="auto"/>
            </w:tcBorders>
          </w:tcPr>
          <w:p w:rsidR="0026008A" w:rsidRPr="000C659F" w:rsidRDefault="0026008A" w:rsidP="002B66BE">
            <w:pPr>
              <w:jc w:val="both"/>
              <w:rPr>
                <w:rFonts w:cs="Arial"/>
                <w:szCs w:val="20"/>
              </w:rPr>
            </w:pPr>
            <w:r w:rsidRPr="000C659F">
              <w:rPr>
                <w:rFonts w:cs="Arial"/>
                <w:szCs w:val="20"/>
              </w:rPr>
              <w:t>1.139</w:t>
            </w:r>
          </w:p>
        </w:tc>
        <w:tc>
          <w:tcPr>
            <w:tcW w:w="992" w:type="dxa"/>
            <w:tcBorders>
              <w:bottom w:val="single" w:sz="24" w:space="0" w:color="auto"/>
            </w:tcBorders>
            <w:shd w:val="clear" w:color="auto" w:fill="D9D9D9" w:themeFill="background1" w:themeFillShade="D9"/>
          </w:tcPr>
          <w:p w:rsidR="0026008A" w:rsidRPr="000C659F" w:rsidRDefault="0026008A" w:rsidP="002B66BE">
            <w:pPr>
              <w:jc w:val="both"/>
              <w:rPr>
                <w:rFonts w:cs="Arial"/>
                <w:szCs w:val="20"/>
              </w:rPr>
            </w:pPr>
            <w:r w:rsidRPr="000C659F">
              <w:rPr>
                <w:rFonts w:cs="Arial"/>
                <w:szCs w:val="20"/>
              </w:rPr>
              <w:t>5.686</w:t>
            </w:r>
          </w:p>
        </w:tc>
        <w:tc>
          <w:tcPr>
            <w:tcW w:w="992" w:type="dxa"/>
            <w:tcBorders>
              <w:bottom w:val="single" w:sz="24" w:space="0" w:color="auto"/>
            </w:tcBorders>
          </w:tcPr>
          <w:p w:rsidR="0026008A" w:rsidRPr="000C659F" w:rsidRDefault="0026008A" w:rsidP="002B66BE">
            <w:pPr>
              <w:jc w:val="both"/>
              <w:rPr>
                <w:rFonts w:cs="Arial"/>
                <w:szCs w:val="20"/>
              </w:rPr>
            </w:pPr>
            <w:r w:rsidRPr="000C659F">
              <w:rPr>
                <w:rFonts w:cs="Arial"/>
                <w:szCs w:val="20"/>
              </w:rPr>
              <w:t>1.133</w:t>
            </w:r>
          </w:p>
        </w:tc>
        <w:tc>
          <w:tcPr>
            <w:tcW w:w="1134" w:type="dxa"/>
            <w:tcBorders>
              <w:bottom w:val="single" w:sz="24" w:space="0" w:color="auto"/>
              <w:right w:val="single" w:sz="24" w:space="0" w:color="auto"/>
            </w:tcBorders>
          </w:tcPr>
          <w:p w:rsidR="0026008A" w:rsidRPr="000C659F" w:rsidRDefault="0026008A" w:rsidP="002B66BE">
            <w:pPr>
              <w:jc w:val="both"/>
              <w:rPr>
                <w:rFonts w:cs="Arial"/>
                <w:szCs w:val="20"/>
              </w:rPr>
            </w:pPr>
            <w:r w:rsidRPr="000C659F">
              <w:rPr>
                <w:rFonts w:cs="Arial"/>
                <w:szCs w:val="20"/>
              </w:rPr>
              <w:t>1.345</w:t>
            </w:r>
          </w:p>
        </w:tc>
        <w:tc>
          <w:tcPr>
            <w:tcW w:w="992" w:type="dxa"/>
            <w:tcBorders>
              <w:left w:val="single" w:sz="24" w:space="0" w:color="auto"/>
              <w:bottom w:val="single" w:sz="24" w:space="0" w:color="auto"/>
              <w:right w:val="single" w:sz="24" w:space="0" w:color="auto"/>
            </w:tcBorders>
          </w:tcPr>
          <w:p w:rsidR="0026008A" w:rsidRDefault="0026008A" w:rsidP="002B66BE">
            <w:pPr>
              <w:jc w:val="both"/>
              <w:rPr>
                <w:rFonts w:cs="Arial"/>
                <w:szCs w:val="20"/>
              </w:rPr>
            </w:pPr>
            <w:r>
              <w:rPr>
                <w:rFonts w:cs="Arial"/>
                <w:szCs w:val="20"/>
              </w:rPr>
              <w:t>1.317</w:t>
            </w:r>
          </w:p>
        </w:tc>
        <w:tc>
          <w:tcPr>
            <w:tcW w:w="993" w:type="dxa"/>
            <w:tcBorders>
              <w:left w:val="single" w:sz="24" w:space="0" w:color="auto"/>
              <w:bottom w:val="single" w:sz="24" w:space="0" w:color="auto"/>
            </w:tcBorders>
          </w:tcPr>
          <w:p w:rsidR="0026008A" w:rsidRPr="007D2E45" w:rsidRDefault="0026008A" w:rsidP="002B66BE">
            <w:pPr>
              <w:jc w:val="both"/>
              <w:rPr>
                <w:rFonts w:cs="Arial"/>
                <w:bCs/>
                <w:szCs w:val="20"/>
              </w:rPr>
            </w:pPr>
            <w:r w:rsidRPr="007D2E45">
              <w:rPr>
                <w:rFonts w:cs="Arial"/>
                <w:bCs/>
                <w:szCs w:val="20"/>
              </w:rPr>
              <w:t>1.206</w:t>
            </w:r>
          </w:p>
        </w:tc>
        <w:tc>
          <w:tcPr>
            <w:tcW w:w="992" w:type="dxa"/>
            <w:tcBorders>
              <w:bottom w:val="single" w:sz="24" w:space="0" w:color="auto"/>
              <w:right w:val="single" w:sz="24" w:space="0" w:color="auto"/>
            </w:tcBorders>
          </w:tcPr>
          <w:p w:rsidR="0026008A" w:rsidRDefault="0026008A" w:rsidP="002B66BE">
            <w:pPr>
              <w:jc w:val="both"/>
              <w:rPr>
                <w:rFonts w:cs="Arial"/>
                <w:szCs w:val="20"/>
              </w:rPr>
            </w:pPr>
            <w:r>
              <w:rPr>
                <w:rFonts w:cs="Arial"/>
                <w:szCs w:val="20"/>
              </w:rPr>
              <w:t>0.52%</w:t>
            </w:r>
          </w:p>
        </w:tc>
      </w:tr>
    </w:tbl>
    <w:p w:rsidR="0026008A" w:rsidRDefault="0026008A" w:rsidP="0026008A"/>
    <w:p w:rsidR="00D619F2" w:rsidRDefault="00D619F2" w:rsidP="00D619F2">
      <w:pPr>
        <w:pStyle w:val="Heading2"/>
      </w:pPr>
      <w:r>
        <w:t xml:space="preserve">2. </w:t>
      </w:r>
      <w:r w:rsidR="00A371C8">
        <w:t>Origin of the instability</w:t>
      </w:r>
    </w:p>
    <w:p w:rsidR="00D619F2" w:rsidRPr="00D619F2" w:rsidRDefault="0026008A" w:rsidP="00D619F2">
      <w:r>
        <w:t xml:space="preserve">As indicated in the note above, the issue with the COTE care programme is </w:t>
      </w:r>
      <w:r w:rsidR="00E741C5">
        <w:t xml:space="preserve">in </w:t>
      </w:r>
      <w:r>
        <w:t xml:space="preserve">the low levels of activity recorded over recent years in </w:t>
      </w:r>
      <w:proofErr w:type="spellStart"/>
      <w:r>
        <w:t>SDIA</w:t>
      </w:r>
      <w:proofErr w:type="spellEnd"/>
      <w:r>
        <w:t xml:space="preserve"> areas</w:t>
      </w:r>
      <w:r w:rsidR="00C514CC">
        <w:t xml:space="preserve"> (category 8)</w:t>
      </w:r>
      <w:r>
        <w:t>. This results in large fluctuations in the calculated unit cost.</w:t>
      </w:r>
    </w:p>
    <w:p w:rsidR="0026008A" w:rsidRDefault="0026008A" w:rsidP="0026008A">
      <w:r>
        <w:t>Care of the Elderly consists entirely of Geriatric Long Stay (</w:t>
      </w:r>
      <w:proofErr w:type="spellStart"/>
      <w:r>
        <w:t>GLS</w:t>
      </w:r>
      <w:proofErr w:type="spellEnd"/>
      <w:r>
        <w:t xml:space="preserve">) episodes, a specialty that is often considered to be out of date. The reduction in activity over time could be due to changes in the classification of such episodes as well as changes in treatment norms. </w:t>
      </w:r>
      <w:r w:rsidR="00C514CC">
        <w:t>Additionally, category 8 simply represents a very small proportion of the population of Scotland. It is likely to be particularly prone to fluctuations in activity for that reason.</w:t>
      </w:r>
    </w:p>
    <w:p w:rsidR="00E741C5" w:rsidRDefault="0026008A" w:rsidP="00E741C5">
      <w:r>
        <w:t xml:space="preserve">Figures 1 to 3 show activity (occupied bed days), expenditure, and cost per day (i.e. expenditure divided by activity) for COTE in each Urban-Rural category. </w:t>
      </w:r>
      <w:r w:rsidR="00E741C5">
        <w:t xml:space="preserve">These figures show that both expenditure and </w:t>
      </w:r>
      <w:r w:rsidR="00110A7F">
        <w:t>activity</w:t>
      </w:r>
      <w:r w:rsidR="00E741C5">
        <w:t xml:space="preserve"> </w:t>
      </w:r>
      <w:r w:rsidR="00110A7F">
        <w:t xml:space="preserve">have </w:t>
      </w:r>
      <w:r w:rsidR="00E741C5">
        <w:t>decrease</w:t>
      </w:r>
      <w:r w:rsidR="00110A7F">
        <w:t>d</w:t>
      </w:r>
      <w:r w:rsidR="00E741C5">
        <w:t xml:space="preserve">, with Urban-Rural category 8 having no activity </w:t>
      </w:r>
      <w:r w:rsidR="00110A7F">
        <w:t xml:space="preserve">at all </w:t>
      </w:r>
      <w:r w:rsidR="00E741C5">
        <w:t xml:space="preserve">since 2013. </w:t>
      </w:r>
    </w:p>
    <w:p w:rsidR="00377776" w:rsidRDefault="00E741C5" w:rsidP="0026008A">
      <w:r>
        <w:t xml:space="preserve">Most Urban-Rural categories show </w:t>
      </w:r>
      <w:r w:rsidR="00110A7F">
        <w:t>an</w:t>
      </w:r>
      <w:r>
        <w:t xml:space="preserve"> increase in the cost per bed day</w:t>
      </w:r>
      <w:r w:rsidR="00110A7F">
        <w:t xml:space="preserve">, showing perhaps the effect of overheads </w:t>
      </w:r>
      <w:r w:rsidR="009F121A">
        <w:t xml:space="preserve">remaining fixed </w:t>
      </w:r>
      <w:r w:rsidR="00110A7F">
        <w:t>while activity decreases</w:t>
      </w:r>
      <w:r>
        <w:t xml:space="preserve">. In the case of </w:t>
      </w:r>
      <w:r w:rsidR="00C514CC">
        <w:t>category 8</w:t>
      </w:r>
      <w:r>
        <w:t xml:space="preserve">, the increase in unit cost was rather sharp from 2009 to 2013, right before activity ceased. </w:t>
      </w:r>
      <w:r w:rsidR="00110A7F">
        <w:t xml:space="preserve">In fact, in 2012 and 2013, only one hospital within the </w:t>
      </w:r>
      <w:proofErr w:type="spellStart"/>
      <w:r w:rsidR="00110A7F">
        <w:t>SDIA</w:t>
      </w:r>
      <w:proofErr w:type="spellEnd"/>
      <w:r w:rsidR="00110A7F">
        <w:t xml:space="preserve"> areas – </w:t>
      </w:r>
      <w:r>
        <w:t>Gilbert</w:t>
      </w:r>
      <w:r w:rsidR="00110A7F">
        <w:t xml:space="preserve"> </w:t>
      </w:r>
      <w:r>
        <w:t xml:space="preserve">Bain Hospital </w:t>
      </w:r>
      <w:r w:rsidR="00110A7F">
        <w:t>in Shetland – recorded any COTE</w:t>
      </w:r>
      <w:r>
        <w:t xml:space="preserve"> expenditure and</w:t>
      </w:r>
      <w:r w:rsidR="00110A7F">
        <w:t xml:space="preserve"> activity</w:t>
      </w:r>
      <w:r>
        <w:t xml:space="preserve">. </w:t>
      </w:r>
      <w:r w:rsidR="00110A7F">
        <w:t xml:space="preserve">The Excess Cost predictions for COTE would therefore be based on the recorded activity of a single hospital, for all </w:t>
      </w:r>
      <w:proofErr w:type="spellStart"/>
      <w:r w:rsidR="00110A7F">
        <w:t>SDIA</w:t>
      </w:r>
      <w:proofErr w:type="spellEnd"/>
      <w:r w:rsidR="00110A7F">
        <w:t xml:space="preserve"> areas, if updates were to carry on as usual.</w:t>
      </w:r>
      <w:r w:rsidR="00146BA4">
        <w:t xml:space="preserve"> This is not acceptable: not only does it result in large fluctuations, it also does not make sense to predict costs in Orkney, Western Isles or other places based on activity at a single hospital in Shetland.</w:t>
      </w:r>
    </w:p>
    <w:p w:rsidR="0026008A" w:rsidRPr="00146BA4" w:rsidRDefault="00377776" w:rsidP="0026008A">
      <w:r w:rsidRPr="005134DC">
        <w:lastRenderedPageBreak/>
        <w:t xml:space="preserve">A further factor </w:t>
      </w:r>
      <w:r w:rsidR="00A26730">
        <w:t xml:space="preserve">is that the change in the index for COTE is transmitted to the final shares using the national care programme weights, rather than local programme weights. </w:t>
      </w:r>
    </w:p>
    <w:p w:rsidR="0026008A" w:rsidRPr="00B420B1" w:rsidRDefault="0026008A" w:rsidP="0026008A">
      <w:pPr>
        <w:pStyle w:val="Caption"/>
      </w:pPr>
      <w:r w:rsidRPr="00B420B1">
        <w:t xml:space="preserve">Figure 1: Occupied bed days for </w:t>
      </w:r>
      <w:r>
        <w:t xml:space="preserve">COTE in </w:t>
      </w:r>
      <w:r w:rsidRPr="00B420B1">
        <w:t>each Urban-Rural category, from 2004 to 2016. The lines connect UR categories over the years.</w:t>
      </w:r>
    </w:p>
    <w:p w:rsidR="0026008A" w:rsidRDefault="0026008A" w:rsidP="0026008A">
      <w:r>
        <w:rPr>
          <w:noProof/>
          <w:lang w:eastAsia="en-GB"/>
        </w:rPr>
        <w:drawing>
          <wp:inline distT="0" distB="0" distL="0" distR="0">
            <wp:extent cx="3530600" cy="3601212"/>
            <wp:effectExtent l="19050" t="19050" r="12700" b="18288"/>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530600" cy="3601212"/>
                    </a:xfrm>
                    <a:prstGeom prst="rect">
                      <a:avLst/>
                    </a:prstGeom>
                    <a:noFill/>
                    <a:ln w="9525">
                      <a:solidFill>
                        <a:schemeClr val="tx1"/>
                      </a:solidFill>
                      <a:miter lim="800000"/>
                      <a:headEnd/>
                      <a:tailEnd/>
                    </a:ln>
                  </pic:spPr>
                </pic:pic>
              </a:graphicData>
            </a:graphic>
          </wp:inline>
        </w:drawing>
      </w:r>
    </w:p>
    <w:p w:rsidR="0026008A" w:rsidRDefault="0026008A" w:rsidP="0026008A">
      <w:pPr>
        <w:pStyle w:val="Caption"/>
      </w:pPr>
      <w:r>
        <w:t>Figure 2: Expenditure for COTE in each Urban-Rural category, from 2004 to 2016. The lines connect UR categories over the years.</w:t>
      </w:r>
    </w:p>
    <w:p w:rsidR="0026008A" w:rsidRDefault="0026008A" w:rsidP="0026008A">
      <w:r>
        <w:rPr>
          <w:noProof/>
          <w:lang w:eastAsia="en-GB"/>
        </w:rPr>
        <w:drawing>
          <wp:inline distT="0" distB="0" distL="0" distR="0">
            <wp:extent cx="3511550" cy="3581782"/>
            <wp:effectExtent l="38100" t="19050" r="12700" b="18668"/>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3515284" cy="3585591"/>
                    </a:xfrm>
                    <a:prstGeom prst="rect">
                      <a:avLst/>
                    </a:prstGeom>
                    <a:noFill/>
                    <a:ln w="9525">
                      <a:solidFill>
                        <a:schemeClr val="tx1"/>
                      </a:solidFill>
                      <a:miter lim="800000"/>
                      <a:headEnd/>
                      <a:tailEnd/>
                    </a:ln>
                  </pic:spPr>
                </pic:pic>
              </a:graphicData>
            </a:graphic>
          </wp:inline>
        </w:drawing>
      </w:r>
    </w:p>
    <w:p w:rsidR="005134DC" w:rsidRDefault="005134DC">
      <w:pPr>
        <w:rPr>
          <w:rFonts w:eastAsiaTheme="majorEastAsia" w:cstheme="majorBidi"/>
          <w:bCs/>
          <w:i/>
          <w:sz w:val="20"/>
          <w:szCs w:val="18"/>
          <w:lang w:val="en-US" w:bidi="en-US"/>
        </w:rPr>
      </w:pPr>
      <w:r>
        <w:br w:type="page"/>
      </w:r>
    </w:p>
    <w:p w:rsidR="0026008A" w:rsidRDefault="0026008A" w:rsidP="0026008A">
      <w:pPr>
        <w:pStyle w:val="Caption"/>
      </w:pPr>
      <w:r>
        <w:lastRenderedPageBreak/>
        <w:t>Figure 3: Expenditure divided by occupied bed days for COTE in each Urban-Rural category, from 2004 to 2016. The lines connect UR categories over the years.</w:t>
      </w:r>
    </w:p>
    <w:p w:rsidR="0026008A" w:rsidRDefault="0026008A" w:rsidP="0026008A">
      <w:r>
        <w:rPr>
          <w:noProof/>
          <w:lang w:eastAsia="en-GB"/>
        </w:rPr>
        <w:drawing>
          <wp:inline distT="0" distB="0" distL="0" distR="0">
            <wp:extent cx="3483162" cy="3552825"/>
            <wp:effectExtent l="19050" t="19050" r="22038" b="2857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srcRect/>
                    <a:stretch>
                      <a:fillRect/>
                    </a:stretch>
                  </pic:blipFill>
                  <pic:spPr bwMode="auto">
                    <a:xfrm>
                      <a:off x="0" y="0"/>
                      <a:ext cx="3483162" cy="3552825"/>
                    </a:xfrm>
                    <a:prstGeom prst="rect">
                      <a:avLst/>
                    </a:prstGeom>
                    <a:noFill/>
                    <a:ln w="9525">
                      <a:solidFill>
                        <a:schemeClr val="tx1"/>
                      </a:solidFill>
                      <a:miter lim="800000"/>
                      <a:headEnd/>
                      <a:tailEnd/>
                    </a:ln>
                  </pic:spPr>
                </pic:pic>
              </a:graphicData>
            </a:graphic>
          </wp:inline>
        </w:drawing>
      </w:r>
    </w:p>
    <w:p w:rsidR="00A371C8" w:rsidRPr="00A371C8" w:rsidRDefault="00A371C8" w:rsidP="00A371C8">
      <w:pPr>
        <w:rPr>
          <w:lang w:val="en-US" w:bidi="en-US"/>
        </w:rPr>
      </w:pPr>
    </w:p>
    <w:p w:rsidR="00A371C8" w:rsidRDefault="00A371C8" w:rsidP="00A371C8">
      <w:pPr>
        <w:pStyle w:val="Heading2"/>
      </w:pPr>
      <w:r>
        <w:t>3. Proposed fix</w:t>
      </w:r>
      <w:r w:rsidR="00B27327">
        <w:t>: combining Acute and COTE</w:t>
      </w:r>
    </w:p>
    <w:p w:rsidR="00256079" w:rsidRDefault="002B66BE" w:rsidP="002B66BE">
      <w:r>
        <w:t xml:space="preserve">It is proposed that Acute should be merged with COTE for the purposes of the Excess Cost calculations. This would be done by summing local costs and calculating an overall cost ratio for the two care programmes. </w:t>
      </w:r>
    </w:p>
    <w:p w:rsidR="00256079" w:rsidRDefault="00377776" w:rsidP="002B66BE">
      <w:r>
        <w:t>As stated in section 2, t</w:t>
      </w:r>
      <w:r w:rsidR="00256079">
        <w:t xml:space="preserve">he instability in COTE is amplified by </w:t>
      </w:r>
      <w:r>
        <w:t>applying the national care programme weights in all eight UR categories</w:t>
      </w:r>
      <w:r w:rsidR="00CE723B">
        <w:t xml:space="preserve"> when eventually combining the care programmes</w:t>
      </w:r>
      <w:r>
        <w:t>. In SDIA areas, the proportion of expenditure on COTE is clearly far lower than it is at national level, so applying national care programme weights gives</w:t>
      </w:r>
      <w:r w:rsidR="00256079">
        <w:t xml:space="preserve"> it a greater weight than </w:t>
      </w:r>
      <w:r>
        <w:t>is reasonable in those areas</w:t>
      </w:r>
      <w:r w:rsidR="00256079">
        <w:t xml:space="preserve">. Combining COTE and Acute </w:t>
      </w:r>
      <w:r w:rsidR="00CE723B">
        <w:t xml:space="preserve">at the unit cost calculations stage </w:t>
      </w:r>
      <w:r w:rsidR="002B66BE">
        <w:t xml:space="preserve">would allow the </w:t>
      </w:r>
      <w:r w:rsidR="002B66BE" w:rsidRPr="00E32A81">
        <w:t>true</w:t>
      </w:r>
      <w:r w:rsidR="002B66BE">
        <w:t xml:space="preserve"> relative </w:t>
      </w:r>
      <w:r w:rsidR="00256079">
        <w:t>weights</w:t>
      </w:r>
      <w:r w:rsidR="002B66BE">
        <w:t xml:space="preserve"> to be reflected in the Excess Costs inde</w:t>
      </w:r>
      <w:r w:rsidR="00256079">
        <w:t>x for these two care programmes.</w:t>
      </w:r>
      <w:r w:rsidR="002B66BE">
        <w:t xml:space="preserve"> </w:t>
      </w:r>
    </w:p>
    <w:p w:rsidR="002B66BE" w:rsidRDefault="00256079" w:rsidP="002B66BE">
      <w:r>
        <w:t>Acute is the most appropriate programme to combine COTE with,</w:t>
      </w:r>
      <w:r w:rsidR="002B66BE">
        <w:t xml:space="preserve"> since any reclassification of GLS activity and costs is likely to be into one of the Acute specialties. </w:t>
      </w:r>
      <w:r>
        <w:t>Also b</w:t>
      </w:r>
      <w:r w:rsidR="002B66BE">
        <w:t xml:space="preserve">ecause of the large size of the Acute care programme, the </w:t>
      </w:r>
      <w:r>
        <w:t xml:space="preserve">combined index </w:t>
      </w:r>
      <w:r w:rsidR="002B66BE">
        <w:t>is not likely to be</w:t>
      </w:r>
      <w:r>
        <w:t xml:space="preserve"> unduly</w:t>
      </w:r>
      <w:r w:rsidR="002B66BE">
        <w:t xml:space="preserve"> influenced by </w:t>
      </w:r>
      <w:r>
        <w:t>large changes in COTE unit costs</w:t>
      </w:r>
      <w:r w:rsidR="002B66BE">
        <w:t>.</w:t>
      </w:r>
    </w:p>
    <w:p w:rsidR="002B66BE" w:rsidRDefault="002B66BE" w:rsidP="002B66BE">
      <w:r>
        <w:t xml:space="preserve">The </w:t>
      </w:r>
      <w:r w:rsidR="00D71B4A">
        <w:t>results of</w:t>
      </w:r>
      <w:r>
        <w:t xml:space="preserve"> </w:t>
      </w:r>
      <w:r w:rsidR="00D71B4A">
        <w:t xml:space="preserve">testing the </w:t>
      </w:r>
      <w:r>
        <w:t xml:space="preserve">merging </w:t>
      </w:r>
      <w:r w:rsidR="00D71B4A">
        <w:t>of the two care programmes a</w:t>
      </w:r>
      <w:r>
        <w:t xml:space="preserve">re shown in Table </w:t>
      </w:r>
      <w:r w:rsidR="00D71B4A">
        <w:t xml:space="preserve">4. </w:t>
      </w:r>
      <w:r>
        <w:t>Comparing the columns for COTE before and after the merge</w:t>
      </w:r>
      <w:r w:rsidR="00D71B4A">
        <w:t xml:space="preserve"> (Table 3 </w:t>
      </w:r>
      <w:proofErr w:type="spellStart"/>
      <w:r w:rsidR="00D71B4A">
        <w:t>vs</w:t>
      </w:r>
      <w:proofErr w:type="spellEnd"/>
      <w:r w:rsidR="00D71B4A">
        <w:t xml:space="preserve"> Table 4)</w:t>
      </w:r>
      <w:r>
        <w:t xml:space="preserve">, it is clear that the </w:t>
      </w:r>
      <w:r w:rsidR="004A0ED1">
        <w:t xml:space="preserve">merging of Acute and COTE </w:t>
      </w:r>
      <w:r w:rsidR="0057059E">
        <w:t>does dampen the effect of</w:t>
      </w:r>
      <w:r w:rsidR="004A0ED1">
        <w:t xml:space="preserve"> instability in </w:t>
      </w:r>
      <w:r w:rsidR="0057059E">
        <w:t xml:space="preserve">the </w:t>
      </w:r>
      <w:r w:rsidR="004A0ED1">
        <w:t xml:space="preserve">COTE </w:t>
      </w:r>
      <w:r w:rsidR="0057059E">
        <w:t>activity</w:t>
      </w:r>
      <w:r w:rsidR="00FF2E3C">
        <w:t>.</w:t>
      </w:r>
    </w:p>
    <w:p w:rsidR="005134DC" w:rsidRDefault="005134DC">
      <w:r>
        <w:br w:type="page"/>
      </w:r>
    </w:p>
    <w:p w:rsidR="005134DC" w:rsidRPr="002B66BE" w:rsidRDefault="005134DC" w:rsidP="002B66BE">
      <w:bookmarkStart w:id="0" w:name="_GoBack"/>
      <w:bookmarkEnd w:id="0"/>
    </w:p>
    <w:p w:rsidR="002B66BE" w:rsidRDefault="002B66BE" w:rsidP="002B66BE">
      <w:pPr>
        <w:pStyle w:val="Caption"/>
      </w:pPr>
      <w:r>
        <w:t>Table 4: The updated Excess Cost Index for each Hospital care programme at Health Board level (COTE and Acute highlighted in grey) after the merge.</w:t>
      </w:r>
      <w:r w:rsidRPr="00FA3AB8">
        <w:t xml:space="preserve"> </w:t>
      </w:r>
      <w:r>
        <w:t>Based on data from 2012/13, 2013/14 and 2014/15.</w:t>
      </w:r>
    </w:p>
    <w:tbl>
      <w:tblPr>
        <w:tblStyle w:val="TableGrid"/>
        <w:tblW w:w="8897" w:type="dxa"/>
        <w:tblLayout w:type="fixed"/>
        <w:tblLook w:val="04A0" w:firstRow="1" w:lastRow="0" w:firstColumn="1" w:lastColumn="0" w:noHBand="0" w:noVBand="1"/>
      </w:tblPr>
      <w:tblGrid>
        <w:gridCol w:w="1809"/>
        <w:gridCol w:w="993"/>
        <w:gridCol w:w="992"/>
        <w:gridCol w:w="992"/>
        <w:gridCol w:w="1134"/>
        <w:gridCol w:w="992"/>
        <w:gridCol w:w="993"/>
        <w:gridCol w:w="992"/>
      </w:tblGrid>
      <w:tr w:rsidR="002B66BE" w:rsidRPr="00FE4172" w:rsidTr="002B66BE">
        <w:trPr>
          <w:trHeight w:val="1020"/>
        </w:trPr>
        <w:tc>
          <w:tcPr>
            <w:tcW w:w="1809" w:type="dxa"/>
            <w:tcBorders>
              <w:top w:val="single" w:sz="24" w:space="0" w:color="auto"/>
              <w:left w:val="single" w:sz="24" w:space="0" w:color="auto"/>
              <w:bottom w:val="single" w:sz="24" w:space="0" w:color="auto"/>
              <w:right w:val="single" w:sz="24" w:space="0" w:color="auto"/>
            </w:tcBorders>
          </w:tcPr>
          <w:p w:rsidR="002B66BE" w:rsidRPr="000C659F" w:rsidRDefault="002B66BE" w:rsidP="002B66BE">
            <w:pPr>
              <w:jc w:val="both"/>
              <w:rPr>
                <w:rFonts w:eastAsia="Times New Roman" w:cs="Arial"/>
                <w:b/>
                <w:bCs/>
                <w:color w:val="FFFFFF"/>
                <w:szCs w:val="20"/>
                <w:lang w:eastAsia="en-GB"/>
              </w:rPr>
            </w:pPr>
            <w:r w:rsidRPr="000C659F">
              <w:rPr>
                <w:rFonts w:eastAsia="Times New Roman" w:cs="Arial"/>
                <w:b/>
                <w:szCs w:val="20"/>
                <w:lang w:eastAsia="en-GB"/>
              </w:rPr>
              <w:t>H</w:t>
            </w:r>
            <w:r>
              <w:rPr>
                <w:rFonts w:eastAsia="Times New Roman" w:cs="Arial"/>
                <w:b/>
                <w:szCs w:val="20"/>
                <w:lang w:eastAsia="en-GB"/>
              </w:rPr>
              <w:t>ealth Board</w:t>
            </w:r>
          </w:p>
        </w:tc>
        <w:tc>
          <w:tcPr>
            <w:tcW w:w="993" w:type="dxa"/>
            <w:tcBorders>
              <w:top w:val="single" w:sz="24" w:space="0" w:color="auto"/>
              <w:left w:val="single" w:sz="24" w:space="0" w:color="auto"/>
              <w:bottom w:val="single" w:sz="24" w:space="0" w:color="auto"/>
              <w:right w:val="dashed" w:sz="4" w:space="0" w:color="auto"/>
            </w:tcBorders>
            <w:shd w:val="clear" w:color="auto" w:fill="D9D9D9" w:themeFill="background1" w:themeFillShade="D9"/>
            <w:vAlign w:val="bottom"/>
          </w:tcPr>
          <w:p w:rsidR="002B66BE" w:rsidRDefault="002B66BE" w:rsidP="00D71B4A">
            <w:pPr>
              <w:jc w:val="center"/>
              <w:rPr>
                <w:rFonts w:cs="Arial"/>
                <w:b/>
                <w:bCs/>
                <w:color w:val="000000"/>
                <w:szCs w:val="20"/>
              </w:rPr>
            </w:pPr>
            <w:r>
              <w:rPr>
                <w:rFonts w:cs="Arial"/>
                <w:b/>
                <w:bCs/>
                <w:color w:val="000000"/>
                <w:szCs w:val="20"/>
              </w:rPr>
              <w:t>Acute Excess Costs Index</w:t>
            </w:r>
          </w:p>
        </w:tc>
        <w:tc>
          <w:tcPr>
            <w:tcW w:w="992" w:type="dxa"/>
            <w:tcBorders>
              <w:top w:val="single" w:sz="24" w:space="0" w:color="auto"/>
              <w:left w:val="dashed" w:sz="4" w:space="0" w:color="auto"/>
              <w:bottom w:val="single" w:sz="24" w:space="0" w:color="auto"/>
              <w:right w:val="single" w:sz="8" w:space="0" w:color="auto"/>
            </w:tcBorders>
            <w:shd w:val="clear" w:color="auto" w:fill="D9D9D9" w:themeFill="background1" w:themeFillShade="D9"/>
            <w:vAlign w:val="bottom"/>
          </w:tcPr>
          <w:p w:rsidR="002B66BE" w:rsidRDefault="002B66BE" w:rsidP="002B66BE">
            <w:pPr>
              <w:jc w:val="center"/>
              <w:rPr>
                <w:rFonts w:cs="Arial"/>
                <w:b/>
                <w:bCs/>
                <w:color w:val="000000"/>
                <w:szCs w:val="20"/>
              </w:rPr>
            </w:pPr>
            <w:r>
              <w:rPr>
                <w:rFonts w:cs="Arial"/>
                <w:b/>
                <w:bCs/>
                <w:color w:val="000000"/>
                <w:szCs w:val="20"/>
              </w:rPr>
              <w:t>COTE Excess Costs Index</w:t>
            </w:r>
            <w:r w:rsidR="00D71B4A">
              <w:rPr>
                <w:rStyle w:val="FootnoteReference"/>
                <w:rFonts w:cs="Arial"/>
                <w:b/>
                <w:bCs/>
                <w:color w:val="000000"/>
                <w:szCs w:val="20"/>
              </w:rPr>
              <w:footnoteReference w:id="1"/>
            </w:r>
          </w:p>
        </w:tc>
        <w:tc>
          <w:tcPr>
            <w:tcW w:w="992" w:type="dxa"/>
            <w:tcBorders>
              <w:top w:val="single" w:sz="24" w:space="0" w:color="auto"/>
              <w:left w:val="single" w:sz="8" w:space="0" w:color="auto"/>
              <w:bottom w:val="single" w:sz="24" w:space="0" w:color="auto"/>
              <w:right w:val="single" w:sz="8" w:space="0" w:color="auto"/>
            </w:tcBorders>
            <w:vAlign w:val="bottom"/>
          </w:tcPr>
          <w:p w:rsidR="002B66BE" w:rsidRDefault="002B66BE" w:rsidP="002B66BE">
            <w:pPr>
              <w:jc w:val="center"/>
              <w:rPr>
                <w:rFonts w:cs="Arial"/>
                <w:b/>
                <w:bCs/>
                <w:color w:val="000000"/>
                <w:szCs w:val="20"/>
              </w:rPr>
            </w:pPr>
            <w:r>
              <w:rPr>
                <w:rFonts w:cs="Arial"/>
                <w:b/>
                <w:bCs/>
                <w:color w:val="000000"/>
                <w:szCs w:val="20"/>
              </w:rPr>
              <w:t>MHLD Excess Costs Index</w:t>
            </w:r>
          </w:p>
        </w:tc>
        <w:tc>
          <w:tcPr>
            <w:tcW w:w="1134" w:type="dxa"/>
            <w:tcBorders>
              <w:top w:val="single" w:sz="24" w:space="0" w:color="auto"/>
              <w:left w:val="single" w:sz="8" w:space="0" w:color="auto"/>
              <w:bottom w:val="single" w:sz="24" w:space="0" w:color="auto"/>
              <w:right w:val="single" w:sz="24" w:space="0" w:color="auto"/>
            </w:tcBorders>
            <w:vAlign w:val="bottom"/>
          </w:tcPr>
          <w:p w:rsidR="002B66BE" w:rsidRDefault="002B66BE" w:rsidP="002B66BE">
            <w:pPr>
              <w:jc w:val="center"/>
              <w:rPr>
                <w:rFonts w:cs="Arial"/>
                <w:b/>
                <w:bCs/>
                <w:color w:val="000000"/>
                <w:szCs w:val="20"/>
              </w:rPr>
            </w:pPr>
            <w:r>
              <w:rPr>
                <w:rFonts w:cs="Arial"/>
                <w:b/>
                <w:bCs/>
                <w:color w:val="000000"/>
                <w:szCs w:val="20"/>
              </w:rPr>
              <w:t>Maternity Excess Costs Index</w:t>
            </w:r>
          </w:p>
        </w:tc>
        <w:tc>
          <w:tcPr>
            <w:tcW w:w="992" w:type="dxa"/>
            <w:tcBorders>
              <w:top w:val="single" w:sz="24" w:space="0" w:color="auto"/>
              <w:left w:val="single" w:sz="24" w:space="0" w:color="auto"/>
              <w:bottom w:val="single" w:sz="24" w:space="0" w:color="auto"/>
              <w:right w:val="single" w:sz="8" w:space="0" w:color="auto"/>
            </w:tcBorders>
            <w:vAlign w:val="bottom"/>
          </w:tcPr>
          <w:p w:rsidR="002B66BE" w:rsidRDefault="002B66BE" w:rsidP="002B66BE">
            <w:pPr>
              <w:jc w:val="center"/>
              <w:rPr>
                <w:rFonts w:cs="Arial"/>
                <w:b/>
                <w:bCs/>
                <w:color w:val="000000"/>
                <w:szCs w:val="20"/>
              </w:rPr>
            </w:pPr>
            <w:r>
              <w:rPr>
                <w:rFonts w:cs="Arial"/>
                <w:b/>
                <w:bCs/>
                <w:color w:val="000000"/>
                <w:szCs w:val="20"/>
              </w:rPr>
              <w:t>HCHS Excess Costs Index</w:t>
            </w:r>
          </w:p>
        </w:tc>
        <w:tc>
          <w:tcPr>
            <w:tcW w:w="993" w:type="dxa"/>
            <w:tcBorders>
              <w:top w:val="single" w:sz="24" w:space="0" w:color="auto"/>
              <w:left w:val="single" w:sz="24" w:space="0" w:color="auto"/>
              <w:bottom w:val="single" w:sz="24" w:space="0" w:color="auto"/>
              <w:right w:val="single" w:sz="8" w:space="0" w:color="auto"/>
            </w:tcBorders>
            <w:vAlign w:val="bottom"/>
          </w:tcPr>
          <w:p w:rsidR="002B66BE" w:rsidRDefault="002B66BE" w:rsidP="002B66BE">
            <w:pPr>
              <w:jc w:val="center"/>
              <w:rPr>
                <w:rFonts w:cs="Arial"/>
                <w:b/>
                <w:bCs/>
                <w:color w:val="000000"/>
                <w:szCs w:val="20"/>
              </w:rPr>
            </w:pPr>
            <w:r>
              <w:rPr>
                <w:rFonts w:cs="Arial"/>
                <w:b/>
                <w:bCs/>
                <w:color w:val="000000"/>
                <w:szCs w:val="20"/>
              </w:rPr>
              <w:t>HCHS Overall Index</w:t>
            </w:r>
          </w:p>
        </w:tc>
        <w:tc>
          <w:tcPr>
            <w:tcW w:w="992" w:type="dxa"/>
            <w:tcBorders>
              <w:top w:val="single" w:sz="24" w:space="0" w:color="auto"/>
              <w:left w:val="single" w:sz="8" w:space="0" w:color="auto"/>
              <w:bottom w:val="single" w:sz="24" w:space="0" w:color="auto"/>
              <w:right w:val="single" w:sz="24" w:space="0" w:color="auto"/>
            </w:tcBorders>
            <w:vAlign w:val="bottom"/>
          </w:tcPr>
          <w:p w:rsidR="002B66BE" w:rsidRDefault="002B66BE" w:rsidP="002B66BE">
            <w:pPr>
              <w:rPr>
                <w:rFonts w:cs="Arial"/>
                <w:b/>
                <w:bCs/>
                <w:color w:val="000000"/>
                <w:szCs w:val="20"/>
              </w:rPr>
            </w:pPr>
            <w:r>
              <w:rPr>
                <w:rFonts w:cs="Arial"/>
                <w:b/>
                <w:bCs/>
                <w:color w:val="000000"/>
                <w:szCs w:val="20"/>
              </w:rPr>
              <w:t>NRAC HCHS Share</w:t>
            </w:r>
          </w:p>
        </w:tc>
      </w:tr>
      <w:tr w:rsidR="002B66BE" w:rsidRPr="00FE4172" w:rsidTr="002B66BE">
        <w:trPr>
          <w:trHeight w:val="255"/>
        </w:trPr>
        <w:tc>
          <w:tcPr>
            <w:tcW w:w="1809" w:type="dxa"/>
            <w:tcBorders>
              <w:top w:val="single" w:sz="24"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Ayrshire &amp; Arran</w:t>
            </w:r>
          </w:p>
        </w:tc>
        <w:tc>
          <w:tcPr>
            <w:tcW w:w="993" w:type="dxa"/>
            <w:tcBorders>
              <w:top w:val="single" w:sz="24"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0.997</w:t>
            </w:r>
          </w:p>
        </w:tc>
        <w:tc>
          <w:tcPr>
            <w:tcW w:w="992" w:type="dxa"/>
            <w:tcBorders>
              <w:top w:val="single" w:sz="24"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0.996</w:t>
            </w:r>
          </w:p>
        </w:tc>
        <w:tc>
          <w:tcPr>
            <w:tcW w:w="992" w:type="dxa"/>
            <w:tcBorders>
              <w:top w:val="single" w:sz="24"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0.997</w:t>
            </w:r>
          </w:p>
        </w:tc>
        <w:tc>
          <w:tcPr>
            <w:tcW w:w="1134" w:type="dxa"/>
            <w:tcBorders>
              <w:top w:val="single" w:sz="24"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0.999</w:t>
            </w:r>
          </w:p>
        </w:tc>
        <w:tc>
          <w:tcPr>
            <w:tcW w:w="992" w:type="dxa"/>
            <w:tcBorders>
              <w:top w:val="single" w:sz="24"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0.994</w:t>
            </w:r>
          </w:p>
        </w:tc>
        <w:tc>
          <w:tcPr>
            <w:tcW w:w="993" w:type="dxa"/>
            <w:tcBorders>
              <w:top w:val="single" w:sz="24"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1.084</w:t>
            </w:r>
          </w:p>
        </w:tc>
        <w:tc>
          <w:tcPr>
            <w:tcW w:w="992" w:type="dxa"/>
            <w:tcBorders>
              <w:top w:val="single" w:sz="24"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7.41%</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Borders</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1.006</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1.005</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1.004</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1.012</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1.014</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1.006</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2.13%</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Fife</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0.993</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0.993</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0.982</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0.979</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0.986</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0.997</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6.83%</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Greater Glasgow &amp; Clyde</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0.990</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0.989</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0.990</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0.984</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0.984</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1.036</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22.11%</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Highland</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1.055</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1.056</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1.106</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1.127</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1.104</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1.113</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6.61%</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Lanarkshire</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0.989</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0.989</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0.983</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0.978</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0.984</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1.015</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12.31%</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Grampian</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1.001</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1.000</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1.007</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1.008</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1.002</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0.901</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9.93%</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Orkney</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1.172</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1.172</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1.101</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1.263</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1.193</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1.211</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0.49%</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Lothian</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0.992</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0.991</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0.989</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0.985</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0.986</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0.906</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14.78%</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Tayside</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0.997</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0.996</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0.999</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0.997</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0.997</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1.014</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7.86%</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Forth Valley</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0.992</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0.991</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0.984</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0.981</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0.988</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0.960</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5.41%</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Western Isles</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1.171</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1.170</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1.100</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1.262</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1.212</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1.331</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0.66%</w:t>
            </w:r>
          </w:p>
        </w:tc>
      </w:tr>
      <w:tr w:rsidR="002B66BE" w:rsidRPr="00FE4172" w:rsidTr="002B66BE">
        <w:trPr>
          <w:trHeight w:val="255"/>
        </w:trPr>
        <w:tc>
          <w:tcPr>
            <w:tcW w:w="1809" w:type="dxa"/>
            <w:tcBorders>
              <w:top w:val="single" w:sz="8" w:space="0" w:color="auto"/>
              <w:left w:val="single" w:sz="24" w:space="0" w:color="auto"/>
              <w:bottom w:val="single" w:sz="8" w:space="0" w:color="auto"/>
              <w:right w:val="single" w:sz="24" w:space="0" w:color="auto"/>
            </w:tcBorders>
            <w:vAlign w:val="bottom"/>
          </w:tcPr>
          <w:p w:rsidR="002B66BE" w:rsidRDefault="002B66BE" w:rsidP="002B66BE">
            <w:pPr>
              <w:rPr>
                <w:rFonts w:cs="Arial"/>
                <w:szCs w:val="20"/>
              </w:rPr>
            </w:pPr>
            <w:r>
              <w:rPr>
                <w:rFonts w:cs="Arial"/>
                <w:szCs w:val="20"/>
              </w:rPr>
              <w:t>Dumfries &amp; Galloway</w:t>
            </w:r>
          </w:p>
        </w:tc>
        <w:tc>
          <w:tcPr>
            <w:tcW w:w="993" w:type="dxa"/>
            <w:tcBorders>
              <w:top w:val="single" w:sz="8" w:space="0" w:color="auto"/>
              <w:left w:val="single" w:sz="24" w:space="0" w:color="auto"/>
              <w:bottom w:val="single" w:sz="8"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1.007</w:t>
            </w:r>
          </w:p>
        </w:tc>
        <w:tc>
          <w:tcPr>
            <w:tcW w:w="992" w:type="dxa"/>
            <w:tcBorders>
              <w:top w:val="single" w:sz="8" w:space="0" w:color="auto"/>
              <w:left w:val="dashed" w:sz="4" w:space="0" w:color="auto"/>
              <w:bottom w:val="single" w:sz="8"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1.006</w:t>
            </w:r>
          </w:p>
        </w:tc>
        <w:tc>
          <w:tcPr>
            <w:tcW w:w="992" w:type="dxa"/>
            <w:tcBorders>
              <w:top w:val="single" w:sz="8" w:space="0" w:color="auto"/>
              <w:left w:val="single" w:sz="8" w:space="0" w:color="auto"/>
              <w:bottom w:val="single" w:sz="8" w:space="0" w:color="auto"/>
              <w:right w:val="single" w:sz="8" w:space="0" w:color="auto"/>
            </w:tcBorders>
            <w:vAlign w:val="bottom"/>
          </w:tcPr>
          <w:p w:rsidR="002B66BE" w:rsidRDefault="002B66BE" w:rsidP="002B66BE">
            <w:pPr>
              <w:jc w:val="center"/>
              <w:rPr>
                <w:rFonts w:cs="Arial"/>
                <w:szCs w:val="20"/>
              </w:rPr>
            </w:pPr>
            <w:r>
              <w:rPr>
                <w:rFonts w:cs="Arial"/>
                <w:szCs w:val="20"/>
              </w:rPr>
              <w:t>1.022</w:t>
            </w:r>
          </w:p>
        </w:tc>
        <w:tc>
          <w:tcPr>
            <w:tcW w:w="1134"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center"/>
              <w:rPr>
                <w:rFonts w:cs="Arial"/>
                <w:szCs w:val="20"/>
              </w:rPr>
            </w:pPr>
            <w:r>
              <w:rPr>
                <w:rFonts w:cs="Arial"/>
                <w:szCs w:val="20"/>
              </w:rPr>
              <w:t>1.026</w:t>
            </w:r>
          </w:p>
        </w:tc>
        <w:tc>
          <w:tcPr>
            <w:tcW w:w="992" w:type="dxa"/>
            <w:tcBorders>
              <w:top w:val="single" w:sz="8" w:space="0" w:color="auto"/>
              <w:left w:val="single" w:sz="24" w:space="0" w:color="auto"/>
              <w:bottom w:val="single" w:sz="8" w:space="0" w:color="auto"/>
              <w:right w:val="single" w:sz="8" w:space="0" w:color="auto"/>
            </w:tcBorders>
            <w:vAlign w:val="bottom"/>
          </w:tcPr>
          <w:p w:rsidR="002B66BE" w:rsidRDefault="002B66BE" w:rsidP="002B66BE">
            <w:pPr>
              <w:jc w:val="right"/>
              <w:rPr>
                <w:rFonts w:cs="Arial"/>
                <w:szCs w:val="20"/>
              </w:rPr>
            </w:pPr>
            <w:r>
              <w:rPr>
                <w:rFonts w:cs="Arial"/>
                <w:szCs w:val="20"/>
              </w:rPr>
              <w:t>1.018</w:t>
            </w:r>
          </w:p>
        </w:tc>
        <w:tc>
          <w:tcPr>
            <w:tcW w:w="993" w:type="dxa"/>
            <w:tcBorders>
              <w:top w:val="single" w:sz="8" w:space="0" w:color="auto"/>
              <w:left w:val="single" w:sz="24" w:space="0" w:color="auto"/>
              <w:bottom w:val="single" w:sz="8"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1.083</w:t>
            </w:r>
          </w:p>
        </w:tc>
        <w:tc>
          <w:tcPr>
            <w:tcW w:w="992" w:type="dxa"/>
            <w:tcBorders>
              <w:top w:val="single" w:sz="8" w:space="0" w:color="auto"/>
              <w:left w:val="single" w:sz="8" w:space="0" w:color="auto"/>
              <w:bottom w:val="single" w:sz="8" w:space="0" w:color="auto"/>
              <w:right w:val="single" w:sz="24" w:space="0" w:color="auto"/>
            </w:tcBorders>
            <w:vAlign w:val="bottom"/>
          </w:tcPr>
          <w:p w:rsidR="002B66BE" w:rsidRDefault="002B66BE" w:rsidP="002B66BE">
            <w:pPr>
              <w:jc w:val="right"/>
              <w:rPr>
                <w:rFonts w:cs="Arial"/>
                <w:szCs w:val="20"/>
              </w:rPr>
            </w:pPr>
            <w:r>
              <w:rPr>
                <w:rFonts w:cs="Arial"/>
                <w:szCs w:val="20"/>
              </w:rPr>
              <w:t>2.98%</w:t>
            </w:r>
          </w:p>
        </w:tc>
      </w:tr>
      <w:tr w:rsidR="002B66BE" w:rsidRPr="00FE4172" w:rsidTr="002B66BE">
        <w:trPr>
          <w:trHeight w:val="270"/>
        </w:trPr>
        <w:tc>
          <w:tcPr>
            <w:tcW w:w="1809" w:type="dxa"/>
            <w:tcBorders>
              <w:top w:val="single" w:sz="8" w:space="0" w:color="auto"/>
              <w:left w:val="single" w:sz="24" w:space="0" w:color="auto"/>
              <w:bottom w:val="single" w:sz="24" w:space="0" w:color="auto"/>
              <w:right w:val="single" w:sz="24" w:space="0" w:color="auto"/>
            </w:tcBorders>
            <w:vAlign w:val="bottom"/>
          </w:tcPr>
          <w:p w:rsidR="002B66BE" w:rsidRDefault="002B66BE" w:rsidP="002B66BE">
            <w:pPr>
              <w:rPr>
                <w:rFonts w:cs="Arial"/>
                <w:szCs w:val="20"/>
              </w:rPr>
            </w:pPr>
            <w:r>
              <w:rPr>
                <w:rFonts w:cs="Arial"/>
                <w:szCs w:val="20"/>
              </w:rPr>
              <w:t>Shetland</w:t>
            </w:r>
          </w:p>
        </w:tc>
        <w:tc>
          <w:tcPr>
            <w:tcW w:w="993" w:type="dxa"/>
            <w:tcBorders>
              <w:top w:val="single" w:sz="8" w:space="0" w:color="auto"/>
              <w:left w:val="single" w:sz="24" w:space="0" w:color="auto"/>
              <w:bottom w:val="single" w:sz="24" w:space="0" w:color="auto"/>
              <w:right w:val="dashed" w:sz="4"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1.177</w:t>
            </w:r>
          </w:p>
        </w:tc>
        <w:tc>
          <w:tcPr>
            <w:tcW w:w="992" w:type="dxa"/>
            <w:tcBorders>
              <w:top w:val="single" w:sz="8" w:space="0" w:color="auto"/>
              <w:left w:val="dashed" w:sz="4" w:space="0" w:color="auto"/>
              <w:bottom w:val="single" w:sz="24" w:space="0" w:color="auto"/>
              <w:right w:val="single" w:sz="8" w:space="0" w:color="auto"/>
            </w:tcBorders>
            <w:shd w:val="clear" w:color="auto" w:fill="D9D9D9" w:themeFill="background1" w:themeFillShade="D9"/>
            <w:vAlign w:val="bottom"/>
          </w:tcPr>
          <w:p w:rsidR="002B66BE" w:rsidRDefault="002B66BE" w:rsidP="002B66BE">
            <w:pPr>
              <w:jc w:val="center"/>
              <w:rPr>
                <w:rFonts w:cs="Arial"/>
                <w:szCs w:val="20"/>
              </w:rPr>
            </w:pPr>
            <w:r>
              <w:rPr>
                <w:rFonts w:cs="Arial"/>
                <w:szCs w:val="20"/>
              </w:rPr>
              <w:t>1.176</w:t>
            </w:r>
          </w:p>
        </w:tc>
        <w:tc>
          <w:tcPr>
            <w:tcW w:w="992" w:type="dxa"/>
            <w:tcBorders>
              <w:top w:val="single" w:sz="8" w:space="0" w:color="auto"/>
              <w:left w:val="single" w:sz="8" w:space="0" w:color="auto"/>
              <w:bottom w:val="single" w:sz="24" w:space="0" w:color="auto"/>
              <w:right w:val="single" w:sz="8" w:space="0" w:color="auto"/>
            </w:tcBorders>
            <w:vAlign w:val="bottom"/>
          </w:tcPr>
          <w:p w:rsidR="002B66BE" w:rsidRDefault="002B66BE" w:rsidP="002B66BE">
            <w:pPr>
              <w:jc w:val="center"/>
              <w:rPr>
                <w:rFonts w:cs="Arial"/>
                <w:szCs w:val="20"/>
              </w:rPr>
            </w:pPr>
            <w:r>
              <w:rPr>
                <w:rFonts w:cs="Arial"/>
                <w:szCs w:val="20"/>
              </w:rPr>
              <w:t>1.105</w:t>
            </w:r>
          </w:p>
        </w:tc>
        <w:tc>
          <w:tcPr>
            <w:tcW w:w="1134" w:type="dxa"/>
            <w:tcBorders>
              <w:top w:val="single" w:sz="8" w:space="0" w:color="auto"/>
              <w:left w:val="single" w:sz="8" w:space="0" w:color="auto"/>
              <w:bottom w:val="single" w:sz="24" w:space="0" w:color="auto"/>
              <w:right w:val="single" w:sz="24" w:space="0" w:color="auto"/>
            </w:tcBorders>
            <w:vAlign w:val="bottom"/>
          </w:tcPr>
          <w:p w:rsidR="002B66BE" w:rsidRDefault="002B66BE" w:rsidP="002B66BE">
            <w:pPr>
              <w:jc w:val="center"/>
              <w:rPr>
                <w:rFonts w:cs="Arial"/>
                <w:szCs w:val="20"/>
              </w:rPr>
            </w:pPr>
            <w:r>
              <w:rPr>
                <w:rFonts w:cs="Arial"/>
                <w:szCs w:val="20"/>
              </w:rPr>
              <w:t>1.268</w:t>
            </w:r>
          </w:p>
        </w:tc>
        <w:tc>
          <w:tcPr>
            <w:tcW w:w="992" w:type="dxa"/>
            <w:tcBorders>
              <w:top w:val="single" w:sz="8" w:space="0" w:color="auto"/>
              <w:left w:val="single" w:sz="24" w:space="0" w:color="auto"/>
              <w:bottom w:val="single" w:sz="24" w:space="0" w:color="auto"/>
              <w:right w:val="single" w:sz="8" w:space="0" w:color="auto"/>
            </w:tcBorders>
            <w:vAlign w:val="bottom"/>
          </w:tcPr>
          <w:p w:rsidR="002B66BE" w:rsidRDefault="002B66BE" w:rsidP="002B66BE">
            <w:pPr>
              <w:jc w:val="right"/>
              <w:rPr>
                <w:rFonts w:cs="Arial"/>
                <w:szCs w:val="20"/>
              </w:rPr>
            </w:pPr>
            <w:r>
              <w:rPr>
                <w:rFonts w:cs="Arial"/>
                <w:szCs w:val="20"/>
              </w:rPr>
              <w:t>1.206</w:t>
            </w:r>
          </w:p>
        </w:tc>
        <w:tc>
          <w:tcPr>
            <w:tcW w:w="993" w:type="dxa"/>
            <w:tcBorders>
              <w:top w:val="single" w:sz="8" w:space="0" w:color="auto"/>
              <w:left w:val="single" w:sz="24" w:space="0" w:color="auto"/>
              <w:bottom w:val="single" w:sz="24" w:space="0" w:color="auto"/>
              <w:right w:val="single" w:sz="8" w:space="0" w:color="auto"/>
            </w:tcBorders>
            <w:vAlign w:val="bottom"/>
          </w:tcPr>
          <w:p w:rsidR="002B66BE" w:rsidRPr="00630796" w:rsidRDefault="002B66BE" w:rsidP="002B66BE">
            <w:pPr>
              <w:jc w:val="right"/>
              <w:rPr>
                <w:rFonts w:cs="Arial"/>
                <w:bCs/>
                <w:szCs w:val="20"/>
              </w:rPr>
            </w:pPr>
            <w:r w:rsidRPr="00630796">
              <w:rPr>
                <w:rFonts w:cs="Arial"/>
                <w:bCs/>
                <w:szCs w:val="20"/>
              </w:rPr>
              <w:t>1.140</w:t>
            </w:r>
          </w:p>
        </w:tc>
        <w:tc>
          <w:tcPr>
            <w:tcW w:w="992" w:type="dxa"/>
            <w:tcBorders>
              <w:top w:val="single" w:sz="8" w:space="0" w:color="auto"/>
              <w:left w:val="single" w:sz="8" w:space="0" w:color="auto"/>
              <w:bottom w:val="single" w:sz="24" w:space="0" w:color="auto"/>
              <w:right w:val="single" w:sz="24" w:space="0" w:color="auto"/>
            </w:tcBorders>
            <w:vAlign w:val="bottom"/>
          </w:tcPr>
          <w:p w:rsidR="002B66BE" w:rsidRDefault="002B66BE" w:rsidP="002B66BE">
            <w:pPr>
              <w:jc w:val="right"/>
              <w:rPr>
                <w:rFonts w:cs="Arial"/>
                <w:szCs w:val="20"/>
              </w:rPr>
            </w:pPr>
            <w:r>
              <w:rPr>
                <w:rFonts w:cs="Arial"/>
                <w:szCs w:val="20"/>
              </w:rPr>
              <w:t>0.49%</w:t>
            </w:r>
          </w:p>
        </w:tc>
      </w:tr>
    </w:tbl>
    <w:p w:rsidR="002B66BE" w:rsidRDefault="002B66BE" w:rsidP="002B66BE">
      <w:r>
        <w:t xml:space="preserve"> </w:t>
      </w:r>
    </w:p>
    <w:p w:rsidR="00C514CC" w:rsidRDefault="00C514CC" w:rsidP="002B66BE">
      <w:r>
        <w:t>This appears to stabilise the formula while retaining the very small category 8. It is still possible that the small size of this category could cause further instabilities in the future in other care programmes. For completeness, we look at this issue in the next section.</w:t>
      </w:r>
    </w:p>
    <w:p w:rsidR="00A371C8" w:rsidRDefault="00A371C8" w:rsidP="00A371C8">
      <w:pPr>
        <w:pStyle w:val="Heading2"/>
      </w:pPr>
      <w:r>
        <w:t xml:space="preserve">4. </w:t>
      </w:r>
      <w:r w:rsidR="00865846">
        <w:t xml:space="preserve">Reconsidering the Urban-Rural classification </w:t>
      </w:r>
    </w:p>
    <w:p w:rsidR="00E62524" w:rsidRPr="000065D5" w:rsidRDefault="00E62524" w:rsidP="00E62524">
      <w:r>
        <w:t xml:space="preserve">As a result of the 2012 Remote &amp; Rural Review (Paper TAGRA(2012)012), the previous 10-fold Urban-Rural classification was replaced by </w:t>
      </w:r>
      <w:r w:rsidR="00BE4D54">
        <w:t>the</w:t>
      </w:r>
      <w:r>
        <w:t xml:space="preserve"> 8-fold classification </w:t>
      </w:r>
      <w:r w:rsidR="00BE4D54">
        <w:t xml:space="preserve">in </w:t>
      </w:r>
      <w:r>
        <w:t>Table 1</w:t>
      </w:r>
      <w:r w:rsidR="00BE4D54">
        <w:t xml:space="preserve">. This was done by reorganising the categories for ‘very remote’ areas: the 10-fold classification had distinguished between towns and rural communities, and between mainland and island geographies, resulting in four ‘very remote’ categories; whereas in the 8-fold classification, the only distinction within ‘very remote’ areas is between SDIA and non-SDIA areas, i.e. </w:t>
      </w:r>
      <w:r w:rsidR="004B6322">
        <w:t xml:space="preserve">just </w:t>
      </w:r>
      <w:r w:rsidR="00BE4D54">
        <w:t>two categories.</w:t>
      </w:r>
      <w:r>
        <w:t xml:space="preserve"> </w:t>
      </w:r>
      <w:r w:rsidR="00BE4D54">
        <w:t>The SDIA category (category 8)</w:t>
      </w:r>
      <w:r w:rsidR="004B6322">
        <w:t>,</w:t>
      </w:r>
      <w:r w:rsidR="00BE4D54">
        <w:t xml:space="preserve"> </w:t>
      </w:r>
      <w:r w:rsidR="004B6322">
        <w:t xml:space="preserve">however, </w:t>
      </w:r>
      <w:r w:rsidR="00BE4D54">
        <w:t xml:space="preserve">was much smaller in terms of population than any of the previous categories. </w:t>
      </w:r>
      <w:r w:rsidR="004B6322">
        <w:t>T</w:t>
      </w:r>
      <w:r>
        <w:t xml:space="preserve">he review found that the unit costs in category 8 were significantly different from those in other areas, including similarly </w:t>
      </w:r>
      <w:r w:rsidR="00BE4D54">
        <w:t xml:space="preserve">very </w:t>
      </w:r>
      <w:r>
        <w:t xml:space="preserve">remote areas, </w:t>
      </w:r>
      <w:r w:rsidR="00BE4D54">
        <w:t>justifying</w:t>
      </w:r>
      <w:r>
        <w:t xml:space="preserve"> the creation of this </w:t>
      </w:r>
      <w:r w:rsidR="00BE4D54">
        <w:t xml:space="preserve">very </w:t>
      </w:r>
      <w:r>
        <w:t>small category.</w:t>
      </w:r>
    </w:p>
    <w:p w:rsidR="00E62524" w:rsidRPr="002D34FE" w:rsidRDefault="00BE4D54" w:rsidP="00E62524">
      <w:r>
        <w:t>Since the small size of category 8 is part of the reason for the COTE Excess Costs instability,</w:t>
      </w:r>
      <w:r w:rsidR="00E62524">
        <w:t xml:space="preserve"> a</w:t>
      </w:r>
      <w:r w:rsidR="000258D6">
        <w:t>s</w:t>
      </w:r>
      <w:r w:rsidR="00E62524">
        <w:t xml:space="preserve"> part of the</w:t>
      </w:r>
      <w:r w:rsidR="000258D6">
        <w:t xml:space="preserve"> work to resolve this issue</w:t>
      </w:r>
      <w:r w:rsidR="00E62524">
        <w:t xml:space="preserve">, </w:t>
      </w:r>
      <w:r w:rsidR="00C514CC">
        <w:t>it is reasonable to reconsider the structure of the UR</w:t>
      </w:r>
      <w:r w:rsidR="00E62524">
        <w:t xml:space="preserve"> </w:t>
      </w:r>
      <w:r w:rsidR="004B6322">
        <w:t>classification</w:t>
      </w:r>
      <w:r w:rsidR="00E62524">
        <w:t xml:space="preserve">. </w:t>
      </w:r>
    </w:p>
    <w:p w:rsidR="00E62524" w:rsidRDefault="009370BA" w:rsidP="00E62524">
      <w:pPr>
        <w:pStyle w:val="Heading3"/>
      </w:pPr>
      <w:r>
        <w:lastRenderedPageBreak/>
        <w:t>4.1</w:t>
      </w:r>
      <w:r w:rsidR="00E62524">
        <w:t xml:space="preserve"> Do the 2012 conclusions still hold? </w:t>
      </w:r>
    </w:p>
    <w:p w:rsidR="000F2789" w:rsidRDefault="00865846" w:rsidP="00E62524">
      <w:r>
        <w:t xml:space="preserve">To re-test the conclusions of the 2012 report, </w:t>
      </w:r>
      <w:r w:rsidR="000F2789">
        <w:t xml:space="preserve">Excess Cost indices </w:t>
      </w:r>
      <w:r>
        <w:t>have been</w:t>
      </w:r>
      <w:r w:rsidR="000F2789">
        <w:t xml:space="preserve"> calculated by care programme for each of the eight UR categories, using three different 3-year windows of data: (2009/10, 2010/11 and 2011/12); (2011/12, 2012/13 and 2013/14); and (2012/13, 2013/14 and 2014/15). Confidence intervals were calculated in order to evaluate whether the indices for categories 5 (very remote non-SDIA areas) and 8 (SDIA areas) were significantly different.</w:t>
      </w:r>
      <w:r>
        <w:t xml:space="preserve"> The results were as follows:</w:t>
      </w:r>
    </w:p>
    <w:p w:rsidR="000F2789" w:rsidRDefault="009370BA" w:rsidP="000F2789">
      <w:pPr>
        <w:pStyle w:val="ListParagraph"/>
        <w:numPr>
          <w:ilvl w:val="0"/>
          <w:numId w:val="2"/>
        </w:numPr>
      </w:pPr>
      <w:r>
        <w:t xml:space="preserve">For Acute, </w:t>
      </w:r>
      <w:r w:rsidR="000F2789">
        <w:t>the indices were</w:t>
      </w:r>
      <w:r w:rsidR="00E62524">
        <w:t xml:space="preserve"> not significantly diffe</w:t>
      </w:r>
      <w:r>
        <w:t>rent using the most recent data</w:t>
      </w:r>
      <w:r w:rsidR="000F2789">
        <w:t xml:space="preserve"> (2012/13, 2013/14 and 2014/15)</w:t>
      </w:r>
      <w:r w:rsidR="00E62524">
        <w:t xml:space="preserve">. </w:t>
      </w:r>
      <w:r w:rsidR="00327203">
        <w:t>For the other time windows they were significantly different.</w:t>
      </w:r>
    </w:p>
    <w:p w:rsidR="000F2789" w:rsidRDefault="000F2789" w:rsidP="000F2789">
      <w:pPr>
        <w:pStyle w:val="ListParagraph"/>
        <w:numPr>
          <w:ilvl w:val="0"/>
          <w:numId w:val="2"/>
        </w:numPr>
      </w:pPr>
      <w:r>
        <w:t>For Mental Health &amp; Learning Difficulties, the indices were significantly different using data from (2011/12, 2012/13 and 2013/14) and (2012/13, 2013/14 and 2014/15). However, counter-intuitively, category 5’s ratio was higher than that of category 8</w:t>
      </w:r>
      <w:r w:rsidR="00865846">
        <w:t xml:space="preserve"> during these windows</w:t>
      </w:r>
      <w:r>
        <w:t>. The indices were not significantly different using data from (2009/10, 2010/11 and 2011/12).</w:t>
      </w:r>
    </w:p>
    <w:p w:rsidR="00327203" w:rsidRDefault="00327203" w:rsidP="00327203">
      <w:pPr>
        <w:pStyle w:val="ListParagraph"/>
        <w:numPr>
          <w:ilvl w:val="0"/>
          <w:numId w:val="2"/>
        </w:numPr>
      </w:pPr>
      <w:r>
        <w:t>For Maternity, the indices were only significantly different using data from (2009/10, 2010/11 and 2011/12).</w:t>
      </w:r>
    </w:p>
    <w:p w:rsidR="00327203" w:rsidRDefault="009370BA" w:rsidP="00327203">
      <w:pPr>
        <w:pStyle w:val="ListParagraph"/>
        <w:numPr>
          <w:ilvl w:val="0"/>
          <w:numId w:val="2"/>
        </w:numPr>
      </w:pPr>
      <w:r>
        <w:t xml:space="preserve">COTE has </w:t>
      </w:r>
      <w:r w:rsidR="00327203">
        <w:t>too few</w:t>
      </w:r>
      <w:r>
        <w:t xml:space="preserve"> observations </w:t>
      </w:r>
      <w:r w:rsidR="00327203">
        <w:t>in category 8 for</w:t>
      </w:r>
      <w:r>
        <w:t xml:space="preserve"> formal test</w:t>
      </w:r>
      <w:r w:rsidR="00865846">
        <w:t>ing</w:t>
      </w:r>
      <w:r>
        <w:t xml:space="preserve"> </w:t>
      </w:r>
      <w:r w:rsidR="00327203">
        <w:t xml:space="preserve">to be </w:t>
      </w:r>
      <w:r>
        <w:t xml:space="preserve">possible. </w:t>
      </w:r>
    </w:p>
    <w:p w:rsidR="00E62524" w:rsidRDefault="00E62524" w:rsidP="00E62524">
      <w:r>
        <w:t xml:space="preserve">Since the relative magnitudes of the unit costs in different urban-rural categories – even for Acute – appear to be somewhat unstable over time, particularly for category 5 in relation to others, it is possible that the finding in the Remote &amp; Rural review of significantly higher costs in category 8 compared to category 5 might have resulted from random fluctuations rather than a systematic and robust real difference. Given the very small size of these two categories, it is worth considering their potential contribution to instability in the Excess Costs indices and the possibility that an alternative classification might perform better. </w:t>
      </w:r>
    </w:p>
    <w:p w:rsidR="00E62524" w:rsidRDefault="00E62524" w:rsidP="00E62524">
      <w:pPr>
        <w:pStyle w:val="Heading3"/>
      </w:pPr>
      <w:r>
        <w:t>4.</w:t>
      </w:r>
      <w:r w:rsidR="00865846">
        <w:t>2</w:t>
      </w:r>
      <w:r>
        <w:t xml:space="preserve"> </w:t>
      </w:r>
      <w:r w:rsidR="00865846">
        <w:t>C</w:t>
      </w:r>
      <w:r>
        <w:t xml:space="preserve">luster </w:t>
      </w:r>
      <w:r w:rsidR="00865846">
        <w:t>analysis</w:t>
      </w:r>
    </w:p>
    <w:p w:rsidR="00865846" w:rsidRDefault="00865846" w:rsidP="00E62524">
      <w:r>
        <w:t xml:space="preserve">A hierarchical clustering </w:t>
      </w:r>
      <w:r w:rsidR="009C51E1">
        <w:t>method</w:t>
      </w:r>
      <w:r>
        <w:t xml:space="preserve"> was employed to investigate the natural </w:t>
      </w:r>
      <w:r w:rsidR="009C51E1">
        <w:t>structure</w:t>
      </w:r>
      <w:r>
        <w:t xml:space="preserve"> of the data zone-level cost ratios</w:t>
      </w:r>
      <w:r w:rsidR="009C51E1">
        <w:t>. This method could help to reveal</w:t>
      </w:r>
      <w:r>
        <w:t xml:space="preserve"> whether the current Urban-Rural classification </w:t>
      </w:r>
      <w:r w:rsidR="009C51E1">
        <w:t>truly groups together areas with similar unit costs</w:t>
      </w:r>
      <w:r>
        <w:t>, or whether a different grouping is suggested by the data.</w:t>
      </w:r>
    </w:p>
    <w:p w:rsidR="00E62524" w:rsidRDefault="009C51E1" w:rsidP="00E62524">
      <w:r>
        <w:t>W</w:t>
      </w:r>
      <w:r w:rsidR="00E62524">
        <w:t>e chose to investigate natural clustering only within UR categories 5 and 8. These categories are both classified as very remote, with SDIA allocations being</w:t>
      </w:r>
      <w:r>
        <w:t xml:space="preserve"> thought to be</w:t>
      </w:r>
      <w:r w:rsidR="00E62524">
        <w:t xml:space="preserve"> the main </w:t>
      </w:r>
      <w:r>
        <w:t xml:space="preserve">cause of unit cost </w:t>
      </w:r>
      <w:r w:rsidR="00E62524">
        <w:t>difference</w:t>
      </w:r>
      <w:r>
        <w:t>s</w:t>
      </w:r>
      <w:r w:rsidR="00E62524">
        <w:t xml:space="preserve">. </w:t>
      </w:r>
      <w:r>
        <w:t>Since</w:t>
      </w:r>
      <w:r w:rsidR="00E62524">
        <w:t xml:space="preserve"> their cost ratios are not </w:t>
      </w:r>
      <w:r>
        <w:t xml:space="preserve">always </w:t>
      </w:r>
      <w:r w:rsidR="00E62524">
        <w:t>significantly different</w:t>
      </w:r>
      <w:r>
        <w:t>, it is</w:t>
      </w:r>
      <w:r w:rsidR="00E62524">
        <w:t xml:space="preserve"> reasonable to consider the possibility of regrouping the data zones within these two categories to improve stability</w:t>
      </w:r>
      <w:r>
        <w:t>.</w:t>
      </w:r>
    </w:p>
    <w:p w:rsidR="00384401" w:rsidRDefault="009C51E1" w:rsidP="00A371C8">
      <w:r>
        <w:t xml:space="preserve">Using the hierarchical method to reduce the data zones into two or three clusters, </w:t>
      </w:r>
      <w:r w:rsidR="00E62524">
        <w:t xml:space="preserve">the clusters </w:t>
      </w:r>
      <w:r>
        <w:t>that emerge</w:t>
      </w:r>
      <w:r w:rsidR="00E62524">
        <w:t xml:space="preserve"> do not coincide well with the existing urban-rural categorisation</w:t>
      </w:r>
      <w:r>
        <w:t>, nor with the Scottish Government classification</w:t>
      </w:r>
      <w:r w:rsidR="00E62524">
        <w:t xml:space="preserve">. </w:t>
      </w:r>
      <w:r w:rsidR="00384401">
        <w:t xml:space="preserve">Separate analyses using Maternity, MH&amp;LD, and a combined Acute—COTE care programme find different clustering patterns for each care programme. </w:t>
      </w:r>
      <w:r w:rsidR="00E62524">
        <w:t>Presumably, also, different time periods</w:t>
      </w:r>
      <w:r w:rsidR="00384401">
        <w:t xml:space="preserve"> would give rise to different clusters</w:t>
      </w:r>
      <w:r w:rsidR="00E62524">
        <w:t xml:space="preserve">. </w:t>
      </w:r>
    </w:p>
    <w:p w:rsidR="00384401" w:rsidRDefault="00384401" w:rsidP="00384401">
      <w:pPr>
        <w:pStyle w:val="Heading3"/>
      </w:pPr>
      <w:r>
        <w:lastRenderedPageBreak/>
        <w:t>4.3 Discussion</w:t>
      </w:r>
    </w:p>
    <w:p w:rsidR="00A371C8" w:rsidRPr="00D619F2" w:rsidRDefault="00384401" w:rsidP="00A371C8">
      <w:r>
        <w:t>Since their cost ratios are not always significantly different, and category 8 does not always have higher unit costs than category 5, it is reasonable to consider the possibility of regrouping the data zones within these two categories to improve stability.</w:t>
      </w:r>
      <w:r w:rsidR="00E62524">
        <w:t xml:space="preserve"> </w:t>
      </w:r>
      <w:r>
        <w:t xml:space="preserve">Because the clustering analysis did not yield a consistent result, </w:t>
      </w:r>
      <w:r w:rsidR="00E62524">
        <w:t xml:space="preserve">the only reasonable </w:t>
      </w:r>
      <w:r>
        <w:t>suggestion</w:t>
      </w:r>
      <w:r w:rsidR="00E62524">
        <w:t xml:space="preserve"> would be to merge the two into a single category. </w:t>
      </w:r>
      <w:r>
        <w:t>This would help to further mitigate</w:t>
      </w:r>
      <w:r w:rsidR="00E62524">
        <w:t xml:space="preserve"> the potential instability inherent in the small size of category 8. On the other hand, the SDIA areas were separated out in the 2012 Remote &amp; Rural Review because of the known additional cost of paying SDIA to staff, in order to allow this additional cost to be picked up in the unit cost analysis. While this additional cost </w:t>
      </w:r>
      <w:r>
        <w:t xml:space="preserve">may </w:t>
      </w:r>
      <w:r w:rsidR="00E62524">
        <w:t xml:space="preserve">not </w:t>
      </w:r>
      <w:r>
        <w:t xml:space="preserve">necessarily </w:t>
      </w:r>
      <w:r w:rsidR="00E62524">
        <w:t xml:space="preserve">result in significantly </w:t>
      </w:r>
      <w:r>
        <w:t>higher</w:t>
      </w:r>
      <w:r w:rsidR="00E62524">
        <w:t xml:space="preserve"> overall unit costs for category 8 compared to category 5, the face validity of treating these areas separately would be lost if the two categories were merge</w:t>
      </w:r>
      <w:r>
        <w:t>d.</w:t>
      </w:r>
    </w:p>
    <w:p w:rsidR="00A371C8" w:rsidRDefault="00A371C8" w:rsidP="00A371C8">
      <w:pPr>
        <w:pStyle w:val="Heading2"/>
      </w:pPr>
      <w:r>
        <w:t xml:space="preserve">5. </w:t>
      </w:r>
      <w:r w:rsidR="00E62524">
        <w:t>Conclusions</w:t>
      </w:r>
    </w:p>
    <w:p w:rsidR="00E62524" w:rsidRDefault="00E62524" w:rsidP="00E62524">
      <w:r>
        <w:t>From the analysis in the preceding sections, the following recommendations are suggested to mitigate future instability in the Excess Cost index (particularly for COTE):</w:t>
      </w:r>
    </w:p>
    <w:p w:rsidR="00E62524" w:rsidRPr="00DA56EA" w:rsidRDefault="00E62524" w:rsidP="00E62524">
      <w:r>
        <w:t>1.</w:t>
      </w:r>
      <w:r w:rsidRPr="00DA56EA">
        <w:t xml:space="preserve"> </w:t>
      </w:r>
      <w:r>
        <w:t>M</w:t>
      </w:r>
      <w:r w:rsidRPr="00DA56EA">
        <w:t xml:space="preserve">erge </w:t>
      </w:r>
      <w:r>
        <w:t>COTE</w:t>
      </w:r>
      <w:r w:rsidRPr="00DA56EA">
        <w:t xml:space="preserve"> with Acute (for Excess Costs only).</w:t>
      </w:r>
      <w:r>
        <w:t xml:space="preserve"> This is straightforward to implement, and helps by avoiding excessive weight being applied to COTE in category 8 where the activity levels are now extremely low.</w:t>
      </w:r>
    </w:p>
    <w:p w:rsidR="00D619F2" w:rsidRPr="00E62524" w:rsidRDefault="00E62524" w:rsidP="00D619F2">
      <w:r>
        <w:t>2.</w:t>
      </w:r>
      <w:r w:rsidRPr="00DA56EA">
        <w:t xml:space="preserve"> Monitor Urban-Rural categories 5 and 8 in the future, to see</w:t>
      </w:r>
      <w:r>
        <w:t xml:space="preserve"> whether </w:t>
      </w:r>
      <w:r w:rsidR="001363DD">
        <w:t>there is a trend towards</w:t>
      </w:r>
      <w:r>
        <w:t xml:space="preserve"> not </w:t>
      </w:r>
      <w:r w:rsidRPr="00DA56EA">
        <w:t xml:space="preserve">significantly different </w:t>
      </w:r>
      <w:r w:rsidR="001363DD">
        <w:t>unit costs</w:t>
      </w:r>
      <w:r w:rsidRPr="00DA56EA">
        <w:t xml:space="preserve">. If so, </w:t>
      </w:r>
      <w:r>
        <w:t xml:space="preserve">and especially if further instability is encountered, </w:t>
      </w:r>
      <w:r w:rsidRPr="00DA56EA">
        <w:t>cons</w:t>
      </w:r>
      <w:r>
        <w:t>ider merging the two categories</w:t>
      </w:r>
      <w:r w:rsidRPr="00DA56EA">
        <w:t>.</w:t>
      </w:r>
    </w:p>
    <w:sectPr w:rsidR="00D619F2" w:rsidRPr="00E62524" w:rsidSect="00FD1CCE">
      <w:headerReference w:type="even" r:id="rId12"/>
      <w:headerReference w:type="default" r:id="rId13"/>
      <w:footerReference w:type="even" r:id="rId14"/>
      <w:footerReference w:type="default" r:id="rId15"/>
      <w:headerReference w:type="first" r:id="rId16"/>
      <w:footerReference w:type="first" r:id="rId17"/>
      <w:pgSz w:w="11906" w:h="16838"/>
      <w:pgMar w:top="109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DC" w:rsidRDefault="005134DC" w:rsidP="00D619F2">
      <w:pPr>
        <w:spacing w:after="0" w:line="240" w:lineRule="auto"/>
      </w:pPr>
      <w:r>
        <w:separator/>
      </w:r>
    </w:p>
  </w:endnote>
  <w:endnote w:type="continuationSeparator" w:id="0">
    <w:p w:rsidR="005134DC" w:rsidRDefault="005134DC" w:rsidP="00D6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DC" w:rsidRDefault="005134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432930"/>
      <w:docPartObj>
        <w:docPartGallery w:val="Page Numbers (Bottom of Page)"/>
        <w:docPartUnique/>
      </w:docPartObj>
    </w:sdtPr>
    <w:sdtEndPr>
      <w:rPr>
        <w:color w:val="7F7F7F" w:themeColor="background1" w:themeShade="7F"/>
        <w:spacing w:val="60"/>
      </w:rPr>
    </w:sdtEndPr>
    <w:sdtContent>
      <w:p w:rsidR="005134DC" w:rsidRDefault="005134DC">
        <w:pPr>
          <w:pStyle w:val="Footer"/>
          <w:pBdr>
            <w:top w:val="single" w:sz="4" w:space="1" w:color="D9D9D9" w:themeColor="background1" w:themeShade="D9"/>
          </w:pBdr>
          <w:rPr>
            <w:b/>
          </w:rPr>
        </w:pPr>
        <w:r>
          <w:rPr>
            <w:color w:val="7F7F7F" w:themeColor="background1" w:themeShade="7F"/>
            <w:spacing w:val="60"/>
          </w:rPr>
          <w:t>Page</w:t>
        </w:r>
        <w:r w:rsidRPr="00FD1CCE">
          <w:t xml:space="preserve"> </w:t>
        </w:r>
        <w:r>
          <w:fldChar w:fldCharType="begin"/>
        </w:r>
        <w:r>
          <w:instrText xml:space="preserve"> PAGE   \* MERGEFORMAT </w:instrText>
        </w:r>
        <w:r>
          <w:fldChar w:fldCharType="separate"/>
        </w:r>
        <w:r w:rsidR="00522695" w:rsidRPr="00522695">
          <w:rPr>
            <w:b/>
            <w:noProof/>
          </w:rPr>
          <w:t>8</w:t>
        </w:r>
        <w:r>
          <w:rPr>
            <w:b/>
            <w:noProof/>
          </w:rPr>
          <w:fldChar w:fldCharType="end"/>
        </w:r>
        <w:r>
          <w:rPr>
            <w:b/>
          </w:rPr>
          <w:t xml:space="preserve"> |</w:t>
        </w:r>
      </w:p>
    </w:sdtContent>
  </w:sdt>
  <w:p w:rsidR="005134DC" w:rsidRDefault="005134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DC" w:rsidRDefault="00513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DC" w:rsidRDefault="005134DC" w:rsidP="00D619F2">
      <w:pPr>
        <w:spacing w:after="0" w:line="240" w:lineRule="auto"/>
      </w:pPr>
      <w:r>
        <w:separator/>
      </w:r>
    </w:p>
  </w:footnote>
  <w:footnote w:type="continuationSeparator" w:id="0">
    <w:p w:rsidR="005134DC" w:rsidRDefault="005134DC" w:rsidP="00D619F2">
      <w:pPr>
        <w:spacing w:after="0" w:line="240" w:lineRule="auto"/>
      </w:pPr>
      <w:r>
        <w:continuationSeparator/>
      </w:r>
    </w:p>
  </w:footnote>
  <w:footnote w:id="1">
    <w:p w:rsidR="005134DC" w:rsidRDefault="005134DC" w:rsidP="00D71B4A">
      <w:pPr>
        <w:pStyle w:val="FootnoteText"/>
      </w:pPr>
      <w:r>
        <w:rPr>
          <w:rStyle w:val="FootnoteReference"/>
        </w:rPr>
        <w:footnoteRef/>
      </w:r>
      <w:r>
        <w:t xml:space="preserve"> As the care programmes were not merged for the Age-Sex and Morbidity and Life Circumstances (MLC) components, the final Excess Costs Indices for Acute and COTE differ slightly following rescaling.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DC" w:rsidRDefault="005134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DC" w:rsidRPr="002B0502" w:rsidRDefault="005134DC" w:rsidP="002B0502">
    <w:pPr>
      <w:tabs>
        <w:tab w:val="left" w:pos="720"/>
        <w:tab w:val="left" w:pos="1440"/>
        <w:tab w:val="left" w:pos="2160"/>
        <w:tab w:val="left" w:pos="2880"/>
        <w:tab w:val="center" w:pos="4513"/>
        <w:tab w:val="left" w:pos="4680"/>
        <w:tab w:val="left" w:pos="5400"/>
        <w:tab w:val="right" w:pos="9000"/>
        <w:tab w:val="right" w:pos="9026"/>
      </w:tabs>
      <w:spacing w:after="0" w:line="240" w:lineRule="auto"/>
      <w:jc w:val="both"/>
      <w:rPr>
        <w:rFonts w:ascii="Times New Roman" w:eastAsia="Times New Roman" w:hAnsi="Times New Roman"/>
        <w:i/>
        <w:sz w:val="24"/>
        <w:szCs w:val="20"/>
      </w:rPr>
    </w:pPr>
    <w:r w:rsidRPr="00E8798A">
      <w:rPr>
        <w:rFonts w:ascii="Times New Roman" w:eastAsia="Times New Roman" w:hAnsi="Times New Roman"/>
        <w:i/>
        <w:sz w:val="24"/>
        <w:szCs w:val="20"/>
      </w:rPr>
      <w:t xml:space="preserve">Fair Shares for Health in Scotland </w:t>
    </w:r>
    <w:r w:rsidRPr="00E8798A">
      <w:rPr>
        <w:rFonts w:ascii="Times New Roman" w:eastAsia="Times New Roman" w:hAnsi="Times New Roman"/>
        <w:i/>
        <w:sz w:val="24"/>
        <w:szCs w:val="20"/>
      </w:rPr>
      <w:tab/>
    </w:r>
    <w:r w:rsidRPr="00E8798A">
      <w:rPr>
        <w:rFonts w:ascii="Times New Roman" w:eastAsia="Times New Roman" w:hAnsi="Times New Roman"/>
        <w:i/>
        <w:sz w:val="24"/>
        <w:szCs w:val="20"/>
      </w:rPr>
      <w:tab/>
    </w:r>
    <w:r w:rsidRPr="00E8798A">
      <w:rPr>
        <w:rFonts w:ascii="Times New Roman" w:eastAsia="Times New Roman" w:hAnsi="Times New Roman"/>
        <w:i/>
        <w:sz w:val="24"/>
        <w:szCs w:val="20"/>
      </w:rPr>
      <w:tab/>
    </w:r>
    <w:r w:rsidRPr="00E8798A">
      <w:rPr>
        <w:rFonts w:ascii="Times New Roman" w:eastAsia="Times New Roman" w:hAnsi="Times New Roman"/>
        <w:i/>
        <w:sz w:val="24"/>
        <w:szCs w:val="20"/>
      </w:rPr>
      <w:tab/>
      <w:t>TAGRA(20</w:t>
    </w:r>
    <w:r>
      <w:rPr>
        <w:rFonts w:ascii="Times New Roman" w:eastAsia="Times New Roman" w:hAnsi="Times New Roman"/>
        <w:i/>
        <w:sz w:val="24"/>
        <w:szCs w:val="20"/>
      </w:rPr>
      <w:t>18</w:t>
    </w:r>
    <w:r w:rsidRPr="00E8798A">
      <w:rPr>
        <w:rFonts w:ascii="Times New Roman" w:eastAsia="Times New Roman" w:hAnsi="Times New Roman"/>
        <w:i/>
        <w:sz w:val="24"/>
        <w:szCs w:val="20"/>
      </w:rPr>
      <w:t>)</w:t>
    </w:r>
    <w:r>
      <w:rPr>
        <w:rFonts w:ascii="Times New Roman" w:eastAsia="Times New Roman" w:hAnsi="Times New Roman"/>
        <w:i/>
        <w:sz w:val="24"/>
        <w:szCs w:val="20"/>
      </w:rPr>
      <w:t>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4DC" w:rsidRDefault="005134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77A2"/>
    <w:multiLevelType w:val="hybridMultilevel"/>
    <w:tmpl w:val="741CB264"/>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4E0CAE"/>
    <w:multiLevelType w:val="hybridMultilevel"/>
    <w:tmpl w:val="2788D05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2D85722E"/>
    <w:multiLevelType w:val="hybridMultilevel"/>
    <w:tmpl w:val="62329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D31D66"/>
    <w:multiLevelType w:val="hybridMultilevel"/>
    <w:tmpl w:val="04C2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120796"/>
    <w:multiLevelType w:val="hybridMultilevel"/>
    <w:tmpl w:val="5C442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F1E238C"/>
    <w:multiLevelType w:val="hybridMultilevel"/>
    <w:tmpl w:val="450092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6E8520DC"/>
    <w:multiLevelType w:val="hybridMultilevel"/>
    <w:tmpl w:val="B66E1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02E2"/>
    <w:rsid w:val="00015809"/>
    <w:rsid w:val="000258D6"/>
    <w:rsid w:val="000C557D"/>
    <w:rsid w:val="000D2A7D"/>
    <w:rsid w:val="000D5297"/>
    <w:rsid w:val="000E051D"/>
    <w:rsid w:val="000F2789"/>
    <w:rsid w:val="00110A7F"/>
    <w:rsid w:val="001363DD"/>
    <w:rsid w:val="00146BA4"/>
    <w:rsid w:val="001C3182"/>
    <w:rsid w:val="0022767C"/>
    <w:rsid w:val="00232D06"/>
    <w:rsid w:val="002404E7"/>
    <w:rsid w:val="00256079"/>
    <w:rsid w:val="0026008A"/>
    <w:rsid w:val="002B0502"/>
    <w:rsid w:val="002B66BE"/>
    <w:rsid w:val="002C4D9F"/>
    <w:rsid w:val="002F1F4C"/>
    <w:rsid w:val="002F33C5"/>
    <w:rsid w:val="003058A1"/>
    <w:rsid w:val="00323E26"/>
    <w:rsid w:val="00327203"/>
    <w:rsid w:val="00377776"/>
    <w:rsid w:val="00384401"/>
    <w:rsid w:val="00434E95"/>
    <w:rsid w:val="00452BE7"/>
    <w:rsid w:val="004A0ED1"/>
    <w:rsid w:val="004B3C82"/>
    <w:rsid w:val="004B6322"/>
    <w:rsid w:val="005134DC"/>
    <w:rsid w:val="00521558"/>
    <w:rsid w:val="00522695"/>
    <w:rsid w:val="0057059E"/>
    <w:rsid w:val="005C1DB8"/>
    <w:rsid w:val="00606558"/>
    <w:rsid w:val="00623038"/>
    <w:rsid w:val="00665C2A"/>
    <w:rsid w:val="00744CC9"/>
    <w:rsid w:val="00797DD0"/>
    <w:rsid w:val="007A05C9"/>
    <w:rsid w:val="007F09DA"/>
    <w:rsid w:val="0080234A"/>
    <w:rsid w:val="00865846"/>
    <w:rsid w:val="008A057B"/>
    <w:rsid w:val="008A1EF6"/>
    <w:rsid w:val="008C4620"/>
    <w:rsid w:val="008C5B80"/>
    <w:rsid w:val="008E1AFC"/>
    <w:rsid w:val="0093329B"/>
    <w:rsid w:val="009370BA"/>
    <w:rsid w:val="009C1A9F"/>
    <w:rsid w:val="009C51E1"/>
    <w:rsid w:val="009F121A"/>
    <w:rsid w:val="00A26730"/>
    <w:rsid w:val="00A3593A"/>
    <w:rsid w:val="00A35A5A"/>
    <w:rsid w:val="00A371C8"/>
    <w:rsid w:val="00A612DA"/>
    <w:rsid w:val="00AB0728"/>
    <w:rsid w:val="00AB58BF"/>
    <w:rsid w:val="00AB702C"/>
    <w:rsid w:val="00AC6FC8"/>
    <w:rsid w:val="00AD7669"/>
    <w:rsid w:val="00B27327"/>
    <w:rsid w:val="00BD376D"/>
    <w:rsid w:val="00BE4D54"/>
    <w:rsid w:val="00BF1992"/>
    <w:rsid w:val="00C50BCA"/>
    <w:rsid w:val="00C514CC"/>
    <w:rsid w:val="00C5288F"/>
    <w:rsid w:val="00C702E2"/>
    <w:rsid w:val="00C72535"/>
    <w:rsid w:val="00C83911"/>
    <w:rsid w:val="00C95F9C"/>
    <w:rsid w:val="00CA28CB"/>
    <w:rsid w:val="00CE723B"/>
    <w:rsid w:val="00D32C8E"/>
    <w:rsid w:val="00D619F2"/>
    <w:rsid w:val="00D61AA9"/>
    <w:rsid w:val="00D71B4A"/>
    <w:rsid w:val="00D735F8"/>
    <w:rsid w:val="00D85C5F"/>
    <w:rsid w:val="00DC449B"/>
    <w:rsid w:val="00E01F9E"/>
    <w:rsid w:val="00E03EEA"/>
    <w:rsid w:val="00E62524"/>
    <w:rsid w:val="00E71C9F"/>
    <w:rsid w:val="00E741C5"/>
    <w:rsid w:val="00ED15A5"/>
    <w:rsid w:val="00ED4696"/>
    <w:rsid w:val="00F0183F"/>
    <w:rsid w:val="00F056F7"/>
    <w:rsid w:val="00F255C9"/>
    <w:rsid w:val="00F366EE"/>
    <w:rsid w:val="00F4067E"/>
    <w:rsid w:val="00F84CA8"/>
    <w:rsid w:val="00FD1CCE"/>
    <w:rsid w:val="00FE5B67"/>
    <w:rsid w:val="00FF2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9F2"/>
    <w:rPr>
      <w:rFonts w:ascii="Arial" w:eastAsia="Calibri" w:hAnsi="Arial" w:cs="Times New Roman"/>
    </w:rPr>
  </w:style>
  <w:style w:type="paragraph" w:styleId="Heading1">
    <w:name w:val="heading 1"/>
    <w:basedOn w:val="Normal"/>
    <w:link w:val="Heading1Char"/>
    <w:qFormat/>
    <w:rsid w:val="007A05C9"/>
    <w:pPr>
      <w:keepNext/>
      <w:keepLines/>
      <w:spacing w:after="4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619F2"/>
    <w:pPr>
      <w:keepNext/>
      <w:keepLines/>
      <w:spacing w:before="4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2767C"/>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22767C"/>
    <w:pPr>
      <w:outlineLvl w:val="3"/>
    </w:pPr>
    <w:rPr>
      <w:rFonts w:eastAsiaTheme="majorEastAsia" w:cstheme="majorBidi"/>
      <w:b/>
      <w:bCs/>
      <w:spacing w:val="5"/>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767C"/>
    <w:rPr>
      <w:rFonts w:ascii="Arial" w:eastAsiaTheme="majorEastAsia" w:hAnsi="Arial" w:cstheme="majorBidi"/>
      <w:b/>
      <w:bCs/>
    </w:rPr>
  </w:style>
  <w:style w:type="character" w:customStyle="1" w:styleId="Heading1Char">
    <w:name w:val="Heading 1 Char"/>
    <w:basedOn w:val="DefaultParagraphFont"/>
    <w:link w:val="Heading1"/>
    <w:rsid w:val="007A05C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D619F2"/>
    <w:rPr>
      <w:rFonts w:ascii="Arial" w:eastAsiaTheme="majorEastAsia" w:hAnsi="Arial" w:cstheme="majorBidi"/>
      <w:b/>
      <w:bCs/>
      <w:sz w:val="24"/>
      <w:szCs w:val="26"/>
    </w:rPr>
  </w:style>
  <w:style w:type="paragraph" w:styleId="CommentText">
    <w:name w:val="annotation text"/>
    <w:basedOn w:val="Normal"/>
    <w:link w:val="CommentTextChar"/>
    <w:uiPriority w:val="99"/>
    <w:semiHidden/>
    <w:unhideWhenUsed/>
    <w:rsid w:val="007A05C9"/>
    <w:pPr>
      <w:spacing w:line="240" w:lineRule="auto"/>
    </w:pPr>
    <w:rPr>
      <w:sz w:val="20"/>
      <w:szCs w:val="20"/>
    </w:rPr>
  </w:style>
  <w:style w:type="character" w:customStyle="1" w:styleId="CommentTextChar">
    <w:name w:val="Comment Text Char"/>
    <w:basedOn w:val="DefaultParagraphFont"/>
    <w:link w:val="CommentText"/>
    <w:uiPriority w:val="99"/>
    <w:semiHidden/>
    <w:rsid w:val="007A05C9"/>
    <w:rPr>
      <w:sz w:val="20"/>
      <w:szCs w:val="20"/>
    </w:rPr>
  </w:style>
  <w:style w:type="paragraph" w:styleId="Header">
    <w:name w:val="header"/>
    <w:basedOn w:val="Normal"/>
    <w:link w:val="HeaderChar"/>
    <w:uiPriority w:val="99"/>
    <w:unhideWhenUsed/>
    <w:rsid w:val="007A0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5C9"/>
  </w:style>
  <w:style w:type="paragraph" w:styleId="Footer">
    <w:name w:val="footer"/>
    <w:basedOn w:val="Normal"/>
    <w:link w:val="FooterChar"/>
    <w:uiPriority w:val="99"/>
    <w:unhideWhenUsed/>
    <w:rsid w:val="007A0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5C9"/>
  </w:style>
  <w:style w:type="character" w:styleId="CommentReference">
    <w:name w:val="annotation reference"/>
    <w:basedOn w:val="DefaultParagraphFont"/>
    <w:uiPriority w:val="99"/>
    <w:semiHidden/>
    <w:unhideWhenUsed/>
    <w:rsid w:val="007A05C9"/>
    <w:rPr>
      <w:sz w:val="16"/>
      <w:szCs w:val="16"/>
    </w:rPr>
  </w:style>
  <w:style w:type="paragraph" w:styleId="Title">
    <w:name w:val="Title"/>
    <w:basedOn w:val="Normal"/>
    <w:next w:val="Normal"/>
    <w:link w:val="TitleChar"/>
    <w:uiPriority w:val="10"/>
    <w:qFormat/>
    <w:rsid w:val="007A05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05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A05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5C9"/>
    <w:rPr>
      <w:rFonts w:asciiTheme="majorHAnsi" w:eastAsiaTheme="majorEastAsia" w:hAnsiTheme="majorHAnsi" w:cstheme="majorBidi"/>
      <w:i/>
      <w:iCs/>
      <w:color w:val="4F81BD" w:themeColor="accent1"/>
      <w:spacing w:val="15"/>
      <w:sz w:val="24"/>
      <w:szCs w:val="24"/>
    </w:rPr>
  </w:style>
  <w:style w:type="paragraph" w:styleId="CommentSubject">
    <w:name w:val="annotation subject"/>
    <w:basedOn w:val="CommentText"/>
    <w:next w:val="CommentText"/>
    <w:link w:val="CommentSubjectChar"/>
    <w:uiPriority w:val="99"/>
    <w:semiHidden/>
    <w:unhideWhenUsed/>
    <w:rsid w:val="007A05C9"/>
    <w:rPr>
      <w:b/>
      <w:bCs/>
    </w:rPr>
  </w:style>
  <w:style w:type="character" w:customStyle="1" w:styleId="CommentSubjectChar">
    <w:name w:val="Comment Subject Char"/>
    <w:basedOn w:val="CommentTextChar"/>
    <w:link w:val="CommentSubject"/>
    <w:uiPriority w:val="99"/>
    <w:semiHidden/>
    <w:rsid w:val="007A05C9"/>
    <w:rPr>
      <w:b/>
      <w:bCs/>
      <w:sz w:val="20"/>
      <w:szCs w:val="20"/>
    </w:rPr>
  </w:style>
  <w:style w:type="paragraph" w:styleId="BalloonText">
    <w:name w:val="Balloon Text"/>
    <w:basedOn w:val="Normal"/>
    <w:link w:val="BalloonTextChar"/>
    <w:uiPriority w:val="99"/>
    <w:semiHidden/>
    <w:unhideWhenUsed/>
    <w:rsid w:val="007A0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5C9"/>
    <w:rPr>
      <w:rFonts w:ascii="Tahoma" w:hAnsi="Tahoma" w:cs="Tahoma"/>
      <w:sz w:val="16"/>
      <w:szCs w:val="16"/>
    </w:rPr>
  </w:style>
  <w:style w:type="paragraph" w:styleId="NoSpacing">
    <w:name w:val="No Spacing"/>
    <w:uiPriority w:val="1"/>
    <w:qFormat/>
    <w:rsid w:val="007A05C9"/>
    <w:pPr>
      <w:spacing w:after="0" w:line="240" w:lineRule="auto"/>
    </w:pPr>
  </w:style>
  <w:style w:type="paragraph" w:styleId="ListParagraph">
    <w:name w:val="List Paragraph"/>
    <w:basedOn w:val="Normal"/>
    <w:uiPriority w:val="34"/>
    <w:qFormat/>
    <w:rsid w:val="0022767C"/>
    <w:pPr>
      <w:spacing w:after="120"/>
      <w:ind w:left="720"/>
    </w:pPr>
  </w:style>
  <w:style w:type="table" w:styleId="TableGrid">
    <w:name w:val="Table Grid"/>
    <w:basedOn w:val="TableNormal"/>
    <w:uiPriority w:val="59"/>
    <w:rsid w:val="0022767C"/>
    <w:pPr>
      <w:spacing w:after="0" w:line="240" w:lineRule="auto"/>
    </w:pPr>
    <w:rPr>
      <w:rFonts w:ascii="Arial" w:hAnsi="Ari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22767C"/>
    <w:pPr>
      <w:spacing w:after="0" w:line="240" w:lineRule="auto"/>
    </w:pPr>
    <w:rPr>
      <w:rFonts w:eastAsiaTheme="majorEastAsia" w:cstheme="majorBidi"/>
      <w:bCs/>
      <w:i/>
      <w:sz w:val="20"/>
      <w:szCs w:val="18"/>
      <w:lang w:val="en-US" w:bidi="en-US"/>
    </w:rPr>
  </w:style>
  <w:style w:type="character" w:customStyle="1" w:styleId="Heading4Char">
    <w:name w:val="Heading 4 Char"/>
    <w:basedOn w:val="DefaultParagraphFont"/>
    <w:link w:val="Heading4"/>
    <w:uiPriority w:val="9"/>
    <w:rsid w:val="0022767C"/>
    <w:rPr>
      <w:rFonts w:ascii="Arial" w:eastAsiaTheme="majorEastAsia" w:hAnsi="Arial" w:cstheme="majorBidi"/>
      <w:b/>
      <w:bCs/>
      <w:spacing w:val="5"/>
      <w:szCs w:val="24"/>
      <w:lang w:val="en-US" w:bidi="en-US"/>
    </w:rPr>
  </w:style>
  <w:style w:type="paragraph" w:styleId="FootnoteText">
    <w:name w:val="footnote text"/>
    <w:basedOn w:val="Normal"/>
    <w:link w:val="FootnoteTextChar"/>
    <w:uiPriority w:val="99"/>
    <w:semiHidden/>
    <w:unhideWhenUsed/>
    <w:rsid w:val="00D71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B4A"/>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D71B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y%20documents\TAGRA%20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5E3C3F-9FAD-46FF-A710-7B8C3ABD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TAGRA paper template</Template>
  <TotalTime>67</TotalTime>
  <Pages>10</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Watt</dc:creator>
  <cp:lastModifiedBy>u414337</cp:lastModifiedBy>
  <cp:revision>10</cp:revision>
  <cp:lastPrinted>2018-05-16T08:30:00Z</cp:lastPrinted>
  <dcterms:created xsi:type="dcterms:W3CDTF">2018-05-29T15:21:00Z</dcterms:created>
  <dcterms:modified xsi:type="dcterms:W3CDTF">2018-05-30T09:59:00Z</dcterms:modified>
</cp:coreProperties>
</file>