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C0" w:rsidRDefault="00FC0AAC" w:rsidP="004217C0">
      <w:pPr>
        <w:jc w:val="center"/>
        <w:rPr>
          <w:b/>
        </w:rPr>
      </w:pPr>
      <w:r w:rsidRPr="00FC0AAC">
        <w:rPr>
          <w:b/>
        </w:rPr>
        <w:t>Discontinuation of the Clinic-Based Cost adjustment:</w:t>
      </w:r>
    </w:p>
    <w:p w:rsidR="00FC0AAC" w:rsidRPr="00FC0AAC" w:rsidRDefault="00FC0AAC" w:rsidP="004217C0">
      <w:pPr>
        <w:jc w:val="center"/>
        <w:rPr>
          <w:b/>
        </w:rPr>
      </w:pPr>
      <w:r>
        <w:rPr>
          <w:b/>
        </w:rPr>
        <w:t xml:space="preserve">Note </w:t>
      </w:r>
      <w:r w:rsidRPr="00FC0AAC">
        <w:rPr>
          <w:b/>
        </w:rPr>
        <w:t>for information and discussion</w:t>
      </w:r>
    </w:p>
    <w:p w:rsidR="00FC0AAC" w:rsidRDefault="00FC0AAC" w:rsidP="004217C0">
      <w:pPr>
        <w:pStyle w:val="ListParagraph"/>
        <w:ind w:left="0"/>
        <w:jc w:val="both"/>
      </w:pPr>
    </w:p>
    <w:p w:rsidR="00027C27" w:rsidRDefault="00C6113A" w:rsidP="004217C0">
      <w:pPr>
        <w:pStyle w:val="ListParagraph"/>
        <w:numPr>
          <w:ilvl w:val="0"/>
          <w:numId w:val="7"/>
        </w:numPr>
        <w:ind w:left="0" w:firstLine="0"/>
        <w:jc w:val="both"/>
      </w:pPr>
      <w:r>
        <w:t xml:space="preserve">The excess cost adjustment </w:t>
      </w:r>
      <w:r w:rsidR="00A567AB">
        <w:t xml:space="preserve">for the Community Care Programme is composed of two elements: a travel-based adjustment and a clinic-based adjustment.  The travel-based adjustment covers services which are travel intensive, e.g. district nursing and health visitors; the clinic-based adjustment covers other services such as immunisations.  The overall community care programme </w:t>
      </w:r>
      <w:r w:rsidR="00FC0AAC">
        <w:t xml:space="preserve">excess cost adjustment </w:t>
      </w:r>
      <w:r w:rsidR="00A567AB">
        <w:t>is the weighted combination of these two elements,</w:t>
      </w:r>
      <w:r w:rsidR="004217C0">
        <w:t xml:space="preserve"> using</w:t>
      </w:r>
      <w:r w:rsidR="00A567AB">
        <w:t xml:space="preserve"> </w:t>
      </w:r>
      <w:r w:rsidR="00C94454">
        <w:t>a</w:t>
      </w:r>
      <w:r w:rsidR="00A567AB">
        <w:t xml:space="preserve"> weight of 2/3 for travel-based and 1/3 for clinic-based.  </w:t>
      </w:r>
    </w:p>
    <w:p w:rsidR="00A567AB" w:rsidRDefault="00A567AB" w:rsidP="004217C0">
      <w:pPr>
        <w:pStyle w:val="ListParagraph"/>
        <w:ind w:left="0"/>
        <w:jc w:val="both"/>
      </w:pPr>
    </w:p>
    <w:p w:rsidR="000B0D37" w:rsidRDefault="00A567AB" w:rsidP="004217C0">
      <w:pPr>
        <w:pStyle w:val="ListParagraph"/>
        <w:numPr>
          <w:ilvl w:val="0"/>
          <w:numId w:val="7"/>
        </w:numPr>
        <w:ind w:left="0" w:firstLine="0"/>
        <w:jc w:val="both"/>
      </w:pPr>
      <w:r>
        <w:t xml:space="preserve">The travel-based adjustment </w:t>
      </w:r>
      <w:r w:rsidR="00C94454">
        <w:t>wa</w:t>
      </w:r>
      <w:r>
        <w:t xml:space="preserve">s derived from </w:t>
      </w:r>
      <w:r w:rsidR="000B0D37">
        <w:t xml:space="preserve">a </w:t>
      </w:r>
      <w:r>
        <w:t>modelling exercise, undertaken originally by National Economic Research Associates (NERA)</w:t>
      </w:r>
      <w:r w:rsidR="000B0D37">
        <w:t>.  The model combines assumptions on travel</w:t>
      </w:r>
      <w:r w:rsidR="004217C0">
        <w:t xml:space="preserve"> time</w:t>
      </w:r>
      <w:r w:rsidR="000B0D37">
        <w:t xml:space="preserve">, set up time, contact duration, size of settlement where services are based and proportion of home visits.  The model was </w:t>
      </w:r>
      <w:r w:rsidR="008F7B7F">
        <w:t>revised</w:t>
      </w:r>
      <w:r w:rsidR="000B0D37">
        <w:t xml:space="preserve"> </w:t>
      </w:r>
      <w:r w:rsidR="00C94454">
        <w:t xml:space="preserve">with updated information </w:t>
      </w:r>
      <w:r w:rsidR="000B0D37">
        <w:t xml:space="preserve">for </w:t>
      </w:r>
      <w:proofErr w:type="spellStart"/>
      <w:r w:rsidR="000B0D37">
        <w:t>NRAC</w:t>
      </w:r>
      <w:proofErr w:type="spellEnd"/>
      <w:r w:rsidR="00C94454" w:rsidRPr="00C94454">
        <w:t xml:space="preserve"> </w:t>
      </w:r>
      <w:r w:rsidR="00C94454">
        <w:t>by the Health Economics Research Unit (</w:t>
      </w:r>
      <w:proofErr w:type="spellStart"/>
      <w:r w:rsidR="00C94454">
        <w:t>HERU</w:t>
      </w:r>
      <w:proofErr w:type="spellEnd"/>
      <w:r w:rsidR="00C94454">
        <w:t>) at Aberdeen University</w:t>
      </w:r>
      <w:r w:rsidR="000B0D37">
        <w:t>.</w:t>
      </w:r>
    </w:p>
    <w:p w:rsidR="000B0D37" w:rsidRDefault="000B0D37" w:rsidP="004217C0">
      <w:pPr>
        <w:pStyle w:val="ListParagraph"/>
        <w:ind w:left="0"/>
        <w:jc w:val="both"/>
      </w:pPr>
    </w:p>
    <w:p w:rsidR="00A567AB" w:rsidRDefault="000B0D37" w:rsidP="004217C0">
      <w:pPr>
        <w:pStyle w:val="ListParagraph"/>
        <w:numPr>
          <w:ilvl w:val="0"/>
          <w:numId w:val="7"/>
        </w:numPr>
        <w:ind w:left="0" w:firstLine="0"/>
        <w:jc w:val="both"/>
      </w:pPr>
      <w:r>
        <w:t xml:space="preserve">The clinic-based adjustment is derived from the remote and rural cost </w:t>
      </w:r>
      <w:r w:rsidR="003B0001">
        <w:t>index</w:t>
      </w:r>
      <w:r>
        <w:t xml:space="preserve"> in the Scottish Allocation Formula</w:t>
      </w:r>
      <w:r w:rsidR="008F7B7F">
        <w:t xml:space="preserve"> (</w:t>
      </w:r>
      <w:proofErr w:type="spellStart"/>
      <w:r w:rsidR="008F7B7F">
        <w:t>SAF</w:t>
      </w:r>
      <w:proofErr w:type="spellEnd"/>
      <w:r w:rsidR="008F7B7F">
        <w:t>)</w:t>
      </w:r>
      <w:r>
        <w:t>, which was used to allocate funding to primary care practices</w:t>
      </w:r>
      <w:r w:rsidR="00FC0AAC">
        <w:t xml:space="preserve"> until last year</w:t>
      </w:r>
      <w:r>
        <w:t xml:space="preserve">.  </w:t>
      </w:r>
      <w:r w:rsidR="003B0001">
        <w:t>This</w:t>
      </w:r>
      <w:r w:rsidR="008F7B7F">
        <w:t xml:space="preserve"> remote and rural cost </w:t>
      </w:r>
      <w:r w:rsidR="003B0001">
        <w:t>index</w:t>
      </w:r>
      <w:r w:rsidR="008F7B7F">
        <w:t xml:space="preserve"> was developed for the </w:t>
      </w:r>
      <w:proofErr w:type="spellStart"/>
      <w:r w:rsidR="003B0001">
        <w:t>SAF</w:t>
      </w:r>
      <w:proofErr w:type="spellEnd"/>
      <w:r w:rsidR="003B0001">
        <w:t xml:space="preserve"> by estimating the relationship between a proxy for the cost of primary care services and three rurality variables: population density (number of hectares per resident); population sparsity (population in communities of less than 500); and, the proportion of the practice population attracting road mileage payments. </w:t>
      </w:r>
    </w:p>
    <w:p w:rsidR="003B0001" w:rsidRDefault="003B0001" w:rsidP="004217C0">
      <w:pPr>
        <w:pStyle w:val="ListParagraph"/>
        <w:ind w:left="0"/>
        <w:jc w:val="both"/>
      </w:pPr>
    </w:p>
    <w:p w:rsidR="003B0001" w:rsidRDefault="003B0001" w:rsidP="004217C0">
      <w:pPr>
        <w:pStyle w:val="ListParagraph"/>
        <w:numPr>
          <w:ilvl w:val="0"/>
          <w:numId w:val="7"/>
        </w:numPr>
        <w:ind w:left="0" w:firstLine="0"/>
        <w:jc w:val="both"/>
      </w:pPr>
      <w:r>
        <w:t xml:space="preserve">The </w:t>
      </w:r>
      <w:proofErr w:type="spellStart"/>
      <w:r>
        <w:t>SAF</w:t>
      </w:r>
      <w:proofErr w:type="spellEnd"/>
      <w:r>
        <w:t xml:space="preserve"> remote and rural index values for primary care practices </w:t>
      </w:r>
      <w:r w:rsidR="00C94454">
        <w:t>are</w:t>
      </w:r>
      <w:r>
        <w:t xml:space="preserve"> converted into the data zone geographies</w:t>
      </w:r>
      <w:r w:rsidR="004217C0">
        <w:t xml:space="preserve"> for </w:t>
      </w:r>
      <w:r>
        <w:t xml:space="preserve">the </w:t>
      </w:r>
      <w:proofErr w:type="spellStart"/>
      <w:r>
        <w:t>NRAC</w:t>
      </w:r>
      <w:proofErr w:type="spellEnd"/>
      <w:r>
        <w:t xml:space="preserve"> formula by attributing the practice index values to data zones</w:t>
      </w:r>
      <w:r w:rsidR="004217C0">
        <w:t>,</w:t>
      </w:r>
      <w:r>
        <w:t xml:space="preserve"> </w:t>
      </w:r>
      <w:r w:rsidR="00FC0AAC">
        <w:t xml:space="preserve">on the basis of the share of the data zone population which are registered at individual practices.  That is, the share of a data zones residents registered at specific practices </w:t>
      </w:r>
      <w:r w:rsidR="00C94454">
        <w:t>are</w:t>
      </w:r>
      <w:r w:rsidR="00FC0AAC">
        <w:t xml:space="preserve"> used as weights to combine th</w:t>
      </w:r>
      <w:r w:rsidR="004217C0">
        <w:t>ose</w:t>
      </w:r>
      <w:r w:rsidR="00FC0AAC">
        <w:t xml:space="preserve"> practice index values and derive a clinic-based cost adjustment for each data zone. </w:t>
      </w:r>
    </w:p>
    <w:p w:rsidR="003B0001" w:rsidRDefault="003B0001" w:rsidP="004217C0">
      <w:pPr>
        <w:pStyle w:val="ListParagraph"/>
        <w:ind w:left="0"/>
        <w:jc w:val="both"/>
      </w:pPr>
    </w:p>
    <w:p w:rsidR="00FC0AAC" w:rsidRDefault="00C94454" w:rsidP="004217C0">
      <w:pPr>
        <w:pStyle w:val="ListParagraph"/>
        <w:numPr>
          <w:ilvl w:val="0"/>
          <w:numId w:val="7"/>
        </w:numPr>
        <w:ind w:left="0" w:firstLine="0"/>
        <w:jc w:val="both"/>
      </w:pPr>
      <w:r>
        <w:t>However, t</w:t>
      </w:r>
      <w:r w:rsidR="003B0001">
        <w:t xml:space="preserve">he </w:t>
      </w:r>
      <w:r w:rsidR="00FC0AAC">
        <w:t xml:space="preserve">remote and rural index for the </w:t>
      </w:r>
      <w:proofErr w:type="spellStart"/>
      <w:r w:rsidR="00FC0AAC">
        <w:t>SAF</w:t>
      </w:r>
      <w:proofErr w:type="spellEnd"/>
      <w:r w:rsidR="00FC0AAC">
        <w:t xml:space="preserve"> is no longer being updated</w:t>
      </w:r>
      <w:r w:rsidR="00431586">
        <w:t>: the latest version of the index is for quarter 1 of 2018</w:t>
      </w:r>
      <w:r w:rsidR="00FC0AAC">
        <w:t xml:space="preserve">.  </w:t>
      </w:r>
      <w:r w:rsidR="00431586">
        <w:t xml:space="preserve">The issue for TAGRA is that </w:t>
      </w:r>
      <w:r>
        <w:t xml:space="preserve">this means that </w:t>
      </w:r>
      <w:r w:rsidR="00FC0AAC">
        <w:t xml:space="preserve">the community clinic cost adjustment will not be updated until a replacement </w:t>
      </w:r>
      <w:r w:rsidR="00431586">
        <w:t>method</w:t>
      </w:r>
      <w:r w:rsidR="00FC0AAC">
        <w:t xml:space="preserve"> </w:t>
      </w:r>
      <w:r w:rsidR="00431586">
        <w:t>can be developed</w:t>
      </w:r>
      <w:r w:rsidR="00FC0AAC">
        <w:t xml:space="preserve">.  </w:t>
      </w:r>
    </w:p>
    <w:p w:rsidR="00FC0AAC" w:rsidRDefault="00FC0AAC" w:rsidP="004217C0">
      <w:pPr>
        <w:pStyle w:val="ListParagraph"/>
        <w:ind w:left="0"/>
        <w:jc w:val="both"/>
      </w:pPr>
    </w:p>
    <w:p w:rsidR="00A567AB" w:rsidRDefault="00431586" w:rsidP="004217C0">
      <w:pPr>
        <w:pStyle w:val="ListParagraph"/>
        <w:numPr>
          <w:ilvl w:val="0"/>
          <w:numId w:val="7"/>
        </w:numPr>
        <w:ind w:left="0" w:firstLine="0"/>
        <w:jc w:val="both"/>
      </w:pPr>
      <w:r>
        <w:t>At present there is no obvious source of data which</w:t>
      </w:r>
      <w:r w:rsidR="00C94454">
        <w:t xml:space="preserve"> could be used</w:t>
      </w:r>
      <w:r>
        <w:t xml:space="preserve"> to derive an alternative adjustment.  </w:t>
      </w:r>
      <w:r w:rsidR="00C94454">
        <w:t>One</w:t>
      </w:r>
      <w:r>
        <w:t xml:space="preserve"> possibility is that relevant </w:t>
      </w:r>
      <w:r w:rsidR="00C94454">
        <w:t>information</w:t>
      </w:r>
      <w:r>
        <w:t xml:space="preserve"> may be</w:t>
      </w:r>
      <w:r w:rsidR="00C94454">
        <w:t xml:space="preserve"> generated</w:t>
      </w:r>
      <w:r>
        <w:t xml:space="preserve"> </w:t>
      </w:r>
      <w:r w:rsidR="00C94454">
        <w:t>from the collection of</w:t>
      </w:r>
      <w:r>
        <w:t xml:space="preserve"> primary care practice income and expenditure data</w:t>
      </w:r>
      <w:r w:rsidR="00C94454">
        <w:t>,</w:t>
      </w:r>
      <w:r>
        <w:t xml:space="preserve"> </w:t>
      </w:r>
      <w:r w:rsidR="00C94454">
        <w:t>which has been</w:t>
      </w:r>
      <w:r>
        <w:t xml:space="preserve"> mandated by the new primary care contract.  </w:t>
      </w:r>
      <w:r w:rsidR="00C94454">
        <w:t>This new data</w:t>
      </w:r>
      <w:r w:rsidR="00677106">
        <w:t>set</w:t>
      </w:r>
      <w:r w:rsidR="00C94454">
        <w:t xml:space="preserve"> is unlikely to become available until 2020 and, at present, it is not clear how useful it will be. </w:t>
      </w:r>
    </w:p>
    <w:p w:rsidR="00431586" w:rsidRDefault="00431586" w:rsidP="004217C0">
      <w:pPr>
        <w:pStyle w:val="ListParagraph"/>
        <w:ind w:left="0"/>
        <w:jc w:val="both"/>
      </w:pPr>
    </w:p>
    <w:p w:rsidR="00431586" w:rsidRPr="004217C0" w:rsidRDefault="00431586" w:rsidP="004217C0">
      <w:pPr>
        <w:pStyle w:val="ListParagraph"/>
        <w:numPr>
          <w:ilvl w:val="0"/>
          <w:numId w:val="7"/>
        </w:numPr>
        <w:ind w:left="0" w:firstLine="0"/>
        <w:jc w:val="both"/>
        <w:rPr>
          <w:b/>
        </w:rPr>
      </w:pPr>
      <w:r w:rsidRPr="004217C0">
        <w:rPr>
          <w:b/>
        </w:rPr>
        <w:t>TAGRA is asked to note this devel</w:t>
      </w:r>
      <w:bookmarkStart w:id="0" w:name="_GoBack"/>
      <w:bookmarkEnd w:id="0"/>
      <w:r w:rsidRPr="004217C0">
        <w:rPr>
          <w:b/>
        </w:rPr>
        <w:t xml:space="preserve">opment. </w:t>
      </w:r>
    </w:p>
    <w:sectPr w:rsidR="00431586" w:rsidRPr="004217C0" w:rsidSect="00B561C0">
      <w:headerReference w:type="default" r:id="rId8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FA1" w:rsidRDefault="008D3FA1" w:rsidP="008D3FA1">
      <w:r>
        <w:separator/>
      </w:r>
    </w:p>
  </w:endnote>
  <w:endnote w:type="continuationSeparator" w:id="0">
    <w:p w:rsidR="008D3FA1" w:rsidRDefault="008D3FA1" w:rsidP="008D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FA1" w:rsidRDefault="008D3FA1" w:rsidP="008D3FA1">
      <w:r>
        <w:separator/>
      </w:r>
    </w:p>
  </w:footnote>
  <w:footnote w:type="continuationSeparator" w:id="0">
    <w:p w:rsidR="008D3FA1" w:rsidRDefault="008D3FA1" w:rsidP="008D3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A1" w:rsidRPr="008D3FA1" w:rsidRDefault="008D3FA1" w:rsidP="008D3FA1">
    <w:pPr>
      <w:pStyle w:val="Header"/>
      <w:rPr>
        <w:i/>
      </w:rPr>
    </w:pPr>
    <w:r w:rsidRPr="008D3FA1">
      <w:rPr>
        <w:i/>
      </w:rPr>
      <w:t>Fair Shares for Health in Scotland</w:t>
    </w:r>
    <w:r w:rsidRPr="008D3FA1">
      <w:rPr>
        <w:i/>
      </w:rPr>
      <w:ptab w:relativeTo="margin" w:alignment="center" w:leader="none"/>
    </w:r>
    <w:r w:rsidRPr="008D3FA1">
      <w:rPr>
        <w:i/>
      </w:rPr>
      <w:ptab w:relativeTo="margin" w:alignment="right" w:leader="none"/>
    </w:r>
    <w:r w:rsidRPr="008D3FA1">
      <w:rPr>
        <w:i/>
      </w:rPr>
      <w:t>TAGRA(2019)2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D616516"/>
    <w:multiLevelType w:val="hybridMultilevel"/>
    <w:tmpl w:val="94E0C5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D2"/>
    <w:rsid w:val="00027C27"/>
    <w:rsid w:val="0004016F"/>
    <w:rsid w:val="00076AD2"/>
    <w:rsid w:val="000B0D37"/>
    <w:rsid w:val="000C0CF4"/>
    <w:rsid w:val="00281579"/>
    <w:rsid w:val="00306C61"/>
    <w:rsid w:val="0037582B"/>
    <w:rsid w:val="003B0001"/>
    <w:rsid w:val="004217C0"/>
    <w:rsid w:val="00431586"/>
    <w:rsid w:val="00677106"/>
    <w:rsid w:val="00857548"/>
    <w:rsid w:val="008D3FA1"/>
    <w:rsid w:val="008F7B7F"/>
    <w:rsid w:val="009B7615"/>
    <w:rsid w:val="00A567AB"/>
    <w:rsid w:val="00B51BDC"/>
    <w:rsid w:val="00B561C0"/>
    <w:rsid w:val="00B773CE"/>
    <w:rsid w:val="00C6113A"/>
    <w:rsid w:val="00C91823"/>
    <w:rsid w:val="00C94454"/>
    <w:rsid w:val="00D008AB"/>
    <w:rsid w:val="00F62667"/>
    <w:rsid w:val="00F70ED8"/>
    <w:rsid w:val="00FA4BC1"/>
    <w:rsid w:val="00FC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E4DAD4"/>
  <w15:chartTrackingRefBased/>
  <w15:docId w15:val="{88546014-7863-437C-BF45-C1C329A4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C611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91BD5-F18F-482D-98BE-A6ADA096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 P (Paudric)</dc:creator>
  <cp:keywords/>
  <dc:description/>
  <cp:lastModifiedBy>Osborne P (Paudric)</cp:lastModifiedBy>
  <cp:revision>3</cp:revision>
  <cp:lastPrinted>2019-03-28T15:47:00Z</cp:lastPrinted>
  <dcterms:created xsi:type="dcterms:W3CDTF">2019-03-29T14:40:00Z</dcterms:created>
  <dcterms:modified xsi:type="dcterms:W3CDTF">2019-04-02T13:26:00Z</dcterms:modified>
</cp:coreProperties>
</file>