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F9E" w:rsidRPr="000F478D" w:rsidRDefault="00894ECE" w:rsidP="001A4939">
      <w:pPr>
        <w:pStyle w:val="Heading2"/>
        <w:spacing w:line="360" w:lineRule="auto"/>
        <w:ind w:left="2835" w:hanging="2835"/>
        <w:rPr>
          <w:rFonts w:cs="Arial"/>
        </w:rPr>
      </w:pPr>
      <w:r>
        <w:rPr>
          <w:rFonts w:cs="Arial"/>
        </w:rPr>
        <w:t xml:space="preserve">NRAC Formula – Potential </w:t>
      </w:r>
      <w:r w:rsidR="00E40E07">
        <w:rPr>
          <w:rFonts w:cs="Arial"/>
        </w:rPr>
        <w:t>I</w:t>
      </w:r>
      <w:r>
        <w:rPr>
          <w:rFonts w:cs="Arial"/>
        </w:rPr>
        <w:t xml:space="preserve">mprovements to </w:t>
      </w:r>
      <w:r w:rsidR="00E40E07">
        <w:rPr>
          <w:rFonts w:cs="Arial"/>
        </w:rPr>
        <w:t>Dat</w:t>
      </w:r>
      <w:r>
        <w:rPr>
          <w:rFonts w:cs="Arial"/>
        </w:rPr>
        <w:t>a</w:t>
      </w:r>
      <w:r w:rsidR="00E40E07">
        <w:rPr>
          <w:rFonts w:cs="Arial"/>
        </w:rPr>
        <w:t xml:space="preserve"> Inputs</w:t>
      </w:r>
    </w:p>
    <w:p w:rsidR="00D32BD1" w:rsidRPr="00894ECE" w:rsidRDefault="00296598" w:rsidP="00894ECE">
      <w:pPr>
        <w:spacing w:line="360" w:lineRule="auto"/>
        <w:jc w:val="both"/>
        <w:rPr>
          <w:rFonts w:cs="Arial"/>
          <w:b/>
          <w:sz w:val="24"/>
          <w:szCs w:val="24"/>
        </w:rPr>
      </w:pPr>
      <w:r>
        <w:rPr>
          <w:rFonts w:cs="Arial"/>
          <w:b/>
          <w:sz w:val="24"/>
          <w:szCs w:val="24"/>
        </w:rPr>
        <w:t>Background</w:t>
      </w:r>
    </w:p>
    <w:p w:rsidR="00FF148A" w:rsidRDefault="00375E65" w:rsidP="00375E65">
      <w:pPr>
        <w:pStyle w:val="ListParagraph"/>
        <w:ind w:left="0"/>
        <w:jc w:val="both"/>
        <w:rPr>
          <w:rFonts w:cs="Arial"/>
        </w:rPr>
      </w:pPr>
      <w:r>
        <w:rPr>
          <w:rFonts w:cs="Arial"/>
        </w:rPr>
        <w:t xml:space="preserve">The NRAC </w:t>
      </w:r>
      <w:r w:rsidR="00FC02F6">
        <w:rPr>
          <w:rFonts w:cs="Arial"/>
        </w:rPr>
        <w:t>F</w:t>
      </w:r>
      <w:r>
        <w:rPr>
          <w:rFonts w:cs="Arial"/>
        </w:rPr>
        <w:t xml:space="preserve">ormula uses a range of data sources to provide the input data </w:t>
      </w:r>
      <w:r w:rsidR="008074EE">
        <w:rPr>
          <w:rFonts w:cs="Arial"/>
        </w:rPr>
        <w:t>required</w:t>
      </w:r>
      <w:r>
        <w:rPr>
          <w:rFonts w:cs="Arial"/>
        </w:rPr>
        <w:t xml:space="preserve"> to run the </w:t>
      </w:r>
      <w:r w:rsidR="00296598">
        <w:rPr>
          <w:rFonts w:cs="Arial"/>
        </w:rPr>
        <w:t>F</w:t>
      </w:r>
      <w:r>
        <w:rPr>
          <w:rFonts w:cs="Arial"/>
        </w:rPr>
        <w:t xml:space="preserve">ormula. </w:t>
      </w:r>
      <w:r w:rsidR="00E25A0C">
        <w:rPr>
          <w:rFonts w:cs="Arial"/>
        </w:rPr>
        <w:t xml:space="preserve">As well as data on likely changes to the shape and size of the </w:t>
      </w:r>
      <w:r w:rsidR="00DD2684">
        <w:rPr>
          <w:rFonts w:cs="Arial"/>
        </w:rPr>
        <w:t xml:space="preserve">Scottish </w:t>
      </w:r>
      <w:r w:rsidR="00E25A0C">
        <w:rPr>
          <w:rFonts w:cs="Arial"/>
        </w:rPr>
        <w:t>population, these</w:t>
      </w:r>
      <w:r>
        <w:rPr>
          <w:rFonts w:cs="Arial"/>
        </w:rPr>
        <w:t xml:space="preserve"> sources include</w:t>
      </w:r>
      <w:r w:rsidR="00E25A0C">
        <w:rPr>
          <w:rFonts w:cs="Arial"/>
        </w:rPr>
        <w:t xml:space="preserve"> national data on recent patterns of patient activity and costs for a variety of services</w:t>
      </w:r>
      <w:r w:rsidR="00FC02F6">
        <w:rPr>
          <w:rFonts w:cs="Arial"/>
        </w:rPr>
        <w:t xml:space="preserve">. </w:t>
      </w:r>
      <w:r w:rsidR="00E25A0C">
        <w:rPr>
          <w:rFonts w:cs="Arial"/>
        </w:rPr>
        <w:t>These</w:t>
      </w:r>
      <w:r w:rsidR="00FC02F6">
        <w:rPr>
          <w:rFonts w:cs="Arial"/>
        </w:rPr>
        <w:t xml:space="preserve"> datasets</w:t>
      </w:r>
      <w:r w:rsidR="00E25A0C">
        <w:rPr>
          <w:rFonts w:cs="Arial"/>
        </w:rPr>
        <w:t xml:space="preserve"> are used by the Formula to predict how the need for services is likely to be distributed geographically in a particular financial year. </w:t>
      </w:r>
      <w:r w:rsidR="00FF148A">
        <w:rPr>
          <w:rFonts w:cs="Arial"/>
        </w:rPr>
        <w:t>This referred to in this paper as ‘relative need’.</w:t>
      </w:r>
    </w:p>
    <w:p w:rsidR="00E92DFE" w:rsidRDefault="00FF148A" w:rsidP="00375E65">
      <w:pPr>
        <w:pStyle w:val="ListParagraph"/>
        <w:ind w:left="0"/>
        <w:jc w:val="both"/>
        <w:rPr>
          <w:rFonts w:cs="Arial"/>
        </w:rPr>
      </w:pPr>
      <w:r>
        <w:rPr>
          <w:rFonts w:cs="Arial"/>
        </w:rPr>
        <w:t>When</w:t>
      </w:r>
      <w:r w:rsidR="00FC02F6">
        <w:rPr>
          <w:rFonts w:cs="Arial"/>
        </w:rPr>
        <w:t xml:space="preserve"> the NRAC Formula was developed it was </w:t>
      </w:r>
      <w:r w:rsidR="008074EE">
        <w:rPr>
          <w:rFonts w:cs="Arial"/>
        </w:rPr>
        <w:t>acknowledged</w:t>
      </w:r>
      <w:r w:rsidR="00FC02F6">
        <w:rPr>
          <w:rFonts w:cs="Arial"/>
        </w:rPr>
        <w:t xml:space="preserve"> that there were either gaps or weaknesses in some </w:t>
      </w:r>
      <w:r w:rsidR="008074EE">
        <w:rPr>
          <w:rFonts w:cs="Arial"/>
        </w:rPr>
        <w:t xml:space="preserve">of </w:t>
      </w:r>
      <w:r w:rsidR="00FC02F6">
        <w:rPr>
          <w:rFonts w:cs="Arial"/>
        </w:rPr>
        <w:t>the data inputs a</w:t>
      </w:r>
      <w:bookmarkStart w:id="0" w:name="_GoBack"/>
      <w:bookmarkEnd w:id="0"/>
      <w:r w:rsidR="00FC02F6">
        <w:rPr>
          <w:rFonts w:cs="Arial"/>
        </w:rPr>
        <w:t xml:space="preserve">vailable to run the Formula. </w:t>
      </w:r>
      <w:r w:rsidR="008074EE">
        <w:rPr>
          <w:rFonts w:cs="Arial"/>
        </w:rPr>
        <w:t>However the affected elements in the Formula were retained on the basis that new national data would become available</w:t>
      </w:r>
      <w:r w:rsidR="00E92DFE">
        <w:rPr>
          <w:rFonts w:cs="Arial"/>
        </w:rPr>
        <w:t xml:space="preserve"> </w:t>
      </w:r>
      <w:r>
        <w:rPr>
          <w:rFonts w:cs="Arial"/>
        </w:rPr>
        <w:t xml:space="preserve">in time </w:t>
      </w:r>
      <w:r w:rsidR="00E92DFE">
        <w:rPr>
          <w:rFonts w:cs="Arial"/>
        </w:rPr>
        <w:t xml:space="preserve">to either fill a data gap or </w:t>
      </w:r>
      <w:r w:rsidR="00934C28">
        <w:rPr>
          <w:rFonts w:cs="Arial"/>
        </w:rPr>
        <w:t xml:space="preserve">to strengthen the </w:t>
      </w:r>
      <w:r>
        <w:rPr>
          <w:rFonts w:cs="Arial"/>
        </w:rPr>
        <w:t>i</w:t>
      </w:r>
      <w:r w:rsidR="00934C28">
        <w:rPr>
          <w:rFonts w:cs="Arial"/>
        </w:rPr>
        <w:t>nput data used</w:t>
      </w:r>
      <w:r>
        <w:rPr>
          <w:rFonts w:cs="Arial"/>
        </w:rPr>
        <w:t xml:space="preserve"> initially</w:t>
      </w:r>
      <w:r w:rsidR="00E92DFE">
        <w:rPr>
          <w:rFonts w:cs="Arial"/>
        </w:rPr>
        <w:t xml:space="preserve">. </w:t>
      </w:r>
      <w:r w:rsidR="008074EE" w:rsidRPr="00B31C22">
        <w:rPr>
          <w:rFonts w:cs="Arial"/>
        </w:rPr>
        <w:t xml:space="preserve">Indeed the </w:t>
      </w:r>
      <w:r w:rsidR="00A765A7" w:rsidRPr="00B31C22">
        <w:rPr>
          <w:rFonts w:cs="Arial"/>
        </w:rPr>
        <w:t xml:space="preserve">NRAC </w:t>
      </w:r>
      <w:r w:rsidR="008074EE" w:rsidRPr="00B31C22">
        <w:rPr>
          <w:rFonts w:cs="Arial"/>
        </w:rPr>
        <w:t>Review</w:t>
      </w:r>
      <w:r w:rsidR="00A765A7" w:rsidRPr="00B31C22">
        <w:rPr>
          <w:rFonts w:cs="Arial"/>
        </w:rPr>
        <w:t xml:space="preserve"> </w:t>
      </w:r>
      <w:r w:rsidR="00E92DFE">
        <w:rPr>
          <w:rFonts w:cs="Arial"/>
        </w:rPr>
        <w:t>made a number of recommendations where it was felt</w:t>
      </w:r>
      <w:r w:rsidR="00E01D5A">
        <w:rPr>
          <w:rFonts w:cs="Arial"/>
        </w:rPr>
        <w:t xml:space="preserve"> that</w:t>
      </w:r>
      <w:r w:rsidR="00E92DFE">
        <w:rPr>
          <w:rFonts w:cs="Arial"/>
        </w:rPr>
        <w:t xml:space="preserve"> efforts to develop national data</w:t>
      </w:r>
      <w:r w:rsidR="00A765A7">
        <w:rPr>
          <w:rFonts w:cs="Arial"/>
        </w:rPr>
        <w:t xml:space="preserve"> sources</w:t>
      </w:r>
      <w:r w:rsidR="00E92DFE">
        <w:rPr>
          <w:rFonts w:cs="Arial"/>
        </w:rPr>
        <w:t xml:space="preserve"> should focus </w:t>
      </w:r>
      <w:r w:rsidR="00F47DFD">
        <w:rPr>
          <w:rFonts w:cs="Arial"/>
        </w:rPr>
        <w:t>on improving</w:t>
      </w:r>
      <w:r w:rsidR="00E92DFE">
        <w:rPr>
          <w:rFonts w:cs="Arial"/>
        </w:rPr>
        <w:t xml:space="preserve"> the evidence </w:t>
      </w:r>
      <w:r w:rsidR="00C72D78">
        <w:rPr>
          <w:rFonts w:cs="Arial"/>
        </w:rPr>
        <w:t xml:space="preserve">base </w:t>
      </w:r>
      <w:r w:rsidR="00E92DFE">
        <w:rPr>
          <w:rFonts w:cs="Arial"/>
        </w:rPr>
        <w:t>used by the Formula. For example it was recommended that there should be development of national data sources relating to services provided in the community.</w:t>
      </w:r>
    </w:p>
    <w:p w:rsidR="00A765A7" w:rsidRDefault="00C72D78" w:rsidP="00375E65">
      <w:pPr>
        <w:pStyle w:val="ListParagraph"/>
        <w:ind w:left="0"/>
        <w:jc w:val="both"/>
        <w:rPr>
          <w:rFonts w:cs="Arial"/>
        </w:rPr>
      </w:pPr>
      <w:r>
        <w:rPr>
          <w:rFonts w:cs="Arial"/>
        </w:rPr>
        <w:t>In the mean time the Formula</w:t>
      </w:r>
      <w:r w:rsidR="00E01D5A">
        <w:rPr>
          <w:rFonts w:cs="Arial"/>
        </w:rPr>
        <w:t xml:space="preserve"> was run by either using the best available national data or using</w:t>
      </w:r>
      <w:r w:rsidR="008074EE">
        <w:rPr>
          <w:rFonts w:cs="Arial"/>
        </w:rPr>
        <w:t xml:space="preserve"> ‘proxy’ data </w:t>
      </w:r>
      <w:r w:rsidR="00A765A7">
        <w:rPr>
          <w:rFonts w:cs="Arial"/>
        </w:rPr>
        <w:t xml:space="preserve">to fill data gaps </w:t>
      </w:r>
      <w:r w:rsidR="008074EE">
        <w:rPr>
          <w:rFonts w:cs="Arial"/>
        </w:rPr>
        <w:t xml:space="preserve">i.e. data that </w:t>
      </w:r>
      <w:r w:rsidR="00296598">
        <w:rPr>
          <w:rFonts w:cs="Arial"/>
        </w:rPr>
        <w:t xml:space="preserve">was </w:t>
      </w:r>
      <w:r w:rsidR="00FF148A">
        <w:rPr>
          <w:rFonts w:cs="Arial"/>
        </w:rPr>
        <w:t>assessed</w:t>
      </w:r>
      <w:r w:rsidR="008074EE">
        <w:rPr>
          <w:rFonts w:cs="Arial"/>
        </w:rPr>
        <w:t xml:space="preserve"> to be </w:t>
      </w:r>
      <w:r w:rsidR="00FF148A">
        <w:rPr>
          <w:rFonts w:cs="Arial"/>
        </w:rPr>
        <w:t xml:space="preserve">broadly </w:t>
      </w:r>
      <w:r w:rsidR="008074EE">
        <w:rPr>
          <w:rFonts w:cs="Arial"/>
        </w:rPr>
        <w:t>representative of the input data required by the Formula but not directly</w:t>
      </w:r>
      <w:r w:rsidR="00296598">
        <w:rPr>
          <w:rFonts w:cs="Arial"/>
        </w:rPr>
        <w:t xml:space="preserve"> </w:t>
      </w:r>
      <w:r w:rsidR="00A765A7">
        <w:rPr>
          <w:rFonts w:cs="Arial"/>
        </w:rPr>
        <w:t>relat</w:t>
      </w:r>
      <w:r w:rsidR="00FF148A">
        <w:rPr>
          <w:rFonts w:cs="Arial"/>
        </w:rPr>
        <w:t>ed</w:t>
      </w:r>
      <w:r w:rsidR="00A765A7">
        <w:rPr>
          <w:rFonts w:cs="Arial"/>
        </w:rPr>
        <w:t xml:space="preserve"> to the input required.</w:t>
      </w:r>
      <w:r w:rsidR="00296598">
        <w:rPr>
          <w:rFonts w:cs="Arial"/>
        </w:rPr>
        <w:t xml:space="preserve"> For example</w:t>
      </w:r>
      <w:r w:rsidR="008074EE">
        <w:rPr>
          <w:rFonts w:cs="Arial"/>
        </w:rPr>
        <w:t xml:space="preserve"> </w:t>
      </w:r>
      <w:r w:rsidR="00296598">
        <w:rPr>
          <w:rFonts w:cs="Arial"/>
        </w:rPr>
        <w:t xml:space="preserve">at the time the Formula was developed there was no comprehensive national dataset covering patient attendances at A&amp;E services that </w:t>
      </w:r>
      <w:r w:rsidR="006E131A">
        <w:rPr>
          <w:rFonts w:cs="Arial"/>
        </w:rPr>
        <w:t>t</w:t>
      </w:r>
      <w:r w:rsidR="00296598">
        <w:rPr>
          <w:rFonts w:cs="Arial"/>
        </w:rPr>
        <w:t xml:space="preserve">hat could be used to understand how such activity in Scotland is </w:t>
      </w:r>
      <w:r w:rsidR="00CB0227">
        <w:rPr>
          <w:rFonts w:cs="Arial"/>
        </w:rPr>
        <w:t>typically d</w:t>
      </w:r>
      <w:r w:rsidR="00296598">
        <w:rPr>
          <w:rFonts w:cs="Arial"/>
        </w:rPr>
        <w:t xml:space="preserve">istributed </w:t>
      </w:r>
      <w:r w:rsidR="00CB0227">
        <w:rPr>
          <w:rFonts w:cs="Arial"/>
        </w:rPr>
        <w:t xml:space="preserve">with </w:t>
      </w:r>
      <w:r w:rsidR="006E131A">
        <w:rPr>
          <w:rFonts w:cs="Arial"/>
        </w:rPr>
        <w:t>respect</w:t>
      </w:r>
      <w:r w:rsidR="00CB0227">
        <w:rPr>
          <w:rFonts w:cs="Arial"/>
        </w:rPr>
        <w:t xml:space="preserve"> to</w:t>
      </w:r>
      <w:r w:rsidR="006E131A">
        <w:rPr>
          <w:rFonts w:cs="Arial"/>
        </w:rPr>
        <w:t xml:space="preserve"> the</w:t>
      </w:r>
      <w:r w:rsidR="00296598">
        <w:rPr>
          <w:rFonts w:cs="Arial"/>
        </w:rPr>
        <w:t xml:space="preserve"> age and gender</w:t>
      </w:r>
      <w:r w:rsidR="006E131A">
        <w:rPr>
          <w:rFonts w:cs="Arial"/>
        </w:rPr>
        <w:t xml:space="preserve"> of patients</w:t>
      </w:r>
      <w:r w:rsidR="00CB0227">
        <w:rPr>
          <w:rFonts w:cs="Arial"/>
        </w:rPr>
        <w:t xml:space="preserve"> - t</w:t>
      </w:r>
      <w:r w:rsidR="00296598">
        <w:rPr>
          <w:rFonts w:cs="Arial"/>
        </w:rPr>
        <w:t xml:space="preserve">his is required within the age-sex adjustment part of the Formula when considering the relative need </w:t>
      </w:r>
      <w:r w:rsidR="00CB0227">
        <w:rPr>
          <w:rFonts w:cs="Arial"/>
        </w:rPr>
        <w:t>for Acute Services. Instead</w:t>
      </w:r>
      <w:r w:rsidR="00CE372F">
        <w:rPr>
          <w:rFonts w:cs="Arial"/>
        </w:rPr>
        <w:t xml:space="preserve">, as a ‘proxy’ solution, it </w:t>
      </w:r>
      <w:r w:rsidR="00A765A7">
        <w:rPr>
          <w:rFonts w:cs="Arial"/>
        </w:rPr>
        <w:t>was</w:t>
      </w:r>
      <w:r w:rsidR="00CB0227">
        <w:rPr>
          <w:rFonts w:cs="Arial"/>
        </w:rPr>
        <w:t xml:space="preserve"> assumed that</w:t>
      </w:r>
      <w:r w:rsidR="00A765A7">
        <w:rPr>
          <w:rFonts w:cs="Arial"/>
        </w:rPr>
        <w:t xml:space="preserve"> the age-gender distribution of </w:t>
      </w:r>
      <w:r w:rsidR="00CE372F">
        <w:rPr>
          <w:rFonts w:cs="Arial"/>
        </w:rPr>
        <w:t>A&amp;E</w:t>
      </w:r>
      <w:r w:rsidR="00A765A7">
        <w:rPr>
          <w:rFonts w:cs="Arial"/>
        </w:rPr>
        <w:t xml:space="preserve"> was the same as that for patients attending acute outpatient services</w:t>
      </w:r>
      <w:r w:rsidR="00934C28">
        <w:rPr>
          <w:rFonts w:cs="Arial"/>
        </w:rPr>
        <w:t xml:space="preserve"> (see next section for more </w:t>
      </w:r>
      <w:r w:rsidR="00FF148A">
        <w:rPr>
          <w:rFonts w:cs="Arial"/>
        </w:rPr>
        <w:t>detail)</w:t>
      </w:r>
      <w:r w:rsidR="00A765A7">
        <w:rPr>
          <w:rFonts w:cs="Arial"/>
        </w:rPr>
        <w:t>.</w:t>
      </w:r>
      <w:r w:rsidR="00CE372F">
        <w:rPr>
          <w:rFonts w:cs="Arial"/>
        </w:rPr>
        <w:t xml:space="preserve"> </w:t>
      </w:r>
    </w:p>
    <w:p w:rsidR="00675374" w:rsidRDefault="007A093A" w:rsidP="00E40E07">
      <w:pPr>
        <w:pStyle w:val="ListParagraph"/>
        <w:ind w:left="0"/>
        <w:jc w:val="both"/>
        <w:rPr>
          <w:rFonts w:cs="Arial"/>
        </w:rPr>
      </w:pPr>
      <w:r>
        <w:rPr>
          <w:rFonts w:cs="Arial"/>
        </w:rPr>
        <w:t>Since the Formula was first developed, o</w:t>
      </w:r>
      <w:r w:rsidRPr="007A093A">
        <w:rPr>
          <w:rFonts w:cs="Arial"/>
        </w:rPr>
        <w:t xml:space="preserve">pportunities to improve </w:t>
      </w:r>
      <w:r>
        <w:rPr>
          <w:rFonts w:cs="Arial"/>
        </w:rPr>
        <w:t xml:space="preserve">particular data inputs have arisen. </w:t>
      </w:r>
      <w:r w:rsidR="00675374">
        <w:rPr>
          <w:rFonts w:cs="Arial"/>
        </w:rPr>
        <w:t>Each opportunity has been assessed on a case-by-case basis to understand</w:t>
      </w:r>
    </w:p>
    <w:p w:rsidR="00675374" w:rsidRDefault="007376F4" w:rsidP="00675374">
      <w:pPr>
        <w:pStyle w:val="ListParagraph"/>
        <w:numPr>
          <w:ilvl w:val="0"/>
          <w:numId w:val="13"/>
        </w:numPr>
        <w:jc w:val="both"/>
        <w:rPr>
          <w:rFonts w:cs="Arial"/>
        </w:rPr>
      </w:pPr>
      <w:r>
        <w:rPr>
          <w:rFonts w:cs="Arial"/>
        </w:rPr>
        <w:t>w</w:t>
      </w:r>
      <w:r w:rsidR="00675374">
        <w:rPr>
          <w:rFonts w:cs="Arial"/>
        </w:rPr>
        <w:t xml:space="preserve">hether the newly available data provides a better </w:t>
      </w:r>
      <w:r w:rsidR="00E76BA6">
        <w:rPr>
          <w:rFonts w:cs="Arial"/>
        </w:rPr>
        <w:t>‘</w:t>
      </w:r>
      <w:r w:rsidR="00675374">
        <w:rPr>
          <w:rFonts w:cs="Arial"/>
        </w:rPr>
        <w:t xml:space="preserve">evidence base’ and </w:t>
      </w:r>
      <w:r w:rsidR="00E76BA6">
        <w:rPr>
          <w:rFonts w:cs="Arial"/>
        </w:rPr>
        <w:t xml:space="preserve"> so </w:t>
      </w:r>
      <w:r w:rsidR="00675374">
        <w:rPr>
          <w:rFonts w:cs="Arial"/>
        </w:rPr>
        <w:t>better input data than currently used by the Formula</w:t>
      </w:r>
    </w:p>
    <w:p w:rsidR="00675374" w:rsidRDefault="007376F4" w:rsidP="00675374">
      <w:pPr>
        <w:pStyle w:val="ListParagraph"/>
        <w:numPr>
          <w:ilvl w:val="0"/>
          <w:numId w:val="13"/>
        </w:numPr>
        <w:jc w:val="both"/>
        <w:rPr>
          <w:rFonts w:cs="Arial"/>
        </w:rPr>
      </w:pPr>
      <w:r>
        <w:rPr>
          <w:rFonts w:cs="Arial"/>
        </w:rPr>
        <w:t>t</w:t>
      </w:r>
      <w:r w:rsidR="00675374">
        <w:rPr>
          <w:rFonts w:cs="Arial"/>
        </w:rPr>
        <w:t>he likely impact on future outputs from runs of the Formula if the newly available</w:t>
      </w:r>
      <w:r>
        <w:rPr>
          <w:rFonts w:cs="Arial"/>
        </w:rPr>
        <w:t xml:space="preserve"> data is used</w:t>
      </w:r>
      <w:r w:rsidR="00675374">
        <w:rPr>
          <w:rFonts w:cs="Arial"/>
        </w:rPr>
        <w:t>.</w:t>
      </w:r>
    </w:p>
    <w:p w:rsidR="00D32BD1" w:rsidRDefault="00675374" w:rsidP="00593209">
      <w:pPr>
        <w:jc w:val="both"/>
        <w:rPr>
          <w:rFonts w:cs="Arial"/>
        </w:rPr>
      </w:pPr>
      <w:r>
        <w:rPr>
          <w:rFonts w:cs="Arial"/>
        </w:rPr>
        <w:t xml:space="preserve">It is then the responsibility of TAGRA to make an informed decision </w:t>
      </w:r>
      <w:r w:rsidR="00934C28">
        <w:rPr>
          <w:rFonts w:cs="Arial"/>
        </w:rPr>
        <w:t xml:space="preserve">on whether </w:t>
      </w:r>
      <w:r>
        <w:rPr>
          <w:rFonts w:cs="Arial"/>
        </w:rPr>
        <w:t>to adopt the use of a new data source in future runs of the model based on this assessment.</w:t>
      </w:r>
    </w:p>
    <w:p w:rsidR="00593209" w:rsidRPr="00593209" w:rsidRDefault="00593209" w:rsidP="00593209">
      <w:pPr>
        <w:jc w:val="both"/>
        <w:rPr>
          <w:rFonts w:cs="Arial"/>
        </w:rPr>
      </w:pPr>
      <w:r>
        <w:rPr>
          <w:rFonts w:cs="Arial"/>
        </w:rPr>
        <w:t>This paper discusses two such opportunities that have arisen recently. The opportunities are described</w:t>
      </w:r>
      <w:r w:rsidR="00967C88">
        <w:rPr>
          <w:rFonts w:cs="Arial"/>
        </w:rPr>
        <w:t xml:space="preserve"> in detail and recommendations are made in respect of </w:t>
      </w:r>
      <w:r w:rsidR="00934C28">
        <w:rPr>
          <w:rFonts w:cs="Arial"/>
        </w:rPr>
        <w:t xml:space="preserve">the </w:t>
      </w:r>
      <w:r w:rsidR="00967C88">
        <w:rPr>
          <w:rFonts w:cs="Arial"/>
        </w:rPr>
        <w:t>next steps</w:t>
      </w:r>
      <w:r w:rsidR="00934C28">
        <w:rPr>
          <w:rFonts w:cs="Arial"/>
        </w:rPr>
        <w:t xml:space="preserve"> for taking these forward</w:t>
      </w:r>
      <w:r w:rsidR="00967C88">
        <w:rPr>
          <w:rFonts w:cs="Arial"/>
        </w:rPr>
        <w:t>.</w:t>
      </w:r>
    </w:p>
    <w:p w:rsidR="00544BD6" w:rsidRDefault="00544BD6">
      <w:pPr>
        <w:rPr>
          <w:rFonts w:cs="Arial"/>
          <w:b/>
          <w:sz w:val="24"/>
          <w:szCs w:val="24"/>
        </w:rPr>
      </w:pPr>
      <w:r>
        <w:rPr>
          <w:rFonts w:cs="Arial"/>
          <w:b/>
          <w:sz w:val="24"/>
          <w:szCs w:val="24"/>
        </w:rPr>
        <w:br w:type="page"/>
      </w:r>
    </w:p>
    <w:p w:rsidR="00544BD6" w:rsidRDefault="00544BD6" w:rsidP="00544BD6">
      <w:pPr>
        <w:spacing w:line="360" w:lineRule="auto"/>
        <w:jc w:val="both"/>
        <w:rPr>
          <w:rFonts w:cs="Arial"/>
          <w:b/>
          <w:sz w:val="24"/>
          <w:szCs w:val="24"/>
        </w:rPr>
      </w:pPr>
    </w:p>
    <w:p w:rsidR="00544BD6" w:rsidRPr="00544BD6" w:rsidRDefault="0076776C" w:rsidP="00544BD6">
      <w:pPr>
        <w:pStyle w:val="ListParagraph"/>
        <w:numPr>
          <w:ilvl w:val="0"/>
          <w:numId w:val="14"/>
        </w:numPr>
        <w:spacing w:line="360" w:lineRule="auto"/>
        <w:jc w:val="both"/>
        <w:rPr>
          <w:rFonts w:cs="Arial"/>
          <w:b/>
          <w:sz w:val="24"/>
          <w:szCs w:val="24"/>
        </w:rPr>
      </w:pPr>
      <w:r>
        <w:rPr>
          <w:rFonts w:cs="Arial"/>
          <w:b/>
          <w:sz w:val="24"/>
          <w:szCs w:val="24"/>
        </w:rPr>
        <w:t xml:space="preserve">Use of </w:t>
      </w:r>
      <w:r w:rsidR="00544BD6">
        <w:rPr>
          <w:rFonts w:cs="Arial"/>
          <w:b/>
          <w:sz w:val="24"/>
          <w:szCs w:val="24"/>
        </w:rPr>
        <w:t>National Data on Attendances at A&amp;E Services</w:t>
      </w:r>
    </w:p>
    <w:p w:rsidR="0088132D" w:rsidRDefault="005E6A10" w:rsidP="00544BD6">
      <w:pPr>
        <w:pStyle w:val="ListParagraph"/>
        <w:ind w:left="0"/>
        <w:jc w:val="both"/>
        <w:rPr>
          <w:rFonts w:cs="Arial"/>
        </w:rPr>
      </w:pPr>
      <w:r>
        <w:rPr>
          <w:rFonts w:cs="Arial"/>
        </w:rPr>
        <w:t xml:space="preserve">As mentioned earlier there has been a long-standing use of proxy data within the age-sex adjustment part of the Formula when considering the relative need for </w:t>
      </w:r>
      <w:r w:rsidR="00934C28">
        <w:rPr>
          <w:rFonts w:cs="Arial"/>
        </w:rPr>
        <w:t>A&amp;E services</w:t>
      </w:r>
      <w:r w:rsidR="00D427E3">
        <w:rPr>
          <w:rFonts w:cs="Arial"/>
        </w:rPr>
        <w:t>. This takes place within the part of the formula that predicts how the relative need for Acute service</w:t>
      </w:r>
      <w:r w:rsidR="000E291D">
        <w:rPr>
          <w:rFonts w:cs="Arial"/>
        </w:rPr>
        <w:t>s</w:t>
      </w:r>
      <w:r w:rsidR="00D427E3">
        <w:rPr>
          <w:rFonts w:cs="Arial"/>
        </w:rPr>
        <w:t xml:space="preserve"> var</w:t>
      </w:r>
      <w:r w:rsidR="000E291D">
        <w:rPr>
          <w:rFonts w:cs="Arial"/>
        </w:rPr>
        <w:t>ies</w:t>
      </w:r>
      <w:r w:rsidR="00D427E3">
        <w:rPr>
          <w:rFonts w:cs="Arial"/>
        </w:rPr>
        <w:t xml:space="preserve"> according to the age-gender distribution of a particular population (more detail on this follows). </w:t>
      </w:r>
    </w:p>
    <w:p w:rsidR="00A7756F" w:rsidRDefault="00D427E3" w:rsidP="00544BD6">
      <w:pPr>
        <w:pStyle w:val="ListParagraph"/>
        <w:ind w:left="0"/>
        <w:jc w:val="both"/>
        <w:rPr>
          <w:rFonts w:cs="Arial"/>
        </w:rPr>
      </w:pPr>
      <w:r>
        <w:rPr>
          <w:rFonts w:cs="Arial"/>
        </w:rPr>
        <w:t>At the time the Formula was developed</w:t>
      </w:r>
      <w:r w:rsidR="005E6A10">
        <w:rPr>
          <w:rFonts w:cs="Arial"/>
        </w:rPr>
        <w:t xml:space="preserve"> robust data</w:t>
      </w:r>
      <w:r w:rsidR="00F73A3F">
        <w:rPr>
          <w:rFonts w:cs="Arial"/>
        </w:rPr>
        <w:t xml:space="preserve"> was not available</w:t>
      </w:r>
      <w:r w:rsidR="005E6A10">
        <w:rPr>
          <w:rFonts w:cs="Arial"/>
        </w:rPr>
        <w:t xml:space="preserve"> on how A&amp;E attendees are distributed with respect to age and gender</w:t>
      </w:r>
      <w:r w:rsidR="00F73A3F">
        <w:rPr>
          <w:rFonts w:cs="Arial"/>
        </w:rPr>
        <w:t>.</w:t>
      </w:r>
      <w:r w:rsidR="005E6A10">
        <w:rPr>
          <w:rFonts w:cs="Arial"/>
        </w:rPr>
        <w:t xml:space="preserve"> Instead</w:t>
      </w:r>
      <w:r w:rsidR="0088132D">
        <w:rPr>
          <w:rFonts w:cs="Arial"/>
        </w:rPr>
        <w:t>, as a ‘proxy solution’</w:t>
      </w:r>
      <w:r w:rsidR="000E291D">
        <w:rPr>
          <w:rFonts w:cs="Arial"/>
        </w:rPr>
        <w:t>,</w:t>
      </w:r>
      <w:r w:rsidR="00A7756F">
        <w:rPr>
          <w:rFonts w:cs="Arial"/>
        </w:rPr>
        <w:t xml:space="preserve"> it </w:t>
      </w:r>
      <w:r w:rsidR="0088132D">
        <w:rPr>
          <w:rFonts w:cs="Arial"/>
        </w:rPr>
        <w:t>was</w:t>
      </w:r>
      <w:r w:rsidR="005E6A10">
        <w:rPr>
          <w:rFonts w:cs="Arial"/>
        </w:rPr>
        <w:t xml:space="preserve"> </w:t>
      </w:r>
      <w:r w:rsidR="00A7756F">
        <w:rPr>
          <w:rFonts w:cs="Arial"/>
        </w:rPr>
        <w:t>assumed that</w:t>
      </w:r>
      <w:r w:rsidR="005E6A10">
        <w:rPr>
          <w:rFonts w:cs="Arial"/>
        </w:rPr>
        <w:t xml:space="preserve"> this distribution </w:t>
      </w:r>
      <w:r w:rsidR="0088132D">
        <w:rPr>
          <w:rFonts w:cs="Arial"/>
        </w:rPr>
        <w:t>was</w:t>
      </w:r>
      <w:r w:rsidR="005E6A10">
        <w:rPr>
          <w:rFonts w:cs="Arial"/>
        </w:rPr>
        <w:t xml:space="preserve"> the same as that for patients attending outpatient clinics. </w:t>
      </w:r>
      <w:r w:rsidR="0088132D">
        <w:rPr>
          <w:rFonts w:cs="Arial"/>
        </w:rPr>
        <w:t>Since then subsequent Formula runs have used national data on outpatient attendances (SMR00) to measure and monitor changes to this distribution.</w:t>
      </w:r>
    </w:p>
    <w:p w:rsidR="00C116D8" w:rsidRPr="003902FF" w:rsidRDefault="00A7756F" w:rsidP="00C116D8">
      <w:pPr>
        <w:pStyle w:val="ListParagraph"/>
        <w:ind w:left="0"/>
        <w:jc w:val="both"/>
        <w:rPr>
          <w:rFonts w:cs="Arial"/>
        </w:rPr>
      </w:pPr>
      <w:r>
        <w:rPr>
          <w:rFonts w:cs="Arial"/>
        </w:rPr>
        <w:t>However</w:t>
      </w:r>
      <w:r w:rsidR="001115AC">
        <w:t xml:space="preserve">, since the Formula was developed there has been significant </w:t>
      </w:r>
      <w:r w:rsidR="000E291D">
        <w:t>improvement</w:t>
      </w:r>
      <w:r w:rsidR="001115AC">
        <w:t xml:space="preserve"> to national data on patient activity within A&amp;E </w:t>
      </w:r>
      <w:r w:rsidR="00C116D8">
        <w:t>Services</w:t>
      </w:r>
      <w:r w:rsidR="00E76BA6">
        <w:t>,</w:t>
      </w:r>
      <w:r w:rsidR="00F73A3F">
        <w:t xml:space="preserve"> the main driver being to monitor the 4-hour wait target</w:t>
      </w:r>
      <w:r w:rsidR="00C116D8">
        <w:t>. D</w:t>
      </w:r>
      <w:r w:rsidR="00C116D8" w:rsidRPr="003902FF">
        <w:rPr>
          <w:rFonts w:cs="Arial"/>
        </w:rPr>
        <w:t xml:space="preserve">ata on </w:t>
      </w:r>
      <w:r w:rsidR="002C6CF9">
        <w:rPr>
          <w:rFonts w:cs="Arial"/>
        </w:rPr>
        <w:t xml:space="preserve">patient attendances at </w:t>
      </w:r>
      <w:r w:rsidR="00C116D8" w:rsidRPr="003902FF">
        <w:rPr>
          <w:rFonts w:cs="Arial"/>
        </w:rPr>
        <w:t>A&amp;E</w:t>
      </w:r>
      <w:r w:rsidR="00C116D8">
        <w:rPr>
          <w:rFonts w:cs="Arial"/>
        </w:rPr>
        <w:t xml:space="preserve"> </w:t>
      </w:r>
      <w:r w:rsidR="00C116D8" w:rsidRPr="003902FF">
        <w:rPr>
          <w:rFonts w:cs="Arial"/>
        </w:rPr>
        <w:t>service</w:t>
      </w:r>
      <w:r w:rsidR="002C6CF9">
        <w:rPr>
          <w:rFonts w:cs="Arial"/>
        </w:rPr>
        <w:t xml:space="preserve">s </w:t>
      </w:r>
      <w:r w:rsidR="00C116D8" w:rsidRPr="003902FF">
        <w:rPr>
          <w:rFonts w:cs="Arial"/>
        </w:rPr>
        <w:t xml:space="preserve">are collected and maintained by ISD in the national data warehouse known as the </w:t>
      </w:r>
      <w:proofErr w:type="spellStart"/>
      <w:r w:rsidR="00C116D8" w:rsidRPr="003902FF">
        <w:rPr>
          <w:rFonts w:cs="Arial"/>
        </w:rPr>
        <w:t>A&amp;E</w:t>
      </w:r>
      <w:proofErr w:type="spellEnd"/>
      <w:r w:rsidR="00C116D8" w:rsidRPr="003902FF">
        <w:rPr>
          <w:rFonts w:cs="Arial"/>
        </w:rPr>
        <w:t xml:space="preserve"> </w:t>
      </w:r>
      <w:proofErr w:type="spellStart"/>
      <w:r w:rsidR="00C116D8" w:rsidRPr="003902FF">
        <w:rPr>
          <w:rFonts w:cs="Arial"/>
        </w:rPr>
        <w:t>datamart</w:t>
      </w:r>
      <w:proofErr w:type="spellEnd"/>
      <w:r w:rsidR="00C116D8" w:rsidRPr="003902FF">
        <w:rPr>
          <w:rFonts w:cs="Arial"/>
        </w:rPr>
        <w:t xml:space="preserve">. Data </w:t>
      </w:r>
      <w:r w:rsidR="00E76BA6">
        <w:rPr>
          <w:rFonts w:cs="Arial"/>
        </w:rPr>
        <w:t>are</w:t>
      </w:r>
      <w:r w:rsidR="00C116D8" w:rsidRPr="003902FF">
        <w:rPr>
          <w:rFonts w:cs="Arial"/>
        </w:rPr>
        <w:t xml:space="preserve"> collected</w:t>
      </w:r>
      <w:r w:rsidR="002C6CF9">
        <w:rPr>
          <w:rFonts w:cs="Arial"/>
        </w:rPr>
        <w:t xml:space="preserve"> at source</w:t>
      </w:r>
      <w:r w:rsidR="00C116D8" w:rsidRPr="003902FF">
        <w:rPr>
          <w:rFonts w:cs="Arial"/>
        </w:rPr>
        <w:t xml:space="preserve"> on local </w:t>
      </w:r>
      <w:r w:rsidR="002C6CF9">
        <w:rPr>
          <w:rFonts w:cs="Arial"/>
        </w:rPr>
        <w:t>clinical</w:t>
      </w:r>
      <w:r w:rsidR="00C116D8" w:rsidRPr="003902FF">
        <w:rPr>
          <w:rFonts w:cs="Arial"/>
        </w:rPr>
        <w:t xml:space="preserve"> systems,  then  extracted  and  submitted  to  the  </w:t>
      </w:r>
      <w:proofErr w:type="spellStart"/>
      <w:r w:rsidR="00C116D8" w:rsidRPr="003902FF">
        <w:rPr>
          <w:rFonts w:cs="Arial"/>
        </w:rPr>
        <w:t>datamart</w:t>
      </w:r>
      <w:proofErr w:type="spellEnd"/>
      <w:r w:rsidR="00C116D8">
        <w:rPr>
          <w:rFonts w:cs="Arial"/>
        </w:rPr>
        <w:t xml:space="preserve"> </w:t>
      </w:r>
      <w:r w:rsidR="00C116D8" w:rsidRPr="003902FF">
        <w:rPr>
          <w:rFonts w:cs="Arial"/>
        </w:rPr>
        <w:t xml:space="preserve">  soon  after  the  end  of  each month.  NHS  Boards  are  required  to  submit  data  on  all  attendances  for  emergency  care,</w:t>
      </w:r>
      <w:r w:rsidR="00C116D8">
        <w:rPr>
          <w:rFonts w:cs="Arial"/>
        </w:rPr>
        <w:t xml:space="preserve"> </w:t>
      </w:r>
      <w:r w:rsidR="00C116D8" w:rsidRPr="003902FF">
        <w:rPr>
          <w:rFonts w:cs="Arial"/>
        </w:rPr>
        <w:t>whether this is delivered in:</w:t>
      </w:r>
    </w:p>
    <w:p w:rsidR="00C116D8" w:rsidRPr="003902FF" w:rsidRDefault="00C116D8" w:rsidP="00C116D8">
      <w:pPr>
        <w:pStyle w:val="ListParagraph"/>
        <w:numPr>
          <w:ilvl w:val="0"/>
          <w:numId w:val="16"/>
        </w:numPr>
        <w:jc w:val="both"/>
        <w:rPr>
          <w:rFonts w:cs="Arial"/>
        </w:rPr>
      </w:pPr>
      <w:r w:rsidRPr="003902FF">
        <w:rPr>
          <w:rFonts w:cs="Arial"/>
        </w:rPr>
        <w:t>an A&amp;E Department,</w:t>
      </w:r>
    </w:p>
    <w:p w:rsidR="00C116D8" w:rsidRPr="003902FF" w:rsidRDefault="00C116D8" w:rsidP="00C116D8">
      <w:pPr>
        <w:pStyle w:val="ListParagraph"/>
        <w:numPr>
          <w:ilvl w:val="0"/>
          <w:numId w:val="16"/>
        </w:numPr>
        <w:jc w:val="both"/>
        <w:rPr>
          <w:rFonts w:cs="Arial"/>
        </w:rPr>
      </w:pPr>
      <w:r w:rsidRPr="003902FF">
        <w:rPr>
          <w:rFonts w:cs="Arial"/>
        </w:rPr>
        <w:t>an Emergency Department,</w:t>
      </w:r>
    </w:p>
    <w:p w:rsidR="00C116D8" w:rsidRPr="003902FF" w:rsidRDefault="00C116D8" w:rsidP="00C116D8">
      <w:pPr>
        <w:pStyle w:val="ListParagraph"/>
        <w:numPr>
          <w:ilvl w:val="0"/>
          <w:numId w:val="16"/>
        </w:numPr>
        <w:jc w:val="both"/>
        <w:rPr>
          <w:rFonts w:cs="Arial"/>
        </w:rPr>
      </w:pPr>
      <w:r w:rsidRPr="003902FF">
        <w:rPr>
          <w:rFonts w:cs="Arial"/>
        </w:rPr>
        <w:t>a Minor Injuries Unit,</w:t>
      </w:r>
    </w:p>
    <w:p w:rsidR="00C116D8" w:rsidRDefault="00C116D8" w:rsidP="00C116D8">
      <w:pPr>
        <w:pStyle w:val="ListParagraph"/>
        <w:numPr>
          <w:ilvl w:val="0"/>
          <w:numId w:val="16"/>
        </w:numPr>
        <w:jc w:val="both"/>
        <w:rPr>
          <w:rFonts w:cs="Arial"/>
        </w:rPr>
      </w:pPr>
      <w:r w:rsidRPr="003902FF">
        <w:rPr>
          <w:rFonts w:cs="Arial"/>
        </w:rPr>
        <w:t>the troll</w:t>
      </w:r>
      <w:r w:rsidR="002C6CF9">
        <w:rPr>
          <w:rFonts w:cs="Arial"/>
        </w:rPr>
        <w:t>eyed area of an Assessment Unit.</w:t>
      </w:r>
    </w:p>
    <w:p w:rsidR="002C6CF9" w:rsidRPr="003902FF" w:rsidRDefault="00C116D8" w:rsidP="002C6CF9">
      <w:pPr>
        <w:jc w:val="both"/>
        <w:rPr>
          <w:rFonts w:cs="Arial"/>
        </w:rPr>
      </w:pPr>
      <w:r w:rsidRPr="00C116D8">
        <w:rPr>
          <w:rFonts w:cs="Arial"/>
        </w:rPr>
        <w:t xml:space="preserve">There are two types of data submitted to the </w:t>
      </w:r>
      <w:proofErr w:type="spellStart"/>
      <w:r w:rsidRPr="00C116D8">
        <w:rPr>
          <w:rFonts w:cs="Arial"/>
        </w:rPr>
        <w:t>A&amp;E</w:t>
      </w:r>
      <w:proofErr w:type="spellEnd"/>
      <w:r w:rsidRPr="00C116D8">
        <w:rPr>
          <w:rFonts w:cs="Arial"/>
        </w:rPr>
        <w:t xml:space="preserve"> </w:t>
      </w:r>
      <w:proofErr w:type="spellStart"/>
      <w:r w:rsidRPr="00C116D8">
        <w:rPr>
          <w:rFonts w:cs="Arial"/>
        </w:rPr>
        <w:t>datamart</w:t>
      </w:r>
      <w:proofErr w:type="spellEnd"/>
      <w:r w:rsidRPr="00C116D8">
        <w:rPr>
          <w:rFonts w:cs="Arial"/>
        </w:rPr>
        <w:t>: episod</w:t>
      </w:r>
      <w:r w:rsidR="00E76BA6">
        <w:rPr>
          <w:rFonts w:cs="Arial"/>
        </w:rPr>
        <w:t>ic</w:t>
      </w:r>
      <w:r w:rsidRPr="00C116D8">
        <w:rPr>
          <w:rFonts w:cs="Arial"/>
        </w:rPr>
        <w:t xml:space="preserve"> and aggregate</w:t>
      </w:r>
      <w:r>
        <w:rPr>
          <w:rFonts w:cs="Arial"/>
        </w:rPr>
        <w:t xml:space="preserve"> </w:t>
      </w:r>
      <w:r w:rsidRPr="003902FF">
        <w:rPr>
          <w:rFonts w:cs="Arial"/>
        </w:rPr>
        <w:t>level data. All hospitals with Emer</w:t>
      </w:r>
      <w:r w:rsidR="00DD7BE4">
        <w:rPr>
          <w:rFonts w:cs="Arial"/>
        </w:rPr>
        <w:t>gency Departments submit episodic</w:t>
      </w:r>
      <w:r w:rsidRPr="003902FF">
        <w:rPr>
          <w:rFonts w:cs="Arial"/>
        </w:rPr>
        <w:t xml:space="preserve"> data containing a detailed record for each patient attendance</w:t>
      </w:r>
      <w:r w:rsidR="002C6CF9">
        <w:rPr>
          <w:rFonts w:cs="Arial"/>
        </w:rPr>
        <w:t xml:space="preserve">, including the patient’s </w:t>
      </w:r>
      <w:r w:rsidR="00DD7BE4">
        <w:rPr>
          <w:rFonts w:cs="Arial"/>
        </w:rPr>
        <w:t>gender</w:t>
      </w:r>
      <w:r w:rsidR="002C6CF9">
        <w:rPr>
          <w:rFonts w:cs="Arial"/>
        </w:rPr>
        <w:t xml:space="preserve"> and </w:t>
      </w:r>
      <w:r w:rsidR="00DD7BE4">
        <w:rPr>
          <w:rFonts w:cs="Arial"/>
        </w:rPr>
        <w:t>age</w:t>
      </w:r>
      <w:r w:rsidRPr="003902FF">
        <w:rPr>
          <w:rFonts w:cs="Arial"/>
        </w:rPr>
        <w:t xml:space="preserve"> Some smaller sites with minor injury units or community hospitals submit only aggregate level data as they do not have the information systems and support to enable collection of detailed patient based information. The aggregate level data consists of the total monthly attendance figures and the number of these seen within 4 hours</w:t>
      </w:r>
      <w:r w:rsidR="00DD7BE4">
        <w:rPr>
          <w:rFonts w:cs="Arial"/>
        </w:rPr>
        <w:t xml:space="preserve"> and does not contain data on the gender and age of patients</w:t>
      </w:r>
      <w:r w:rsidRPr="003902FF">
        <w:rPr>
          <w:rFonts w:cs="Arial"/>
        </w:rPr>
        <w:t>.</w:t>
      </w:r>
      <w:r>
        <w:rPr>
          <w:rFonts w:cs="Arial"/>
        </w:rPr>
        <w:t xml:space="preserve"> However</w:t>
      </w:r>
      <w:r w:rsidR="002C6CF9">
        <w:rPr>
          <w:rFonts w:cs="Arial"/>
        </w:rPr>
        <w:t xml:space="preserve"> the national coverage of the episodic data is now high with </w:t>
      </w:r>
      <w:r w:rsidRPr="003902FF">
        <w:rPr>
          <w:rFonts w:cs="Arial"/>
        </w:rPr>
        <w:t xml:space="preserve">94% of new and unplanned attendances to sites </w:t>
      </w:r>
      <w:r w:rsidR="00E16680">
        <w:rPr>
          <w:rFonts w:cs="Arial"/>
        </w:rPr>
        <w:t xml:space="preserve">that </w:t>
      </w:r>
      <w:r w:rsidR="00DD7BE4">
        <w:rPr>
          <w:rFonts w:cs="Arial"/>
        </w:rPr>
        <w:t xml:space="preserve">now </w:t>
      </w:r>
      <w:r w:rsidR="002C6CF9">
        <w:rPr>
          <w:rFonts w:cs="Arial"/>
        </w:rPr>
        <w:t>supply</w:t>
      </w:r>
      <w:r w:rsidRPr="003902FF">
        <w:rPr>
          <w:rFonts w:cs="Arial"/>
        </w:rPr>
        <w:t xml:space="preserve"> </w:t>
      </w:r>
      <w:r w:rsidR="00886CFB">
        <w:rPr>
          <w:rFonts w:cs="Arial"/>
        </w:rPr>
        <w:t>this type of</w:t>
      </w:r>
      <w:r w:rsidRPr="003902FF">
        <w:rPr>
          <w:rFonts w:cs="Arial"/>
        </w:rPr>
        <w:t xml:space="preserve"> data. </w:t>
      </w:r>
    </w:p>
    <w:p w:rsidR="00767404" w:rsidRPr="003902FF" w:rsidRDefault="00C1437E" w:rsidP="00767404">
      <w:pPr>
        <w:pStyle w:val="ListParagraph"/>
        <w:ind w:left="0"/>
        <w:jc w:val="both"/>
        <w:rPr>
          <w:rFonts w:cs="Arial"/>
        </w:rPr>
      </w:pPr>
      <w:r>
        <w:rPr>
          <w:rFonts w:cs="Arial"/>
        </w:rPr>
        <w:t xml:space="preserve">As a consequence of this </w:t>
      </w:r>
      <w:r w:rsidR="00E76BA6">
        <w:rPr>
          <w:rFonts w:cs="Arial"/>
        </w:rPr>
        <w:t>improvement to national data</w:t>
      </w:r>
      <w:r w:rsidR="00DD7BE4">
        <w:rPr>
          <w:rFonts w:cs="Arial"/>
        </w:rPr>
        <w:t xml:space="preserve"> it is possible to examine the age-sex distribution of patients recorded on this source with</w:t>
      </w:r>
      <w:r>
        <w:rPr>
          <w:rFonts w:cs="Arial"/>
        </w:rPr>
        <w:t xml:space="preserve"> the ‘proxy’ distribution</w:t>
      </w:r>
      <w:r w:rsidR="00DD7BE4">
        <w:rPr>
          <w:rFonts w:cs="Arial"/>
        </w:rPr>
        <w:t xml:space="preserve"> that has been used </w:t>
      </w:r>
      <w:r w:rsidR="00E76BA6">
        <w:rPr>
          <w:rFonts w:cs="Arial"/>
        </w:rPr>
        <w:t>by</w:t>
      </w:r>
      <w:r w:rsidR="00DD7BE4">
        <w:rPr>
          <w:rFonts w:cs="Arial"/>
        </w:rPr>
        <w:t xml:space="preserve"> the Formula. </w:t>
      </w:r>
      <w:r>
        <w:rPr>
          <w:rFonts w:cs="Arial"/>
        </w:rPr>
        <w:t xml:space="preserve">Figure 1 shows </w:t>
      </w:r>
      <w:r w:rsidR="00DD7BE4">
        <w:rPr>
          <w:rFonts w:cs="Arial"/>
        </w:rPr>
        <w:t>this for the last publish</w:t>
      </w:r>
      <w:r w:rsidR="00E76BA6">
        <w:rPr>
          <w:rFonts w:cs="Arial"/>
        </w:rPr>
        <w:t>ed</w:t>
      </w:r>
      <w:r w:rsidR="00DD7BE4">
        <w:rPr>
          <w:rFonts w:cs="Arial"/>
        </w:rPr>
        <w:t xml:space="preserve"> Formula run (calculating shares for 2021/22)</w:t>
      </w:r>
      <w:r>
        <w:rPr>
          <w:rFonts w:cs="Arial"/>
        </w:rPr>
        <w:t xml:space="preserve">, which was based on </w:t>
      </w:r>
      <w:r w:rsidR="003E0E39">
        <w:rPr>
          <w:rFonts w:cs="Arial"/>
        </w:rPr>
        <w:t xml:space="preserve">new </w:t>
      </w:r>
      <w:r>
        <w:rPr>
          <w:rFonts w:cs="Arial"/>
        </w:rPr>
        <w:t>attendance</w:t>
      </w:r>
      <w:r w:rsidR="003E0E39">
        <w:rPr>
          <w:rFonts w:cs="Arial"/>
        </w:rPr>
        <w:t>s</w:t>
      </w:r>
      <w:r>
        <w:rPr>
          <w:rFonts w:cs="Arial"/>
        </w:rPr>
        <w:t xml:space="preserve"> at acute outpatient clinics in 2017/18.</w:t>
      </w:r>
      <w:r w:rsidR="00DD7BE4">
        <w:rPr>
          <w:rFonts w:cs="Arial"/>
        </w:rPr>
        <w:t xml:space="preserve"> In comparison, </w:t>
      </w:r>
      <w:r w:rsidR="00F47DFD">
        <w:rPr>
          <w:rFonts w:cs="Arial"/>
        </w:rPr>
        <w:t xml:space="preserve">also </w:t>
      </w:r>
      <w:r w:rsidR="00DD7BE4">
        <w:rPr>
          <w:rFonts w:cs="Arial"/>
        </w:rPr>
        <w:t>shown is</w:t>
      </w:r>
      <w:r w:rsidR="00767404">
        <w:rPr>
          <w:rFonts w:cs="Arial"/>
        </w:rPr>
        <w:t xml:space="preserve"> the corresponding distribution</w:t>
      </w:r>
      <w:r w:rsidR="003E0E39">
        <w:rPr>
          <w:rFonts w:cs="Arial"/>
        </w:rPr>
        <w:t xml:space="preserve"> for A&amp;E </w:t>
      </w:r>
      <w:r w:rsidR="009E0DD9">
        <w:rPr>
          <w:rFonts w:cs="Arial"/>
        </w:rPr>
        <w:t xml:space="preserve">attendances </w:t>
      </w:r>
      <w:r w:rsidR="00767404">
        <w:rPr>
          <w:rFonts w:cs="Arial"/>
        </w:rPr>
        <w:t>occurring in the same year and for which episod</w:t>
      </w:r>
      <w:r w:rsidR="000E291D">
        <w:rPr>
          <w:rFonts w:cs="Arial"/>
        </w:rPr>
        <w:t>ic data was</w:t>
      </w:r>
      <w:r w:rsidR="00767404">
        <w:rPr>
          <w:rFonts w:cs="Arial"/>
        </w:rPr>
        <w:t xml:space="preserve"> recorded</w:t>
      </w:r>
      <w:r w:rsidR="003E0E39">
        <w:rPr>
          <w:rFonts w:cs="Arial"/>
        </w:rPr>
        <w:t xml:space="preserve"> </w:t>
      </w:r>
      <w:r w:rsidR="00767404">
        <w:rPr>
          <w:rFonts w:cs="Arial"/>
        </w:rPr>
        <w:t xml:space="preserve">on the </w:t>
      </w:r>
      <w:proofErr w:type="spellStart"/>
      <w:r w:rsidR="00767404">
        <w:rPr>
          <w:rFonts w:cs="Arial"/>
        </w:rPr>
        <w:t>A&amp;E</w:t>
      </w:r>
      <w:proofErr w:type="spellEnd"/>
      <w:r w:rsidR="00767404">
        <w:rPr>
          <w:rFonts w:cs="Arial"/>
        </w:rPr>
        <w:t xml:space="preserve"> </w:t>
      </w:r>
      <w:proofErr w:type="spellStart"/>
      <w:r w:rsidR="003E0E39">
        <w:rPr>
          <w:rFonts w:cs="Arial"/>
        </w:rPr>
        <w:t>datamart</w:t>
      </w:r>
      <w:proofErr w:type="spellEnd"/>
      <w:r w:rsidR="00767404">
        <w:rPr>
          <w:rFonts w:cs="Arial"/>
        </w:rPr>
        <w:t xml:space="preserve">.  </w:t>
      </w:r>
      <w:r w:rsidR="00DD7BE4">
        <w:rPr>
          <w:rFonts w:cs="Arial"/>
        </w:rPr>
        <w:t>Using an alternative measure of patient activity, a</w:t>
      </w:r>
      <w:r w:rsidR="00767404">
        <w:rPr>
          <w:rFonts w:cs="Arial"/>
        </w:rPr>
        <w:t>n additional data series show</w:t>
      </w:r>
      <w:r w:rsidR="00DD7BE4">
        <w:rPr>
          <w:rFonts w:cs="Arial"/>
        </w:rPr>
        <w:t>s a</w:t>
      </w:r>
      <w:r w:rsidR="00767404">
        <w:rPr>
          <w:rFonts w:cs="Arial"/>
        </w:rPr>
        <w:t xml:space="preserve"> distribution </w:t>
      </w:r>
      <w:r w:rsidR="00DD7BE4">
        <w:rPr>
          <w:rFonts w:cs="Arial"/>
        </w:rPr>
        <w:t>based on</w:t>
      </w:r>
      <w:r w:rsidR="00767404">
        <w:rPr>
          <w:rFonts w:cs="Arial"/>
        </w:rPr>
        <w:t xml:space="preserve"> the time spent </w:t>
      </w:r>
      <w:r w:rsidR="001A4185">
        <w:rPr>
          <w:rFonts w:cs="Arial"/>
        </w:rPr>
        <w:t xml:space="preserve">(minutes) </w:t>
      </w:r>
      <w:r w:rsidR="00767404">
        <w:rPr>
          <w:rFonts w:cs="Arial"/>
        </w:rPr>
        <w:t xml:space="preserve">in A&amp;E </w:t>
      </w:r>
      <w:r w:rsidR="000E291D">
        <w:rPr>
          <w:rFonts w:cs="Arial"/>
        </w:rPr>
        <w:t>by these attendees</w:t>
      </w:r>
      <w:r w:rsidR="00DD7BE4">
        <w:rPr>
          <w:rFonts w:cs="Arial"/>
        </w:rPr>
        <w:t>. The advantage of this approach is that time</w:t>
      </w:r>
      <w:r w:rsidR="000E291D">
        <w:rPr>
          <w:rFonts w:cs="Arial"/>
        </w:rPr>
        <w:t xml:space="preserve"> is more </w:t>
      </w:r>
      <w:r w:rsidR="000E291D">
        <w:t>likely to be more correlated with complexity and so cost</w:t>
      </w:r>
      <w:r w:rsidR="00767404">
        <w:rPr>
          <w:rFonts w:cs="Arial"/>
        </w:rPr>
        <w:t>.</w:t>
      </w:r>
    </w:p>
    <w:p w:rsidR="003902FF" w:rsidRPr="00767404" w:rsidRDefault="003902FF" w:rsidP="00767404">
      <w:pPr>
        <w:jc w:val="both"/>
        <w:rPr>
          <w:rFonts w:cs="Arial"/>
        </w:rPr>
      </w:pPr>
    </w:p>
    <w:p w:rsidR="00A7756F" w:rsidRPr="005F6EB8" w:rsidRDefault="005F6EB8" w:rsidP="00A7756F">
      <w:pPr>
        <w:pStyle w:val="ListParagraph"/>
        <w:ind w:left="0"/>
        <w:jc w:val="both"/>
        <w:rPr>
          <w:rFonts w:cs="Arial"/>
          <w:b/>
        </w:rPr>
      </w:pPr>
      <w:r w:rsidRPr="005F6EB8">
        <w:rPr>
          <w:rFonts w:cs="Arial"/>
          <w:b/>
        </w:rPr>
        <w:lastRenderedPageBreak/>
        <w:t>Figure 1</w:t>
      </w:r>
      <w:r>
        <w:rPr>
          <w:rFonts w:cs="Arial"/>
          <w:b/>
        </w:rPr>
        <w:t xml:space="preserve">  - Age-gender Distribution of A&amp;E Patient Activity in 2017/18</w:t>
      </w:r>
    </w:p>
    <w:p w:rsidR="005F6EB8" w:rsidRDefault="0082436A" w:rsidP="00A7756F">
      <w:pPr>
        <w:pStyle w:val="ListParagraph"/>
        <w:ind w:left="0"/>
        <w:jc w:val="both"/>
      </w:pPr>
      <w:r w:rsidRPr="0082436A">
        <w:rPr>
          <w:noProof/>
          <w:lang w:eastAsia="en-GB"/>
        </w:rPr>
        <w:drawing>
          <wp:inline distT="0" distB="0" distL="0" distR="0">
            <wp:extent cx="5731510" cy="3737430"/>
            <wp:effectExtent l="1905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5731510" cy="3737430"/>
                    </a:xfrm>
                    <a:prstGeom prst="rect">
                      <a:avLst/>
                    </a:prstGeom>
                    <a:noFill/>
                    <a:ln w="9525">
                      <a:noFill/>
                      <a:miter lim="800000"/>
                      <a:headEnd/>
                      <a:tailEnd/>
                    </a:ln>
                  </pic:spPr>
                </pic:pic>
              </a:graphicData>
            </a:graphic>
          </wp:inline>
        </w:drawing>
      </w:r>
      <w:r w:rsidR="005F6EB8" w:rsidRPr="005F6EB8">
        <w:t xml:space="preserve"> </w:t>
      </w:r>
    </w:p>
    <w:p w:rsidR="000E291D" w:rsidRDefault="00776A43" w:rsidP="00A7756F">
      <w:pPr>
        <w:pStyle w:val="ListParagraph"/>
        <w:ind w:left="0"/>
        <w:jc w:val="both"/>
      </w:pPr>
      <w:r>
        <w:t xml:space="preserve">Figure 1 </w:t>
      </w:r>
      <w:r w:rsidR="00E12A4C">
        <w:t xml:space="preserve">suggests </w:t>
      </w:r>
      <w:r>
        <w:t>the age-gender distribution for A&amp;E attendances is very different from the ‘proxy’ distribution used in the last Formula run. In particular younger patients constitute a much higher proportion of patients. However, when considering the time spent by patients in A&amp;E, the distribution is less dissimilar</w:t>
      </w:r>
      <w:r w:rsidR="00767404">
        <w:t xml:space="preserve"> with</w:t>
      </w:r>
      <w:r>
        <w:t xml:space="preserve"> </w:t>
      </w:r>
      <w:r w:rsidR="00CB1ECE">
        <w:t xml:space="preserve">a </w:t>
      </w:r>
      <w:r>
        <w:t>higher proportion of activity in the older age groups.</w:t>
      </w:r>
      <w:r w:rsidR="00767404">
        <w:t xml:space="preserve"> This reflects that, although </w:t>
      </w:r>
      <w:r w:rsidR="00E12A4C">
        <w:t>younger patients</w:t>
      </w:r>
      <w:r w:rsidR="00767404">
        <w:t xml:space="preserve"> frequently attend A&amp;E departments</w:t>
      </w:r>
      <w:r w:rsidR="00BB0CAB">
        <w:t>, younger patients</w:t>
      </w:r>
      <w:r w:rsidR="00767404">
        <w:t xml:space="preserve"> are more likely to be less complex</w:t>
      </w:r>
      <w:r w:rsidR="000E291D">
        <w:t xml:space="preserve"> than older patients,</w:t>
      </w:r>
      <w:r w:rsidR="00767404">
        <w:t xml:space="preserve"> </w:t>
      </w:r>
      <w:r w:rsidR="00E12A4C">
        <w:t>a greater proportion</w:t>
      </w:r>
      <w:r w:rsidR="00BB0CAB">
        <w:t xml:space="preserve"> </w:t>
      </w:r>
      <w:r w:rsidR="00767404">
        <w:t>attending for minor injuries and ailments</w:t>
      </w:r>
      <w:r w:rsidR="00E12A4C">
        <w:t>,</w:t>
      </w:r>
      <w:r w:rsidR="000E291D">
        <w:t xml:space="preserve"> for example</w:t>
      </w:r>
      <w:r w:rsidR="00767404">
        <w:t xml:space="preserve">. However the ‘time spent’ measure </w:t>
      </w:r>
      <w:r w:rsidR="007974A3">
        <w:t xml:space="preserve">also </w:t>
      </w:r>
      <w:r w:rsidR="00767404">
        <w:t>suggests t</w:t>
      </w:r>
      <w:r w:rsidR="000E291D">
        <w:t>he</w:t>
      </w:r>
      <w:r w:rsidR="00767404">
        <w:t xml:space="preserve"> ‘</w:t>
      </w:r>
      <w:r w:rsidR="007974A3">
        <w:t xml:space="preserve">proxy’ data does not fully reflect that patient activity </w:t>
      </w:r>
      <w:r w:rsidR="000E291D">
        <w:t>is greater and ‘peaks’ for the very older age groups</w:t>
      </w:r>
      <w:r w:rsidR="007974A3">
        <w:t>.</w:t>
      </w:r>
    </w:p>
    <w:p w:rsidR="0060644D" w:rsidRDefault="00776A43" w:rsidP="00A7756F">
      <w:pPr>
        <w:pStyle w:val="ListParagraph"/>
        <w:ind w:left="0"/>
        <w:jc w:val="both"/>
        <w:rPr>
          <w:rFonts w:cs="Arial"/>
        </w:rPr>
      </w:pPr>
      <w:r>
        <w:rPr>
          <w:rFonts w:cs="Arial"/>
        </w:rPr>
        <w:t>Within the Formula</w:t>
      </w:r>
      <w:r w:rsidR="00E12A4C">
        <w:rPr>
          <w:rFonts w:cs="Arial"/>
        </w:rPr>
        <w:t xml:space="preserve"> this </w:t>
      </w:r>
      <w:r w:rsidR="000E291D">
        <w:rPr>
          <w:rFonts w:cs="Arial"/>
        </w:rPr>
        <w:t>age-gender activity profile is used to estimate how A&amp;E costs are distributed with respect to age and gender. These</w:t>
      </w:r>
      <w:r w:rsidR="00CB1ECE">
        <w:rPr>
          <w:rFonts w:cs="Arial"/>
        </w:rPr>
        <w:t xml:space="preserve"> costs are then added to other acute service costs</w:t>
      </w:r>
      <w:r w:rsidR="000E291D">
        <w:rPr>
          <w:rFonts w:cs="Arial"/>
        </w:rPr>
        <w:t xml:space="preserve"> </w:t>
      </w:r>
      <w:r w:rsidR="00CB1ECE">
        <w:rPr>
          <w:rFonts w:cs="Arial"/>
        </w:rPr>
        <w:t>to produce a</w:t>
      </w:r>
      <w:r w:rsidR="00E12A4C">
        <w:rPr>
          <w:rFonts w:cs="Arial"/>
        </w:rPr>
        <w:t xml:space="preserve"> ‘cost curve’ showing rates for </w:t>
      </w:r>
      <w:r w:rsidR="0060644D">
        <w:rPr>
          <w:rFonts w:cs="Arial"/>
        </w:rPr>
        <w:t xml:space="preserve">the </w:t>
      </w:r>
      <w:r w:rsidR="00CB1ECE">
        <w:rPr>
          <w:rFonts w:cs="Arial"/>
        </w:rPr>
        <w:t>cost per head</w:t>
      </w:r>
      <w:r w:rsidR="0060644D">
        <w:rPr>
          <w:rFonts w:cs="Arial"/>
        </w:rPr>
        <w:t xml:space="preserve"> of population for</w:t>
      </w:r>
      <w:r w:rsidR="00CB1ECE">
        <w:rPr>
          <w:rFonts w:cs="Arial"/>
        </w:rPr>
        <w:t xml:space="preserve"> </w:t>
      </w:r>
      <w:r w:rsidR="0060644D">
        <w:rPr>
          <w:rFonts w:cs="Arial"/>
        </w:rPr>
        <w:t xml:space="preserve">or acute services for each age-gender group. </w:t>
      </w:r>
      <w:r w:rsidR="00A75157">
        <w:rPr>
          <w:rFonts w:cs="Arial"/>
        </w:rPr>
        <w:t xml:space="preserve">These rates are then used </w:t>
      </w:r>
      <w:r w:rsidR="00A573A6">
        <w:rPr>
          <w:rFonts w:cs="Arial"/>
        </w:rPr>
        <w:t>in the age-sex adjustment part of the</w:t>
      </w:r>
      <w:r w:rsidR="00A75157">
        <w:rPr>
          <w:rFonts w:cs="Arial"/>
        </w:rPr>
        <w:t xml:space="preserve"> Formula to</w:t>
      </w:r>
      <w:r w:rsidR="0060644D">
        <w:rPr>
          <w:rFonts w:cs="Arial"/>
        </w:rPr>
        <w:t xml:space="preserve"> calculate expected costs in a particular geographical </w:t>
      </w:r>
      <w:r w:rsidR="00E76BA6">
        <w:rPr>
          <w:rFonts w:cs="Arial"/>
        </w:rPr>
        <w:t xml:space="preserve"> area </w:t>
      </w:r>
      <w:r w:rsidR="0060644D">
        <w:rPr>
          <w:rFonts w:cs="Arial"/>
        </w:rPr>
        <w:t>based on the age-gender distribution of the population resident in that area. This is used to measure the distribution of the relative need for acute services in this part of the Formula.</w:t>
      </w:r>
    </w:p>
    <w:p w:rsidR="000E291D" w:rsidRDefault="00B2118C" w:rsidP="00A7756F">
      <w:pPr>
        <w:pStyle w:val="ListParagraph"/>
        <w:ind w:left="0"/>
        <w:jc w:val="both"/>
        <w:rPr>
          <w:rFonts w:cs="Arial"/>
        </w:rPr>
      </w:pPr>
      <w:r>
        <w:rPr>
          <w:rFonts w:cs="Arial"/>
        </w:rPr>
        <w:t>In the last Formula run data on national costs for 2017/18 (sourced from the Cost Book) were used</w:t>
      </w:r>
      <w:r w:rsidR="0060644D">
        <w:rPr>
          <w:rFonts w:cs="Arial"/>
        </w:rPr>
        <w:t xml:space="preserve"> for this calculation</w:t>
      </w:r>
      <w:r>
        <w:rPr>
          <w:rFonts w:cs="Arial"/>
        </w:rPr>
        <w:t xml:space="preserve">. Figure </w:t>
      </w:r>
      <w:r w:rsidR="0011034D">
        <w:rPr>
          <w:rFonts w:cs="Arial"/>
        </w:rPr>
        <w:t>2</w:t>
      </w:r>
      <w:r>
        <w:rPr>
          <w:rFonts w:cs="Arial"/>
        </w:rPr>
        <w:t xml:space="preserve"> shows how cost of the A&amp;E services in this year, totalling £218M, would be distributed </w:t>
      </w:r>
      <w:r w:rsidR="0060644D">
        <w:rPr>
          <w:rFonts w:cs="Arial"/>
        </w:rPr>
        <w:t>when</w:t>
      </w:r>
      <w:r>
        <w:rPr>
          <w:rFonts w:cs="Arial"/>
        </w:rPr>
        <w:t xml:space="preserve"> using a ‘time-spent’ patient activity</w:t>
      </w:r>
      <w:r w:rsidR="008A1863">
        <w:rPr>
          <w:rFonts w:cs="Arial"/>
        </w:rPr>
        <w:t xml:space="preserve"> measure</w:t>
      </w:r>
      <w:r w:rsidR="0060644D">
        <w:rPr>
          <w:rFonts w:cs="Arial"/>
        </w:rPr>
        <w:t xml:space="preserve"> sourced from the national </w:t>
      </w:r>
      <w:proofErr w:type="spellStart"/>
      <w:r w:rsidR="0060644D">
        <w:rPr>
          <w:rFonts w:cs="Arial"/>
        </w:rPr>
        <w:t>A&amp;E</w:t>
      </w:r>
      <w:proofErr w:type="spellEnd"/>
      <w:r w:rsidR="0060644D">
        <w:rPr>
          <w:rFonts w:cs="Arial"/>
        </w:rPr>
        <w:t xml:space="preserve"> </w:t>
      </w:r>
      <w:proofErr w:type="spellStart"/>
      <w:r w:rsidR="0060644D">
        <w:rPr>
          <w:rFonts w:cs="Arial"/>
        </w:rPr>
        <w:t>datamart</w:t>
      </w:r>
      <w:proofErr w:type="spellEnd"/>
      <w:r w:rsidR="008A1863">
        <w:rPr>
          <w:rFonts w:cs="Arial"/>
        </w:rPr>
        <w:t xml:space="preserve"> to distribute costs across the gender-age groups.</w:t>
      </w:r>
      <w:r>
        <w:rPr>
          <w:rFonts w:cs="Arial"/>
        </w:rPr>
        <w:t xml:space="preserve"> </w:t>
      </w:r>
    </w:p>
    <w:p w:rsidR="0011034D" w:rsidRDefault="0011034D">
      <w:pPr>
        <w:rPr>
          <w:rFonts w:cs="Arial"/>
          <w:b/>
        </w:rPr>
      </w:pPr>
      <w:r>
        <w:rPr>
          <w:rFonts w:cs="Arial"/>
          <w:b/>
        </w:rPr>
        <w:br w:type="page"/>
      </w:r>
    </w:p>
    <w:p w:rsidR="00B2118C" w:rsidRPr="00B2118C" w:rsidRDefault="00B2118C" w:rsidP="00B2118C">
      <w:pPr>
        <w:pStyle w:val="ListParagraph"/>
        <w:ind w:left="0"/>
        <w:jc w:val="both"/>
        <w:rPr>
          <w:rFonts w:cs="Arial"/>
          <w:b/>
        </w:rPr>
      </w:pPr>
      <w:r w:rsidRPr="00B2118C">
        <w:rPr>
          <w:rFonts w:cs="Arial"/>
          <w:b/>
        </w:rPr>
        <w:lastRenderedPageBreak/>
        <w:t>Figure 2</w:t>
      </w:r>
      <w:r w:rsidR="008A1863">
        <w:rPr>
          <w:rFonts w:cs="Arial"/>
          <w:b/>
        </w:rPr>
        <w:t xml:space="preserve"> - Estimated distribution of A&amp;E service costs 2017/18 using a ‘time-spent’ patient activity by gender and age</w:t>
      </w:r>
    </w:p>
    <w:p w:rsidR="00544BD6" w:rsidRDefault="00B2118C" w:rsidP="00B2118C">
      <w:pPr>
        <w:pStyle w:val="ListParagraph"/>
        <w:ind w:left="0"/>
        <w:jc w:val="both"/>
        <w:rPr>
          <w:rFonts w:cs="Arial"/>
        </w:rPr>
      </w:pPr>
      <w:r w:rsidRPr="00B2118C">
        <w:rPr>
          <w:noProof/>
          <w:lang w:eastAsia="en-GB"/>
        </w:rPr>
        <w:drawing>
          <wp:inline distT="0" distB="0" distL="0" distR="0">
            <wp:extent cx="5295900" cy="34533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5295900" cy="3453375"/>
                    </a:xfrm>
                    <a:prstGeom prst="rect">
                      <a:avLst/>
                    </a:prstGeom>
                    <a:noFill/>
                    <a:ln w="9525">
                      <a:noFill/>
                      <a:miter lim="800000"/>
                      <a:headEnd/>
                      <a:tailEnd/>
                    </a:ln>
                  </pic:spPr>
                </pic:pic>
              </a:graphicData>
            </a:graphic>
          </wp:inline>
        </w:drawing>
      </w:r>
    </w:p>
    <w:p w:rsidR="00A52B6C" w:rsidRDefault="00A75157" w:rsidP="00A75157">
      <w:pPr>
        <w:pStyle w:val="ListParagraph"/>
        <w:ind w:left="0"/>
        <w:jc w:val="both"/>
        <w:rPr>
          <w:rFonts w:cs="Arial"/>
        </w:rPr>
      </w:pPr>
      <w:r>
        <w:rPr>
          <w:rFonts w:cs="Arial"/>
        </w:rPr>
        <w:t>Figure 3 shows</w:t>
      </w:r>
      <w:r w:rsidR="0060644D">
        <w:rPr>
          <w:rFonts w:cs="Arial"/>
        </w:rPr>
        <w:t xml:space="preserve"> the consequential ‘cost curve’ when these costs are added to other acute service costs</w:t>
      </w:r>
      <w:r w:rsidR="006E5287">
        <w:rPr>
          <w:rFonts w:cs="Arial"/>
        </w:rPr>
        <w:t xml:space="preserve"> and comparing to th</w:t>
      </w:r>
      <w:r w:rsidR="00A52B6C">
        <w:rPr>
          <w:rFonts w:cs="Arial"/>
        </w:rPr>
        <w:t>e rates</w:t>
      </w:r>
      <w:r w:rsidR="006E5287">
        <w:rPr>
          <w:rFonts w:cs="Arial"/>
        </w:rPr>
        <w:t xml:space="preserve"> used in the last Formula run. Note th</w:t>
      </w:r>
      <w:r w:rsidR="00A52B6C">
        <w:rPr>
          <w:rFonts w:cs="Arial"/>
        </w:rPr>
        <w:t>at the negligible change to the rates shown. This is because A&amp;E services accounted for only 4.7 per cent acute service costs in 2017/18 and so the changes to how A&amp;E costs are distributed with respect to gender and age have very little impact</w:t>
      </w:r>
      <w:r w:rsidR="00E76BA6">
        <w:rPr>
          <w:rFonts w:cs="Arial"/>
        </w:rPr>
        <w:t xml:space="preserve"> on the overall rates for acute services. This suggests using the ‘time spent’ A&amp;E activity data would have little impact </w:t>
      </w:r>
      <w:r w:rsidR="00F47DFD">
        <w:rPr>
          <w:rFonts w:cs="Arial"/>
        </w:rPr>
        <w:t xml:space="preserve">on </w:t>
      </w:r>
      <w:r w:rsidR="00E76BA6">
        <w:rPr>
          <w:rFonts w:cs="Arial"/>
        </w:rPr>
        <w:t xml:space="preserve">Formula outputs. </w:t>
      </w:r>
    </w:p>
    <w:p w:rsidR="0011034D" w:rsidRPr="0011034D" w:rsidRDefault="0011034D" w:rsidP="00A75157">
      <w:pPr>
        <w:pStyle w:val="ListParagraph"/>
        <w:ind w:left="0"/>
        <w:jc w:val="both"/>
        <w:rPr>
          <w:rFonts w:cs="Arial"/>
          <w:b/>
        </w:rPr>
      </w:pPr>
      <w:r w:rsidRPr="0011034D">
        <w:rPr>
          <w:rFonts w:cs="Arial"/>
          <w:b/>
        </w:rPr>
        <w:t>Figure 3 – Estimates of  Costs per Head of Population in 2017/18 using NRAC Formula</w:t>
      </w:r>
    </w:p>
    <w:p w:rsidR="00A52B6C" w:rsidRDefault="0011034D" w:rsidP="0011034D">
      <w:pPr>
        <w:pStyle w:val="ListParagraph"/>
        <w:ind w:left="0"/>
        <w:rPr>
          <w:rFonts w:cs="Arial"/>
        </w:rPr>
      </w:pPr>
      <w:r w:rsidRPr="0011034D">
        <w:rPr>
          <w:noProof/>
          <w:lang w:eastAsia="en-GB"/>
        </w:rPr>
        <w:drawing>
          <wp:inline distT="0" distB="0" distL="0" distR="0">
            <wp:extent cx="5092700" cy="287749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5092700" cy="2877490"/>
                    </a:xfrm>
                    <a:prstGeom prst="rect">
                      <a:avLst/>
                    </a:prstGeom>
                    <a:noFill/>
                    <a:ln w="9525">
                      <a:noFill/>
                      <a:miter lim="800000"/>
                      <a:headEnd/>
                      <a:tailEnd/>
                    </a:ln>
                  </pic:spPr>
                </pic:pic>
              </a:graphicData>
            </a:graphic>
          </wp:inline>
        </w:drawing>
      </w:r>
    </w:p>
    <w:p w:rsidR="00E76BA6" w:rsidRDefault="00E76BA6">
      <w:pPr>
        <w:rPr>
          <w:rFonts w:cs="Arial"/>
          <w:b/>
          <w:i/>
        </w:rPr>
      </w:pPr>
      <w:r>
        <w:rPr>
          <w:rFonts w:cs="Arial"/>
          <w:b/>
          <w:i/>
        </w:rPr>
        <w:br w:type="page"/>
      </w:r>
    </w:p>
    <w:p w:rsidR="0011034D" w:rsidRPr="00CB1ECE" w:rsidRDefault="0011034D" w:rsidP="0011034D">
      <w:pPr>
        <w:pStyle w:val="ListParagraph"/>
        <w:ind w:left="0"/>
        <w:jc w:val="both"/>
        <w:rPr>
          <w:rFonts w:cs="Arial"/>
          <w:b/>
          <w:i/>
        </w:rPr>
      </w:pPr>
      <w:r w:rsidRPr="00CB1ECE">
        <w:rPr>
          <w:rFonts w:cs="Arial"/>
          <w:b/>
          <w:i/>
        </w:rPr>
        <w:lastRenderedPageBreak/>
        <w:t xml:space="preserve">Discussion: </w:t>
      </w:r>
      <w:r>
        <w:rPr>
          <w:rFonts w:cs="Arial"/>
          <w:b/>
          <w:i/>
        </w:rPr>
        <w:t>It would appear appropriate for the NRAC formula to use a measure of patient activity within A&amp;E services that is based on national data now available and relating directly to these services, as oppose</w:t>
      </w:r>
      <w:r w:rsidR="00F47DFD">
        <w:rPr>
          <w:rFonts w:cs="Arial"/>
          <w:b/>
          <w:i/>
        </w:rPr>
        <w:t>d</w:t>
      </w:r>
      <w:r>
        <w:rPr>
          <w:rFonts w:cs="Arial"/>
          <w:b/>
          <w:i/>
        </w:rPr>
        <w:t xml:space="preserve"> to the current ‘proxy’ solution. If TAGRA agrees, then ISD/ASD recommend that the patient activity measure used is that relating to the time spent by attendees at A&amp;E services, given this is more likely </w:t>
      </w:r>
      <w:r w:rsidR="00F47DFD">
        <w:rPr>
          <w:rFonts w:cs="Arial"/>
          <w:b/>
          <w:i/>
        </w:rPr>
        <w:t xml:space="preserve">to </w:t>
      </w:r>
      <w:r>
        <w:rPr>
          <w:rFonts w:cs="Arial"/>
          <w:b/>
          <w:i/>
        </w:rPr>
        <w:t>be reflective of the cost of attendance. Note also the minimal impact this was have on the stability of outputs from this part of the Formula.</w:t>
      </w:r>
    </w:p>
    <w:p w:rsidR="00E40E07" w:rsidRPr="000F478D" w:rsidRDefault="00E40E07" w:rsidP="00375E65">
      <w:pPr>
        <w:pStyle w:val="ListParagraph"/>
        <w:ind w:left="283"/>
        <w:jc w:val="both"/>
        <w:rPr>
          <w:rFonts w:cs="Arial"/>
          <w:sz w:val="24"/>
          <w:szCs w:val="24"/>
        </w:rPr>
      </w:pPr>
    </w:p>
    <w:p w:rsidR="00D90A2E" w:rsidRPr="0011034D" w:rsidRDefault="0076776C" w:rsidP="0011034D">
      <w:pPr>
        <w:pStyle w:val="ListParagraph"/>
        <w:numPr>
          <w:ilvl w:val="0"/>
          <w:numId w:val="14"/>
        </w:numPr>
        <w:spacing w:line="360" w:lineRule="auto"/>
        <w:jc w:val="both"/>
        <w:rPr>
          <w:rFonts w:cs="Arial"/>
          <w:b/>
          <w:sz w:val="24"/>
          <w:szCs w:val="24"/>
        </w:rPr>
      </w:pPr>
      <w:r>
        <w:rPr>
          <w:rFonts w:cs="Arial"/>
          <w:b/>
          <w:sz w:val="24"/>
          <w:szCs w:val="24"/>
        </w:rPr>
        <w:t xml:space="preserve">Use of </w:t>
      </w:r>
      <w:r w:rsidR="0011034D">
        <w:rPr>
          <w:rFonts w:cs="Arial"/>
          <w:b/>
          <w:sz w:val="24"/>
          <w:szCs w:val="24"/>
        </w:rPr>
        <w:t xml:space="preserve">National data on </w:t>
      </w:r>
      <w:r>
        <w:rPr>
          <w:rFonts w:cs="Arial"/>
          <w:b/>
          <w:sz w:val="24"/>
          <w:szCs w:val="24"/>
        </w:rPr>
        <w:t>District Nursing</w:t>
      </w:r>
    </w:p>
    <w:p w:rsidR="00B26272" w:rsidRDefault="0076776C" w:rsidP="0076776C">
      <w:pPr>
        <w:pStyle w:val="ListParagraph"/>
        <w:ind w:left="0"/>
        <w:jc w:val="both"/>
        <w:rPr>
          <w:rFonts w:cs="Arial"/>
        </w:rPr>
      </w:pPr>
      <w:r>
        <w:rPr>
          <w:rFonts w:cs="Arial"/>
        </w:rPr>
        <w:t>A</w:t>
      </w:r>
      <w:r w:rsidR="00C132B7">
        <w:rPr>
          <w:rFonts w:cs="Arial"/>
        </w:rPr>
        <w:t xml:space="preserve">nother part of the Formula, where there have been gaps or weaknesses in respect </w:t>
      </w:r>
      <w:r w:rsidR="0070666A">
        <w:rPr>
          <w:rFonts w:cs="Arial"/>
        </w:rPr>
        <w:t xml:space="preserve">of the </w:t>
      </w:r>
      <w:r w:rsidR="00C132B7">
        <w:rPr>
          <w:rFonts w:cs="Arial"/>
        </w:rPr>
        <w:t xml:space="preserve">national data </w:t>
      </w:r>
      <w:r w:rsidR="0070666A">
        <w:rPr>
          <w:rFonts w:cs="Arial"/>
        </w:rPr>
        <w:t xml:space="preserve">available </w:t>
      </w:r>
      <w:r w:rsidR="00C132B7">
        <w:rPr>
          <w:rFonts w:cs="Arial"/>
        </w:rPr>
        <w:t>to provide the required input data, is that relating to prediction of the relative need f</w:t>
      </w:r>
      <w:r w:rsidR="00F47DFD">
        <w:rPr>
          <w:rFonts w:cs="Arial"/>
        </w:rPr>
        <w:t>or</w:t>
      </w:r>
      <w:r w:rsidR="0070666A">
        <w:rPr>
          <w:rFonts w:cs="Arial"/>
        </w:rPr>
        <w:t xml:space="preserve"> Community Health Services. A</w:t>
      </w:r>
      <w:r w:rsidR="00C132B7">
        <w:rPr>
          <w:rFonts w:cs="Arial"/>
        </w:rPr>
        <w:t>t the time the Formula was developed the was very little national data relating to patient activit</w:t>
      </w:r>
      <w:r w:rsidR="00B26272">
        <w:rPr>
          <w:rFonts w:cs="Arial"/>
        </w:rPr>
        <w:t>y</w:t>
      </w:r>
      <w:r w:rsidR="00C132B7">
        <w:rPr>
          <w:rFonts w:cs="Arial"/>
        </w:rPr>
        <w:t xml:space="preserve"> within these service</w:t>
      </w:r>
      <w:r w:rsidR="0070666A">
        <w:rPr>
          <w:rFonts w:cs="Arial"/>
        </w:rPr>
        <w:t>s and the</w:t>
      </w:r>
      <w:r w:rsidR="00C132B7">
        <w:rPr>
          <w:rFonts w:cs="Arial"/>
        </w:rPr>
        <w:t xml:space="preserve"> NRAC Review made a number of recommendations to address this.  As a consequence a new national data collection system, Community Health Activity Data (CHAD), was </w:t>
      </w:r>
      <w:r w:rsidR="0070666A">
        <w:rPr>
          <w:rFonts w:cs="Arial"/>
        </w:rPr>
        <w:t>initiated</w:t>
      </w:r>
      <w:r w:rsidR="00C132B7">
        <w:rPr>
          <w:rFonts w:cs="Arial"/>
        </w:rPr>
        <w:t xml:space="preserve"> to </w:t>
      </w:r>
      <w:r w:rsidR="007E54FB">
        <w:rPr>
          <w:rFonts w:cs="Arial"/>
        </w:rPr>
        <w:t>collect episodic data for patients utilising these services</w:t>
      </w:r>
      <w:r w:rsidR="00C132B7">
        <w:rPr>
          <w:rFonts w:cs="Arial"/>
        </w:rPr>
        <w:t>. CHAD is still in development</w:t>
      </w:r>
      <w:r w:rsidR="00B26272">
        <w:rPr>
          <w:rFonts w:cs="Arial"/>
        </w:rPr>
        <w:t xml:space="preserve"> with initial work</w:t>
      </w:r>
      <w:r w:rsidR="00B26272" w:rsidRPr="00B26272">
        <w:rPr>
          <w:rFonts w:cs="Arial"/>
        </w:rPr>
        <w:t xml:space="preserve"> </w:t>
      </w:r>
      <w:r w:rsidR="00B26272">
        <w:rPr>
          <w:rFonts w:cs="Arial"/>
        </w:rPr>
        <w:t>focused on collecting data</w:t>
      </w:r>
      <w:r w:rsidR="00F47DFD">
        <w:rPr>
          <w:rFonts w:cs="Arial"/>
        </w:rPr>
        <w:t xml:space="preserve"> on</w:t>
      </w:r>
      <w:r w:rsidR="00B26272">
        <w:rPr>
          <w:rFonts w:cs="Arial"/>
        </w:rPr>
        <w:t xml:space="preserve"> District Nursing (</w:t>
      </w:r>
      <w:proofErr w:type="spellStart"/>
      <w:r w:rsidR="00B26272">
        <w:rPr>
          <w:rFonts w:cs="Arial"/>
        </w:rPr>
        <w:t>DN</w:t>
      </w:r>
      <w:proofErr w:type="spellEnd"/>
      <w:r w:rsidR="00B26272">
        <w:rPr>
          <w:rFonts w:cs="Arial"/>
        </w:rPr>
        <w:t>), Health Visiting and Community Mental Health services.</w:t>
      </w:r>
      <w:r w:rsidR="00C132B7">
        <w:rPr>
          <w:rFonts w:cs="Arial"/>
        </w:rPr>
        <w:t xml:space="preserve"> </w:t>
      </w:r>
      <w:r w:rsidR="00850D93">
        <w:rPr>
          <w:rFonts w:cs="Arial"/>
        </w:rPr>
        <w:t xml:space="preserve">The data being developed for District Nursing </w:t>
      </w:r>
      <w:r w:rsidR="00B26272">
        <w:rPr>
          <w:rFonts w:cs="Arial"/>
        </w:rPr>
        <w:t xml:space="preserve">appears to be the most advanced </w:t>
      </w:r>
      <w:r w:rsidR="00850D93">
        <w:rPr>
          <w:rFonts w:cs="Arial"/>
        </w:rPr>
        <w:t xml:space="preserve">and </w:t>
      </w:r>
      <w:r w:rsidR="00B26272">
        <w:rPr>
          <w:rFonts w:cs="Arial"/>
        </w:rPr>
        <w:t xml:space="preserve">so </w:t>
      </w:r>
      <w:r w:rsidR="00850D93">
        <w:rPr>
          <w:rFonts w:cs="Arial"/>
        </w:rPr>
        <w:t xml:space="preserve">may provide </w:t>
      </w:r>
      <w:r w:rsidR="0070666A">
        <w:rPr>
          <w:rFonts w:cs="Arial"/>
        </w:rPr>
        <w:t xml:space="preserve">a more </w:t>
      </w:r>
      <w:r w:rsidR="000C2003">
        <w:rPr>
          <w:rFonts w:cs="Arial"/>
        </w:rPr>
        <w:t>immediate</w:t>
      </w:r>
      <w:r w:rsidR="00850D93">
        <w:rPr>
          <w:rFonts w:cs="Arial"/>
        </w:rPr>
        <w:t xml:space="preserve"> opportunity to imp</w:t>
      </w:r>
      <w:r w:rsidR="00B26272">
        <w:rPr>
          <w:rFonts w:cs="Arial"/>
        </w:rPr>
        <w:t>r</w:t>
      </w:r>
      <w:r w:rsidR="00850D93">
        <w:rPr>
          <w:rFonts w:cs="Arial"/>
        </w:rPr>
        <w:t xml:space="preserve">ove data </w:t>
      </w:r>
      <w:r w:rsidR="0070666A">
        <w:rPr>
          <w:rFonts w:cs="Arial"/>
        </w:rPr>
        <w:t xml:space="preserve">used by </w:t>
      </w:r>
      <w:r w:rsidR="00850D93">
        <w:rPr>
          <w:rFonts w:cs="Arial"/>
        </w:rPr>
        <w:t xml:space="preserve"> the Formula</w:t>
      </w:r>
      <w:r w:rsidR="00B26272">
        <w:rPr>
          <w:rFonts w:cs="Arial"/>
        </w:rPr>
        <w:t xml:space="preserve"> ahead of the next run</w:t>
      </w:r>
      <w:r w:rsidR="00850D93">
        <w:rPr>
          <w:rFonts w:cs="Arial"/>
        </w:rPr>
        <w:t xml:space="preserve">. </w:t>
      </w:r>
    </w:p>
    <w:p w:rsidR="00D331AD" w:rsidRDefault="00B26272" w:rsidP="00EA7FC2">
      <w:pPr>
        <w:pStyle w:val="ListParagraph"/>
        <w:ind w:left="0"/>
        <w:jc w:val="both"/>
        <w:rPr>
          <w:rFonts w:cs="Arial"/>
        </w:rPr>
      </w:pPr>
      <w:r>
        <w:rPr>
          <w:rFonts w:cs="Arial"/>
        </w:rPr>
        <w:t xml:space="preserve">In the same way as for </w:t>
      </w:r>
      <w:proofErr w:type="spellStart"/>
      <w:r>
        <w:rPr>
          <w:rFonts w:cs="Arial"/>
        </w:rPr>
        <w:t>A&amp;E</w:t>
      </w:r>
      <w:proofErr w:type="spellEnd"/>
      <w:r>
        <w:rPr>
          <w:rFonts w:cs="Arial"/>
        </w:rPr>
        <w:t xml:space="preserve"> services</w:t>
      </w:r>
      <w:r w:rsidR="00F47DFD">
        <w:rPr>
          <w:rFonts w:cs="Arial"/>
        </w:rPr>
        <w:t>,</w:t>
      </w:r>
      <w:r>
        <w:rPr>
          <w:rFonts w:cs="Arial"/>
        </w:rPr>
        <w:t xml:space="preserve"> the Formula uses patient activity data for Community Services to estimate how costs are distributed with respect </w:t>
      </w:r>
      <w:r w:rsidR="0070666A">
        <w:rPr>
          <w:rFonts w:cs="Arial"/>
        </w:rPr>
        <w:t>to</w:t>
      </w:r>
      <w:r>
        <w:rPr>
          <w:rFonts w:cs="Arial"/>
        </w:rPr>
        <w:t xml:space="preserve"> gender and age. </w:t>
      </w:r>
      <w:r w:rsidR="00EA7FC2">
        <w:rPr>
          <w:rFonts w:cs="Arial"/>
        </w:rPr>
        <w:t>S</w:t>
      </w:r>
      <w:r>
        <w:rPr>
          <w:rFonts w:cs="Arial"/>
        </w:rPr>
        <w:t xml:space="preserve">ince the Formula was developed, data from Practice Team Information (PTI) has been used </w:t>
      </w:r>
      <w:r w:rsidR="00EA7FC2">
        <w:rPr>
          <w:rFonts w:cs="Arial"/>
        </w:rPr>
        <w:t>to do this for DN services</w:t>
      </w:r>
      <w:r>
        <w:rPr>
          <w:rFonts w:cs="Arial"/>
        </w:rPr>
        <w:t xml:space="preserve">. The PTI data collection no longer exists but at the time it collected data from the clinical systems of a sample of </w:t>
      </w:r>
      <w:r w:rsidR="00EA7FC2">
        <w:rPr>
          <w:rFonts w:cs="Arial"/>
        </w:rPr>
        <w:t xml:space="preserve">approximately 60 </w:t>
      </w:r>
      <w:r>
        <w:rPr>
          <w:rFonts w:cs="Arial"/>
        </w:rPr>
        <w:t>participating GP practices</w:t>
      </w:r>
      <w:r w:rsidR="00EA7FC2">
        <w:rPr>
          <w:rFonts w:cs="Arial"/>
        </w:rPr>
        <w:t xml:space="preserve"> which were </w:t>
      </w:r>
      <w:r w:rsidR="00EA7FC2" w:rsidRPr="00EA7FC2">
        <w:rPr>
          <w:rFonts w:cs="Arial"/>
        </w:rPr>
        <w:t xml:space="preserve">intended to be broadly representative of the Scottish population in terms of age, gender, deprivation and urban/rural mix. </w:t>
      </w:r>
      <w:r w:rsidR="00EA7FC2">
        <w:rPr>
          <w:rFonts w:cs="Arial"/>
        </w:rPr>
        <w:t xml:space="preserve">The </w:t>
      </w:r>
      <w:r w:rsidR="00EA7FC2" w:rsidRPr="00EA7FC2">
        <w:rPr>
          <w:rFonts w:cs="Arial"/>
        </w:rPr>
        <w:t>D</w:t>
      </w:r>
      <w:r w:rsidR="00EA7FC2">
        <w:rPr>
          <w:rFonts w:cs="Arial"/>
        </w:rPr>
        <w:t>N</w:t>
      </w:r>
      <w:r w:rsidR="00EA7FC2" w:rsidRPr="00EA7FC2">
        <w:rPr>
          <w:rFonts w:cs="Arial"/>
        </w:rPr>
        <w:t xml:space="preserve"> Nursing </w:t>
      </w:r>
      <w:r w:rsidR="00EA7FC2">
        <w:rPr>
          <w:rFonts w:cs="Arial"/>
        </w:rPr>
        <w:t>patient data a</w:t>
      </w:r>
      <w:r w:rsidR="00EA7FC2" w:rsidRPr="00EA7FC2">
        <w:rPr>
          <w:rFonts w:cs="Arial"/>
        </w:rPr>
        <w:t>ctivity</w:t>
      </w:r>
      <w:r w:rsidR="00EA7FC2">
        <w:rPr>
          <w:rFonts w:cs="Arial"/>
        </w:rPr>
        <w:t xml:space="preserve"> used by the Formula</w:t>
      </w:r>
      <w:r w:rsidR="00EA7FC2" w:rsidRPr="00EA7FC2">
        <w:rPr>
          <w:rFonts w:cs="Arial"/>
        </w:rPr>
        <w:t xml:space="preserve"> is currently based on </w:t>
      </w:r>
      <w:r w:rsidR="00EA7FC2">
        <w:rPr>
          <w:rFonts w:cs="Arial"/>
        </w:rPr>
        <w:t xml:space="preserve">DN patient contacts recorded through </w:t>
      </w:r>
      <w:r w:rsidR="00EA7FC2" w:rsidRPr="00EA7FC2">
        <w:rPr>
          <w:rFonts w:cs="Arial"/>
        </w:rPr>
        <w:t xml:space="preserve">PTI </w:t>
      </w:r>
      <w:r w:rsidR="00EA7FC2">
        <w:rPr>
          <w:rFonts w:cs="Arial"/>
        </w:rPr>
        <w:t>in</w:t>
      </w:r>
      <w:r w:rsidR="00EA7FC2" w:rsidRPr="00EA7FC2">
        <w:rPr>
          <w:rFonts w:cs="Arial"/>
        </w:rPr>
        <w:t xml:space="preserve"> 2005-06. Due to </w:t>
      </w:r>
      <w:r w:rsidR="00D331AD">
        <w:rPr>
          <w:rFonts w:cs="Arial"/>
        </w:rPr>
        <w:t xml:space="preserve">the </w:t>
      </w:r>
      <w:r w:rsidR="00EA7FC2" w:rsidRPr="00EA7FC2">
        <w:rPr>
          <w:rFonts w:cs="Arial"/>
        </w:rPr>
        <w:t xml:space="preserve">difficulties </w:t>
      </w:r>
      <w:r w:rsidR="00D331AD">
        <w:rPr>
          <w:rFonts w:cs="Arial"/>
        </w:rPr>
        <w:t>of</w:t>
      </w:r>
      <w:r w:rsidR="00EA7FC2" w:rsidRPr="00EA7FC2">
        <w:rPr>
          <w:rFonts w:cs="Arial"/>
        </w:rPr>
        <w:t xml:space="preserve"> recording </w:t>
      </w:r>
      <w:r w:rsidR="00D331AD">
        <w:rPr>
          <w:rFonts w:cs="Arial"/>
        </w:rPr>
        <w:t xml:space="preserve">and collecting </w:t>
      </w:r>
      <w:r w:rsidR="00EA7FC2" w:rsidRPr="00EA7FC2">
        <w:rPr>
          <w:rFonts w:cs="Arial"/>
        </w:rPr>
        <w:t xml:space="preserve">nursing </w:t>
      </w:r>
      <w:r w:rsidR="00D331AD">
        <w:rPr>
          <w:rFonts w:cs="Arial"/>
        </w:rPr>
        <w:t xml:space="preserve">activity </w:t>
      </w:r>
      <w:r w:rsidR="00EA7FC2" w:rsidRPr="00EA7FC2">
        <w:rPr>
          <w:rFonts w:cs="Arial"/>
        </w:rPr>
        <w:t>data on GP systems</w:t>
      </w:r>
      <w:r w:rsidR="00D331AD">
        <w:rPr>
          <w:rFonts w:cs="Arial"/>
        </w:rPr>
        <w:t xml:space="preserve">, as well as the time taken for CHAD to develop, </w:t>
      </w:r>
      <w:r w:rsidR="0070666A">
        <w:rPr>
          <w:rFonts w:cs="Arial"/>
        </w:rPr>
        <w:t xml:space="preserve"> up to now</w:t>
      </w:r>
      <w:r w:rsidR="00F47DFD">
        <w:rPr>
          <w:rFonts w:cs="Arial"/>
        </w:rPr>
        <w:t xml:space="preserve"> </w:t>
      </w:r>
      <w:r w:rsidR="00D331AD">
        <w:rPr>
          <w:rFonts w:cs="Arial"/>
        </w:rPr>
        <w:t>it has not be possible to source more recent data that could utilised</w:t>
      </w:r>
      <w:r w:rsidR="0070666A">
        <w:rPr>
          <w:rFonts w:cs="Arial"/>
        </w:rPr>
        <w:t xml:space="preserve"> by the Formula</w:t>
      </w:r>
      <w:r w:rsidR="00D331AD">
        <w:rPr>
          <w:rFonts w:cs="Arial"/>
        </w:rPr>
        <w:t xml:space="preserve">.  </w:t>
      </w:r>
    </w:p>
    <w:p w:rsidR="00EA17C6" w:rsidRDefault="00D331AD" w:rsidP="00415A73">
      <w:pPr>
        <w:jc w:val="both"/>
      </w:pPr>
      <w:r>
        <w:t xml:space="preserve">Currently </w:t>
      </w:r>
      <w:r w:rsidR="002F09F5">
        <w:t xml:space="preserve">4 </w:t>
      </w:r>
      <w:r w:rsidR="00673A8D" w:rsidRPr="002959EA">
        <w:t xml:space="preserve">NHS </w:t>
      </w:r>
      <w:r w:rsidR="00011169" w:rsidRPr="002959EA">
        <w:t>Health Boards</w:t>
      </w:r>
      <w:r w:rsidR="002F09F5">
        <w:t xml:space="preserve">, </w:t>
      </w:r>
      <w:r w:rsidR="00011169" w:rsidRPr="002959EA">
        <w:t>Forth Valley, Greater Glasg</w:t>
      </w:r>
      <w:r w:rsidR="00974F26" w:rsidRPr="002959EA">
        <w:t>ow &amp; Clyde</w:t>
      </w:r>
      <w:r w:rsidR="002F09F5">
        <w:t xml:space="preserve">, </w:t>
      </w:r>
      <w:r w:rsidR="00974F26" w:rsidRPr="002959EA">
        <w:t>Lanark</w:t>
      </w:r>
      <w:r w:rsidR="00261E6D">
        <w:t>shire</w:t>
      </w:r>
      <w:r w:rsidR="002F09F5">
        <w:t xml:space="preserve"> and Lothian </w:t>
      </w:r>
      <w:r w:rsidR="007E54FB">
        <w:t xml:space="preserve">are submitting CHAD DN activity data </w:t>
      </w:r>
      <w:r w:rsidR="002F09F5">
        <w:t>and work is ongoing to improve the completeness and quality of data submitted fro</w:t>
      </w:r>
      <w:r w:rsidR="00F47DFD">
        <w:t>m</w:t>
      </w:r>
      <w:r w:rsidR="002F09F5">
        <w:t xml:space="preserve"> these Boards. In addition efforts are ongoing to bring other NHS Boards on stream. The four submitting Boards submitted episodic data on</w:t>
      </w:r>
      <w:r w:rsidR="0070666A">
        <w:t xml:space="preserve"> 1.9M</w:t>
      </w:r>
      <w:r w:rsidR="00673A8D" w:rsidRPr="002959EA">
        <w:t xml:space="preserve"> </w:t>
      </w:r>
      <w:r w:rsidR="007E54FB">
        <w:t xml:space="preserve">DN patient </w:t>
      </w:r>
      <w:r w:rsidR="00673A8D" w:rsidRPr="002959EA">
        <w:t>contacts</w:t>
      </w:r>
      <w:r w:rsidR="002F09F5">
        <w:t xml:space="preserve"> that took place</w:t>
      </w:r>
      <w:r w:rsidR="00673A8D" w:rsidRPr="002959EA">
        <w:t xml:space="preserve"> in 17/18. </w:t>
      </w:r>
      <w:r w:rsidR="00415A73">
        <w:t>Figure 4</w:t>
      </w:r>
      <w:r w:rsidR="002940AD">
        <w:t xml:space="preserve"> </w:t>
      </w:r>
      <w:r w:rsidR="00415A73">
        <w:t>shows how this activity was distributed with respect to gender and age and in comparison to the PTI data currently being used by the Formula.</w:t>
      </w:r>
      <w:r w:rsidR="002940AD">
        <w:t xml:space="preserve"> The age-gender profile of the patient activity recorded on CHAD is very similar to the PTI data, despite the differing sources and the time lag between when the activity </w:t>
      </w:r>
      <w:r w:rsidR="0070666A">
        <w:t>occurred</w:t>
      </w:r>
      <w:r w:rsidR="002940AD">
        <w:t>.</w:t>
      </w:r>
    </w:p>
    <w:p w:rsidR="002940AD" w:rsidRDefault="002940AD" w:rsidP="00415A73">
      <w:pPr>
        <w:jc w:val="both"/>
      </w:pPr>
      <w:r>
        <w:t>Figure 5 also shows a comparison of the contact rates per head of population by gender and age for the populations that were covered by either data source.</w:t>
      </w:r>
      <w:r w:rsidR="00B31C22">
        <w:t xml:space="preserve"> Again the rates of contact are remarkably similar.</w:t>
      </w:r>
    </w:p>
    <w:p w:rsidR="002940AD" w:rsidRDefault="002940AD" w:rsidP="00B31C22">
      <w:pPr>
        <w:jc w:val="both"/>
        <w:rPr>
          <w:rFonts w:eastAsiaTheme="majorEastAsia" w:cstheme="majorBidi"/>
          <w:b/>
          <w:bCs/>
          <w:sz w:val="20"/>
          <w:szCs w:val="20"/>
          <w:lang w:val="en-US" w:bidi="en-US"/>
        </w:rPr>
      </w:pPr>
      <w:r>
        <w:rPr>
          <w:b/>
          <w:i/>
          <w:szCs w:val="20"/>
        </w:rPr>
        <w:br w:type="page"/>
      </w:r>
    </w:p>
    <w:p w:rsidR="00415A73" w:rsidRPr="00706F24" w:rsidRDefault="00415A73" w:rsidP="00415A73">
      <w:pPr>
        <w:pStyle w:val="Caption"/>
        <w:rPr>
          <w:b/>
          <w:i w:val="0"/>
          <w:szCs w:val="20"/>
        </w:rPr>
      </w:pPr>
      <w:r>
        <w:rPr>
          <w:b/>
          <w:i w:val="0"/>
          <w:szCs w:val="20"/>
        </w:rPr>
        <w:lastRenderedPageBreak/>
        <w:t>Figure 4  Gender/Age Distribution of DN Patient Contacts</w:t>
      </w:r>
    </w:p>
    <w:p w:rsidR="00673A8D" w:rsidRDefault="002940AD" w:rsidP="005F70D0">
      <w:pPr>
        <w:jc w:val="both"/>
      </w:pPr>
      <w:r w:rsidRPr="002940AD">
        <w:rPr>
          <w:noProof/>
          <w:lang w:eastAsia="en-GB"/>
        </w:rPr>
        <w:drawing>
          <wp:inline distT="0" distB="0" distL="0" distR="0">
            <wp:extent cx="4978400" cy="3246782"/>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4978400" cy="3246782"/>
                    </a:xfrm>
                    <a:prstGeom prst="rect">
                      <a:avLst/>
                    </a:prstGeom>
                    <a:noFill/>
                    <a:ln w="9525">
                      <a:noFill/>
                      <a:miter lim="800000"/>
                      <a:headEnd/>
                      <a:tailEnd/>
                    </a:ln>
                  </pic:spPr>
                </pic:pic>
              </a:graphicData>
            </a:graphic>
          </wp:inline>
        </w:drawing>
      </w:r>
    </w:p>
    <w:p w:rsidR="00277436" w:rsidRDefault="002940AD" w:rsidP="00EA17C6">
      <w:pPr>
        <w:pStyle w:val="Caption"/>
        <w:rPr>
          <w:b/>
          <w:i w:val="0"/>
          <w:szCs w:val="20"/>
        </w:rPr>
      </w:pPr>
      <w:r>
        <w:rPr>
          <w:b/>
          <w:i w:val="0"/>
          <w:szCs w:val="20"/>
        </w:rPr>
        <w:t>Fi</w:t>
      </w:r>
      <w:r w:rsidR="00B31C22">
        <w:rPr>
          <w:b/>
          <w:i w:val="0"/>
          <w:szCs w:val="20"/>
        </w:rPr>
        <w:t>gure 5  DN contacts per Head of Population</w:t>
      </w:r>
    </w:p>
    <w:p w:rsidR="0090437D" w:rsidRDefault="00B31C22" w:rsidP="00F75B2A">
      <w:pPr>
        <w:jc w:val="both"/>
        <w:rPr>
          <w:bCs/>
        </w:rPr>
      </w:pPr>
      <w:r w:rsidRPr="00B31C22">
        <w:rPr>
          <w:noProof/>
          <w:lang w:eastAsia="en-GB"/>
        </w:rPr>
        <w:drawing>
          <wp:inline distT="0" distB="0" distL="0" distR="0">
            <wp:extent cx="5033010" cy="3281948"/>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032630" cy="3281700"/>
                    </a:xfrm>
                    <a:prstGeom prst="rect">
                      <a:avLst/>
                    </a:prstGeom>
                    <a:noFill/>
                    <a:ln w="9525">
                      <a:noFill/>
                      <a:miter lim="800000"/>
                      <a:headEnd/>
                      <a:tailEnd/>
                    </a:ln>
                  </pic:spPr>
                </pic:pic>
              </a:graphicData>
            </a:graphic>
          </wp:inline>
        </w:drawing>
      </w:r>
    </w:p>
    <w:p w:rsidR="0090437D" w:rsidRDefault="00B31C22" w:rsidP="00F75B2A">
      <w:pPr>
        <w:jc w:val="both"/>
        <w:rPr>
          <w:bCs/>
        </w:rPr>
      </w:pPr>
      <w:r w:rsidRPr="00B31C22">
        <w:rPr>
          <w:b/>
          <w:bCs/>
        </w:rPr>
        <w:t xml:space="preserve">Discussion: </w:t>
      </w:r>
      <w:r>
        <w:rPr>
          <w:b/>
          <w:bCs/>
        </w:rPr>
        <w:t xml:space="preserve">The gender-age profile of the patient activity within the CHAD data submitted by 4 Boards may not necessarily be representative of Scotland as whole. However it shows great similarities to that derived from PTI data and that </w:t>
      </w:r>
      <w:r w:rsidR="0070666A">
        <w:rPr>
          <w:b/>
          <w:bCs/>
        </w:rPr>
        <w:t xml:space="preserve">has been </w:t>
      </w:r>
      <w:r>
        <w:rPr>
          <w:b/>
          <w:bCs/>
        </w:rPr>
        <w:t xml:space="preserve">relied upon by Formula </w:t>
      </w:r>
      <w:r w:rsidR="0070666A">
        <w:rPr>
          <w:b/>
          <w:bCs/>
        </w:rPr>
        <w:t>for a number of years.</w:t>
      </w:r>
      <w:r>
        <w:rPr>
          <w:b/>
          <w:bCs/>
        </w:rPr>
        <w:t xml:space="preserve"> Further work is ongoing to understand the quality and completeness of this data and to explore if can be used to extrapolate a profile </w:t>
      </w:r>
      <w:r w:rsidR="0070666A">
        <w:rPr>
          <w:b/>
          <w:bCs/>
        </w:rPr>
        <w:t xml:space="preserve">than can be claimed to </w:t>
      </w:r>
      <w:r>
        <w:rPr>
          <w:b/>
          <w:bCs/>
        </w:rPr>
        <w:t>representative of DN activity across Scotland. For</w:t>
      </w:r>
      <w:r w:rsidR="0070666A">
        <w:rPr>
          <w:b/>
          <w:bCs/>
        </w:rPr>
        <w:t xml:space="preserve"> </w:t>
      </w:r>
      <w:r>
        <w:rPr>
          <w:b/>
          <w:bCs/>
        </w:rPr>
        <w:t>example</w:t>
      </w:r>
      <w:r w:rsidR="0070666A">
        <w:rPr>
          <w:b/>
          <w:bCs/>
        </w:rPr>
        <w:t>,</w:t>
      </w:r>
      <w:r>
        <w:rPr>
          <w:b/>
          <w:bCs/>
        </w:rPr>
        <w:t xml:space="preserve"> by understanding </w:t>
      </w:r>
      <w:r w:rsidR="0070666A">
        <w:rPr>
          <w:b/>
          <w:bCs/>
        </w:rPr>
        <w:t xml:space="preserve">any </w:t>
      </w:r>
      <w:r>
        <w:rPr>
          <w:b/>
          <w:bCs/>
        </w:rPr>
        <w:t>variation between urban and rural areas or between areas of high and low deprivation</w:t>
      </w:r>
      <w:r w:rsidR="0070666A">
        <w:rPr>
          <w:b/>
          <w:bCs/>
        </w:rPr>
        <w:t>.</w:t>
      </w:r>
      <w:r>
        <w:rPr>
          <w:b/>
          <w:bCs/>
        </w:rPr>
        <w:t xml:space="preserve"> ISD/ASD intend to report back to TAGRA on these findings. However it is very likely that it will be recommended that CHAD DN </w:t>
      </w:r>
      <w:r w:rsidR="0070666A">
        <w:rPr>
          <w:b/>
          <w:bCs/>
        </w:rPr>
        <w:t xml:space="preserve">data </w:t>
      </w:r>
      <w:r>
        <w:rPr>
          <w:b/>
          <w:bCs/>
        </w:rPr>
        <w:t xml:space="preserve">be used in future Formula runs, particularly as data will likely improve in respect of </w:t>
      </w:r>
      <w:r>
        <w:rPr>
          <w:b/>
          <w:bCs/>
        </w:rPr>
        <w:lastRenderedPageBreak/>
        <w:t>completeness and quality. This ensures the Formula is using more up-to-date evidence</w:t>
      </w:r>
      <w:r w:rsidR="0070666A">
        <w:rPr>
          <w:b/>
          <w:bCs/>
        </w:rPr>
        <w:t xml:space="preserve"> for assessing relative need for these services</w:t>
      </w:r>
      <w:r>
        <w:rPr>
          <w:b/>
          <w:bCs/>
        </w:rPr>
        <w:t>. In addition, given the similarity to the PTI data currently used by the Formula it unlikely this will have major impact on Formula outputs, although this will be tested and reported back</w:t>
      </w:r>
      <w:r w:rsidR="0070666A">
        <w:rPr>
          <w:b/>
          <w:bCs/>
        </w:rPr>
        <w:t xml:space="preserve"> on </w:t>
      </w:r>
      <w:r>
        <w:rPr>
          <w:b/>
          <w:bCs/>
        </w:rPr>
        <w:t>to TAGRA.</w:t>
      </w:r>
    </w:p>
    <w:sectPr w:rsidR="0090437D" w:rsidSect="008F1D7A">
      <w:headerReference w:type="default" r:id="rId13"/>
      <w:footerReference w:type="default" r:id="rId14"/>
      <w:pgSz w:w="11906" w:h="16838"/>
      <w:pgMar w:top="109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B53" w:rsidRDefault="006D0B53" w:rsidP="00D619F2">
      <w:pPr>
        <w:spacing w:after="0" w:line="240" w:lineRule="auto"/>
      </w:pPr>
      <w:r>
        <w:separator/>
      </w:r>
    </w:p>
  </w:endnote>
  <w:endnote w:type="continuationSeparator" w:id="0">
    <w:p w:rsidR="006D0B53" w:rsidRDefault="006D0B53" w:rsidP="00D61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432930"/>
      <w:docPartObj>
        <w:docPartGallery w:val="Page Numbers (Bottom of Page)"/>
        <w:docPartUnique/>
      </w:docPartObj>
    </w:sdtPr>
    <w:sdtEndPr>
      <w:rPr>
        <w:color w:val="7F7F7F" w:themeColor="background1" w:themeShade="7F"/>
        <w:spacing w:val="60"/>
      </w:rPr>
    </w:sdtEndPr>
    <w:sdtContent>
      <w:p w:rsidR="00E76BA6" w:rsidRDefault="00E76BA6">
        <w:pPr>
          <w:pStyle w:val="Footer"/>
          <w:pBdr>
            <w:top w:val="single" w:sz="4" w:space="1" w:color="D9D9D9" w:themeColor="background1" w:themeShade="D9"/>
          </w:pBdr>
          <w:rPr>
            <w:b/>
          </w:rPr>
        </w:pPr>
        <w:r>
          <w:rPr>
            <w:color w:val="7F7F7F" w:themeColor="background1" w:themeShade="7F"/>
            <w:spacing w:val="60"/>
          </w:rPr>
          <w:t>Page</w:t>
        </w:r>
        <w:r w:rsidRPr="00FD1CCE">
          <w:t xml:space="preserve"> </w:t>
        </w:r>
        <w:r w:rsidR="00F47DFD">
          <w:rPr>
            <w:b/>
            <w:noProof/>
          </w:rPr>
          <w:fldChar w:fldCharType="begin"/>
        </w:r>
        <w:r w:rsidR="00F47DFD">
          <w:rPr>
            <w:b/>
            <w:noProof/>
          </w:rPr>
          <w:instrText xml:space="preserve"> PAGE   \* MERGEFORMAT </w:instrText>
        </w:r>
        <w:r w:rsidR="00F47DFD">
          <w:rPr>
            <w:b/>
            <w:noProof/>
          </w:rPr>
          <w:fldChar w:fldCharType="separate"/>
        </w:r>
        <w:r w:rsidR="008F2169">
          <w:rPr>
            <w:b/>
            <w:noProof/>
          </w:rPr>
          <w:t>2</w:t>
        </w:r>
        <w:r w:rsidR="00F47DFD">
          <w:rPr>
            <w:b/>
            <w:noProof/>
          </w:rPr>
          <w:fldChar w:fldCharType="end"/>
        </w:r>
        <w:r>
          <w:rPr>
            <w:b/>
          </w:rPr>
          <w:t xml:space="preserve"> |</w:t>
        </w:r>
      </w:p>
    </w:sdtContent>
  </w:sdt>
  <w:p w:rsidR="00E76BA6" w:rsidRDefault="00E76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B53" w:rsidRDefault="006D0B53" w:rsidP="00D619F2">
      <w:pPr>
        <w:spacing w:after="0" w:line="240" w:lineRule="auto"/>
      </w:pPr>
      <w:r>
        <w:separator/>
      </w:r>
    </w:p>
  </w:footnote>
  <w:footnote w:type="continuationSeparator" w:id="0">
    <w:p w:rsidR="006D0B53" w:rsidRDefault="006D0B53" w:rsidP="00D61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BA6" w:rsidRPr="008F2169" w:rsidRDefault="00E76BA6" w:rsidP="002B0502">
    <w:pPr>
      <w:tabs>
        <w:tab w:val="left" w:pos="720"/>
        <w:tab w:val="left" w:pos="1440"/>
        <w:tab w:val="left" w:pos="2160"/>
        <w:tab w:val="left" w:pos="2880"/>
        <w:tab w:val="center" w:pos="4513"/>
        <w:tab w:val="left" w:pos="4680"/>
        <w:tab w:val="left" w:pos="5400"/>
        <w:tab w:val="right" w:pos="9000"/>
        <w:tab w:val="right" w:pos="9026"/>
      </w:tabs>
      <w:spacing w:after="0" w:line="240" w:lineRule="auto"/>
      <w:jc w:val="both"/>
      <w:rPr>
        <w:rFonts w:eastAsia="Times New Roman" w:cs="Arial"/>
        <w:i/>
        <w:sz w:val="24"/>
        <w:szCs w:val="20"/>
      </w:rPr>
    </w:pPr>
    <w:r w:rsidRPr="008F2169">
      <w:rPr>
        <w:rFonts w:eastAsia="Times New Roman" w:cs="Arial"/>
        <w:i/>
        <w:sz w:val="24"/>
        <w:szCs w:val="20"/>
      </w:rPr>
      <w:t xml:space="preserve">Fair Shares for Health in Scotland </w:t>
    </w:r>
    <w:r w:rsidRPr="008F2169">
      <w:rPr>
        <w:rFonts w:eastAsia="Times New Roman" w:cs="Arial"/>
        <w:i/>
        <w:sz w:val="24"/>
        <w:szCs w:val="20"/>
      </w:rPr>
      <w:tab/>
    </w:r>
    <w:r w:rsidRPr="008F2169">
      <w:rPr>
        <w:rFonts w:eastAsia="Times New Roman" w:cs="Arial"/>
        <w:i/>
        <w:sz w:val="24"/>
        <w:szCs w:val="20"/>
      </w:rPr>
      <w:tab/>
    </w:r>
    <w:r w:rsidRPr="008F2169">
      <w:rPr>
        <w:rFonts w:eastAsia="Times New Roman" w:cs="Arial"/>
        <w:i/>
        <w:sz w:val="24"/>
        <w:szCs w:val="20"/>
      </w:rPr>
      <w:tab/>
    </w:r>
    <w:r w:rsidRPr="008F2169">
      <w:rPr>
        <w:rFonts w:eastAsia="Times New Roman" w:cs="Arial"/>
        <w:i/>
        <w:sz w:val="24"/>
        <w:szCs w:val="20"/>
      </w:rPr>
      <w:tab/>
      <w:t>TAGRA(2019)</w:t>
    </w:r>
    <w:r w:rsidR="008F2169">
      <w:rPr>
        <w:rFonts w:eastAsia="Times New Roman" w:cs="Arial"/>
        <w:i/>
        <w:sz w:val="24"/>
        <w:szCs w:val="20"/>
      </w:rPr>
      <w:t>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47910"/>
    <w:multiLevelType w:val="hybridMultilevel"/>
    <w:tmpl w:val="50B816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02A2C11"/>
    <w:multiLevelType w:val="hybridMultilevel"/>
    <w:tmpl w:val="904298A0"/>
    <w:lvl w:ilvl="0" w:tplc="AB6CC480">
      <w:numFmt w:val="bullet"/>
      <w:lvlText w:val="•"/>
      <w:lvlJc w:val="left"/>
      <w:pPr>
        <w:ind w:left="1140" w:hanging="360"/>
      </w:pPr>
      <w:rPr>
        <w:rFonts w:ascii="Arial" w:eastAsia="Calibr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15277A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4E0CAE"/>
    <w:multiLevelType w:val="hybridMultilevel"/>
    <w:tmpl w:val="2788D0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2D85722E"/>
    <w:multiLevelType w:val="hybridMultilevel"/>
    <w:tmpl w:val="62329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D31D66"/>
    <w:multiLevelType w:val="hybridMultilevel"/>
    <w:tmpl w:val="04C2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120796"/>
    <w:multiLevelType w:val="hybridMultilevel"/>
    <w:tmpl w:val="5C442B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F1E238C"/>
    <w:multiLevelType w:val="hybridMultilevel"/>
    <w:tmpl w:val="4500923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40FE13BD"/>
    <w:multiLevelType w:val="hybridMultilevel"/>
    <w:tmpl w:val="553C46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C02238"/>
    <w:multiLevelType w:val="hybridMultilevel"/>
    <w:tmpl w:val="06181D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54772254"/>
    <w:multiLevelType w:val="multilevel"/>
    <w:tmpl w:val="67CA0E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7D004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2383DE8"/>
    <w:multiLevelType w:val="multilevel"/>
    <w:tmpl w:val="5A74A64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2E654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B063BF"/>
    <w:multiLevelType w:val="multilevel"/>
    <w:tmpl w:val="A2729E62"/>
    <w:lvl w:ilvl="0">
      <w:start w:val="2"/>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76E432D"/>
    <w:multiLevelType w:val="hybridMultilevel"/>
    <w:tmpl w:val="C3088ABC"/>
    <w:lvl w:ilvl="0" w:tplc="AB6CC480">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8520DC"/>
    <w:multiLevelType w:val="hybridMultilevel"/>
    <w:tmpl w:val="B66E1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BF0C7F"/>
    <w:multiLevelType w:val="hybridMultilevel"/>
    <w:tmpl w:val="09881D8E"/>
    <w:lvl w:ilvl="0" w:tplc="AB6CC480">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6"/>
  </w:num>
  <w:num w:numId="3">
    <w:abstractNumId w:val="2"/>
  </w:num>
  <w:num w:numId="4">
    <w:abstractNumId w:val="4"/>
  </w:num>
  <w:num w:numId="5">
    <w:abstractNumId w:val="5"/>
  </w:num>
  <w:num w:numId="6">
    <w:abstractNumId w:val="7"/>
  </w:num>
  <w:num w:numId="7">
    <w:abstractNumId w:val="6"/>
  </w:num>
  <w:num w:numId="8">
    <w:abstractNumId w:val="13"/>
  </w:num>
  <w:num w:numId="9">
    <w:abstractNumId w:val="11"/>
  </w:num>
  <w:num w:numId="10">
    <w:abstractNumId w:val="14"/>
  </w:num>
  <w:num w:numId="11">
    <w:abstractNumId w:val="10"/>
  </w:num>
  <w:num w:numId="12">
    <w:abstractNumId w:val="12"/>
  </w:num>
  <w:num w:numId="13">
    <w:abstractNumId w:val="9"/>
  </w:num>
  <w:num w:numId="14">
    <w:abstractNumId w:val="8"/>
  </w:num>
  <w:num w:numId="15">
    <w:abstractNumId w:val="0"/>
  </w:num>
  <w:num w:numId="16">
    <w:abstractNumId w:val="17"/>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2E2"/>
    <w:rsid w:val="0000081F"/>
    <w:rsid w:val="00004A5F"/>
    <w:rsid w:val="00011169"/>
    <w:rsid w:val="000144B5"/>
    <w:rsid w:val="00015809"/>
    <w:rsid w:val="000258D6"/>
    <w:rsid w:val="000300AE"/>
    <w:rsid w:val="000B024A"/>
    <w:rsid w:val="000B297A"/>
    <w:rsid w:val="000C2003"/>
    <w:rsid w:val="000C557D"/>
    <w:rsid w:val="000D2A7D"/>
    <w:rsid w:val="000E051D"/>
    <w:rsid w:val="000E291D"/>
    <w:rsid w:val="000F2789"/>
    <w:rsid w:val="000F478D"/>
    <w:rsid w:val="0011034D"/>
    <w:rsid w:val="00110A7F"/>
    <w:rsid w:val="001115AC"/>
    <w:rsid w:val="00121F43"/>
    <w:rsid w:val="001363DD"/>
    <w:rsid w:val="00146BA4"/>
    <w:rsid w:val="00173934"/>
    <w:rsid w:val="001A2E7B"/>
    <w:rsid w:val="001A3901"/>
    <w:rsid w:val="001A4185"/>
    <w:rsid w:val="001A4939"/>
    <w:rsid w:val="001C0971"/>
    <w:rsid w:val="001C3182"/>
    <w:rsid w:val="001E396A"/>
    <w:rsid w:val="001F58A6"/>
    <w:rsid w:val="0022767C"/>
    <w:rsid w:val="00232D06"/>
    <w:rsid w:val="002404E7"/>
    <w:rsid w:val="00255325"/>
    <w:rsid w:val="00256079"/>
    <w:rsid w:val="0026008A"/>
    <w:rsid w:val="0026168F"/>
    <w:rsid w:val="00261E6D"/>
    <w:rsid w:val="00277436"/>
    <w:rsid w:val="0029274F"/>
    <w:rsid w:val="002940AD"/>
    <w:rsid w:val="002959EA"/>
    <w:rsid w:val="00296598"/>
    <w:rsid w:val="002B0502"/>
    <w:rsid w:val="002B66BE"/>
    <w:rsid w:val="002C4D9F"/>
    <w:rsid w:val="002C6CF9"/>
    <w:rsid w:val="002E07F4"/>
    <w:rsid w:val="002E5EC6"/>
    <w:rsid w:val="002F09F5"/>
    <w:rsid w:val="002F1059"/>
    <w:rsid w:val="002F1F4C"/>
    <w:rsid w:val="002F33C5"/>
    <w:rsid w:val="002F60D3"/>
    <w:rsid w:val="00323E26"/>
    <w:rsid w:val="00327203"/>
    <w:rsid w:val="00341B16"/>
    <w:rsid w:val="00375E65"/>
    <w:rsid w:val="00377776"/>
    <w:rsid w:val="00384401"/>
    <w:rsid w:val="003902FF"/>
    <w:rsid w:val="00390ADC"/>
    <w:rsid w:val="003C51AB"/>
    <w:rsid w:val="003E0E39"/>
    <w:rsid w:val="003F2156"/>
    <w:rsid w:val="00400401"/>
    <w:rsid w:val="00404D0C"/>
    <w:rsid w:val="00415A73"/>
    <w:rsid w:val="00425163"/>
    <w:rsid w:val="00434E95"/>
    <w:rsid w:val="0044221F"/>
    <w:rsid w:val="00452BE7"/>
    <w:rsid w:val="00484D0C"/>
    <w:rsid w:val="004A0ED1"/>
    <w:rsid w:val="004A5A93"/>
    <w:rsid w:val="004B3C82"/>
    <w:rsid w:val="004B6322"/>
    <w:rsid w:val="004D3CCE"/>
    <w:rsid w:val="004E302B"/>
    <w:rsid w:val="00521558"/>
    <w:rsid w:val="00526A7B"/>
    <w:rsid w:val="005308FC"/>
    <w:rsid w:val="00544171"/>
    <w:rsid w:val="00544BD6"/>
    <w:rsid w:val="00551D9D"/>
    <w:rsid w:val="00564656"/>
    <w:rsid w:val="0057059E"/>
    <w:rsid w:val="005755EC"/>
    <w:rsid w:val="00593209"/>
    <w:rsid w:val="005941D8"/>
    <w:rsid w:val="005A1052"/>
    <w:rsid w:val="005C1DB8"/>
    <w:rsid w:val="005C66B9"/>
    <w:rsid w:val="005C70A3"/>
    <w:rsid w:val="005D1283"/>
    <w:rsid w:val="005D495A"/>
    <w:rsid w:val="005E6A10"/>
    <w:rsid w:val="005F6EB8"/>
    <w:rsid w:val="005F70D0"/>
    <w:rsid w:val="0060644D"/>
    <w:rsid w:val="00606558"/>
    <w:rsid w:val="00623038"/>
    <w:rsid w:val="00650714"/>
    <w:rsid w:val="00665C2A"/>
    <w:rsid w:val="00673A8D"/>
    <w:rsid w:val="00675374"/>
    <w:rsid w:val="006D0B53"/>
    <w:rsid w:val="006E131A"/>
    <w:rsid w:val="006E5287"/>
    <w:rsid w:val="006E6476"/>
    <w:rsid w:val="0070666A"/>
    <w:rsid w:val="00706F24"/>
    <w:rsid w:val="007376F4"/>
    <w:rsid w:val="00762A11"/>
    <w:rsid w:val="00767404"/>
    <w:rsid w:val="0076776C"/>
    <w:rsid w:val="00776A43"/>
    <w:rsid w:val="0079365A"/>
    <w:rsid w:val="007974A3"/>
    <w:rsid w:val="00797DD0"/>
    <w:rsid w:val="007A05C9"/>
    <w:rsid w:val="007A093A"/>
    <w:rsid w:val="007B20A9"/>
    <w:rsid w:val="007D4A8B"/>
    <w:rsid w:val="007E2E3E"/>
    <w:rsid w:val="007E54FB"/>
    <w:rsid w:val="007F00FE"/>
    <w:rsid w:val="007F5CC9"/>
    <w:rsid w:val="0080234A"/>
    <w:rsid w:val="008074EE"/>
    <w:rsid w:val="00812EF3"/>
    <w:rsid w:val="0082436A"/>
    <w:rsid w:val="00850D93"/>
    <w:rsid w:val="00865846"/>
    <w:rsid w:val="0088132D"/>
    <w:rsid w:val="00883A06"/>
    <w:rsid w:val="0088535F"/>
    <w:rsid w:val="00886CFB"/>
    <w:rsid w:val="00894ECE"/>
    <w:rsid w:val="008A1863"/>
    <w:rsid w:val="008B00AA"/>
    <w:rsid w:val="008C4620"/>
    <w:rsid w:val="008C5B80"/>
    <w:rsid w:val="008E1AFC"/>
    <w:rsid w:val="008F095F"/>
    <w:rsid w:val="008F1D7A"/>
    <w:rsid w:val="008F2169"/>
    <w:rsid w:val="0090437D"/>
    <w:rsid w:val="0093329B"/>
    <w:rsid w:val="00934C28"/>
    <w:rsid w:val="009370BA"/>
    <w:rsid w:val="00967C88"/>
    <w:rsid w:val="00974F26"/>
    <w:rsid w:val="009901EB"/>
    <w:rsid w:val="009A2C2B"/>
    <w:rsid w:val="009C05C0"/>
    <w:rsid w:val="009C51E1"/>
    <w:rsid w:val="009C7BD5"/>
    <w:rsid w:val="009E0DD9"/>
    <w:rsid w:val="009F121A"/>
    <w:rsid w:val="009F2090"/>
    <w:rsid w:val="00A0089E"/>
    <w:rsid w:val="00A24977"/>
    <w:rsid w:val="00A3593A"/>
    <w:rsid w:val="00A35A5A"/>
    <w:rsid w:val="00A3673D"/>
    <w:rsid w:val="00A371C8"/>
    <w:rsid w:val="00A52B6C"/>
    <w:rsid w:val="00A573A6"/>
    <w:rsid w:val="00A612DA"/>
    <w:rsid w:val="00A75157"/>
    <w:rsid w:val="00A765A7"/>
    <w:rsid w:val="00A7756F"/>
    <w:rsid w:val="00A77F1B"/>
    <w:rsid w:val="00A92771"/>
    <w:rsid w:val="00AB58BF"/>
    <w:rsid w:val="00AB702C"/>
    <w:rsid w:val="00AC6FC8"/>
    <w:rsid w:val="00AD7669"/>
    <w:rsid w:val="00B01FC4"/>
    <w:rsid w:val="00B10B5D"/>
    <w:rsid w:val="00B127CC"/>
    <w:rsid w:val="00B2118C"/>
    <w:rsid w:val="00B26272"/>
    <w:rsid w:val="00B27327"/>
    <w:rsid w:val="00B31C22"/>
    <w:rsid w:val="00B95B2F"/>
    <w:rsid w:val="00BA03C9"/>
    <w:rsid w:val="00BB0CAB"/>
    <w:rsid w:val="00BD254D"/>
    <w:rsid w:val="00BD376D"/>
    <w:rsid w:val="00BE4D54"/>
    <w:rsid w:val="00BF1992"/>
    <w:rsid w:val="00BF2922"/>
    <w:rsid w:val="00C116D8"/>
    <w:rsid w:val="00C132B7"/>
    <w:rsid w:val="00C1437E"/>
    <w:rsid w:val="00C36AB9"/>
    <w:rsid w:val="00C46D93"/>
    <w:rsid w:val="00C514CC"/>
    <w:rsid w:val="00C60707"/>
    <w:rsid w:val="00C6182A"/>
    <w:rsid w:val="00C702E2"/>
    <w:rsid w:val="00C72535"/>
    <w:rsid w:val="00C72D78"/>
    <w:rsid w:val="00C80981"/>
    <w:rsid w:val="00C83911"/>
    <w:rsid w:val="00CA28CB"/>
    <w:rsid w:val="00CB0227"/>
    <w:rsid w:val="00CB1ECE"/>
    <w:rsid w:val="00CE372F"/>
    <w:rsid w:val="00CE7186"/>
    <w:rsid w:val="00CE723B"/>
    <w:rsid w:val="00CE7657"/>
    <w:rsid w:val="00CF105B"/>
    <w:rsid w:val="00D018F0"/>
    <w:rsid w:val="00D24F52"/>
    <w:rsid w:val="00D30D48"/>
    <w:rsid w:val="00D32BD1"/>
    <w:rsid w:val="00D32C8E"/>
    <w:rsid w:val="00D331AD"/>
    <w:rsid w:val="00D427E3"/>
    <w:rsid w:val="00D619F2"/>
    <w:rsid w:val="00D61AA9"/>
    <w:rsid w:val="00D63352"/>
    <w:rsid w:val="00D71B4A"/>
    <w:rsid w:val="00D735F8"/>
    <w:rsid w:val="00D85C5F"/>
    <w:rsid w:val="00D90A2E"/>
    <w:rsid w:val="00DA3CF9"/>
    <w:rsid w:val="00DA4C4A"/>
    <w:rsid w:val="00DB18E3"/>
    <w:rsid w:val="00DC449B"/>
    <w:rsid w:val="00DD2684"/>
    <w:rsid w:val="00DD7BE4"/>
    <w:rsid w:val="00E01D5A"/>
    <w:rsid w:val="00E01F9E"/>
    <w:rsid w:val="00E03EEA"/>
    <w:rsid w:val="00E12A4C"/>
    <w:rsid w:val="00E16680"/>
    <w:rsid w:val="00E25A0C"/>
    <w:rsid w:val="00E40E07"/>
    <w:rsid w:val="00E62524"/>
    <w:rsid w:val="00E71C9F"/>
    <w:rsid w:val="00E741C5"/>
    <w:rsid w:val="00E76BA6"/>
    <w:rsid w:val="00E911E1"/>
    <w:rsid w:val="00E92DFE"/>
    <w:rsid w:val="00E966AC"/>
    <w:rsid w:val="00EA17C6"/>
    <w:rsid w:val="00EA7FC2"/>
    <w:rsid w:val="00ED15A5"/>
    <w:rsid w:val="00ED4696"/>
    <w:rsid w:val="00F056F7"/>
    <w:rsid w:val="00F139EA"/>
    <w:rsid w:val="00F20445"/>
    <w:rsid w:val="00F255C9"/>
    <w:rsid w:val="00F366EE"/>
    <w:rsid w:val="00F4067E"/>
    <w:rsid w:val="00F47DFD"/>
    <w:rsid w:val="00F71710"/>
    <w:rsid w:val="00F73A3F"/>
    <w:rsid w:val="00F75B2A"/>
    <w:rsid w:val="00FC02F6"/>
    <w:rsid w:val="00FD1CCE"/>
    <w:rsid w:val="00FE5B67"/>
    <w:rsid w:val="00FF148A"/>
    <w:rsid w:val="00FF2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B60DC"/>
  <w15:docId w15:val="{F41E2939-1749-4063-BBF0-C8977E63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9F2"/>
    <w:rPr>
      <w:rFonts w:ascii="Arial" w:eastAsia="Calibri" w:hAnsi="Arial" w:cs="Times New Roman"/>
    </w:rPr>
  </w:style>
  <w:style w:type="paragraph" w:styleId="Heading1">
    <w:name w:val="heading 1"/>
    <w:basedOn w:val="Normal"/>
    <w:link w:val="Heading1Char"/>
    <w:qFormat/>
    <w:rsid w:val="007A05C9"/>
    <w:pPr>
      <w:keepNext/>
      <w:keepLines/>
      <w:spacing w:after="4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619F2"/>
    <w:pPr>
      <w:keepNext/>
      <w:keepLines/>
      <w:spacing w:before="4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22767C"/>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22767C"/>
    <w:pPr>
      <w:outlineLvl w:val="3"/>
    </w:pPr>
    <w:rPr>
      <w:rFonts w:eastAsiaTheme="majorEastAsia" w:cstheme="majorBidi"/>
      <w:b/>
      <w:bCs/>
      <w:spacing w:val="5"/>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767C"/>
    <w:rPr>
      <w:rFonts w:ascii="Arial" w:eastAsiaTheme="majorEastAsia" w:hAnsi="Arial" w:cstheme="majorBidi"/>
      <w:b/>
      <w:bCs/>
    </w:rPr>
  </w:style>
  <w:style w:type="character" w:customStyle="1" w:styleId="Heading1Char">
    <w:name w:val="Heading 1 Char"/>
    <w:basedOn w:val="DefaultParagraphFont"/>
    <w:link w:val="Heading1"/>
    <w:rsid w:val="007A05C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D619F2"/>
    <w:rPr>
      <w:rFonts w:ascii="Arial" w:eastAsiaTheme="majorEastAsia" w:hAnsi="Arial" w:cstheme="majorBidi"/>
      <w:b/>
      <w:bCs/>
      <w:sz w:val="24"/>
      <w:szCs w:val="26"/>
    </w:rPr>
  </w:style>
  <w:style w:type="paragraph" w:styleId="CommentText">
    <w:name w:val="annotation text"/>
    <w:basedOn w:val="Normal"/>
    <w:link w:val="CommentTextChar"/>
    <w:uiPriority w:val="99"/>
    <w:semiHidden/>
    <w:unhideWhenUsed/>
    <w:rsid w:val="007A05C9"/>
    <w:pPr>
      <w:spacing w:line="240" w:lineRule="auto"/>
    </w:pPr>
    <w:rPr>
      <w:sz w:val="20"/>
      <w:szCs w:val="20"/>
    </w:rPr>
  </w:style>
  <w:style w:type="character" w:customStyle="1" w:styleId="CommentTextChar">
    <w:name w:val="Comment Text Char"/>
    <w:basedOn w:val="DefaultParagraphFont"/>
    <w:link w:val="CommentText"/>
    <w:uiPriority w:val="99"/>
    <w:semiHidden/>
    <w:rsid w:val="007A05C9"/>
    <w:rPr>
      <w:sz w:val="20"/>
      <w:szCs w:val="20"/>
    </w:rPr>
  </w:style>
  <w:style w:type="paragraph" w:styleId="Header">
    <w:name w:val="header"/>
    <w:basedOn w:val="Normal"/>
    <w:link w:val="HeaderChar"/>
    <w:uiPriority w:val="99"/>
    <w:unhideWhenUsed/>
    <w:rsid w:val="007A05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5C9"/>
  </w:style>
  <w:style w:type="paragraph" w:styleId="Footer">
    <w:name w:val="footer"/>
    <w:basedOn w:val="Normal"/>
    <w:link w:val="FooterChar"/>
    <w:uiPriority w:val="99"/>
    <w:unhideWhenUsed/>
    <w:rsid w:val="007A05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5C9"/>
  </w:style>
  <w:style w:type="character" w:styleId="CommentReference">
    <w:name w:val="annotation reference"/>
    <w:basedOn w:val="DefaultParagraphFont"/>
    <w:uiPriority w:val="99"/>
    <w:semiHidden/>
    <w:unhideWhenUsed/>
    <w:rsid w:val="007A05C9"/>
    <w:rPr>
      <w:sz w:val="16"/>
      <w:szCs w:val="16"/>
    </w:rPr>
  </w:style>
  <w:style w:type="paragraph" w:styleId="Title">
    <w:name w:val="Title"/>
    <w:basedOn w:val="Normal"/>
    <w:next w:val="Normal"/>
    <w:link w:val="TitleChar"/>
    <w:uiPriority w:val="10"/>
    <w:qFormat/>
    <w:rsid w:val="007A05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05C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A05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5C9"/>
    <w:rPr>
      <w:rFonts w:asciiTheme="majorHAnsi" w:eastAsiaTheme="majorEastAsia" w:hAnsiTheme="majorHAnsi" w:cstheme="majorBidi"/>
      <w:i/>
      <w:iCs/>
      <w:color w:val="4F81BD" w:themeColor="accent1"/>
      <w:spacing w:val="15"/>
      <w:sz w:val="24"/>
      <w:szCs w:val="24"/>
    </w:rPr>
  </w:style>
  <w:style w:type="paragraph" w:styleId="CommentSubject">
    <w:name w:val="annotation subject"/>
    <w:basedOn w:val="CommentText"/>
    <w:next w:val="CommentText"/>
    <w:link w:val="CommentSubjectChar"/>
    <w:uiPriority w:val="99"/>
    <w:semiHidden/>
    <w:unhideWhenUsed/>
    <w:rsid w:val="007A05C9"/>
    <w:rPr>
      <w:b/>
      <w:bCs/>
    </w:rPr>
  </w:style>
  <w:style w:type="character" w:customStyle="1" w:styleId="CommentSubjectChar">
    <w:name w:val="Comment Subject Char"/>
    <w:basedOn w:val="CommentTextChar"/>
    <w:link w:val="CommentSubject"/>
    <w:uiPriority w:val="99"/>
    <w:semiHidden/>
    <w:rsid w:val="007A05C9"/>
    <w:rPr>
      <w:b/>
      <w:bCs/>
      <w:sz w:val="20"/>
      <w:szCs w:val="20"/>
    </w:rPr>
  </w:style>
  <w:style w:type="paragraph" w:styleId="BalloonText">
    <w:name w:val="Balloon Text"/>
    <w:basedOn w:val="Normal"/>
    <w:link w:val="BalloonTextChar"/>
    <w:uiPriority w:val="99"/>
    <w:semiHidden/>
    <w:unhideWhenUsed/>
    <w:rsid w:val="007A0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5C9"/>
    <w:rPr>
      <w:rFonts w:ascii="Tahoma" w:hAnsi="Tahoma" w:cs="Tahoma"/>
      <w:sz w:val="16"/>
      <w:szCs w:val="16"/>
    </w:rPr>
  </w:style>
  <w:style w:type="paragraph" w:styleId="NoSpacing">
    <w:name w:val="No Spacing"/>
    <w:uiPriority w:val="1"/>
    <w:qFormat/>
    <w:rsid w:val="007A05C9"/>
    <w:pPr>
      <w:spacing w:after="0" w:line="240" w:lineRule="auto"/>
    </w:pPr>
  </w:style>
  <w:style w:type="paragraph" w:styleId="ListParagraph">
    <w:name w:val="List Paragraph"/>
    <w:basedOn w:val="Normal"/>
    <w:uiPriority w:val="34"/>
    <w:qFormat/>
    <w:rsid w:val="0022767C"/>
    <w:pPr>
      <w:spacing w:after="120"/>
      <w:ind w:left="720"/>
    </w:pPr>
  </w:style>
  <w:style w:type="table" w:styleId="TableGrid">
    <w:name w:val="Table Grid"/>
    <w:basedOn w:val="TableNormal"/>
    <w:uiPriority w:val="59"/>
    <w:rsid w:val="0022767C"/>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22767C"/>
    <w:pPr>
      <w:spacing w:after="0" w:line="240" w:lineRule="auto"/>
    </w:pPr>
    <w:rPr>
      <w:rFonts w:eastAsiaTheme="majorEastAsia" w:cstheme="majorBidi"/>
      <w:bCs/>
      <w:i/>
      <w:sz w:val="20"/>
      <w:szCs w:val="18"/>
      <w:lang w:val="en-US" w:bidi="en-US"/>
    </w:rPr>
  </w:style>
  <w:style w:type="character" w:customStyle="1" w:styleId="Heading4Char">
    <w:name w:val="Heading 4 Char"/>
    <w:basedOn w:val="DefaultParagraphFont"/>
    <w:link w:val="Heading4"/>
    <w:uiPriority w:val="9"/>
    <w:rsid w:val="0022767C"/>
    <w:rPr>
      <w:rFonts w:ascii="Arial" w:eastAsiaTheme="majorEastAsia" w:hAnsi="Arial" w:cstheme="majorBidi"/>
      <w:b/>
      <w:bCs/>
      <w:spacing w:val="5"/>
      <w:szCs w:val="24"/>
      <w:lang w:val="en-US" w:bidi="en-US"/>
    </w:rPr>
  </w:style>
  <w:style w:type="paragraph" w:styleId="FootnoteText">
    <w:name w:val="footnote text"/>
    <w:basedOn w:val="Normal"/>
    <w:link w:val="FootnoteTextChar"/>
    <w:uiPriority w:val="99"/>
    <w:semiHidden/>
    <w:unhideWhenUsed/>
    <w:rsid w:val="00D71B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B4A"/>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D71B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57924">
      <w:bodyDiv w:val="1"/>
      <w:marLeft w:val="0"/>
      <w:marRight w:val="0"/>
      <w:marTop w:val="0"/>
      <w:marBottom w:val="0"/>
      <w:divBdr>
        <w:top w:val="none" w:sz="0" w:space="0" w:color="auto"/>
        <w:left w:val="none" w:sz="0" w:space="0" w:color="auto"/>
        <w:bottom w:val="none" w:sz="0" w:space="0" w:color="auto"/>
        <w:right w:val="none" w:sz="0" w:space="0" w:color="auto"/>
      </w:divBdr>
    </w:div>
    <w:div w:id="176818407">
      <w:bodyDiv w:val="1"/>
      <w:marLeft w:val="0"/>
      <w:marRight w:val="0"/>
      <w:marTop w:val="0"/>
      <w:marBottom w:val="0"/>
      <w:divBdr>
        <w:top w:val="none" w:sz="0" w:space="0" w:color="auto"/>
        <w:left w:val="none" w:sz="0" w:space="0" w:color="auto"/>
        <w:bottom w:val="none" w:sz="0" w:space="0" w:color="auto"/>
        <w:right w:val="none" w:sz="0" w:space="0" w:color="auto"/>
      </w:divBdr>
    </w:div>
    <w:div w:id="277419035">
      <w:bodyDiv w:val="1"/>
      <w:marLeft w:val="0"/>
      <w:marRight w:val="0"/>
      <w:marTop w:val="0"/>
      <w:marBottom w:val="0"/>
      <w:divBdr>
        <w:top w:val="none" w:sz="0" w:space="0" w:color="auto"/>
        <w:left w:val="none" w:sz="0" w:space="0" w:color="auto"/>
        <w:bottom w:val="none" w:sz="0" w:space="0" w:color="auto"/>
        <w:right w:val="none" w:sz="0" w:space="0" w:color="auto"/>
      </w:divBdr>
    </w:div>
    <w:div w:id="453062129">
      <w:bodyDiv w:val="1"/>
      <w:marLeft w:val="0"/>
      <w:marRight w:val="0"/>
      <w:marTop w:val="0"/>
      <w:marBottom w:val="0"/>
      <w:divBdr>
        <w:top w:val="none" w:sz="0" w:space="0" w:color="auto"/>
        <w:left w:val="none" w:sz="0" w:space="0" w:color="auto"/>
        <w:bottom w:val="none" w:sz="0" w:space="0" w:color="auto"/>
        <w:right w:val="none" w:sz="0" w:space="0" w:color="auto"/>
      </w:divBdr>
    </w:div>
    <w:div w:id="489446710">
      <w:bodyDiv w:val="1"/>
      <w:marLeft w:val="0"/>
      <w:marRight w:val="0"/>
      <w:marTop w:val="0"/>
      <w:marBottom w:val="0"/>
      <w:divBdr>
        <w:top w:val="none" w:sz="0" w:space="0" w:color="auto"/>
        <w:left w:val="none" w:sz="0" w:space="0" w:color="auto"/>
        <w:bottom w:val="none" w:sz="0" w:space="0" w:color="auto"/>
        <w:right w:val="none" w:sz="0" w:space="0" w:color="auto"/>
      </w:divBdr>
    </w:div>
    <w:div w:id="547691156">
      <w:bodyDiv w:val="1"/>
      <w:marLeft w:val="0"/>
      <w:marRight w:val="0"/>
      <w:marTop w:val="0"/>
      <w:marBottom w:val="0"/>
      <w:divBdr>
        <w:top w:val="none" w:sz="0" w:space="0" w:color="auto"/>
        <w:left w:val="none" w:sz="0" w:space="0" w:color="auto"/>
        <w:bottom w:val="none" w:sz="0" w:space="0" w:color="auto"/>
        <w:right w:val="none" w:sz="0" w:space="0" w:color="auto"/>
      </w:divBdr>
      <w:divsChild>
        <w:div w:id="12994945">
          <w:marLeft w:val="0"/>
          <w:marRight w:val="0"/>
          <w:marTop w:val="0"/>
          <w:marBottom w:val="0"/>
          <w:divBdr>
            <w:top w:val="none" w:sz="0" w:space="0" w:color="auto"/>
            <w:left w:val="none" w:sz="0" w:space="0" w:color="auto"/>
            <w:bottom w:val="none" w:sz="0" w:space="0" w:color="auto"/>
            <w:right w:val="none" w:sz="0" w:space="0" w:color="auto"/>
          </w:divBdr>
        </w:div>
        <w:div w:id="48844671">
          <w:marLeft w:val="0"/>
          <w:marRight w:val="0"/>
          <w:marTop w:val="0"/>
          <w:marBottom w:val="0"/>
          <w:divBdr>
            <w:top w:val="none" w:sz="0" w:space="0" w:color="auto"/>
            <w:left w:val="none" w:sz="0" w:space="0" w:color="auto"/>
            <w:bottom w:val="none" w:sz="0" w:space="0" w:color="auto"/>
            <w:right w:val="none" w:sz="0" w:space="0" w:color="auto"/>
          </w:divBdr>
        </w:div>
        <w:div w:id="52629404">
          <w:marLeft w:val="0"/>
          <w:marRight w:val="0"/>
          <w:marTop w:val="0"/>
          <w:marBottom w:val="0"/>
          <w:divBdr>
            <w:top w:val="none" w:sz="0" w:space="0" w:color="auto"/>
            <w:left w:val="none" w:sz="0" w:space="0" w:color="auto"/>
            <w:bottom w:val="none" w:sz="0" w:space="0" w:color="auto"/>
            <w:right w:val="none" w:sz="0" w:space="0" w:color="auto"/>
          </w:divBdr>
        </w:div>
        <w:div w:id="87819530">
          <w:marLeft w:val="0"/>
          <w:marRight w:val="0"/>
          <w:marTop w:val="0"/>
          <w:marBottom w:val="0"/>
          <w:divBdr>
            <w:top w:val="none" w:sz="0" w:space="0" w:color="auto"/>
            <w:left w:val="none" w:sz="0" w:space="0" w:color="auto"/>
            <w:bottom w:val="none" w:sz="0" w:space="0" w:color="auto"/>
            <w:right w:val="none" w:sz="0" w:space="0" w:color="auto"/>
          </w:divBdr>
        </w:div>
        <w:div w:id="97212918">
          <w:marLeft w:val="0"/>
          <w:marRight w:val="0"/>
          <w:marTop w:val="0"/>
          <w:marBottom w:val="0"/>
          <w:divBdr>
            <w:top w:val="none" w:sz="0" w:space="0" w:color="auto"/>
            <w:left w:val="none" w:sz="0" w:space="0" w:color="auto"/>
            <w:bottom w:val="none" w:sz="0" w:space="0" w:color="auto"/>
            <w:right w:val="none" w:sz="0" w:space="0" w:color="auto"/>
          </w:divBdr>
        </w:div>
        <w:div w:id="106706628">
          <w:marLeft w:val="0"/>
          <w:marRight w:val="0"/>
          <w:marTop w:val="0"/>
          <w:marBottom w:val="0"/>
          <w:divBdr>
            <w:top w:val="none" w:sz="0" w:space="0" w:color="auto"/>
            <w:left w:val="none" w:sz="0" w:space="0" w:color="auto"/>
            <w:bottom w:val="none" w:sz="0" w:space="0" w:color="auto"/>
            <w:right w:val="none" w:sz="0" w:space="0" w:color="auto"/>
          </w:divBdr>
        </w:div>
        <w:div w:id="108739040">
          <w:marLeft w:val="0"/>
          <w:marRight w:val="0"/>
          <w:marTop w:val="0"/>
          <w:marBottom w:val="0"/>
          <w:divBdr>
            <w:top w:val="none" w:sz="0" w:space="0" w:color="auto"/>
            <w:left w:val="none" w:sz="0" w:space="0" w:color="auto"/>
            <w:bottom w:val="none" w:sz="0" w:space="0" w:color="auto"/>
            <w:right w:val="none" w:sz="0" w:space="0" w:color="auto"/>
          </w:divBdr>
        </w:div>
        <w:div w:id="112141478">
          <w:marLeft w:val="0"/>
          <w:marRight w:val="0"/>
          <w:marTop w:val="0"/>
          <w:marBottom w:val="0"/>
          <w:divBdr>
            <w:top w:val="none" w:sz="0" w:space="0" w:color="auto"/>
            <w:left w:val="none" w:sz="0" w:space="0" w:color="auto"/>
            <w:bottom w:val="none" w:sz="0" w:space="0" w:color="auto"/>
            <w:right w:val="none" w:sz="0" w:space="0" w:color="auto"/>
          </w:divBdr>
        </w:div>
        <w:div w:id="117921865">
          <w:marLeft w:val="0"/>
          <w:marRight w:val="0"/>
          <w:marTop w:val="0"/>
          <w:marBottom w:val="0"/>
          <w:divBdr>
            <w:top w:val="none" w:sz="0" w:space="0" w:color="auto"/>
            <w:left w:val="none" w:sz="0" w:space="0" w:color="auto"/>
            <w:bottom w:val="none" w:sz="0" w:space="0" w:color="auto"/>
            <w:right w:val="none" w:sz="0" w:space="0" w:color="auto"/>
          </w:divBdr>
        </w:div>
        <w:div w:id="132716685">
          <w:marLeft w:val="0"/>
          <w:marRight w:val="0"/>
          <w:marTop w:val="0"/>
          <w:marBottom w:val="0"/>
          <w:divBdr>
            <w:top w:val="none" w:sz="0" w:space="0" w:color="auto"/>
            <w:left w:val="none" w:sz="0" w:space="0" w:color="auto"/>
            <w:bottom w:val="none" w:sz="0" w:space="0" w:color="auto"/>
            <w:right w:val="none" w:sz="0" w:space="0" w:color="auto"/>
          </w:divBdr>
        </w:div>
        <w:div w:id="144401112">
          <w:marLeft w:val="0"/>
          <w:marRight w:val="0"/>
          <w:marTop w:val="0"/>
          <w:marBottom w:val="0"/>
          <w:divBdr>
            <w:top w:val="none" w:sz="0" w:space="0" w:color="auto"/>
            <w:left w:val="none" w:sz="0" w:space="0" w:color="auto"/>
            <w:bottom w:val="none" w:sz="0" w:space="0" w:color="auto"/>
            <w:right w:val="none" w:sz="0" w:space="0" w:color="auto"/>
          </w:divBdr>
        </w:div>
        <w:div w:id="180944954">
          <w:marLeft w:val="0"/>
          <w:marRight w:val="0"/>
          <w:marTop w:val="0"/>
          <w:marBottom w:val="0"/>
          <w:divBdr>
            <w:top w:val="none" w:sz="0" w:space="0" w:color="auto"/>
            <w:left w:val="none" w:sz="0" w:space="0" w:color="auto"/>
            <w:bottom w:val="none" w:sz="0" w:space="0" w:color="auto"/>
            <w:right w:val="none" w:sz="0" w:space="0" w:color="auto"/>
          </w:divBdr>
        </w:div>
        <w:div w:id="182283823">
          <w:marLeft w:val="0"/>
          <w:marRight w:val="0"/>
          <w:marTop w:val="0"/>
          <w:marBottom w:val="0"/>
          <w:divBdr>
            <w:top w:val="none" w:sz="0" w:space="0" w:color="auto"/>
            <w:left w:val="none" w:sz="0" w:space="0" w:color="auto"/>
            <w:bottom w:val="none" w:sz="0" w:space="0" w:color="auto"/>
            <w:right w:val="none" w:sz="0" w:space="0" w:color="auto"/>
          </w:divBdr>
        </w:div>
        <w:div w:id="182985974">
          <w:marLeft w:val="0"/>
          <w:marRight w:val="0"/>
          <w:marTop w:val="0"/>
          <w:marBottom w:val="0"/>
          <w:divBdr>
            <w:top w:val="none" w:sz="0" w:space="0" w:color="auto"/>
            <w:left w:val="none" w:sz="0" w:space="0" w:color="auto"/>
            <w:bottom w:val="none" w:sz="0" w:space="0" w:color="auto"/>
            <w:right w:val="none" w:sz="0" w:space="0" w:color="auto"/>
          </w:divBdr>
        </w:div>
        <w:div w:id="186723967">
          <w:marLeft w:val="0"/>
          <w:marRight w:val="0"/>
          <w:marTop w:val="0"/>
          <w:marBottom w:val="0"/>
          <w:divBdr>
            <w:top w:val="none" w:sz="0" w:space="0" w:color="auto"/>
            <w:left w:val="none" w:sz="0" w:space="0" w:color="auto"/>
            <w:bottom w:val="none" w:sz="0" w:space="0" w:color="auto"/>
            <w:right w:val="none" w:sz="0" w:space="0" w:color="auto"/>
          </w:divBdr>
        </w:div>
        <w:div w:id="202640738">
          <w:marLeft w:val="0"/>
          <w:marRight w:val="0"/>
          <w:marTop w:val="0"/>
          <w:marBottom w:val="0"/>
          <w:divBdr>
            <w:top w:val="none" w:sz="0" w:space="0" w:color="auto"/>
            <w:left w:val="none" w:sz="0" w:space="0" w:color="auto"/>
            <w:bottom w:val="none" w:sz="0" w:space="0" w:color="auto"/>
            <w:right w:val="none" w:sz="0" w:space="0" w:color="auto"/>
          </w:divBdr>
        </w:div>
        <w:div w:id="210701671">
          <w:marLeft w:val="0"/>
          <w:marRight w:val="0"/>
          <w:marTop w:val="0"/>
          <w:marBottom w:val="0"/>
          <w:divBdr>
            <w:top w:val="none" w:sz="0" w:space="0" w:color="auto"/>
            <w:left w:val="none" w:sz="0" w:space="0" w:color="auto"/>
            <w:bottom w:val="none" w:sz="0" w:space="0" w:color="auto"/>
            <w:right w:val="none" w:sz="0" w:space="0" w:color="auto"/>
          </w:divBdr>
        </w:div>
        <w:div w:id="293996177">
          <w:marLeft w:val="0"/>
          <w:marRight w:val="0"/>
          <w:marTop w:val="0"/>
          <w:marBottom w:val="0"/>
          <w:divBdr>
            <w:top w:val="none" w:sz="0" w:space="0" w:color="auto"/>
            <w:left w:val="none" w:sz="0" w:space="0" w:color="auto"/>
            <w:bottom w:val="none" w:sz="0" w:space="0" w:color="auto"/>
            <w:right w:val="none" w:sz="0" w:space="0" w:color="auto"/>
          </w:divBdr>
        </w:div>
        <w:div w:id="326327430">
          <w:marLeft w:val="0"/>
          <w:marRight w:val="0"/>
          <w:marTop w:val="0"/>
          <w:marBottom w:val="0"/>
          <w:divBdr>
            <w:top w:val="none" w:sz="0" w:space="0" w:color="auto"/>
            <w:left w:val="none" w:sz="0" w:space="0" w:color="auto"/>
            <w:bottom w:val="none" w:sz="0" w:space="0" w:color="auto"/>
            <w:right w:val="none" w:sz="0" w:space="0" w:color="auto"/>
          </w:divBdr>
        </w:div>
        <w:div w:id="330333208">
          <w:marLeft w:val="0"/>
          <w:marRight w:val="0"/>
          <w:marTop w:val="0"/>
          <w:marBottom w:val="0"/>
          <w:divBdr>
            <w:top w:val="none" w:sz="0" w:space="0" w:color="auto"/>
            <w:left w:val="none" w:sz="0" w:space="0" w:color="auto"/>
            <w:bottom w:val="none" w:sz="0" w:space="0" w:color="auto"/>
            <w:right w:val="none" w:sz="0" w:space="0" w:color="auto"/>
          </w:divBdr>
        </w:div>
        <w:div w:id="360596856">
          <w:marLeft w:val="0"/>
          <w:marRight w:val="0"/>
          <w:marTop w:val="0"/>
          <w:marBottom w:val="0"/>
          <w:divBdr>
            <w:top w:val="none" w:sz="0" w:space="0" w:color="auto"/>
            <w:left w:val="none" w:sz="0" w:space="0" w:color="auto"/>
            <w:bottom w:val="none" w:sz="0" w:space="0" w:color="auto"/>
            <w:right w:val="none" w:sz="0" w:space="0" w:color="auto"/>
          </w:divBdr>
        </w:div>
        <w:div w:id="385884871">
          <w:marLeft w:val="0"/>
          <w:marRight w:val="0"/>
          <w:marTop w:val="0"/>
          <w:marBottom w:val="0"/>
          <w:divBdr>
            <w:top w:val="none" w:sz="0" w:space="0" w:color="auto"/>
            <w:left w:val="none" w:sz="0" w:space="0" w:color="auto"/>
            <w:bottom w:val="none" w:sz="0" w:space="0" w:color="auto"/>
            <w:right w:val="none" w:sz="0" w:space="0" w:color="auto"/>
          </w:divBdr>
        </w:div>
        <w:div w:id="452986743">
          <w:marLeft w:val="0"/>
          <w:marRight w:val="0"/>
          <w:marTop w:val="0"/>
          <w:marBottom w:val="0"/>
          <w:divBdr>
            <w:top w:val="none" w:sz="0" w:space="0" w:color="auto"/>
            <w:left w:val="none" w:sz="0" w:space="0" w:color="auto"/>
            <w:bottom w:val="none" w:sz="0" w:space="0" w:color="auto"/>
            <w:right w:val="none" w:sz="0" w:space="0" w:color="auto"/>
          </w:divBdr>
        </w:div>
        <w:div w:id="494153531">
          <w:marLeft w:val="0"/>
          <w:marRight w:val="0"/>
          <w:marTop w:val="0"/>
          <w:marBottom w:val="0"/>
          <w:divBdr>
            <w:top w:val="none" w:sz="0" w:space="0" w:color="auto"/>
            <w:left w:val="none" w:sz="0" w:space="0" w:color="auto"/>
            <w:bottom w:val="none" w:sz="0" w:space="0" w:color="auto"/>
            <w:right w:val="none" w:sz="0" w:space="0" w:color="auto"/>
          </w:divBdr>
        </w:div>
        <w:div w:id="497770902">
          <w:marLeft w:val="0"/>
          <w:marRight w:val="0"/>
          <w:marTop w:val="0"/>
          <w:marBottom w:val="0"/>
          <w:divBdr>
            <w:top w:val="none" w:sz="0" w:space="0" w:color="auto"/>
            <w:left w:val="none" w:sz="0" w:space="0" w:color="auto"/>
            <w:bottom w:val="none" w:sz="0" w:space="0" w:color="auto"/>
            <w:right w:val="none" w:sz="0" w:space="0" w:color="auto"/>
          </w:divBdr>
        </w:div>
        <w:div w:id="512889140">
          <w:marLeft w:val="0"/>
          <w:marRight w:val="0"/>
          <w:marTop w:val="0"/>
          <w:marBottom w:val="0"/>
          <w:divBdr>
            <w:top w:val="none" w:sz="0" w:space="0" w:color="auto"/>
            <w:left w:val="none" w:sz="0" w:space="0" w:color="auto"/>
            <w:bottom w:val="none" w:sz="0" w:space="0" w:color="auto"/>
            <w:right w:val="none" w:sz="0" w:space="0" w:color="auto"/>
          </w:divBdr>
        </w:div>
        <w:div w:id="516501755">
          <w:marLeft w:val="0"/>
          <w:marRight w:val="0"/>
          <w:marTop w:val="0"/>
          <w:marBottom w:val="0"/>
          <w:divBdr>
            <w:top w:val="none" w:sz="0" w:space="0" w:color="auto"/>
            <w:left w:val="none" w:sz="0" w:space="0" w:color="auto"/>
            <w:bottom w:val="none" w:sz="0" w:space="0" w:color="auto"/>
            <w:right w:val="none" w:sz="0" w:space="0" w:color="auto"/>
          </w:divBdr>
        </w:div>
        <w:div w:id="517891266">
          <w:marLeft w:val="0"/>
          <w:marRight w:val="0"/>
          <w:marTop w:val="0"/>
          <w:marBottom w:val="0"/>
          <w:divBdr>
            <w:top w:val="none" w:sz="0" w:space="0" w:color="auto"/>
            <w:left w:val="none" w:sz="0" w:space="0" w:color="auto"/>
            <w:bottom w:val="none" w:sz="0" w:space="0" w:color="auto"/>
            <w:right w:val="none" w:sz="0" w:space="0" w:color="auto"/>
          </w:divBdr>
        </w:div>
        <w:div w:id="544021398">
          <w:marLeft w:val="0"/>
          <w:marRight w:val="0"/>
          <w:marTop w:val="0"/>
          <w:marBottom w:val="0"/>
          <w:divBdr>
            <w:top w:val="none" w:sz="0" w:space="0" w:color="auto"/>
            <w:left w:val="none" w:sz="0" w:space="0" w:color="auto"/>
            <w:bottom w:val="none" w:sz="0" w:space="0" w:color="auto"/>
            <w:right w:val="none" w:sz="0" w:space="0" w:color="auto"/>
          </w:divBdr>
        </w:div>
        <w:div w:id="580796087">
          <w:marLeft w:val="0"/>
          <w:marRight w:val="0"/>
          <w:marTop w:val="0"/>
          <w:marBottom w:val="0"/>
          <w:divBdr>
            <w:top w:val="none" w:sz="0" w:space="0" w:color="auto"/>
            <w:left w:val="none" w:sz="0" w:space="0" w:color="auto"/>
            <w:bottom w:val="none" w:sz="0" w:space="0" w:color="auto"/>
            <w:right w:val="none" w:sz="0" w:space="0" w:color="auto"/>
          </w:divBdr>
        </w:div>
        <w:div w:id="691492451">
          <w:marLeft w:val="0"/>
          <w:marRight w:val="0"/>
          <w:marTop w:val="0"/>
          <w:marBottom w:val="0"/>
          <w:divBdr>
            <w:top w:val="none" w:sz="0" w:space="0" w:color="auto"/>
            <w:left w:val="none" w:sz="0" w:space="0" w:color="auto"/>
            <w:bottom w:val="none" w:sz="0" w:space="0" w:color="auto"/>
            <w:right w:val="none" w:sz="0" w:space="0" w:color="auto"/>
          </w:divBdr>
        </w:div>
        <w:div w:id="749960649">
          <w:marLeft w:val="0"/>
          <w:marRight w:val="0"/>
          <w:marTop w:val="0"/>
          <w:marBottom w:val="0"/>
          <w:divBdr>
            <w:top w:val="none" w:sz="0" w:space="0" w:color="auto"/>
            <w:left w:val="none" w:sz="0" w:space="0" w:color="auto"/>
            <w:bottom w:val="none" w:sz="0" w:space="0" w:color="auto"/>
            <w:right w:val="none" w:sz="0" w:space="0" w:color="auto"/>
          </w:divBdr>
        </w:div>
        <w:div w:id="811557126">
          <w:marLeft w:val="0"/>
          <w:marRight w:val="0"/>
          <w:marTop w:val="0"/>
          <w:marBottom w:val="0"/>
          <w:divBdr>
            <w:top w:val="none" w:sz="0" w:space="0" w:color="auto"/>
            <w:left w:val="none" w:sz="0" w:space="0" w:color="auto"/>
            <w:bottom w:val="none" w:sz="0" w:space="0" w:color="auto"/>
            <w:right w:val="none" w:sz="0" w:space="0" w:color="auto"/>
          </w:divBdr>
        </w:div>
        <w:div w:id="819690238">
          <w:marLeft w:val="0"/>
          <w:marRight w:val="0"/>
          <w:marTop w:val="0"/>
          <w:marBottom w:val="0"/>
          <w:divBdr>
            <w:top w:val="none" w:sz="0" w:space="0" w:color="auto"/>
            <w:left w:val="none" w:sz="0" w:space="0" w:color="auto"/>
            <w:bottom w:val="none" w:sz="0" w:space="0" w:color="auto"/>
            <w:right w:val="none" w:sz="0" w:space="0" w:color="auto"/>
          </w:divBdr>
        </w:div>
        <w:div w:id="820735511">
          <w:marLeft w:val="0"/>
          <w:marRight w:val="0"/>
          <w:marTop w:val="0"/>
          <w:marBottom w:val="0"/>
          <w:divBdr>
            <w:top w:val="none" w:sz="0" w:space="0" w:color="auto"/>
            <w:left w:val="none" w:sz="0" w:space="0" w:color="auto"/>
            <w:bottom w:val="none" w:sz="0" w:space="0" w:color="auto"/>
            <w:right w:val="none" w:sz="0" w:space="0" w:color="auto"/>
          </w:divBdr>
        </w:div>
        <w:div w:id="828407585">
          <w:marLeft w:val="0"/>
          <w:marRight w:val="0"/>
          <w:marTop w:val="0"/>
          <w:marBottom w:val="0"/>
          <w:divBdr>
            <w:top w:val="none" w:sz="0" w:space="0" w:color="auto"/>
            <w:left w:val="none" w:sz="0" w:space="0" w:color="auto"/>
            <w:bottom w:val="none" w:sz="0" w:space="0" w:color="auto"/>
            <w:right w:val="none" w:sz="0" w:space="0" w:color="auto"/>
          </w:divBdr>
        </w:div>
        <w:div w:id="832254850">
          <w:marLeft w:val="0"/>
          <w:marRight w:val="0"/>
          <w:marTop w:val="0"/>
          <w:marBottom w:val="0"/>
          <w:divBdr>
            <w:top w:val="none" w:sz="0" w:space="0" w:color="auto"/>
            <w:left w:val="none" w:sz="0" w:space="0" w:color="auto"/>
            <w:bottom w:val="none" w:sz="0" w:space="0" w:color="auto"/>
            <w:right w:val="none" w:sz="0" w:space="0" w:color="auto"/>
          </w:divBdr>
        </w:div>
        <w:div w:id="838472274">
          <w:marLeft w:val="0"/>
          <w:marRight w:val="0"/>
          <w:marTop w:val="0"/>
          <w:marBottom w:val="0"/>
          <w:divBdr>
            <w:top w:val="none" w:sz="0" w:space="0" w:color="auto"/>
            <w:left w:val="none" w:sz="0" w:space="0" w:color="auto"/>
            <w:bottom w:val="none" w:sz="0" w:space="0" w:color="auto"/>
            <w:right w:val="none" w:sz="0" w:space="0" w:color="auto"/>
          </w:divBdr>
        </w:div>
        <w:div w:id="883522796">
          <w:marLeft w:val="0"/>
          <w:marRight w:val="0"/>
          <w:marTop w:val="0"/>
          <w:marBottom w:val="0"/>
          <w:divBdr>
            <w:top w:val="none" w:sz="0" w:space="0" w:color="auto"/>
            <w:left w:val="none" w:sz="0" w:space="0" w:color="auto"/>
            <w:bottom w:val="none" w:sz="0" w:space="0" w:color="auto"/>
            <w:right w:val="none" w:sz="0" w:space="0" w:color="auto"/>
          </w:divBdr>
        </w:div>
        <w:div w:id="943876734">
          <w:marLeft w:val="0"/>
          <w:marRight w:val="0"/>
          <w:marTop w:val="0"/>
          <w:marBottom w:val="0"/>
          <w:divBdr>
            <w:top w:val="none" w:sz="0" w:space="0" w:color="auto"/>
            <w:left w:val="none" w:sz="0" w:space="0" w:color="auto"/>
            <w:bottom w:val="none" w:sz="0" w:space="0" w:color="auto"/>
            <w:right w:val="none" w:sz="0" w:space="0" w:color="auto"/>
          </w:divBdr>
        </w:div>
        <w:div w:id="966591846">
          <w:marLeft w:val="0"/>
          <w:marRight w:val="0"/>
          <w:marTop w:val="0"/>
          <w:marBottom w:val="0"/>
          <w:divBdr>
            <w:top w:val="none" w:sz="0" w:space="0" w:color="auto"/>
            <w:left w:val="none" w:sz="0" w:space="0" w:color="auto"/>
            <w:bottom w:val="none" w:sz="0" w:space="0" w:color="auto"/>
            <w:right w:val="none" w:sz="0" w:space="0" w:color="auto"/>
          </w:divBdr>
        </w:div>
        <w:div w:id="973868317">
          <w:marLeft w:val="0"/>
          <w:marRight w:val="0"/>
          <w:marTop w:val="0"/>
          <w:marBottom w:val="0"/>
          <w:divBdr>
            <w:top w:val="none" w:sz="0" w:space="0" w:color="auto"/>
            <w:left w:val="none" w:sz="0" w:space="0" w:color="auto"/>
            <w:bottom w:val="none" w:sz="0" w:space="0" w:color="auto"/>
            <w:right w:val="none" w:sz="0" w:space="0" w:color="auto"/>
          </w:divBdr>
        </w:div>
        <w:div w:id="986083439">
          <w:marLeft w:val="0"/>
          <w:marRight w:val="0"/>
          <w:marTop w:val="0"/>
          <w:marBottom w:val="0"/>
          <w:divBdr>
            <w:top w:val="none" w:sz="0" w:space="0" w:color="auto"/>
            <w:left w:val="none" w:sz="0" w:space="0" w:color="auto"/>
            <w:bottom w:val="none" w:sz="0" w:space="0" w:color="auto"/>
            <w:right w:val="none" w:sz="0" w:space="0" w:color="auto"/>
          </w:divBdr>
        </w:div>
        <w:div w:id="989678946">
          <w:marLeft w:val="0"/>
          <w:marRight w:val="0"/>
          <w:marTop w:val="0"/>
          <w:marBottom w:val="0"/>
          <w:divBdr>
            <w:top w:val="none" w:sz="0" w:space="0" w:color="auto"/>
            <w:left w:val="none" w:sz="0" w:space="0" w:color="auto"/>
            <w:bottom w:val="none" w:sz="0" w:space="0" w:color="auto"/>
            <w:right w:val="none" w:sz="0" w:space="0" w:color="auto"/>
          </w:divBdr>
        </w:div>
        <w:div w:id="1046683398">
          <w:marLeft w:val="0"/>
          <w:marRight w:val="0"/>
          <w:marTop w:val="0"/>
          <w:marBottom w:val="0"/>
          <w:divBdr>
            <w:top w:val="none" w:sz="0" w:space="0" w:color="auto"/>
            <w:left w:val="none" w:sz="0" w:space="0" w:color="auto"/>
            <w:bottom w:val="none" w:sz="0" w:space="0" w:color="auto"/>
            <w:right w:val="none" w:sz="0" w:space="0" w:color="auto"/>
          </w:divBdr>
        </w:div>
        <w:div w:id="1061363624">
          <w:marLeft w:val="0"/>
          <w:marRight w:val="0"/>
          <w:marTop w:val="0"/>
          <w:marBottom w:val="0"/>
          <w:divBdr>
            <w:top w:val="none" w:sz="0" w:space="0" w:color="auto"/>
            <w:left w:val="none" w:sz="0" w:space="0" w:color="auto"/>
            <w:bottom w:val="none" w:sz="0" w:space="0" w:color="auto"/>
            <w:right w:val="none" w:sz="0" w:space="0" w:color="auto"/>
          </w:divBdr>
        </w:div>
        <w:div w:id="1114523403">
          <w:marLeft w:val="0"/>
          <w:marRight w:val="0"/>
          <w:marTop w:val="0"/>
          <w:marBottom w:val="0"/>
          <w:divBdr>
            <w:top w:val="none" w:sz="0" w:space="0" w:color="auto"/>
            <w:left w:val="none" w:sz="0" w:space="0" w:color="auto"/>
            <w:bottom w:val="none" w:sz="0" w:space="0" w:color="auto"/>
            <w:right w:val="none" w:sz="0" w:space="0" w:color="auto"/>
          </w:divBdr>
        </w:div>
        <w:div w:id="1139613776">
          <w:marLeft w:val="0"/>
          <w:marRight w:val="0"/>
          <w:marTop w:val="0"/>
          <w:marBottom w:val="0"/>
          <w:divBdr>
            <w:top w:val="none" w:sz="0" w:space="0" w:color="auto"/>
            <w:left w:val="none" w:sz="0" w:space="0" w:color="auto"/>
            <w:bottom w:val="none" w:sz="0" w:space="0" w:color="auto"/>
            <w:right w:val="none" w:sz="0" w:space="0" w:color="auto"/>
          </w:divBdr>
        </w:div>
        <w:div w:id="1155143450">
          <w:marLeft w:val="0"/>
          <w:marRight w:val="0"/>
          <w:marTop w:val="0"/>
          <w:marBottom w:val="0"/>
          <w:divBdr>
            <w:top w:val="none" w:sz="0" w:space="0" w:color="auto"/>
            <w:left w:val="none" w:sz="0" w:space="0" w:color="auto"/>
            <w:bottom w:val="none" w:sz="0" w:space="0" w:color="auto"/>
            <w:right w:val="none" w:sz="0" w:space="0" w:color="auto"/>
          </w:divBdr>
        </w:div>
        <w:div w:id="1184976856">
          <w:marLeft w:val="0"/>
          <w:marRight w:val="0"/>
          <w:marTop w:val="0"/>
          <w:marBottom w:val="0"/>
          <w:divBdr>
            <w:top w:val="none" w:sz="0" w:space="0" w:color="auto"/>
            <w:left w:val="none" w:sz="0" w:space="0" w:color="auto"/>
            <w:bottom w:val="none" w:sz="0" w:space="0" w:color="auto"/>
            <w:right w:val="none" w:sz="0" w:space="0" w:color="auto"/>
          </w:divBdr>
        </w:div>
        <w:div w:id="1188518595">
          <w:marLeft w:val="0"/>
          <w:marRight w:val="0"/>
          <w:marTop w:val="0"/>
          <w:marBottom w:val="0"/>
          <w:divBdr>
            <w:top w:val="none" w:sz="0" w:space="0" w:color="auto"/>
            <w:left w:val="none" w:sz="0" w:space="0" w:color="auto"/>
            <w:bottom w:val="none" w:sz="0" w:space="0" w:color="auto"/>
            <w:right w:val="none" w:sz="0" w:space="0" w:color="auto"/>
          </w:divBdr>
        </w:div>
        <w:div w:id="1194080114">
          <w:marLeft w:val="0"/>
          <w:marRight w:val="0"/>
          <w:marTop w:val="0"/>
          <w:marBottom w:val="0"/>
          <w:divBdr>
            <w:top w:val="none" w:sz="0" w:space="0" w:color="auto"/>
            <w:left w:val="none" w:sz="0" w:space="0" w:color="auto"/>
            <w:bottom w:val="none" w:sz="0" w:space="0" w:color="auto"/>
            <w:right w:val="none" w:sz="0" w:space="0" w:color="auto"/>
          </w:divBdr>
        </w:div>
        <w:div w:id="1300919808">
          <w:marLeft w:val="0"/>
          <w:marRight w:val="0"/>
          <w:marTop w:val="0"/>
          <w:marBottom w:val="0"/>
          <w:divBdr>
            <w:top w:val="none" w:sz="0" w:space="0" w:color="auto"/>
            <w:left w:val="none" w:sz="0" w:space="0" w:color="auto"/>
            <w:bottom w:val="none" w:sz="0" w:space="0" w:color="auto"/>
            <w:right w:val="none" w:sz="0" w:space="0" w:color="auto"/>
          </w:divBdr>
        </w:div>
        <w:div w:id="1336302554">
          <w:marLeft w:val="0"/>
          <w:marRight w:val="0"/>
          <w:marTop w:val="0"/>
          <w:marBottom w:val="0"/>
          <w:divBdr>
            <w:top w:val="none" w:sz="0" w:space="0" w:color="auto"/>
            <w:left w:val="none" w:sz="0" w:space="0" w:color="auto"/>
            <w:bottom w:val="none" w:sz="0" w:space="0" w:color="auto"/>
            <w:right w:val="none" w:sz="0" w:space="0" w:color="auto"/>
          </w:divBdr>
        </w:div>
        <w:div w:id="1342927055">
          <w:marLeft w:val="0"/>
          <w:marRight w:val="0"/>
          <w:marTop w:val="0"/>
          <w:marBottom w:val="0"/>
          <w:divBdr>
            <w:top w:val="none" w:sz="0" w:space="0" w:color="auto"/>
            <w:left w:val="none" w:sz="0" w:space="0" w:color="auto"/>
            <w:bottom w:val="none" w:sz="0" w:space="0" w:color="auto"/>
            <w:right w:val="none" w:sz="0" w:space="0" w:color="auto"/>
          </w:divBdr>
        </w:div>
        <w:div w:id="1344168684">
          <w:marLeft w:val="0"/>
          <w:marRight w:val="0"/>
          <w:marTop w:val="0"/>
          <w:marBottom w:val="0"/>
          <w:divBdr>
            <w:top w:val="none" w:sz="0" w:space="0" w:color="auto"/>
            <w:left w:val="none" w:sz="0" w:space="0" w:color="auto"/>
            <w:bottom w:val="none" w:sz="0" w:space="0" w:color="auto"/>
            <w:right w:val="none" w:sz="0" w:space="0" w:color="auto"/>
          </w:divBdr>
        </w:div>
        <w:div w:id="1395734544">
          <w:marLeft w:val="0"/>
          <w:marRight w:val="0"/>
          <w:marTop w:val="0"/>
          <w:marBottom w:val="0"/>
          <w:divBdr>
            <w:top w:val="none" w:sz="0" w:space="0" w:color="auto"/>
            <w:left w:val="none" w:sz="0" w:space="0" w:color="auto"/>
            <w:bottom w:val="none" w:sz="0" w:space="0" w:color="auto"/>
            <w:right w:val="none" w:sz="0" w:space="0" w:color="auto"/>
          </w:divBdr>
        </w:div>
        <w:div w:id="1396202137">
          <w:marLeft w:val="0"/>
          <w:marRight w:val="0"/>
          <w:marTop w:val="0"/>
          <w:marBottom w:val="0"/>
          <w:divBdr>
            <w:top w:val="none" w:sz="0" w:space="0" w:color="auto"/>
            <w:left w:val="none" w:sz="0" w:space="0" w:color="auto"/>
            <w:bottom w:val="none" w:sz="0" w:space="0" w:color="auto"/>
            <w:right w:val="none" w:sz="0" w:space="0" w:color="auto"/>
          </w:divBdr>
        </w:div>
        <w:div w:id="1410496689">
          <w:marLeft w:val="0"/>
          <w:marRight w:val="0"/>
          <w:marTop w:val="0"/>
          <w:marBottom w:val="0"/>
          <w:divBdr>
            <w:top w:val="none" w:sz="0" w:space="0" w:color="auto"/>
            <w:left w:val="none" w:sz="0" w:space="0" w:color="auto"/>
            <w:bottom w:val="none" w:sz="0" w:space="0" w:color="auto"/>
            <w:right w:val="none" w:sz="0" w:space="0" w:color="auto"/>
          </w:divBdr>
        </w:div>
        <w:div w:id="1444693496">
          <w:marLeft w:val="0"/>
          <w:marRight w:val="0"/>
          <w:marTop w:val="0"/>
          <w:marBottom w:val="0"/>
          <w:divBdr>
            <w:top w:val="none" w:sz="0" w:space="0" w:color="auto"/>
            <w:left w:val="none" w:sz="0" w:space="0" w:color="auto"/>
            <w:bottom w:val="none" w:sz="0" w:space="0" w:color="auto"/>
            <w:right w:val="none" w:sz="0" w:space="0" w:color="auto"/>
          </w:divBdr>
        </w:div>
        <w:div w:id="1541942473">
          <w:marLeft w:val="0"/>
          <w:marRight w:val="0"/>
          <w:marTop w:val="0"/>
          <w:marBottom w:val="0"/>
          <w:divBdr>
            <w:top w:val="none" w:sz="0" w:space="0" w:color="auto"/>
            <w:left w:val="none" w:sz="0" w:space="0" w:color="auto"/>
            <w:bottom w:val="none" w:sz="0" w:space="0" w:color="auto"/>
            <w:right w:val="none" w:sz="0" w:space="0" w:color="auto"/>
          </w:divBdr>
        </w:div>
        <w:div w:id="1612585173">
          <w:marLeft w:val="0"/>
          <w:marRight w:val="0"/>
          <w:marTop w:val="0"/>
          <w:marBottom w:val="0"/>
          <w:divBdr>
            <w:top w:val="none" w:sz="0" w:space="0" w:color="auto"/>
            <w:left w:val="none" w:sz="0" w:space="0" w:color="auto"/>
            <w:bottom w:val="none" w:sz="0" w:space="0" w:color="auto"/>
            <w:right w:val="none" w:sz="0" w:space="0" w:color="auto"/>
          </w:divBdr>
        </w:div>
        <w:div w:id="1622107480">
          <w:marLeft w:val="0"/>
          <w:marRight w:val="0"/>
          <w:marTop w:val="0"/>
          <w:marBottom w:val="0"/>
          <w:divBdr>
            <w:top w:val="none" w:sz="0" w:space="0" w:color="auto"/>
            <w:left w:val="none" w:sz="0" w:space="0" w:color="auto"/>
            <w:bottom w:val="none" w:sz="0" w:space="0" w:color="auto"/>
            <w:right w:val="none" w:sz="0" w:space="0" w:color="auto"/>
          </w:divBdr>
        </w:div>
        <w:div w:id="1626346415">
          <w:marLeft w:val="0"/>
          <w:marRight w:val="0"/>
          <w:marTop w:val="0"/>
          <w:marBottom w:val="0"/>
          <w:divBdr>
            <w:top w:val="none" w:sz="0" w:space="0" w:color="auto"/>
            <w:left w:val="none" w:sz="0" w:space="0" w:color="auto"/>
            <w:bottom w:val="none" w:sz="0" w:space="0" w:color="auto"/>
            <w:right w:val="none" w:sz="0" w:space="0" w:color="auto"/>
          </w:divBdr>
        </w:div>
        <w:div w:id="1633442086">
          <w:marLeft w:val="0"/>
          <w:marRight w:val="0"/>
          <w:marTop w:val="0"/>
          <w:marBottom w:val="0"/>
          <w:divBdr>
            <w:top w:val="none" w:sz="0" w:space="0" w:color="auto"/>
            <w:left w:val="none" w:sz="0" w:space="0" w:color="auto"/>
            <w:bottom w:val="none" w:sz="0" w:space="0" w:color="auto"/>
            <w:right w:val="none" w:sz="0" w:space="0" w:color="auto"/>
          </w:divBdr>
        </w:div>
        <w:div w:id="1663393362">
          <w:marLeft w:val="0"/>
          <w:marRight w:val="0"/>
          <w:marTop w:val="0"/>
          <w:marBottom w:val="0"/>
          <w:divBdr>
            <w:top w:val="none" w:sz="0" w:space="0" w:color="auto"/>
            <w:left w:val="none" w:sz="0" w:space="0" w:color="auto"/>
            <w:bottom w:val="none" w:sz="0" w:space="0" w:color="auto"/>
            <w:right w:val="none" w:sz="0" w:space="0" w:color="auto"/>
          </w:divBdr>
        </w:div>
        <w:div w:id="1672028160">
          <w:marLeft w:val="0"/>
          <w:marRight w:val="0"/>
          <w:marTop w:val="0"/>
          <w:marBottom w:val="0"/>
          <w:divBdr>
            <w:top w:val="none" w:sz="0" w:space="0" w:color="auto"/>
            <w:left w:val="none" w:sz="0" w:space="0" w:color="auto"/>
            <w:bottom w:val="none" w:sz="0" w:space="0" w:color="auto"/>
            <w:right w:val="none" w:sz="0" w:space="0" w:color="auto"/>
          </w:divBdr>
        </w:div>
        <w:div w:id="1677685688">
          <w:marLeft w:val="0"/>
          <w:marRight w:val="0"/>
          <w:marTop w:val="0"/>
          <w:marBottom w:val="0"/>
          <w:divBdr>
            <w:top w:val="none" w:sz="0" w:space="0" w:color="auto"/>
            <w:left w:val="none" w:sz="0" w:space="0" w:color="auto"/>
            <w:bottom w:val="none" w:sz="0" w:space="0" w:color="auto"/>
            <w:right w:val="none" w:sz="0" w:space="0" w:color="auto"/>
          </w:divBdr>
        </w:div>
        <w:div w:id="1777095301">
          <w:marLeft w:val="0"/>
          <w:marRight w:val="0"/>
          <w:marTop w:val="0"/>
          <w:marBottom w:val="0"/>
          <w:divBdr>
            <w:top w:val="none" w:sz="0" w:space="0" w:color="auto"/>
            <w:left w:val="none" w:sz="0" w:space="0" w:color="auto"/>
            <w:bottom w:val="none" w:sz="0" w:space="0" w:color="auto"/>
            <w:right w:val="none" w:sz="0" w:space="0" w:color="auto"/>
          </w:divBdr>
        </w:div>
        <w:div w:id="1803498148">
          <w:marLeft w:val="0"/>
          <w:marRight w:val="0"/>
          <w:marTop w:val="0"/>
          <w:marBottom w:val="0"/>
          <w:divBdr>
            <w:top w:val="none" w:sz="0" w:space="0" w:color="auto"/>
            <w:left w:val="none" w:sz="0" w:space="0" w:color="auto"/>
            <w:bottom w:val="none" w:sz="0" w:space="0" w:color="auto"/>
            <w:right w:val="none" w:sz="0" w:space="0" w:color="auto"/>
          </w:divBdr>
        </w:div>
        <w:div w:id="1839609804">
          <w:marLeft w:val="0"/>
          <w:marRight w:val="0"/>
          <w:marTop w:val="0"/>
          <w:marBottom w:val="0"/>
          <w:divBdr>
            <w:top w:val="none" w:sz="0" w:space="0" w:color="auto"/>
            <w:left w:val="none" w:sz="0" w:space="0" w:color="auto"/>
            <w:bottom w:val="none" w:sz="0" w:space="0" w:color="auto"/>
            <w:right w:val="none" w:sz="0" w:space="0" w:color="auto"/>
          </w:divBdr>
        </w:div>
        <w:div w:id="1840538717">
          <w:marLeft w:val="0"/>
          <w:marRight w:val="0"/>
          <w:marTop w:val="0"/>
          <w:marBottom w:val="0"/>
          <w:divBdr>
            <w:top w:val="none" w:sz="0" w:space="0" w:color="auto"/>
            <w:left w:val="none" w:sz="0" w:space="0" w:color="auto"/>
            <w:bottom w:val="none" w:sz="0" w:space="0" w:color="auto"/>
            <w:right w:val="none" w:sz="0" w:space="0" w:color="auto"/>
          </w:divBdr>
        </w:div>
        <w:div w:id="1842625040">
          <w:marLeft w:val="0"/>
          <w:marRight w:val="0"/>
          <w:marTop w:val="0"/>
          <w:marBottom w:val="0"/>
          <w:divBdr>
            <w:top w:val="none" w:sz="0" w:space="0" w:color="auto"/>
            <w:left w:val="none" w:sz="0" w:space="0" w:color="auto"/>
            <w:bottom w:val="none" w:sz="0" w:space="0" w:color="auto"/>
            <w:right w:val="none" w:sz="0" w:space="0" w:color="auto"/>
          </w:divBdr>
        </w:div>
        <w:div w:id="1875539640">
          <w:marLeft w:val="0"/>
          <w:marRight w:val="0"/>
          <w:marTop w:val="0"/>
          <w:marBottom w:val="0"/>
          <w:divBdr>
            <w:top w:val="none" w:sz="0" w:space="0" w:color="auto"/>
            <w:left w:val="none" w:sz="0" w:space="0" w:color="auto"/>
            <w:bottom w:val="none" w:sz="0" w:space="0" w:color="auto"/>
            <w:right w:val="none" w:sz="0" w:space="0" w:color="auto"/>
          </w:divBdr>
        </w:div>
        <w:div w:id="1885557334">
          <w:marLeft w:val="0"/>
          <w:marRight w:val="0"/>
          <w:marTop w:val="0"/>
          <w:marBottom w:val="0"/>
          <w:divBdr>
            <w:top w:val="none" w:sz="0" w:space="0" w:color="auto"/>
            <w:left w:val="none" w:sz="0" w:space="0" w:color="auto"/>
            <w:bottom w:val="none" w:sz="0" w:space="0" w:color="auto"/>
            <w:right w:val="none" w:sz="0" w:space="0" w:color="auto"/>
          </w:divBdr>
        </w:div>
        <w:div w:id="1898203545">
          <w:marLeft w:val="0"/>
          <w:marRight w:val="0"/>
          <w:marTop w:val="0"/>
          <w:marBottom w:val="0"/>
          <w:divBdr>
            <w:top w:val="none" w:sz="0" w:space="0" w:color="auto"/>
            <w:left w:val="none" w:sz="0" w:space="0" w:color="auto"/>
            <w:bottom w:val="none" w:sz="0" w:space="0" w:color="auto"/>
            <w:right w:val="none" w:sz="0" w:space="0" w:color="auto"/>
          </w:divBdr>
        </w:div>
        <w:div w:id="2023243960">
          <w:marLeft w:val="0"/>
          <w:marRight w:val="0"/>
          <w:marTop w:val="0"/>
          <w:marBottom w:val="0"/>
          <w:divBdr>
            <w:top w:val="none" w:sz="0" w:space="0" w:color="auto"/>
            <w:left w:val="none" w:sz="0" w:space="0" w:color="auto"/>
            <w:bottom w:val="none" w:sz="0" w:space="0" w:color="auto"/>
            <w:right w:val="none" w:sz="0" w:space="0" w:color="auto"/>
          </w:divBdr>
        </w:div>
        <w:div w:id="2023772602">
          <w:marLeft w:val="0"/>
          <w:marRight w:val="0"/>
          <w:marTop w:val="0"/>
          <w:marBottom w:val="0"/>
          <w:divBdr>
            <w:top w:val="none" w:sz="0" w:space="0" w:color="auto"/>
            <w:left w:val="none" w:sz="0" w:space="0" w:color="auto"/>
            <w:bottom w:val="none" w:sz="0" w:space="0" w:color="auto"/>
            <w:right w:val="none" w:sz="0" w:space="0" w:color="auto"/>
          </w:divBdr>
        </w:div>
        <w:div w:id="2082174811">
          <w:marLeft w:val="0"/>
          <w:marRight w:val="0"/>
          <w:marTop w:val="0"/>
          <w:marBottom w:val="0"/>
          <w:divBdr>
            <w:top w:val="none" w:sz="0" w:space="0" w:color="auto"/>
            <w:left w:val="none" w:sz="0" w:space="0" w:color="auto"/>
            <w:bottom w:val="none" w:sz="0" w:space="0" w:color="auto"/>
            <w:right w:val="none" w:sz="0" w:space="0" w:color="auto"/>
          </w:divBdr>
        </w:div>
        <w:div w:id="2082410932">
          <w:marLeft w:val="0"/>
          <w:marRight w:val="0"/>
          <w:marTop w:val="0"/>
          <w:marBottom w:val="0"/>
          <w:divBdr>
            <w:top w:val="none" w:sz="0" w:space="0" w:color="auto"/>
            <w:left w:val="none" w:sz="0" w:space="0" w:color="auto"/>
            <w:bottom w:val="none" w:sz="0" w:space="0" w:color="auto"/>
            <w:right w:val="none" w:sz="0" w:space="0" w:color="auto"/>
          </w:divBdr>
        </w:div>
        <w:div w:id="2093887014">
          <w:marLeft w:val="0"/>
          <w:marRight w:val="0"/>
          <w:marTop w:val="0"/>
          <w:marBottom w:val="0"/>
          <w:divBdr>
            <w:top w:val="none" w:sz="0" w:space="0" w:color="auto"/>
            <w:left w:val="none" w:sz="0" w:space="0" w:color="auto"/>
            <w:bottom w:val="none" w:sz="0" w:space="0" w:color="auto"/>
            <w:right w:val="none" w:sz="0" w:space="0" w:color="auto"/>
          </w:divBdr>
        </w:div>
      </w:divsChild>
    </w:div>
    <w:div w:id="1310014771">
      <w:bodyDiv w:val="1"/>
      <w:marLeft w:val="0"/>
      <w:marRight w:val="0"/>
      <w:marTop w:val="0"/>
      <w:marBottom w:val="0"/>
      <w:divBdr>
        <w:top w:val="none" w:sz="0" w:space="0" w:color="auto"/>
        <w:left w:val="none" w:sz="0" w:space="0" w:color="auto"/>
        <w:bottom w:val="none" w:sz="0" w:space="0" w:color="auto"/>
        <w:right w:val="none" w:sz="0" w:space="0" w:color="auto"/>
      </w:divBdr>
    </w:div>
    <w:div w:id="1517304211">
      <w:bodyDiv w:val="1"/>
      <w:marLeft w:val="0"/>
      <w:marRight w:val="0"/>
      <w:marTop w:val="0"/>
      <w:marBottom w:val="0"/>
      <w:divBdr>
        <w:top w:val="none" w:sz="0" w:space="0" w:color="auto"/>
        <w:left w:val="none" w:sz="0" w:space="0" w:color="auto"/>
        <w:bottom w:val="none" w:sz="0" w:space="0" w:color="auto"/>
        <w:right w:val="none" w:sz="0" w:space="0" w:color="auto"/>
      </w:divBdr>
    </w:div>
    <w:div w:id="1818646027">
      <w:bodyDiv w:val="1"/>
      <w:marLeft w:val="0"/>
      <w:marRight w:val="0"/>
      <w:marTop w:val="0"/>
      <w:marBottom w:val="0"/>
      <w:divBdr>
        <w:top w:val="none" w:sz="0" w:space="0" w:color="auto"/>
        <w:left w:val="none" w:sz="0" w:space="0" w:color="auto"/>
        <w:bottom w:val="none" w:sz="0" w:space="0" w:color="auto"/>
        <w:right w:val="none" w:sz="0" w:space="0" w:color="auto"/>
      </w:divBdr>
    </w:div>
    <w:div w:id="1927421050">
      <w:bodyDiv w:val="1"/>
      <w:marLeft w:val="0"/>
      <w:marRight w:val="0"/>
      <w:marTop w:val="0"/>
      <w:marBottom w:val="0"/>
      <w:divBdr>
        <w:top w:val="none" w:sz="0" w:space="0" w:color="auto"/>
        <w:left w:val="none" w:sz="0" w:space="0" w:color="auto"/>
        <w:bottom w:val="none" w:sz="0" w:space="0" w:color="auto"/>
        <w:right w:val="none" w:sz="0" w:space="0" w:color="auto"/>
      </w:divBdr>
    </w:div>
    <w:div w:id="1951084206">
      <w:bodyDiv w:val="1"/>
      <w:marLeft w:val="0"/>
      <w:marRight w:val="0"/>
      <w:marTop w:val="0"/>
      <w:marBottom w:val="0"/>
      <w:divBdr>
        <w:top w:val="none" w:sz="0" w:space="0" w:color="auto"/>
        <w:left w:val="none" w:sz="0" w:space="0" w:color="auto"/>
        <w:bottom w:val="none" w:sz="0" w:space="0" w:color="auto"/>
        <w:right w:val="none" w:sz="0" w:space="0" w:color="auto"/>
      </w:divBdr>
    </w:div>
    <w:div w:id="209270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75C06-5A9D-4E98-B9BC-F00EAD1B1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Watt</dc:creator>
  <cp:lastModifiedBy>Osborne P (Paudric)</cp:lastModifiedBy>
  <cp:revision>3</cp:revision>
  <cp:lastPrinted>2019-03-21T11:25:00Z</cp:lastPrinted>
  <dcterms:created xsi:type="dcterms:W3CDTF">2019-04-02T08:18:00Z</dcterms:created>
  <dcterms:modified xsi:type="dcterms:W3CDTF">2019-04-02T08:18:00Z</dcterms:modified>
</cp:coreProperties>
</file>