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17" w:rsidRPr="0002430E" w:rsidRDefault="002E5917" w:rsidP="00032ABD">
      <w:pPr>
        <w:spacing w:after="0" w:line="240" w:lineRule="auto"/>
        <w:jc w:val="both"/>
        <w:rPr>
          <w:rFonts w:ascii="Arial" w:hAnsi="Arial" w:cs="Arial"/>
          <w:b/>
        </w:rPr>
      </w:pPr>
      <w:r w:rsidRPr="0002430E">
        <w:rPr>
          <w:rFonts w:ascii="Arial" w:hAnsi="Arial" w:cs="Arial"/>
          <w:b/>
        </w:rPr>
        <w:t>TECHNICAL ADVISORY GROUP ON RESOURCE ALLOCATION</w:t>
      </w:r>
    </w:p>
    <w:p w:rsidR="002E5917" w:rsidRPr="0002430E" w:rsidRDefault="002E5917" w:rsidP="00032ABD">
      <w:pPr>
        <w:spacing w:after="0" w:line="240" w:lineRule="auto"/>
        <w:jc w:val="both"/>
        <w:rPr>
          <w:rFonts w:ascii="Arial" w:hAnsi="Arial" w:cs="Arial"/>
          <w:b/>
        </w:rPr>
      </w:pPr>
    </w:p>
    <w:p w:rsidR="002E5917" w:rsidRDefault="002E5917" w:rsidP="00032ABD">
      <w:pPr>
        <w:spacing w:after="0" w:line="240" w:lineRule="auto"/>
        <w:jc w:val="both"/>
        <w:rPr>
          <w:rFonts w:ascii="Arial" w:hAnsi="Arial" w:cs="Arial"/>
          <w:b/>
        </w:rPr>
      </w:pPr>
      <w:r w:rsidRPr="0002430E">
        <w:rPr>
          <w:rFonts w:ascii="Arial" w:hAnsi="Arial" w:cs="Arial"/>
          <w:b/>
        </w:rPr>
        <w:t xml:space="preserve">Note of </w:t>
      </w:r>
      <w:r w:rsidR="00467147">
        <w:rPr>
          <w:rFonts w:ascii="Arial" w:hAnsi="Arial" w:cs="Arial"/>
          <w:b/>
        </w:rPr>
        <w:t>2</w:t>
      </w:r>
      <w:r w:rsidR="002F2BFA">
        <w:rPr>
          <w:rFonts w:ascii="Arial" w:hAnsi="Arial" w:cs="Arial"/>
          <w:b/>
        </w:rPr>
        <w:t>8</w:t>
      </w:r>
      <w:r w:rsidR="00467147" w:rsidRPr="00E05A7B">
        <w:rPr>
          <w:rFonts w:ascii="Arial" w:hAnsi="Arial" w:cs="Arial"/>
          <w:b/>
          <w:vertAlign w:val="superscript"/>
        </w:rPr>
        <w:t>th</w:t>
      </w:r>
      <w:r w:rsidR="00467147">
        <w:rPr>
          <w:rFonts w:ascii="Arial" w:hAnsi="Arial" w:cs="Arial"/>
          <w:b/>
        </w:rPr>
        <w:t xml:space="preserve"> </w:t>
      </w:r>
      <w:r w:rsidR="009B0816">
        <w:rPr>
          <w:rFonts w:ascii="Arial" w:hAnsi="Arial" w:cs="Arial"/>
          <w:b/>
        </w:rPr>
        <w:t>meeting held at 1</w:t>
      </w:r>
      <w:r w:rsidR="002F2BFA">
        <w:rPr>
          <w:rFonts w:ascii="Arial" w:hAnsi="Arial" w:cs="Arial"/>
          <w:b/>
        </w:rPr>
        <w:t>2</w:t>
      </w:r>
      <w:r w:rsidRPr="0002430E">
        <w:rPr>
          <w:rFonts w:ascii="Arial" w:hAnsi="Arial" w:cs="Arial"/>
          <w:b/>
        </w:rPr>
        <w:t>:</w:t>
      </w:r>
      <w:r w:rsidR="003033BA">
        <w:rPr>
          <w:rFonts w:ascii="Arial" w:hAnsi="Arial" w:cs="Arial"/>
          <w:b/>
        </w:rPr>
        <w:t>30</w:t>
      </w:r>
      <w:r w:rsidRPr="0002430E">
        <w:rPr>
          <w:rFonts w:ascii="Arial" w:hAnsi="Arial" w:cs="Arial"/>
          <w:b/>
        </w:rPr>
        <w:t xml:space="preserve">, </w:t>
      </w:r>
      <w:r w:rsidR="00467147">
        <w:rPr>
          <w:rFonts w:ascii="Arial" w:hAnsi="Arial" w:cs="Arial"/>
          <w:b/>
        </w:rPr>
        <w:t>5</w:t>
      </w:r>
      <w:r w:rsidR="00467147" w:rsidRPr="00467147">
        <w:rPr>
          <w:rFonts w:ascii="Arial" w:hAnsi="Arial" w:cs="Arial"/>
          <w:b/>
          <w:vertAlign w:val="superscript"/>
        </w:rPr>
        <w:t>th</w:t>
      </w:r>
      <w:r w:rsidR="00467147">
        <w:rPr>
          <w:rFonts w:ascii="Arial" w:hAnsi="Arial" w:cs="Arial"/>
          <w:b/>
        </w:rPr>
        <w:t xml:space="preserve"> </w:t>
      </w:r>
      <w:r w:rsidR="002F2BFA">
        <w:rPr>
          <w:rFonts w:ascii="Arial" w:hAnsi="Arial" w:cs="Arial"/>
          <w:b/>
        </w:rPr>
        <w:t>June 2018</w:t>
      </w:r>
    </w:p>
    <w:p w:rsidR="002E5917" w:rsidRPr="0002430E" w:rsidRDefault="002F2BFA" w:rsidP="00032ABD">
      <w:pPr>
        <w:spacing w:after="0" w:line="240" w:lineRule="auto"/>
        <w:jc w:val="both"/>
        <w:rPr>
          <w:rFonts w:ascii="Arial" w:hAnsi="Arial" w:cs="Arial"/>
          <w:b/>
        </w:rPr>
      </w:pPr>
      <w:r>
        <w:rPr>
          <w:rFonts w:ascii="Arial" w:hAnsi="Arial" w:cs="Arial"/>
          <w:b/>
        </w:rPr>
        <w:t xml:space="preserve">Room </w:t>
      </w:r>
      <w:proofErr w:type="spellStart"/>
      <w:r>
        <w:rPr>
          <w:rFonts w:ascii="Arial" w:hAnsi="Arial" w:cs="Arial"/>
          <w:b/>
        </w:rPr>
        <w:t>4ER</w:t>
      </w:r>
      <w:proofErr w:type="spellEnd"/>
      <w:r>
        <w:rPr>
          <w:rFonts w:ascii="Arial" w:hAnsi="Arial" w:cs="Arial"/>
          <w:b/>
        </w:rPr>
        <w:t>, Saint Andrew’s House</w:t>
      </w:r>
      <w:r w:rsidR="002E5917">
        <w:rPr>
          <w:rFonts w:ascii="Arial" w:hAnsi="Arial" w:cs="Arial"/>
          <w:b/>
        </w:rPr>
        <w:t>, Edinburgh</w:t>
      </w:r>
    </w:p>
    <w:p w:rsidR="002E5917" w:rsidRDefault="002E5917" w:rsidP="00032ABD">
      <w:pPr>
        <w:spacing w:after="0" w:line="240" w:lineRule="auto"/>
        <w:jc w:val="both"/>
        <w:rPr>
          <w:rFonts w:ascii="Arial" w:hAnsi="Arial" w:cs="Arial"/>
          <w:b/>
        </w:rPr>
      </w:pPr>
    </w:p>
    <w:p w:rsidR="002F2BFA" w:rsidRDefault="002F2BFA" w:rsidP="00032ABD">
      <w:pPr>
        <w:spacing w:after="0" w:line="240" w:lineRule="auto"/>
        <w:jc w:val="both"/>
        <w:rPr>
          <w:rFonts w:ascii="Arial" w:hAnsi="Arial" w:cs="Arial"/>
          <w:b/>
        </w:rPr>
      </w:pPr>
      <w:r>
        <w:rPr>
          <w:rFonts w:ascii="Arial" w:hAnsi="Arial" w:cs="Arial"/>
          <w:b/>
        </w:rPr>
        <w:t>Attendees:</w:t>
      </w:r>
    </w:p>
    <w:p w:rsidR="002F2BFA" w:rsidRPr="002F2BFA" w:rsidRDefault="002F2BFA" w:rsidP="00032ABD">
      <w:pPr>
        <w:spacing w:after="0" w:line="240" w:lineRule="auto"/>
        <w:jc w:val="both"/>
        <w:rPr>
          <w:rFonts w:ascii="Arial" w:hAnsi="Arial" w:cs="Arial"/>
        </w:rPr>
      </w:pPr>
      <w:r w:rsidRPr="002F2BFA">
        <w:rPr>
          <w:rFonts w:ascii="Arial" w:hAnsi="Arial" w:cs="Arial"/>
        </w:rPr>
        <w:t xml:space="preserve">Angela Campbell (Chair) </w:t>
      </w:r>
      <w:r>
        <w:rPr>
          <w:rFonts w:ascii="Arial" w:hAnsi="Arial" w:cs="Arial"/>
        </w:rPr>
        <w:t>–</w:t>
      </w:r>
      <w:r w:rsidRPr="002F2BFA">
        <w:rPr>
          <w:rFonts w:ascii="Arial" w:hAnsi="Arial" w:cs="Arial"/>
        </w:rPr>
        <w:t xml:space="preserve"> SG</w:t>
      </w:r>
    </w:p>
    <w:p w:rsidR="002F2BFA" w:rsidRDefault="002F2BFA" w:rsidP="00032ABD">
      <w:pPr>
        <w:spacing w:after="0" w:line="240" w:lineRule="auto"/>
        <w:jc w:val="both"/>
        <w:rPr>
          <w:rFonts w:ascii="Arial" w:hAnsi="Arial" w:cs="Arial"/>
        </w:rPr>
      </w:pPr>
      <w:r w:rsidRPr="002F2BFA">
        <w:rPr>
          <w:rFonts w:ascii="Arial" w:hAnsi="Arial" w:cs="Arial"/>
        </w:rPr>
        <w:t xml:space="preserve">Andrew Daly </w:t>
      </w:r>
      <w:r>
        <w:rPr>
          <w:rFonts w:ascii="Arial" w:hAnsi="Arial" w:cs="Arial"/>
        </w:rPr>
        <w:t>–</w:t>
      </w:r>
      <w:r w:rsidRPr="002F2BFA">
        <w:rPr>
          <w:rFonts w:ascii="Arial" w:hAnsi="Arial" w:cs="Arial"/>
        </w:rPr>
        <w:t xml:space="preserve"> NHS Greater Glasgow &amp; Clyde</w:t>
      </w:r>
    </w:p>
    <w:p w:rsidR="002F2BFA" w:rsidRDefault="002F2BFA" w:rsidP="00032ABD">
      <w:pPr>
        <w:spacing w:after="0" w:line="240" w:lineRule="auto"/>
        <w:jc w:val="both"/>
        <w:rPr>
          <w:rFonts w:ascii="Arial" w:hAnsi="Arial" w:cs="Arial"/>
        </w:rPr>
      </w:pPr>
      <w:r>
        <w:rPr>
          <w:rFonts w:ascii="Arial" w:hAnsi="Arial" w:cs="Arial"/>
        </w:rPr>
        <w:t>Alan Sharp – NHS Grampian</w:t>
      </w:r>
    </w:p>
    <w:p w:rsidR="002F2BFA" w:rsidRDefault="002F2BFA" w:rsidP="00032ABD">
      <w:pPr>
        <w:spacing w:after="0" w:line="240" w:lineRule="auto"/>
        <w:jc w:val="both"/>
        <w:rPr>
          <w:rFonts w:ascii="Arial" w:hAnsi="Arial" w:cs="Arial"/>
        </w:rPr>
      </w:pPr>
      <w:r>
        <w:rPr>
          <w:rFonts w:ascii="Arial" w:hAnsi="Arial" w:cs="Arial"/>
        </w:rPr>
        <w:t>Roger Black – ISD</w:t>
      </w:r>
    </w:p>
    <w:p w:rsidR="002F2BFA" w:rsidRDefault="002F2BFA" w:rsidP="00032ABD">
      <w:pPr>
        <w:spacing w:after="0" w:line="240" w:lineRule="auto"/>
        <w:jc w:val="both"/>
        <w:rPr>
          <w:rFonts w:ascii="Arial" w:hAnsi="Arial" w:cs="Arial"/>
        </w:rPr>
      </w:pPr>
      <w:r w:rsidRPr="002F2BFA">
        <w:rPr>
          <w:rFonts w:ascii="Arial" w:hAnsi="Arial" w:cs="Arial"/>
        </w:rPr>
        <w:t>Professor Stephen Logan</w:t>
      </w:r>
      <w:r>
        <w:rPr>
          <w:rFonts w:ascii="Arial" w:hAnsi="Arial" w:cs="Arial"/>
        </w:rPr>
        <w:t xml:space="preserve"> – </w:t>
      </w:r>
      <w:r w:rsidRPr="002F2BFA">
        <w:rPr>
          <w:rFonts w:ascii="Arial" w:hAnsi="Arial" w:cs="Arial"/>
        </w:rPr>
        <w:t>NHS Grampian</w:t>
      </w:r>
    </w:p>
    <w:p w:rsidR="002F2BFA" w:rsidRDefault="002F2BFA" w:rsidP="00032ABD">
      <w:pPr>
        <w:spacing w:after="0" w:line="240" w:lineRule="auto"/>
        <w:jc w:val="both"/>
        <w:rPr>
          <w:rFonts w:ascii="Arial" w:hAnsi="Arial" w:cs="Arial"/>
        </w:rPr>
      </w:pPr>
      <w:r>
        <w:rPr>
          <w:rFonts w:ascii="Arial" w:hAnsi="Arial" w:cs="Arial"/>
        </w:rPr>
        <w:t xml:space="preserve">John </w:t>
      </w:r>
      <w:proofErr w:type="spellStart"/>
      <w:r>
        <w:rPr>
          <w:rFonts w:ascii="Arial" w:hAnsi="Arial" w:cs="Arial"/>
        </w:rPr>
        <w:t>Raine</w:t>
      </w:r>
      <w:proofErr w:type="spellEnd"/>
      <w:r>
        <w:rPr>
          <w:rFonts w:ascii="Arial" w:hAnsi="Arial" w:cs="Arial"/>
        </w:rPr>
        <w:t xml:space="preserve"> –</w:t>
      </w:r>
      <w:r w:rsidRPr="000C2D4C">
        <w:rPr>
          <w:rFonts w:ascii="Arial" w:hAnsi="Arial" w:cs="Arial"/>
        </w:rPr>
        <w:t xml:space="preserve"> NHS</w:t>
      </w:r>
      <w:r>
        <w:rPr>
          <w:rFonts w:ascii="Arial" w:hAnsi="Arial" w:cs="Arial"/>
        </w:rPr>
        <w:t xml:space="preserve"> Borders</w:t>
      </w:r>
    </w:p>
    <w:p w:rsidR="002F2BFA" w:rsidRPr="000C2D4C" w:rsidRDefault="002F2BFA" w:rsidP="00032ABD">
      <w:pPr>
        <w:tabs>
          <w:tab w:val="left" w:pos="6540"/>
        </w:tabs>
        <w:spacing w:after="0" w:line="240" w:lineRule="auto"/>
        <w:jc w:val="both"/>
        <w:rPr>
          <w:rFonts w:ascii="Arial" w:hAnsi="Arial" w:cs="Arial"/>
        </w:rPr>
      </w:pPr>
      <w:r w:rsidRPr="000C2D4C">
        <w:rPr>
          <w:rFonts w:ascii="Arial" w:hAnsi="Arial" w:cs="Arial"/>
        </w:rPr>
        <w:t xml:space="preserve">Paudric Osborne </w:t>
      </w:r>
      <w:r>
        <w:rPr>
          <w:rFonts w:ascii="Arial" w:hAnsi="Arial" w:cs="Arial"/>
        </w:rPr>
        <w:t>–</w:t>
      </w:r>
      <w:r w:rsidRPr="000C2D4C">
        <w:rPr>
          <w:rFonts w:ascii="Arial" w:hAnsi="Arial" w:cs="Arial"/>
        </w:rPr>
        <w:t xml:space="preserve"> </w:t>
      </w:r>
      <w:r>
        <w:rPr>
          <w:rFonts w:ascii="Arial" w:hAnsi="Arial" w:cs="Arial"/>
        </w:rPr>
        <w:t>SG</w:t>
      </w:r>
    </w:p>
    <w:p w:rsidR="002F2BFA" w:rsidRDefault="002F2BFA" w:rsidP="00032ABD">
      <w:pPr>
        <w:spacing w:after="0" w:line="240" w:lineRule="auto"/>
        <w:jc w:val="both"/>
        <w:rPr>
          <w:rFonts w:ascii="Arial" w:hAnsi="Arial" w:cs="Arial"/>
        </w:rPr>
      </w:pPr>
      <w:r w:rsidRPr="000C2D4C">
        <w:rPr>
          <w:rFonts w:ascii="Arial" w:hAnsi="Arial" w:cs="Arial"/>
        </w:rPr>
        <w:t xml:space="preserve">Diane </w:t>
      </w:r>
      <w:proofErr w:type="spellStart"/>
      <w:r w:rsidRPr="000C2D4C">
        <w:rPr>
          <w:rFonts w:ascii="Arial" w:hAnsi="Arial" w:cs="Arial"/>
        </w:rPr>
        <w:t>Skåtun</w:t>
      </w:r>
      <w:proofErr w:type="spellEnd"/>
      <w:r w:rsidRPr="000C2D4C">
        <w:rPr>
          <w:rFonts w:ascii="Arial" w:hAnsi="Arial" w:cs="Arial"/>
        </w:rPr>
        <w:t xml:space="preserve"> – </w:t>
      </w:r>
      <w:proofErr w:type="spellStart"/>
      <w:r>
        <w:rPr>
          <w:rFonts w:ascii="Arial" w:hAnsi="Arial" w:cs="Arial"/>
        </w:rPr>
        <w:t>HERU</w:t>
      </w:r>
      <w:proofErr w:type="spellEnd"/>
    </w:p>
    <w:p w:rsidR="002F2BFA" w:rsidRDefault="002F2BFA" w:rsidP="00032ABD">
      <w:pPr>
        <w:spacing w:after="0" w:line="240" w:lineRule="auto"/>
        <w:jc w:val="both"/>
        <w:rPr>
          <w:rFonts w:ascii="Arial" w:hAnsi="Arial" w:cs="Arial"/>
        </w:rPr>
      </w:pPr>
      <w:r>
        <w:rPr>
          <w:rFonts w:ascii="Arial" w:hAnsi="Arial" w:cs="Arial"/>
        </w:rPr>
        <w:t>Peter Martin – ISD</w:t>
      </w:r>
    </w:p>
    <w:p w:rsidR="002F2BFA" w:rsidRDefault="002F2BFA" w:rsidP="00032ABD">
      <w:pPr>
        <w:spacing w:after="0" w:line="240" w:lineRule="auto"/>
        <w:jc w:val="both"/>
        <w:rPr>
          <w:rFonts w:ascii="Arial" w:hAnsi="Arial" w:cs="Arial"/>
        </w:rPr>
      </w:pPr>
      <w:r>
        <w:rPr>
          <w:rFonts w:ascii="Arial" w:hAnsi="Arial" w:cs="Arial"/>
        </w:rPr>
        <w:t>Ting Yang – ISD</w:t>
      </w:r>
    </w:p>
    <w:p w:rsidR="002F2BFA" w:rsidRDefault="002F2BFA" w:rsidP="00032ABD">
      <w:pPr>
        <w:spacing w:after="0" w:line="240" w:lineRule="auto"/>
        <w:jc w:val="both"/>
        <w:rPr>
          <w:rFonts w:ascii="Arial" w:hAnsi="Arial" w:cs="Arial"/>
        </w:rPr>
      </w:pPr>
      <w:r>
        <w:rPr>
          <w:rFonts w:ascii="Arial" w:hAnsi="Arial" w:cs="Arial"/>
        </w:rPr>
        <w:t>Edmund Anderson – ISD</w:t>
      </w:r>
    </w:p>
    <w:p w:rsidR="002F2BFA" w:rsidRDefault="002F2BFA" w:rsidP="00032ABD">
      <w:pPr>
        <w:spacing w:after="0" w:line="240" w:lineRule="auto"/>
        <w:jc w:val="both"/>
        <w:rPr>
          <w:rFonts w:ascii="Arial" w:hAnsi="Arial" w:cs="Arial"/>
        </w:rPr>
      </w:pPr>
      <w:r>
        <w:rPr>
          <w:rFonts w:ascii="Arial" w:hAnsi="Arial" w:cs="Arial"/>
        </w:rPr>
        <w:t xml:space="preserve">Alyson </w:t>
      </w:r>
      <w:proofErr w:type="spellStart"/>
      <w:r>
        <w:rPr>
          <w:rFonts w:ascii="Arial" w:hAnsi="Arial" w:cs="Arial"/>
        </w:rPr>
        <w:t>Shito</w:t>
      </w:r>
      <w:proofErr w:type="spellEnd"/>
      <w:r>
        <w:rPr>
          <w:rFonts w:ascii="Arial" w:hAnsi="Arial" w:cs="Arial"/>
        </w:rPr>
        <w:t xml:space="preserve"> – ISD</w:t>
      </w:r>
    </w:p>
    <w:p w:rsidR="00C95FA9" w:rsidRPr="002F2BFA" w:rsidRDefault="00C95FA9" w:rsidP="00032ABD">
      <w:pPr>
        <w:spacing w:after="0" w:line="240" w:lineRule="auto"/>
        <w:jc w:val="both"/>
        <w:rPr>
          <w:rFonts w:ascii="Arial" w:hAnsi="Arial" w:cs="Arial"/>
        </w:rPr>
      </w:pPr>
      <w:r w:rsidRPr="002F2BFA">
        <w:rPr>
          <w:rFonts w:ascii="Arial" w:hAnsi="Arial" w:cs="Arial"/>
        </w:rPr>
        <w:t xml:space="preserve">Richard McCallum </w:t>
      </w:r>
      <w:r>
        <w:rPr>
          <w:rFonts w:ascii="Arial" w:hAnsi="Arial" w:cs="Arial"/>
        </w:rPr>
        <w:t>–</w:t>
      </w:r>
      <w:r w:rsidRPr="002F2BFA">
        <w:rPr>
          <w:rFonts w:ascii="Arial" w:hAnsi="Arial" w:cs="Arial"/>
        </w:rPr>
        <w:t xml:space="preserve"> SG</w:t>
      </w:r>
    </w:p>
    <w:p w:rsidR="002F2BFA" w:rsidRDefault="002F2BFA" w:rsidP="00032ABD">
      <w:pPr>
        <w:spacing w:after="0" w:line="240" w:lineRule="auto"/>
        <w:jc w:val="both"/>
        <w:rPr>
          <w:rFonts w:ascii="Arial" w:hAnsi="Arial" w:cs="Arial"/>
        </w:rPr>
      </w:pPr>
    </w:p>
    <w:p w:rsidR="00C95FA9" w:rsidRPr="00C95FA9" w:rsidRDefault="00C95FA9" w:rsidP="00032ABD">
      <w:pPr>
        <w:spacing w:after="0" w:line="240" w:lineRule="auto"/>
        <w:jc w:val="both"/>
        <w:rPr>
          <w:rFonts w:ascii="Arial" w:hAnsi="Arial" w:cs="Arial"/>
          <w:b/>
        </w:rPr>
      </w:pPr>
      <w:r w:rsidRPr="00C95FA9">
        <w:rPr>
          <w:rFonts w:ascii="Arial" w:hAnsi="Arial" w:cs="Arial"/>
          <w:b/>
        </w:rPr>
        <w:t>Attending by telephone:</w:t>
      </w:r>
    </w:p>
    <w:p w:rsidR="00C95FA9" w:rsidRDefault="00C95FA9" w:rsidP="00032ABD">
      <w:pPr>
        <w:spacing w:after="0" w:line="240" w:lineRule="auto"/>
        <w:jc w:val="both"/>
        <w:rPr>
          <w:rFonts w:ascii="Arial" w:hAnsi="Arial" w:cs="Arial"/>
        </w:rPr>
      </w:pPr>
      <w:r>
        <w:rPr>
          <w:rFonts w:ascii="Arial" w:hAnsi="Arial" w:cs="Arial"/>
        </w:rPr>
        <w:t>Alan Ferrier – NRS (</w:t>
      </w:r>
      <w:r w:rsidR="005832FB">
        <w:rPr>
          <w:rFonts w:ascii="Arial" w:hAnsi="Arial" w:cs="Arial"/>
        </w:rPr>
        <w:t>telephone connection</w:t>
      </w:r>
      <w:r>
        <w:rPr>
          <w:rFonts w:ascii="Arial" w:hAnsi="Arial" w:cs="Arial"/>
        </w:rPr>
        <w:t xml:space="preserve"> was </w:t>
      </w:r>
      <w:r w:rsidR="005832FB">
        <w:rPr>
          <w:rFonts w:ascii="Arial" w:hAnsi="Arial" w:cs="Arial"/>
        </w:rPr>
        <w:t>active</w:t>
      </w:r>
      <w:r>
        <w:rPr>
          <w:rFonts w:ascii="Arial" w:hAnsi="Arial" w:cs="Arial"/>
        </w:rPr>
        <w:t xml:space="preserve"> only intermittently)</w:t>
      </w:r>
    </w:p>
    <w:p w:rsidR="00C95FA9" w:rsidRDefault="00C95FA9" w:rsidP="00032ABD">
      <w:pPr>
        <w:spacing w:after="0" w:line="240" w:lineRule="auto"/>
        <w:jc w:val="both"/>
        <w:rPr>
          <w:rFonts w:ascii="Arial" w:hAnsi="Arial" w:cs="Arial"/>
        </w:rPr>
      </w:pPr>
    </w:p>
    <w:p w:rsidR="009B0816" w:rsidRDefault="00C95FA9" w:rsidP="00032ABD">
      <w:pPr>
        <w:tabs>
          <w:tab w:val="left" w:pos="6540"/>
        </w:tabs>
        <w:spacing w:after="0" w:line="240" w:lineRule="auto"/>
        <w:jc w:val="both"/>
        <w:rPr>
          <w:rFonts w:ascii="Arial" w:hAnsi="Arial" w:cs="Arial"/>
        </w:rPr>
      </w:pPr>
      <w:r w:rsidRPr="00467147">
        <w:rPr>
          <w:rFonts w:ascii="Arial" w:hAnsi="Arial" w:cs="Arial"/>
          <w:b/>
        </w:rPr>
        <w:t>Apologies</w:t>
      </w:r>
      <w:r>
        <w:rPr>
          <w:rFonts w:ascii="Arial" w:hAnsi="Arial" w:cs="Arial"/>
          <w:b/>
        </w:rPr>
        <w:t>:</w:t>
      </w:r>
    </w:p>
    <w:p w:rsidR="00C95FA9" w:rsidRDefault="00C95FA9" w:rsidP="00032ABD">
      <w:pPr>
        <w:tabs>
          <w:tab w:val="left" w:pos="6540"/>
        </w:tabs>
        <w:spacing w:after="0" w:line="240" w:lineRule="auto"/>
        <w:jc w:val="both"/>
        <w:rPr>
          <w:rFonts w:ascii="Arial" w:hAnsi="Arial" w:cs="Arial"/>
        </w:rPr>
      </w:pPr>
      <w:r>
        <w:rPr>
          <w:rFonts w:ascii="Arial" w:hAnsi="Arial" w:cs="Arial"/>
        </w:rPr>
        <w:t xml:space="preserve">Martin </w:t>
      </w:r>
      <w:proofErr w:type="spellStart"/>
      <w:r>
        <w:rPr>
          <w:rFonts w:ascii="Arial" w:hAnsi="Arial" w:cs="Arial"/>
        </w:rPr>
        <w:t>Cheyne</w:t>
      </w:r>
      <w:proofErr w:type="spellEnd"/>
      <w:r>
        <w:rPr>
          <w:rFonts w:ascii="Arial" w:hAnsi="Arial" w:cs="Arial"/>
        </w:rPr>
        <w:t xml:space="preserve"> – Ayrshire &amp; Arran Health Board</w:t>
      </w:r>
    </w:p>
    <w:p w:rsidR="00C95FA9" w:rsidRDefault="00C95FA9" w:rsidP="00032ABD">
      <w:pPr>
        <w:spacing w:after="0" w:line="240" w:lineRule="auto"/>
        <w:jc w:val="both"/>
        <w:rPr>
          <w:rFonts w:ascii="Arial" w:hAnsi="Arial" w:cs="Arial"/>
        </w:rPr>
      </w:pPr>
      <w:r w:rsidRPr="006079FC">
        <w:rPr>
          <w:rFonts w:ascii="Arial" w:eastAsia="Times New Roman" w:hAnsi="Arial" w:cs="Arial"/>
        </w:rPr>
        <w:t>Alan Gray, NHS Grampian</w:t>
      </w:r>
      <w:r>
        <w:rPr>
          <w:rFonts w:ascii="Arial" w:eastAsia="Times New Roman" w:hAnsi="Arial" w:cs="Arial"/>
        </w:rPr>
        <w:t xml:space="preserve"> (replaced by Alan Sharp)</w:t>
      </w:r>
    </w:p>
    <w:p w:rsidR="00C95FA9" w:rsidRDefault="00C95FA9" w:rsidP="00032ABD">
      <w:pPr>
        <w:spacing w:after="0" w:line="240" w:lineRule="auto"/>
        <w:jc w:val="both"/>
        <w:rPr>
          <w:rFonts w:ascii="Arial" w:hAnsi="Arial" w:cs="Arial"/>
        </w:rPr>
      </w:pPr>
    </w:p>
    <w:p w:rsidR="00C95FA9" w:rsidRDefault="00C95FA9" w:rsidP="00032ABD">
      <w:pPr>
        <w:spacing w:after="0" w:line="240" w:lineRule="auto"/>
        <w:jc w:val="both"/>
        <w:rPr>
          <w:rFonts w:ascii="Arial" w:hAnsi="Arial" w:cs="Arial"/>
        </w:rPr>
      </w:pPr>
    </w:p>
    <w:p w:rsidR="002E5917" w:rsidRPr="0002430E" w:rsidRDefault="002E5917" w:rsidP="00032ABD">
      <w:pPr>
        <w:spacing w:after="0" w:line="240" w:lineRule="auto"/>
        <w:jc w:val="both"/>
        <w:rPr>
          <w:rFonts w:ascii="Arial" w:hAnsi="Arial" w:cs="Arial"/>
          <w:b/>
        </w:rPr>
      </w:pPr>
      <w:r w:rsidRPr="0002430E">
        <w:rPr>
          <w:rFonts w:ascii="Arial" w:hAnsi="Arial" w:cs="Arial"/>
          <w:b/>
        </w:rPr>
        <w:t>AGENDA ITEM 1 – Welcome and apologies</w:t>
      </w:r>
    </w:p>
    <w:p w:rsidR="002E5917" w:rsidRPr="0002430E" w:rsidRDefault="002E5917" w:rsidP="00032ABD">
      <w:pPr>
        <w:spacing w:after="0" w:line="240" w:lineRule="auto"/>
        <w:jc w:val="both"/>
        <w:rPr>
          <w:rFonts w:ascii="Arial" w:hAnsi="Arial" w:cs="Arial"/>
          <w:b/>
        </w:rPr>
      </w:pPr>
    </w:p>
    <w:p w:rsidR="00CA60C5" w:rsidRDefault="009D523A" w:rsidP="00032ABD">
      <w:pPr>
        <w:spacing w:after="0" w:line="240" w:lineRule="auto"/>
        <w:jc w:val="both"/>
        <w:rPr>
          <w:rFonts w:ascii="Arial" w:hAnsi="Arial" w:cs="Arial"/>
        </w:rPr>
      </w:pPr>
      <w:r>
        <w:rPr>
          <w:rFonts w:ascii="Arial" w:hAnsi="Arial" w:cs="Arial"/>
        </w:rPr>
        <w:t>Angela Campbell (AC</w:t>
      </w:r>
      <w:r w:rsidR="00CA60C5">
        <w:rPr>
          <w:rFonts w:ascii="Arial" w:hAnsi="Arial" w:cs="Arial"/>
        </w:rPr>
        <w:t>)</w:t>
      </w:r>
      <w:r w:rsidR="001D4755">
        <w:rPr>
          <w:rFonts w:ascii="Arial" w:hAnsi="Arial" w:cs="Arial"/>
        </w:rPr>
        <w:t xml:space="preserve"> –</w:t>
      </w:r>
      <w:r w:rsidR="00EF0D14">
        <w:rPr>
          <w:rFonts w:ascii="Arial" w:hAnsi="Arial" w:cs="Arial"/>
        </w:rPr>
        <w:t xml:space="preserve"> </w:t>
      </w:r>
      <w:r w:rsidR="002E5917" w:rsidRPr="0002430E">
        <w:rPr>
          <w:rFonts w:ascii="Arial" w:hAnsi="Arial" w:cs="Arial"/>
        </w:rPr>
        <w:t>welcomed the group and noted apologies from those li</w:t>
      </w:r>
      <w:r w:rsidR="00CA60C5">
        <w:rPr>
          <w:rFonts w:ascii="Arial" w:hAnsi="Arial" w:cs="Arial"/>
        </w:rPr>
        <w:t>sted above.</w:t>
      </w:r>
      <w:r w:rsidR="003033BA">
        <w:rPr>
          <w:rFonts w:ascii="Arial" w:hAnsi="Arial" w:cs="Arial"/>
        </w:rPr>
        <w:t xml:space="preserve">  </w:t>
      </w:r>
    </w:p>
    <w:p w:rsidR="00B65922" w:rsidRDefault="00B65922" w:rsidP="00032ABD">
      <w:pPr>
        <w:spacing w:after="0" w:line="240" w:lineRule="auto"/>
        <w:jc w:val="both"/>
        <w:rPr>
          <w:rFonts w:ascii="Arial" w:hAnsi="Arial" w:cs="Arial"/>
        </w:rPr>
      </w:pPr>
    </w:p>
    <w:p w:rsidR="002E5917" w:rsidRPr="0002430E" w:rsidRDefault="002E5917" w:rsidP="00032ABD">
      <w:pPr>
        <w:spacing w:after="0" w:line="240" w:lineRule="auto"/>
        <w:jc w:val="both"/>
        <w:rPr>
          <w:rFonts w:ascii="Arial" w:hAnsi="Arial" w:cs="Arial"/>
          <w:b/>
        </w:rPr>
      </w:pPr>
      <w:r>
        <w:rPr>
          <w:rFonts w:ascii="Arial" w:hAnsi="Arial" w:cs="Arial"/>
          <w:b/>
        </w:rPr>
        <w:t>AGENDA ITEM 2</w:t>
      </w:r>
      <w:r w:rsidRPr="0002430E">
        <w:rPr>
          <w:rFonts w:ascii="Arial" w:hAnsi="Arial" w:cs="Arial"/>
          <w:b/>
        </w:rPr>
        <w:t xml:space="preserve"> – </w:t>
      </w:r>
      <w:r>
        <w:rPr>
          <w:rFonts w:ascii="Arial" w:hAnsi="Arial" w:cs="Arial"/>
          <w:b/>
        </w:rPr>
        <w:t>Minutes of last meeting and updates on actions</w:t>
      </w:r>
    </w:p>
    <w:p w:rsidR="002E5917" w:rsidRPr="0002430E" w:rsidRDefault="002E5917" w:rsidP="00032ABD">
      <w:pPr>
        <w:spacing w:after="0" w:line="240" w:lineRule="auto"/>
        <w:jc w:val="both"/>
        <w:rPr>
          <w:rFonts w:ascii="Arial" w:hAnsi="Arial" w:cs="Arial"/>
          <w:b/>
        </w:rPr>
      </w:pPr>
    </w:p>
    <w:p w:rsidR="002E5917" w:rsidRDefault="002E5917" w:rsidP="00032ABD">
      <w:pPr>
        <w:spacing w:after="0" w:line="240" w:lineRule="auto"/>
        <w:jc w:val="both"/>
        <w:rPr>
          <w:rFonts w:ascii="Arial" w:hAnsi="Arial" w:cs="Arial"/>
        </w:rPr>
      </w:pPr>
      <w:r w:rsidRPr="00B526F1">
        <w:rPr>
          <w:rFonts w:ascii="Arial" w:hAnsi="Arial" w:cs="Arial"/>
        </w:rPr>
        <w:t>The minutes were accepted as accurate rec</w:t>
      </w:r>
      <w:r>
        <w:rPr>
          <w:rFonts w:ascii="Arial" w:hAnsi="Arial" w:cs="Arial"/>
        </w:rPr>
        <w:t>ord of the last meeting.</w:t>
      </w:r>
    </w:p>
    <w:p w:rsidR="00B101EF" w:rsidRDefault="00B101EF" w:rsidP="00032ABD">
      <w:pPr>
        <w:spacing w:after="0" w:line="240" w:lineRule="auto"/>
        <w:jc w:val="both"/>
        <w:rPr>
          <w:rFonts w:ascii="Arial" w:hAnsi="Arial" w:cs="Arial"/>
        </w:rPr>
      </w:pPr>
    </w:p>
    <w:p w:rsidR="00A053AA" w:rsidRDefault="00A422C0" w:rsidP="00032ABD">
      <w:pPr>
        <w:spacing w:after="0" w:line="240" w:lineRule="auto"/>
        <w:jc w:val="both"/>
        <w:rPr>
          <w:rFonts w:ascii="Arial" w:hAnsi="Arial" w:cs="Arial"/>
        </w:rPr>
      </w:pPr>
      <w:r>
        <w:rPr>
          <w:rFonts w:ascii="Arial" w:hAnsi="Arial" w:cs="Arial"/>
        </w:rPr>
        <w:t xml:space="preserve">There was a discussion about whether the recent volume of PQs was unusual; the consensus was that it was not and that </w:t>
      </w:r>
      <w:r w:rsidR="00A053AA">
        <w:rPr>
          <w:rFonts w:ascii="Arial" w:hAnsi="Arial" w:cs="Arial"/>
        </w:rPr>
        <w:t>the PQs</w:t>
      </w:r>
      <w:r w:rsidR="006D15F0">
        <w:rPr>
          <w:rFonts w:ascii="Arial" w:hAnsi="Arial" w:cs="Arial"/>
        </w:rPr>
        <w:t xml:space="preserve"> largely</w:t>
      </w:r>
      <w:r w:rsidR="00A053AA">
        <w:rPr>
          <w:rFonts w:ascii="Arial" w:hAnsi="Arial" w:cs="Arial"/>
        </w:rPr>
        <w:t xml:space="preserve"> reflected concerns about the level of funding (rather than the formula per se)</w:t>
      </w:r>
      <w:r w:rsidR="006D15F0">
        <w:rPr>
          <w:rFonts w:ascii="Arial" w:hAnsi="Arial" w:cs="Arial"/>
        </w:rPr>
        <w:t xml:space="preserve">.  </w:t>
      </w:r>
      <w:r>
        <w:rPr>
          <w:rFonts w:ascii="Arial" w:hAnsi="Arial" w:cs="Arial"/>
        </w:rPr>
        <w:t xml:space="preserve">Members were interested to see the text of responses to PQs and other queries.  </w:t>
      </w:r>
    </w:p>
    <w:p w:rsidR="006D15F0" w:rsidRDefault="006D15F0" w:rsidP="00032ABD">
      <w:pPr>
        <w:spacing w:after="0" w:line="240" w:lineRule="auto"/>
        <w:jc w:val="both"/>
        <w:rPr>
          <w:rFonts w:ascii="Arial" w:hAnsi="Arial" w:cs="Arial"/>
        </w:rPr>
      </w:pPr>
    </w:p>
    <w:p w:rsidR="006D15F0" w:rsidRPr="006D15F0" w:rsidRDefault="006D15F0" w:rsidP="00032ABD">
      <w:pPr>
        <w:spacing w:after="0" w:line="240" w:lineRule="auto"/>
        <w:jc w:val="both"/>
        <w:rPr>
          <w:rFonts w:ascii="Arial" w:hAnsi="Arial" w:cs="Arial"/>
          <w:b/>
        </w:rPr>
      </w:pPr>
      <w:r w:rsidRPr="006D15F0">
        <w:rPr>
          <w:rFonts w:ascii="Arial" w:hAnsi="Arial" w:cs="Arial"/>
          <w:b/>
        </w:rPr>
        <w:t xml:space="preserve">Action: </w:t>
      </w:r>
      <w:r w:rsidR="005832FB">
        <w:rPr>
          <w:rFonts w:ascii="Arial" w:hAnsi="Arial" w:cs="Arial"/>
          <w:b/>
        </w:rPr>
        <w:t>R</w:t>
      </w:r>
      <w:r w:rsidRPr="006D15F0">
        <w:rPr>
          <w:rFonts w:ascii="Arial" w:hAnsi="Arial" w:cs="Arial"/>
          <w:b/>
        </w:rPr>
        <w:t>esponses to be circulated to members</w:t>
      </w:r>
    </w:p>
    <w:p w:rsidR="00A053AA" w:rsidRDefault="00A053AA" w:rsidP="00032ABD">
      <w:pPr>
        <w:spacing w:after="0" w:line="240" w:lineRule="auto"/>
        <w:jc w:val="both"/>
        <w:rPr>
          <w:rFonts w:ascii="Arial" w:hAnsi="Arial" w:cs="Arial"/>
        </w:rPr>
      </w:pPr>
    </w:p>
    <w:p w:rsidR="006D15F0" w:rsidRDefault="006943F0" w:rsidP="00032ABD">
      <w:pPr>
        <w:spacing w:after="0" w:line="240" w:lineRule="auto"/>
        <w:jc w:val="both"/>
        <w:rPr>
          <w:rFonts w:ascii="Arial" w:hAnsi="Arial" w:cs="Arial"/>
        </w:rPr>
      </w:pPr>
      <w:r>
        <w:rPr>
          <w:rFonts w:ascii="Arial" w:hAnsi="Arial" w:cs="Arial"/>
        </w:rPr>
        <w:t>AC</w:t>
      </w:r>
      <w:r w:rsidR="00E36999">
        <w:rPr>
          <w:rFonts w:ascii="Arial" w:hAnsi="Arial" w:cs="Arial"/>
        </w:rPr>
        <w:t xml:space="preserve"> </w:t>
      </w:r>
      <w:r w:rsidR="0055788F">
        <w:rPr>
          <w:rFonts w:ascii="Arial" w:hAnsi="Arial" w:cs="Arial"/>
        </w:rPr>
        <w:t>noted</w:t>
      </w:r>
      <w:r w:rsidR="006D15F0">
        <w:rPr>
          <w:rFonts w:ascii="Arial" w:hAnsi="Arial" w:cs="Arial"/>
        </w:rPr>
        <w:t xml:space="preserve"> that the previous action relating to further detailed information on the implications of the review of the acute MLC had been </w:t>
      </w:r>
      <w:r w:rsidR="00771750">
        <w:rPr>
          <w:rFonts w:ascii="Arial" w:hAnsi="Arial" w:cs="Arial"/>
        </w:rPr>
        <w:t xml:space="preserve">fulfilled </w:t>
      </w:r>
      <w:r w:rsidR="006D15F0">
        <w:rPr>
          <w:rFonts w:ascii="Arial" w:hAnsi="Arial" w:cs="Arial"/>
        </w:rPr>
        <w:t>by a paper circulated to members</w:t>
      </w:r>
      <w:r w:rsidR="005832FB">
        <w:rPr>
          <w:rFonts w:ascii="Arial" w:hAnsi="Arial" w:cs="Arial"/>
        </w:rPr>
        <w:t xml:space="preserve"> (TAGRA(2017)1)</w:t>
      </w:r>
      <w:r w:rsidR="0055788F">
        <w:rPr>
          <w:rFonts w:ascii="Arial" w:hAnsi="Arial" w:cs="Arial"/>
        </w:rPr>
        <w:t>:</w:t>
      </w:r>
      <w:r w:rsidR="006D15F0">
        <w:rPr>
          <w:rFonts w:ascii="Arial" w:hAnsi="Arial" w:cs="Arial"/>
        </w:rPr>
        <w:t xml:space="preserve"> the action relating to the future role of TAGRA </w:t>
      </w:r>
      <w:r w:rsidR="00771750">
        <w:rPr>
          <w:rFonts w:ascii="Arial" w:hAnsi="Arial" w:cs="Arial"/>
        </w:rPr>
        <w:t>is</w:t>
      </w:r>
      <w:r w:rsidR="00771750" w:rsidRPr="00771750">
        <w:rPr>
          <w:rFonts w:ascii="Arial" w:hAnsi="Arial" w:cs="Arial"/>
        </w:rPr>
        <w:t xml:space="preserve"> </w:t>
      </w:r>
      <w:r w:rsidR="00771750">
        <w:rPr>
          <w:rFonts w:ascii="Arial" w:hAnsi="Arial" w:cs="Arial"/>
        </w:rPr>
        <w:t>addressed</w:t>
      </w:r>
      <w:r w:rsidR="006D15F0">
        <w:rPr>
          <w:rFonts w:ascii="Arial" w:hAnsi="Arial" w:cs="Arial"/>
        </w:rPr>
        <w:t xml:space="preserve"> by the paper which will be discussed at the next item.</w:t>
      </w:r>
    </w:p>
    <w:p w:rsidR="0040458F" w:rsidRDefault="0040458F" w:rsidP="00032ABD">
      <w:pPr>
        <w:spacing w:after="0" w:line="240" w:lineRule="auto"/>
        <w:jc w:val="both"/>
        <w:rPr>
          <w:rFonts w:ascii="Arial" w:hAnsi="Arial" w:cs="Arial"/>
        </w:rPr>
      </w:pPr>
    </w:p>
    <w:p w:rsidR="00D94578" w:rsidRPr="00D15A05" w:rsidRDefault="00D94578" w:rsidP="00032ABD">
      <w:pPr>
        <w:spacing w:after="0" w:line="240" w:lineRule="auto"/>
        <w:jc w:val="both"/>
        <w:rPr>
          <w:rFonts w:ascii="Arial" w:hAnsi="Arial" w:cs="Arial"/>
        </w:rPr>
      </w:pPr>
      <w:r>
        <w:rPr>
          <w:rFonts w:ascii="Arial" w:hAnsi="Arial" w:cs="Arial"/>
          <w:b/>
        </w:rPr>
        <w:t xml:space="preserve">AGENDA ITEM 3 </w:t>
      </w:r>
      <w:r w:rsidR="002E5917" w:rsidRPr="0002430E">
        <w:rPr>
          <w:rFonts w:ascii="Arial" w:hAnsi="Arial" w:cs="Arial"/>
          <w:b/>
        </w:rPr>
        <w:t>–</w:t>
      </w:r>
      <w:r w:rsidR="00275B0A">
        <w:rPr>
          <w:rFonts w:ascii="Arial" w:hAnsi="Arial" w:cs="Arial"/>
          <w:b/>
        </w:rPr>
        <w:t xml:space="preserve"> </w:t>
      </w:r>
      <w:r w:rsidR="005832FB" w:rsidRPr="005832FB">
        <w:rPr>
          <w:rFonts w:ascii="Arial" w:hAnsi="Arial" w:cs="Arial"/>
          <w:b/>
        </w:rPr>
        <w:t>Future role of TAGRA – T</w:t>
      </w:r>
      <w:r w:rsidR="005832FB" w:rsidRPr="000637BD">
        <w:rPr>
          <w:rFonts w:ascii="Arial" w:hAnsi="Arial" w:cs="Arial"/>
          <w:b/>
        </w:rPr>
        <w:t>AGRA(2018)</w:t>
      </w:r>
      <w:r w:rsidR="005832FB">
        <w:rPr>
          <w:rFonts w:ascii="Arial" w:hAnsi="Arial" w:cs="Arial"/>
          <w:b/>
        </w:rPr>
        <w:t>01</w:t>
      </w:r>
    </w:p>
    <w:p w:rsidR="002E5917" w:rsidRDefault="002E5917" w:rsidP="00032ABD">
      <w:pPr>
        <w:spacing w:after="0" w:line="240" w:lineRule="auto"/>
        <w:jc w:val="both"/>
        <w:rPr>
          <w:rFonts w:ascii="Arial" w:hAnsi="Arial" w:cs="Arial"/>
          <w:b/>
        </w:rPr>
      </w:pPr>
    </w:p>
    <w:p w:rsidR="00FC3633" w:rsidRDefault="006943F0" w:rsidP="006943F0">
      <w:pPr>
        <w:spacing w:after="0" w:line="240" w:lineRule="auto"/>
        <w:jc w:val="both"/>
        <w:rPr>
          <w:rFonts w:ascii="Arial" w:hAnsi="Arial" w:cs="Arial"/>
        </w:rPr>
      </w:pPr>
      <w:r>
        <w:rPr>
          <w:rFonts w:ascii="Arial" w:hAnsi="Arial" w:cs="Arial"/>
        </w:rPr>
        <w:t>AC</w:t>
      </w:r>
      <w:r w:rsidR="00FC3633">
        <w:rPr>
          <w:rFonts w:ascii="Arial" w:hAnsi="Arial" w:cs="Arial"/>
        </w:rPr>
        <w:t xml:space="preserve"> introduced the note indicating that the it recognised the need for TAGRA to continue to provide: advice on formula maintenance; advice on the implications of service innovation; and, to retain their collective formula-specific intellectual capital</w:t>
      </w:r>
      <w:r w:rsidR="0055788F">
        <w:rPr>
          <w:rFonts w:ascii="Arial" w:hAnsi="Arial" w:cs="Arial"/>
        </w:rPr>
        <w:t xml:space="preserve"> in order adequately to discharge </w:t>
      </w:r>
      <w:r w:rsidR="0055788F">
        <w:rPr>
          <w:rFonts w:ascii="Arial" w:hAnsi="Arial" w:cs="Arial"/>
        </w:rPr>
        <w:lastRenderedPageBreak/>
        <w:t>those responsibilities</w:t>
      </w:r>
      <w:r w:rsidR="00FC3633">
        <w:rPr>
          <w:rFonts w:ascii="Arial" w:hAnsi="Arial" w:cs="Arial"/>
        </w:rPr>
        <w:t xml:space="preserve">.  The proposal </w:t>
      </w:r>
      <w:r w:rsidR="0055788F">
        <w:rPr>
          <w:rFonts w:ascii="Arial" w:hAnsi="Arial" w:cs="Arial"/>
        </w:rPr>
        <w:t xml:space="preserve">in the paper </w:t>
      </w:r>
      <w:r w:rsidR="00FC3633">
        <w:rPr>
          <w:rFonts w:ascii="Arial" w:hAnsi="Arial" w:cs="Arial"/>
        </w:rPr>
        <w:t xml:space="preserve">was for TAGRA to have one meeting per year, supplemented with electronic communication. </w:t>
      </w:r>
    </w:p>
    <w:p w:rsidR="00FC3633" w:rsidRDefault="00FC3633" w:rsidP="00032ABD">
      <w:pPr>
        <w:spacing w:after="0" w:line="240" w:lineRule="auto"/>
        <w:jc w:val="both"/>
        <w:rPr>
          <w:rFonts w:ascii="Arial" w:hAnsi="Arial" w:cs="Arial"/>
        </w:rPr>
      </w:pPr>
    </w:p>
    <w:p w:rsidR="00A41824" w:rsidRDefault="00FC3633" w:rsidP="00032ABD">
      <w:pPr>
        <w:spacing w:after="0" w:line="240" w:lineRule="auto"/>
        <w:jc w:val="both"/>
        <w:rPr>
          <w:rFonts w:ascii="Arial" w:hAnsi="Arial" w:cs="Arial"/>
        </w:rPr>
      </w:pPr>
      <w:r>
        <w:rPr>
          <w:rFonts w:ascii="Arial" w:hAnsi="Arial" w:cs="Arial"/>
        </w:rPr>
        <w:t xml:space="preserve">The group were generally supportive of the proposal.  </w:t>
      </w:r>
      <w:r w:rsidR="00A41824">
        <w:rPr>
          <w:rFonts w:ascii="Arial" w:hAnsi="Arial" w:cs="Arial"/>
        </w:rPr>
        <w:t xml:space="preserve">There was a discussion around board funding, distance from parity and the challenge of </w:t>
      </w:r>
      <w:r>
        <w:rPr>
          <w:rFonts w:ascii="Arial" w:hAnsi="Arial" w:cs="Arial"/>
        </w:rPr>
        <w:t>retract</w:t>
      </w:r>
      <w:r w:rsidR="00A41824">
        <w:rPr>
          <w:rFonts w:ascii="Arial" w:hAnsi="Arial" w:cs="Arial"/>
        </w:rPr>
        <w:t>ing</w:t>
      </w:r>
      <w:r>
        <w:rPr>
          <w:rFonts w:ascii="Arial" w:hAnsi="Arial" w:cs="Arial"/>
        </w:rPr>
        <w:t xml:space="preserve"> from services.  </w:t>
      </w:r>
      <w:r w:rsidR="00A41824">
        <w:rPr>
          <w:rFonts w:ascii="Arial" w:hAnsi="Arial" w:cs="Arial"/>
        </w:rPr>
        <w:t>It was noted that there were</w:t>
      </w:r>
      <w:r>
        <w:rPr>
          <w:rFonts w:ascii="Arial" w:hAnsi="Arial" w:cs="Arial"/>
        </w:rPr>
        <w:t xml:space="preserve"> two separate issues: the distance to parity (and if that is correct) and the speed of movement towards parity.  </w:t>
      </w:r>
    </w:p>
    <w:p w:rsidR="00A41824" w:rsidRDefault="00A41824" w:rsidP="00032ABD">
      <w:pPr>
        <w:spacing w:after="0" w:line="240" w:lineRule="auto"/>
        <w:jc w:val="both"/>
        <w:rPr>
          <w:rFonts w:ascii="Arial" w:hAnsi="Arial" w:cs="Arial"/>
        </w:rPr>
      </w:pPr>
    </w:p>
    <w:p w:rsidR="00FC3633" w:rsidRPr="00FC3633" w:rsidRDefault="006943F0" w:rsidP="00032ABD">
      <w:pPr>
        <w:spacing w:after="0" w:line="240" w:lineRule="auto"/>
        <w:jc w:val="both"/>
        <w:rPr>
          <w:rFonts w:ascii="Arial" w:hAnsi="Arial" w:cs="Arial"/>
        </w:rPr>
      </w:pPr>
      <w:r>
        <w:rPr>
          <w:rFonts w:ascii="Arial" w:hAnsi="Arial" w:cs="Arial"/>
        </w:rPr>
        <w:t>AC</w:t>
      </w:r>
      <w:r w:rsidR="00FC3633">
        <w:rPr>
          <w:rFonts w:ascii="Arial" w:hAnsi="Arial" w:cs="Arial"/>
        </w:rPr>
        <w:t xml:space="preserve"> summarised the discussion to the effect that</w:t>
      </w:r>
      <w:r w:rsidR="0055788F">
        <w:rPr>
          <w:rFonts w:ascii="Arial" w:hAnsi="Arial" w:cs="Arial"/>
        </w:rPr>
        <w:t>,</w:t>
      </w:r>
      <w:r w:rsidR="00FC3633">
        <w:rPr>
          <w:rFonts w:ascii="Arial" w:hAnsi="Arial" w:cs="Arial"/>
        </w:rPr>
        <w:t xml:space="preserve"> TAGRA supported the </w:t>
      </w:r>
      <w:r w:rsidR="006A749A">
        <w:rPr>
          <w:rFonts w:ascii="Arial" w:hAnsi="Arial" w:cs="Arial"/>
        </w:rPr>
        <w:t xml:space="preserve">proposal for </w:t>
      </w:r>
      <w:r w:rsidR="00A41824">
        <w:rPr>
          <w:rFonts w:ascii="Arial" w:hAnsi="Arial" w:cs="Arial"/>
        </w:rPr>
        <w:t>its</w:t>
      </w:r>
      <w:r w:rsidR="006A749A">
        <w:rPr>
          <w:rFonts w:ascii="Arial" w:hAnsi="Arial" w:cs="Arial"/>
        </w:rPr>
        <w:t xml:space="preserve"> future role but would welcome further information on the current positions on parity resulting from the practical implementation of the formula.  </w:t>
      </w:r>
    </w:p>
    <w:p w:rsidR="006C1746" w:rsidRDefault="006C1746" w:rsidP="00032ABD">
      <w:pPr>
        <w:spacing w:after="0" w:line="240" w:lineRule="auto"/>
        <w:jc w:val="both"/>
        <w:rPr>
          <w:rFonts w:ascii="Arial" w:hAnsi="Arial" w:cs="Arial"/>
        </w:rPr>
      </w:pPr>
    </w:p>
    <w:p w:rsidR="006C1746" w:rsidRPr="006C1746" w:rsidRDefault="006C1746" w:rsidP="00032ABD">
      <w:pPr>
        <w:spacing w:after="0" w:line="240" w:lineRule="auto"/>
        <w:jc w:val="both"/>
        <w:rPr>
          <w:rFonts w:ascii="Arial" w:hAnsi="Arial" w:cs="Arial"/>
          <w:b/>
        </w:rPr>
      </w:pPr>
      <w:r w:rsidRPr="006C1746">
        <w:rPr>
          <w:rFonts w:ascii="Arial" w:hAnsi="Arial" w:cs="Arial"/>
          <w:b/>
        </w:rPr>
        <w:t xml:space="preserve">Action – </w:t>
      </w:r>
      <w:r w:rsidR="006A749A">
        <w:rPr>
          <w:rFonts w:ascii="Arial" w:hAnsi="Arial" w:cs="Arial"/>
          <w:b/>
        </w:rPr>
        <w:t>RMC to put the board information on parity in a note for circulation to TAGRA</w:t>
      </w:r>
      <w:r w:rsidRPr="006C1746">
        <w:rPr>
          <w:rFonts w:ascii="Arial" w:hAnsi="Arial" w:cs="Arial"/>
          <w:b/>
        </w:rPr>
        <w:t>.</w:t>
      </w:r>
    </w:p>
    <w:p w:rsidR="00B16D67" w:rsidRDefault="00B16D67" w:rsidP="00032ABD">
      <w:pPr>
        <w:spacing w:after="0" w:line="240" w:lineRule="auto"/>
        <w:jc w:val="both"/>
        <w:rPr>
          <w:rFonts w:ascii="Arial" w:hAnsi="Arial" w:cs="Arial"/>
        </w:rPr>
      </w:pPr>
    </w:p>
    <w:p w:rsidR="00B16D67" w:rsidRDefault="00D417C4" w:rsidP="00032ABD">
      <w:pPr>
        <w:tabs>
          <w:tab w:val="num" w:pos="1080"/>
        </w:tabs>
        <w:spacing w:after="0" w:line="240" w:lineRule="auto"/>
        <w:jc w:val="both"/>
        <w:rPr>
          <w:rFonts w:ascii="Arial" w:hAnsi="Arial" w:cs="Arial"/>
          <w:b/>
        </w:rPr>
      </w:pPr>
      <w:r>
        <w:rPr>
          <w:rFonts w:ascii="Arial" w:hAnsi="Arial" w:cs="Arial"/>
          <w:b/>
        </w:rPr>
        <w:t xml:space="preserve">AGENDA ITEM 4 </w:t>
      </w:r>
      <w:r w:rsidRPr="0002430E">
        <w:rPr>
          <w:rFonts w:ascii="Arial" w:hAnsi="Arial" w:cs="Arial"/>
          <w:b/>
        </w:rPr>
        <w:t>–</w:t>
      </w:r>
      <w:r>
        <w:rPr>
          <w:rFonts w:ascii="Arial" w:hAnsi="Arial" w:cs="Arial"/>
          <w:b/>
        </w:rPr>
        <w:t xml:space="preserve"> </w:t>
      </w:r>
      <w:r w:rsidR="00B15A2D" w:rsidRPr="00B15A2D">
        <w:rPr>
          <w:rFonts w:ascii="Arial" w:hAnsi="Arial" w:cs="Arial"/>
          <w:b/>
        </w:rPr>
        <w:t>Finance update and use of 3-year perspective</w:t>
      </w:r>
      <w:r w:rsidR="00B15A2D">
        <w:rPr>
          <w:rFonts w:ascii="Arial" w:hAnsi="Arial" w:cs="Arial"/>
          <w:b/>
        </w:rPr>
        <w:t xml:space="preserve"> </w:t>
      </w:r>
    </w:p>
    <w:p w:rsidR="00C114EB" w:rsidRDefault="00C114EB" w:rsidP="00032ABD">
      <w:pPr>
        <w:tabs>
          <w:tab w:val="num" w:pos="1080"/>
        </w:tabs>
        <w:spacing w:after="0" w:line="240" w:lineRule="auto"/>
        <w:jc w:val="both"/>
        <w:rPr>
          <w:rFonts w:ascii="Arial" w:hAnsi="Arial" w:cs="Arial"/>
        </w:rPr>
      </w:pPr>
    </w:p>
    <w:p w:rsidR="00B15A2D" w:rsidRDefault="00B15A2D" w:rsidP="00032ABD">
      <w:pPr>
        <w:tabs>
          <w:tab w:val="num" w:pos="1080"/>
        </w:tabs>
        <w:spacing w:after="0" w:line="240" w:lineRule="auto"/>
        <w:jc w:val="both"/>
        <w:rPr>
          <w:rFonts w:ascii="Arial" w:hAnsi="Arial" w:cs="Arial"/>
        </w:rPr>
      </w:pPr>
      <w:r>
        <w:rPr>
          <w:rFonts w:ascii="Arial" w:hAnsi="Arial" w:cs="Arial"/>
        </w:rPr>
        <w:t xml:space="preserve">RMC explained that the 3-year perspective had been helpful </w:t>
      </w:r>
      <w:r w:rsidR="002D357D">
        <w:rPr>
          <w:rFonts w:ascii="Arial" w:hAnsi="Arial" w:cs="Arial"/>
        </w:rPr>
        <w:t>in providing</w:t>
      </w:r>
      <w:r>
        <w:rPr>
          <w:rFonts w:ascii="Arial" w:hAnsi="Arial" w:cs="Arial"/>
        </w:rPr>
        <w:t xml:space="preserve"> a longer term view for financial planning purposes, though the budget was still an annual process.  There is a continued commitment to parity </w:t>
      </w:r>
      <w:r w:rsidR="005655B9">
        <w:rPr>
          <w:rFonts w:ascii="Arial" w:hAnsi="Arial" w:cs="Arial"/>
        </w:rPr>
        <w:t>and</w:t>
      </w:r>
      <w:r w:rsidR="002D357D">
        <w:rPr>
          <w:rFonts w:ascii="Arial" w:hAnsi="Arial" w:cs="Arial"/>
        </w:rPr>
        <w:t>, at present,</w:t>
      </w:r>
      <w:r w:rsidR="005655B9">
        <w:rPr>
          <w:rFonts w:ascii="Arial" w:hAnsi="Arial" w:cs="Arial"/>
        </w:rPr>
        <w:t xml:space="preserve"> no health board is more than 0.8% from parity.  </w:t>
      </w:r>
    </w:p>
    <w:p w:rsidR="005655B9" w:rsidRDefault="005655B9" w:rsidP="00032ABD">
      <w:pPr>
        <w:tabs>
          <w:tab w:val="num" w:pos="1080"/>
        </w:tabs>
        <w:spacing w:after="0" w:line="240" w:lineRule="auto"/>
        <w:jc w:val="both"/>
        <w:rPr>
          <w:rFonts w:ascii="Arial" w:hAnsi="Arial" w:cs="Arial"/>
        </w:rPr>
      </w:pPr>
    </w:p>
    <w:p w:rsidR="005655B9" w:rsidRPr="00C114EB" w:rsidRDefault="0056019D" w:rsidP="00032ABD">
      <w:pPr>
        <w:tabs>
          <w:tab w:val="num" w:pos="1080"/>
        </w:tabs>
        <w:spacing w:after="0" w:line="240" w:lineRule="auto"/>
        <w:jc w:val="both"/>
        <w:rPr>
          <w:rFonts w:ascii="Arial" w:hAnsi="Arial" w:cs="Arial"/>
        </w:rPr>
      </w:pPr>
      <w:r>
        <w:rPr>
          <w:rFonts w:ascii="Arial" w:hAnsi="Arial" w:cs="Arial"/>
        </w:rPr>
        <w:t>There was a discussion of</w:t>
      </w:r>
      <w:r w:rsidR="005655B9">
        <w:rPr>
          <w:rFonts w:ascii="Arial" w:hAnsi="Arial" w:cs="Arial"/>
        </w:rPr>
        <w:t xml:space="preserve"> the effect of population change</w:t>
      </w:r>
      <w:r w:rsidR="003B2E67">
        <w:rPr>
          <w:rFonts w:ascii="Arial" w:hAnsi="Arial" w:cs="Arial"/>
        </w:rPr>
        <w:t xml:space="preserve"> and</w:t>
      </w:r>
      <w:r w:rsidR="005655B9">
        <w:rPr>
          <w:rFonts w:ascii="Arial" w:hAnsi="Arial" w:cs="Arial"/>
        </w:rPr>
        <w:t xml:space="preserve"> the importance of the amount available for </w:t>
      </w:r>
      <w:proofErr w:type="spellStart"/>
      <w:r w:rsidR="005655B9">
        <w:rPr>
          <w:rFonts w:ascii="Arial" w:hAnsi="Arial" w:cs="Arial"/>
        </w:rPr>
        <w:t>NRAC</w:t>
      </w:r>
      <w:proofErr w:type="spellEnd"/>
      <w:r w:rsidR="005655B9">
        <w:rPr>
          <w:rFonts w:ascii="Arial" w:hAnsi="Arial" w:cs="Arial"/>
        </w:rPr>
        <w:t xml:space="preserve"> uplifts</w:t>
      </w:r>
      <w:r>
        <w:rPr>
          <w:rFonts w:ascii="Arial" w:hAnsi="Arial" w:cs="Arial"/>
        </w:rPr>
        <w:t>.  It was noted</w:t>
      </w:r>
      <w:r w:rsidR="005655B9">
        <w:rPr>
          <w:rFonts w:ascii="Arial" w:hAnsi="Arial" w:cs="Arial"/>
        </w:rPr>
        <w:t xml:space="preserve"> that the advance knowledge of target shares reduced the planning risks.  </w:t>
      </w:r>
    </w:p>
    <w:p w:rsidR="007709B8" w:rsidRDefault="007709B8" w:rsidP="00032ABD">
      <w:pPr>
        <w:tabs>
          <w:tab w:val="num" w:pos="1080"/>
        </w:tabs>
        <w:spacing w:after="0" w:line="240" w:lineRule="auto"/>
        <w:jc w:val="both"/>
        <w:rPr>
          <w:rFonts w:ascii="Arial" w:hAnsi="Arial" w:cs="Arial"/>
        </w:rPr>
      </w:pPr>
    </w:p>
    <w:p w:rsidR="001811DC" w:rsidRPr="00CD7DE3" w:rsidRDefault="001811DC" w:rsidP="00032ABD">
      <w:pPr>
        <w:tabs>
          <w:tab w:val="num" w:pos="1080"/>
        </w:tabs>
        <w:spacing w:after="0" w:line="240" w:lineRule="auto"/>
        <w:jc w:val="both"/>
        <w:rPr>
          <w:rFonts w:ascii="Arial" w:hAnsi="Arial" w:cs="Arial"/>
        </w:rPr>
      </w:pPr>
      <w:r>
        <w:rPr>
          <w:rFonts w:ascii="Arial" w:hAnsi="Arial" w:cs="Arial"/>
          <w:b/>
        </w:rPr>
        <w:t xml:space="preserve">AGENDA ITEM 5 </w:t>
      </w:r>
      <w:r w:rsidRPr="00B93AC9">
        <w:rPr>
          <w:rFonts w:ascii="Arial" w:hAnsi="Arial" w:cs="Arial"/>
          <w:b/>
        </w:rPr>
        <w:t xml:space="preserve">– </w:t>
      </w:r>
      <w:r w:rsidR="005655B9" w:rsidRPr="005655B9">
        <w:rPr>
          <w:rFonts w:ascii="Arial" w:hAnsi="Arial" w:cs="Arial"/>
          <w:b/>
        </w:rPr>
        <w:t>Revising the COTE excess cost adjustment – TAGRA(2018)02</w:t>
      </w:r>
    </w:p>
    <w:p w:rsidR="001811DC" w:rsidRDefault="001811DC" w:rsidP="00032ABD">
      <w:pPr>
        <w:tabs>
          <w:tab w:val="num" w:pos="1080"/>
        </w:tabs>
        <w:spacing w:after="0" w:line="240" w:lineRule="auto"/>
        <w:jc w:val="both"/>
        <w:rPr>
          <w:rFonts w:ascii="Arial" w:hAnsi="Arial" w:cs="Arial"/>
        </w:rPr>
      </w:pPr>
    </w:p>
    <w:p w:rsidR="00197505" w:rsidRDefault="006943F0" w:rsidP="00032ABD">
      <w:pPr>
        <w:tabs>
          <w:tab w:val="num" w:pos="1080"/>
        </w:tabs>
        <w:spacing w:after="0" w:line="240" w:lineRule="auto"/>
        <w:jc w:val="both"/>
        <w:rPr>
          <w:rFonts w:ascii="Arial" w:hAnsi="Arial" w:cs="Arial"/>
        </w:rPr>
      </w:pPr>
      <w:r>
        <w:rPr>
          <w:rFonts w:ascii="Arial" w:hAnsi="Arial" w:cs="Arial"/>
        </w:rPr>
        <w:t>AC</w:t>
      </w:r>
      <w:r w:rsidR="008C1E48">
        <w:rPr>
          <w:rFonts w:ascii="Arial" w:hAnsi="Arial" w:cs="Arial"/>
        </w:rPr>
        <w:t xml:space="preserve"> provided background on the origin of the issue: that</w:t>
      </w:r>
      <w:r w:rsidR="002D357D">
        <w:rPr>
          <w:rFonts w:ascii="Arial" w:hAnsi="Arial" w:cs="Arial"/>
        </w:rPr>
        <w:t>,</w:t>
      </w:r>
      <w:r w:rsidR="008C1E48">
        <w:rPr>
          <w:rFonts w:ascii="Arial" w:hAnsi="Arial" w:cs="Arial"/>
        </w:rPr>
        <w:t xml:space="preserve"> when the underlying data for the COTE excess cost adjustment were updated in 2015</w:t>
      </w:r>
      <w:r w:rsidR="002D357D">
        <w:rPr>
          <w:rFonts w:ascii="Arial" w:hAnsi="Arial" w:cs="Arial"/>
        </w:rPr>
        <w:t>,</w:t>
      </w:r>
      <w:r w:rsidR="008C1E48">
        <w:rPr>
          <w:rFonts w:ascii="Arial" w:hAnsi="Arial" w:cs="Arial"/>
        </w:rPr>
        <w:t xml:space="preserve"> there was a</w:t>
      </w:r>
      <w:r w:rsidR="002D357D">
        <w:rPr>
          <w:rFonts w:ascii="Arial" w:hAnsi="Arial" w:cs="Arial"/>
        </w:rPr>
        <w:t>n unexpectedly large change in</w:t>
      </w:r>
      <w:r w:rsidR="008C1E48">
        <w:rPr>
          <w:rFonts w:ascii="Arial" w:hAnsi="Arial" w:cs="Arial"/>
        </w:rPr>
        <w:t xml:space="preserve"> the adjustment.  In line with the core criteria of face validity and stability, the previous values for the cost adjustment were retained whilst ISD undertook analysis of the reasons for the volatility. EA outlined the findings of the analysis and the proposal for revising </w:t>
      </w:r>
      <w:r w:rsidR="002D357D">
        <w:rPr>
          <w:rFonts w:ascii="Arial" w:hAnsi="Arial" w:cs="Arial"/>
        </w:rPr>
        <w:t>the COTE excess cost adjustment:</w:t>
      </w:r>
      <w:r w:rsidR="008C1E48">
        <w:rPr>
          <w:rFonts w:ascii="Arial" w:hAnsi="Arial" w:cs="Arial"/>
        </w:rPr>
        <w:t xml:space="preserve"> that is</w:t>
      </w:r>
      <w:r w:rsidR="002D357D">
        <w:rPr>
          <w:rFonts w:ascii="Arial" w:hAnsi="Arial" w:cs="Arial"/>
        </w:rPr>
        <w:t>,</w:t>
      </w:r>
      <w:r w:rsidR="008C1E48">
        <w:rPr>
          <w:rFonts w:ascii="Arial" w:hAnsi="Arial" w:cs="Arial"/>
        </w:rPr>
        <w:t xml:space="preserve"> to combine the COTE excess cost adjustment with the acute excess cost adjustments. </w:t>
      </w:r>
    </w:p>
    <w:p w:rsidR="008C1E48" w:rsidRDefault="008C1E48" w:rsidP="00032ABD">
      <w:pPr>
        <w:tabs>
          <w:tab w:val="num" w:pos="1080"/>
        </w:tabs>
        <w:spacing w:after="0" w:line="240" w:lineRule="auto"/>
        <w:jc w:val="both"/>
        <w:rPr>
          <w:rFonts w:ascii="Arial" w:hAnsi="Arial" w:cs="Arial"/>
        </w:rPr>
      </w:pPr>
    </w:p>
    <w:p w:rsidR="0056019D" w:rsidRDefault="0056019D" w:rsidP="0056019D">
      <w:pPr>
        <w:tabs>
          <w:tab w:val="num" w:pos="1080"/>
        </w:tabs>
        <w:spacing w:after="0" w:line="240" w:lineRule="auto"/>
        <w:jc w:val="both"/>
        <w:rPr>
          <w:rFonts w:ascii="Arial" w:hAnsi="Arial" w:cs="Arial"/>
        </w:rPr>
      </w:pPr>
      <w:r>
        <w:rPr>
          <w:rFonts w:ascii="Arial" w:hAnsi="Arial" w:cs="Arial"/>
        </w:rPr>
        <w:t>There was a request for</w:t>
      </w:r>
      <w:r w:rsidR="008C1E48">
        <w:rPr>
          <w:rFonts w:ascii="Arial" w:hAnsi="Arial" w:cs="Arial"/>
        </w:rPr>
        <w:t xml:space="preserve"> clarification of the relationship between tables 3 and 4</w:t>
      </w:r>
      <w:r>
        <w:rPr>
          <w:rFonts w:ascii="Arial" w:hAnsi="Arial" w:cs="Arial"/>
        </w:rPr>
        <w:t xml:space="preserve"> and, in particular</w:t>
      </w:r>
      <w:r w:rsidR="00414FCD">
        <w:rPr>
          <w:rFonts w:ascii="Arial" w:hAnsi="Arial" w:cs="Arial"/>
        </w:rPr>
        <w:t>,</w:t>
      </w:r>
      <w:r>
        <w:rPr>
          <w:rFonts w:ascii="Arial" w:hAnsi="Arial" w:cs="Arial"/>
        </w:rPr>
        <w:t xml:space="preserve"> the reason for the magnitude of </w:t>
      </w:r>
      <w:r w:rsidR="008C1E48">
        <w:rPr>
          <w:rFonts w:ascii="Arial" w:hAnsi="Arial" w:cs="Arial"/>
        </w:rPr>
        <w:t>the changes in the MHLD and Maternity excess</w:t>
      </w:r>
      <w:r>
        <w:rPr>
          <w:rFonts w:ascii="Arial" w:hAnsi="Arial" w:cs="Arial"/>
        </w:rPr>
        <w:t xml:space="preserve"> </w:t>
      </w:r>
      <w:r w:rsidR="008C1E48">
        <w:rPr>
          <w:rFonts w:ascii="Arial" w:hAnsi="Arial" w:cs="Arial"/>
        </w:rPr>
        <w:t>cost adjustments</w:t>
      </w:r>
      <w:r>
        <w:rPr>
          <w:rFonts w:ascii="Arial" w:hAnsi="Arial" w:cs="Arial"/>
        </w:rPr>
        <w:t xml:space="preserve">. </w:t>
      </w:r>
      <w:r w:rsidR="00414FCD">
        <w:rPr>
          <w:rFonts w:ascii="Arial" w:hAnsi="Arial" w:cs="Arial"/>
        </w:rPr>
        <w:t xml:space="preserve"> </w:t>
      </w:r>
      <w:r>
        <w:rPr>
          <w:rFonts w:ascii="Arial" w:hAnsi="Arial" w:cs="Arial"/>
        </w:rPr>
        <w:t>ISD undertook to investigate the reasons behind the change.</w:t>
      </w:r>
    </w:p>
    <w:p w:rsidR="0056019D" w:rsidRDefault="0056019D" w:rsidP="0056019D">
      <w:pPr>
        <w:tabs>
          <w:tab w:val="num" w:pos="1080"/>
        </w:tabs>
        <w:spacing w:after="0" w:line="240" w:lineRule="auto"/>
        <w:jc w:val="both"/>
        <w:rPr>
          <w:rFonts w:ascii="Arial" w:hAnsi="Arial" w:cs="Arial"/>
        </w:rPr>
      </w:pPr>
    </w:p>
    <w:p w:rsidR="0056019D" w:rsidRDefault="0056019D" w:rsidP="00032ABD">
      <w:pPr>
        <w:tabs>
          <w:tab w:val="num" w:pos="1080"/>
        </w:tabs>
        <w:spacing w:after="0" w:line="240" w:lineRule="auto"/>
        <w:jc w:val="both"/>
        <w:rPr>
          <w:rFonts w:ascii="Arial" w:hAnsi="Arial" w:cs="Arial"/>
          <w:b/>
        </w:rPr>
      </w:pPr>
      <w:r w:rsidRPr="00913928">
        <w:rPr>
          <w:rFonts w:ascii="Arial" w:hAnsi="Arial" w:cs="Arial"/>
          <w:b/>
        </w:rPr>
        <w:t xml:space="preserve">Action: ISD to investigate the determinants of the changes in the MHLD and Maternity indices.  </w:t>
      </w:r>
    </w:p>
    <w:p w:rsidR="001F2606" w:rsidRDefault="001F2606" w:rsidP="00032ABD">
      <w:pPr>
        <w:tabs>
          <w:tab w:val="num" w:pos="1080"/>
        </w:tabs>
        <w:spacing w:after="0" w:line="240" w:lineRule="auto"/>
        <w:jc w:val="both"/>
        <w:rPr>
          <w:rFonts w:ascii="Arial" w:hAnsi="Arial" w:cs="Arial"/>
        </w:rPr>
      </w:pPr>
    </w:p>
    <w:p w:rsidR="008C1E48" w:rsidRDefault="00032ABD" w:rsidP="00032ABD">
      <w:pPr>
        <w:tabs>
          <w:tab w:val="num" w:pos="1080"/>
        </w:tabs>
        <w:spacing w:after="0" w:line="240" w:lineRule="auto"/>
        <w:jc w:val="both"/>
        <w:rPr>
          <w:rFonts w:ascii="Arial" w:hAnsi="Arial" w:cs="Arial"/>
        </w:rPr>
      </w:pPr>
      <w:r>
        <w:rPr>
          <w:rFonts w:ascii="Arial" w:hAnsi="Arial" w:cs="Arial"/>
        </w:rPr>
        <w:t xml:space="preserve">PM noted the importance of stability, but also the opportunities to improve the formula by utilising the better data which has become available, e.g. </w:t>
      </w:r>
      <w:proofErr w:type="spellStart"/>
      <w:r>
        <w:rPr>
          <w:rFonts w:ascii="Arial" w:hAnsi="Arial" w:cs="Arial"/>
        </w:rPr>
        <w:t>A&amp;E</w:t>
      </w:r>
      <w:proofErr w:type="spellEnd"/>
      <w:r>
        <w:rPr>
          <w:rFonts w:ascii="Arial" w:hAnsi="Arial" w:cs="Arial"/>
        </w:rPr>
        <w:t xml:space="preserve"> data.  </w:t>
      </w:r>
      <w:r w:rsidR="00414FCD">
        <w:rPr>
          <w:rFonts w:ascii="Arial" w:hAnsi="Arial" w:cs="Arial"/>
        </w:rPr>
        <w:t>AC</w:t>
      </w:r>
      <w:r>
        <w:rPr>
          <w:rFonts w:ascii="Arial" w:hAnsi="Arial" w:cs="Arial"/>
        </w:rPr>
        <w:t xml:space="preserve"> suggested that Health Finance Division could consider the extent to which changes could be made, but noted that TAGRA has always worked within the </w:t>
      </w:r>
      <w:proofErr w:type="spellStart"/>
      <w:r>
        <w:rPr>
          <w:rFonts w:ascii="Arial" w:hAnsi="Arial" w:cs="Arial"/>
        </w:rPr>
        <w:t>NRAC</w:t>
      </w:r>
      <w:proofErr w:type="spellEnd"/>
      <w:r>
        <w:rPr>
          <w:rFonts w:ascii="Arial" w:hAnsi="Arial" w:cs="Arial"/>
        </w:rPr>
        <w:t xml:space="preserve"> framework and has not fundamentally changed the structure of the formula. </w:t>
      </w:r>
      <w:r w:rsidR="001F2606">
        <w:rPr>
          <w:rFonts w:ascii="Arial" w:hAnsi="Arial" w:cs="Arial"/>
        </w:rPr>
        <w:t>It was</w:t>
      </w:r>
      <w:r>
        <w:rPr>
          <w:rFonts w:ascii="Arial" w:hAnsi="Arial" w:cs="Arial"/>
        </w:rPr>
        <w:t xml:space="preserve"> agreed that it would be useful to get an understanding of areas where there could be updates and what the implications might be: </w:t>
      </w:r>
      <w:r w:rsidR="001F2606">
        <w:rPr>
          <w:rFonts w:ascii="Arial" w:hAnsi="Arial" w:cs="Arial"/>
        </w:rPr>
        <w:t xml:space="preserve">and </w:t>
      </w:r>
      <w:r>
        <w:rPr>
          <w:rFonts w:ascii="Arial" w:hAnsi="Arial" w:cs="Arial"/>
        </w:rPr>
        <w:t xml:space="preserve">then consider how to take these into account in the maintenance phase. </w:t>
      </w:r>
    </w:p>
    <w:p w:rsidR="00032ABD" w:rsidRDefault="00032ABD" w:rsidP="00032ABD">
      <w:pPr>
        <w:tabs>
          <w:tab w:val="num" w:pos="1080"/>
        </w:tabs>
        <w:spacing w:after="0" w:line="240" w:lineRule="auto"/>
        <w:jc w:val="both"/>
        <w:rPr>
          <w:rFonts w:ascii="Arial" w:hAnsi="Arial" w:cs="Arial"/>
        </w:rPr>
      </w:pPr>
    </w:p>
    <w:p w:rsidR="00032ABD" w:rsidRDefault="00032ABD" w:rsidP="00032ABD">
      <w:pPr>
        <w:tabs>
          <w:tab w:val="num" w:pos="1080"/>
        </w:tabs>
        <w:spacing w:after="0" w:line="240" w:lineRule="auto"/>
        <w:jc w:val="both"/>
        <w:rPr>
          <w:rFonts w:ascii="Arial" w:hAnsi="Arial" w:cs="Arial"/>
          <w:b/>
        </w:rPr>
      </w:pPr>
      <w:r w:rsidRPr="00804DD6">
        <w:rPr>
          <w:rFonts w:ascii="Arial" w:hAnsi="Arial" w:cs="Arial"/>
          <w:b/>
        </w:rPr>
        <w:t xml:space="preserve">Action: PM to draft a note </w:t>
      </w:r>
      <w:r w:rsidR="009E5D4E">
        <w:rPr>
          <w:rFonts w:ascii="Arial" w:hAnsi="Arial" w:cs="Arial"/>
          <w:b/>
        </w:rPr>
        <w:t>on</w:t>
      </w:r>
      <w:r w:rsidRPr="00804DD6">
        <w:rPr>
          <w:rFonts w:ascii="Arial" w:hAnsi="Arial" w:cs="Arial"/>
          <w:b/>
        </w:rPr>
        <w:t xml:space="preserve"> data developments and the opportunities which they provide. </w:t>
      </w:r>
    </w:p>
    <w:p w:rsidR="003B2E67" w:rsidRPr="003B2E67" w:rsidRDefault="003B2E67" w:rsidP="00032ABD">
      <w:pPr>
        <w:tabs>
          <w:tab w:val="num" w:pos="1080"/>
        </w:tabs>
        <w:spacing w:after="0" w:line="240" w:lineRule="auto"/>
        <w:jc w:val="both"/>
        <w:rPr>
          <w:rFonts w:ascii="Arial" w:hAnsi="Arial" w:cs="Arial"/>
        </w:rPr>
      </w:pPr>
      <w:bookmarkStart w:id="0" w:name="_GoBack"/>
      <w:bookmarkEnd w:id="0"/>
    </w:p>
    <w:p w:rsidR="00197505" w:rsidRDefault="001F2606" w:rsidP="00032ABD">
      <w:pPr>
        <w:tabs>
          <w:tab w:val="num" w:pos="1080"/>
        </w:tabs>
        <w:spacing w:after="0" w:line="240" w:lineRule="auto"/>
        <w:jc w:val="both"/>
        <w:rPr>
          <w:rFonts w:ascii="Arial" w:hAnsi="Arial" w:cs="Arial"/>
        </w:rPr>
      </w:pPr>
      <w:r>
        <w:rPr>
          <w:rFonts w:ascii="Arial" w:hAnsi="Arial" w:cs="Arial"/>
        </w:rPr>
        <w:t>It was noted</w:t>
      </w:r>
      <w:r w:rsidR="00804DD6">
        <w:rPr>
          <w:rFonts w:ascii="Arial" w:hAnsi="Arial" w:cs="Arial"/>
        </w:rPr>
        <w:t xml:space="preserve"> that boards cannot charge for cross-boundary </w:t>
      </w:r>
      <w:proofErr w:type="spellStart"/>
      <w:r w:rsidR="00804DD6">
        <w:rPr>
          <w:rFonts w:ascii="Arial" w:hAnsi="Arial" w:cs="Arial"/>
        </w:rPr>
        <w:t>A&amp;E</w:t>
      </w:r>
      <w:proofErr w:type="spellEnd"/>
      <w:r w:rsidR="00804DD6">
        <w:rPr>
          <w:rFonts w:ascii="Arial" w:hAnsi="Arial" w:cs="Arial"/>
        </w:rPr>
        <w:t xml:space="preserve"> provision and that is a significant cost for</w:t>
      </w:r>
      <w:r>
        <w:rPr>
          <w:rFonts w:ascii="Arial" w:hAnsi="Arial" w:cs="Arial"/>
        </w:rPr>
        <w:t xml:space="preserve"> some boards</w:t>
      </w:r>
      <w:r w:rsidR="00804DD6">
        <w:rPr>
          <w:rFonts w:ascii="Arial" w:hAnsi="Arial" w:cs="Arial"/>
        </w:rPr>
        <w:t xml:space="preserve">.  Such charging is prohibited by the commissioning guidance, </w:t>
      </w:r>
      <w:r w:rsidR="00804DD6">
        <w:rPr>
          <w:rFonts w:ascii="Arial" w:hAnsi="Arial" w:cs="Arial"/>
        </w:rPr>
        <w:lastRenderedPageBreak/>
        <w:t>but</w:t>
      </w:r>
      <w:r>
        <w:rPr>
          <w:rFonts w:ascii="Arial" w:hAnsi="Arial" w:cs="Arial"/>
        </w:rPr>
        <w:t xml:space="preserve"> this</w:t>
      </w:r>
      <w:r w:rsidR="00804DD6">
        <w:rPr>
          <w:rFonts w:ascii="Arial" w:hAnsi="Arial" w:cs="Arial"/>
        </w:rPr>
        <w:t xml:space="preserve"> may reflect the historic lack of robust data. </w:t>
      </w:r>
      <w:r w:rsidR="00913928">
        <w:rPr>
          <w:rFonts w:ascii="Arial" w:hAnsi="Arial" w:cs="Arial"/>
        </w:rPr>
        <w:t xml:space="preserve"> RMC responded that the guidance could be re-considered</w:t>
      </w:r>
      <w:r>
        <w:rPr>
          <w:rFonts w:ascii="Arial" w:hAnsi="Arial" w:cs="Arial"/>
        </w:rPr>
        <w:t xml:space="preserve"> if appropriate</w:t>
      </w:r>
      <w:r w:rsidR="00913928">
        <w:rPr>
          <w:rFonts w:ascii="Arial" w:hAnsi="Arial" w:cs="Arial"/>
        </w:rPr>
        <w:t xml:space="preserve">.  </w:t>
      </w:r>
      <w:r>
        <w:rPr>
          <w:rFonts w:ascii="Arial" w:hAnsi="Arial" w:cs="Arial"/>
        </w:rPr>
        <w:t>It was also noted that the</w:t>
      </w:r>
      <w:r w:rsidR="00E71392">
        <w:rPr>
          <w:rFonts w:ascii="Arial" w:hAnsi="Arial" w:cs="Arial"/>
        </w:rPr>
        <w:t xml:space="preserve"> available</w:t>
      </w:r>
      <w:r>
        <w:rPr>
          <w:rFonts w:ascii="Arial" w:hAnsi="Arial" w:cs="Arial"/>
        </w:rPr>
        <w:t xml:space="preserve"> data will change with regional developments and with changes in cross-boundary flows of patients.</w:t>
      </w:r>
    </w:p>
    <w:p w:rsidR="00913928" w:rsidRDefault="00913928" w:rsidP="00032ABD">
      <w:pPr>
        <w:tabs>
          <w:tab w:val="num" w:pos="1080"/>
        </w:tabs>
        <w:spacing w:after="0" w:line="240" w:lineRule="auto"/>
        <w:jc w:val="both"/>
        <w:rPr>
          <w:rFonts w:ascii="Arial" w:hAnsi="Arial" w:cs="Arial"/>
        </w:rPr>
      </w:pPr>
    </w:p>
    <w:p w:rsidR="00913928" w:rsidRPr="00913928" w:rsidRDefault="006943F0" w:rsidP="0056019D">
      <w:pPr>
        <w:tabs>
          <w:tab w:val="num" w:pos="1080"/>
        </w:tabs>
        <w:spacing w:after="0" w:line="240" w:lineRule="auto"/>
        <w:jc w:val="both"/>
        <w:rPr>
          <w:rFonts w:ascii="Arial" w:hAnsi="Arial" w:cs="Arial"/>
          <w:b/>
        </w:rPr>
      </w:pPr>
      <w:r>
        <w:rPr>
          <w:rFonts w:ascii="Arial" w:hAnsi="Arial" w:cs="Arial"/>
        </w:rPr>
        <w:t>AC</w:t>
      </w:r>
      <w:r w:rsidR="00913928">
        <w:rPr>
          <w:rFonts w:ascii="Arial" w:hAnsi="Arial" w:cs="Arial"/>
        </w:rPr>
        <w:t xml:space="preserve"> </w:t>
      </w:r>
      <w:r w:rsidR="001F2606">
        <w:rPr>
          <w:rFonts w:ascii="Arial" w:hAnsi="Arial" w:cs="Arial"/>
        </w:rPr>
        <w:t>concluded</w:t>
      </w:r>
      <w:r w:rsidR="00913928">
        <w:rPr>
          <w:rFonts w:ascii="Arial" w:hAnsi="Arial" w:cs="Arial"/>
        </w:rPr>
        <w:t xml:space="preserve"> that there was agreement to the change in the COTE excess cost adjustment, as proposed.  </w:t>
      </w:r>
    </w:p>
    <w:p w:rsidR="00804DD6" w:rsidRDefault="00804DD6" w:rsidP="00032ABD">
      <w:pPr>
        <w:tabs>
          <w:tab w:val="num" w:pos="1080"/>
        </w:tabs>
        <w:spacing w:after="0" w:line="240" w:lineRule="auto"/>
        <w:jc w:val="both"/>
        <w:rPr>
          <w:rFonts w:ascii="Arial" w:hAnsi="Arial" w:cs="Arial"/>
        </w:rPr>
      </w:pPr>
    </w:p>
    <w:p w:rsidR="00C0738B" w:rsidRDefault="00C0738B" w:rsidP="00C0738B">
      <w:pPr>
        <w:tabs>
          <w:tab w:val="num" w:pos="1080"/>
        </w:tabs>
        <w:spacing w:after="0" w:line="240" w:lineRule="auto"/>
        <w:jc w:val="both"/>
        <w:rPr>
          <w:rFonts w:ascii="Arial" w:hAnsi="Arial" w:cs="Arial"/>
          <w:b/>
        </w:rPr>
      </w:pPr>
      <w:r>
        <w:rPr>
          <w:rFonts w:ascii="Arial" w:hAnsi="Arial" w:cs="Arial"/>
          <w:b/>
        </w:rPr>
        <w:t xml:space="preserve">AGENDA ITEMS 6 &amp; 7 </w:t>
      </w:r>
      <w:r w:rsidRPr="0002430E">
        <w:rPr>
          <w:rFonts w:ascii="Arial" w:hAnsi="Arial" w:cs="Arial"/>
          <w:b/>
        </w:rPr>
        <w:t>–</w:t>
      </w:r>
      <w:r>
        <w:rPr>
          <w:rFonts w:ascii="Arial" w:hAnsi="Arial" w:cs="Arial"/>
          <w:b/>
        </w:rPr>
        <w:t xml:space="preserve"> 2021/22 Formula run and maintenance work in 2018/19 – TAGRA(2018)04</w:t>
      </w:r>
    </w:p>
    <w:p w:rsidR="00414FCD" w:rsidRDefault="00414FCD" w:rsidP="00032ABD">
      <w:pPr>
        <w:spacing w:after="0" w:line="240" w:lineRule="auto"/>
        <w:jc w:val="both"/>
        <w:rPr>
          <w:rFonts w:ascii="Arial" w:hAnsi="Arial" w:cs="Arial"/>
        </w:rPr>
      </w:pPr>
    </w:p>
    <w:p w:rsidR="001F293E" w:rsidRDefault="00414FCD" w:rsidP="00032ABD">
      <w:pPr>
        <w:spacing w:after="0" w:line="240" w:lineRule="auto"/>
        <w:jc w:val="both"/>
        <w:rPr>
          <w:rFonts w:ascii="Arial" w:hAnsi="Arial" w:cs="Arial"/>
        </w:rPr>
      </w:pPr>
      <w:r>
        <w:rPr>
          <w:rFonts w:ascii="Arial" w:hAnsi="Arial" w:cs="Arial"/>
        </w:rPr>
        <w:t xml:space="preserve">AC </w:t>
      </w:r>
      <w:r w:rsidR="00C0738B">
        <w:rPr>
          <w:rFonts w:ascii="Arial" w:hAnsi="Arial" w:cs="Arial"/>
        </w:rPr>
        <w:t xml:space="preserve">suggested taking these two items together, given the overlap between them.  EA emphasised that the feasibility of undertaking the COTE maintenance work and the use of the 2017 </w:t>
      </w:r>
      <w:proofErr w:type="spellStart"/>
      <w:r w:rsidR="00C0738B">
        <w:rPr>
          <w:rFonts w:ascii="Arial" w:hAnsi="Arial" w:cs="Arial"/>
        </w:rPr>
        <w:t>MYE</w:t>
      </w:r>
      <w:proofErr w:type="spellEnd"/>
      <w:r w:rsidR="00C0738B">
        <w:rPr>
          <w:rFonts w:ascii="Arial" w:hAnsi="Arial" w:cs="Arial"/>
        </w:rPr>
        <w:t xml:space="preserve"> depended on pushing back the </w:t>
      </w:r>
      <w:r w:rsidR="001F293E">
        <w:rPr>
          <w:rFonts w:ascii="Arial" w:hAnsi="Arial" w:cs="Arial"/>
        </w:rPr>
        <w:t xml:space="preserve">target shares </w:t>
      </w:r>
      <w:r w:rsidR="00C0738B">
        <w:rPr>
          <w:rFonts w:ascii="Arial" w:hAnsi="Arial" w:cs="Arial"/>
        </w:rPr>
        <w:t xml:space="preserve">publication date to January 2019.  </w:t>
      </w:r>
      <w:r w:rsidR="006943F0">
        <w:rPr>
          <w:rFonts w:ascii="Arial" w:hAnsi="Arial" w:cs="Arial"/>
        </w:rPr>
        <w:t>AC</w:t>
      </w:r>
      <w:r w:rsidR="001F293E">
        <w:rPr>
          <w:rFonts w:ascii="Arial" w:hAnsi="Arial" w:cs="Arial"/>
        </w:rPr>
        <w:t xml:space="preserve"> asked Alan Ferrier (AF) if he could confirm the date at which the 2017 </w:t>
      </w:r>
      <w:proofErr w:type="spellStart"/>
      <w:r w:rsidR="001F293E">
        <w:rPr>
          <w:rFonts w:ascii="Arial" w:hAnsi="Arial" w:cs="Arial"/>
        </w:rPr>
        <w:t>MYE</w:t>
      </w:r>
      <w:proofErr w:type="spellEnd"/>
      <w:r w:rsidR="001F293E">
        <w:rPr>
          <w:rFonts w:ascii="Arial" w:hAnsi="Arial" w:cs="Arial"/>
        </w:rPr>
        <w:t xml:space="preserve"> estimates become available at the data zone level.  </w:t>
      </w:r>
    </w:p>
    <w:p w:rsidR="001F2606" w:rsidRDefault="001F2606" w:rsidP="00032ABD">
      <w:pPr>
        <w:spacing w:after="0" w:line="240" w:lineRule="auto"/>
        <w:jc w:val="both"/>
        <w:rPr>
          <w:rFonts w:ascii="Arial" w:hAnsi="Arial" w:cs="Arial"/>
        </w:rPr>
      </w:pPr>
    </w:p>
    <w:p w:rsidR="001F293E" w:rsidRPr="001F293E" w:rsidRDefault="001F293E" w:rsidP="00032ABD">
      <w:pPr>
        <w:spacing w:after="0" w:line="240" w:lineRule="auto"/>
        <w:jc w:val="both"/>
        <w:rPr>
          <w:rFonts w:ascii="Arial" w:hAnsi="Arial" w:cs="Arial"/>
          <w:b/>
        </w:rPr>
      </w:pPr>
      <w:r w:rsidRPr="001F293E">
        <w:rPr>
          <w:rFonts w:ascii="Arial" w:hAnsi="Arial" w:cs="Arial"/>
          <w:b/>
        </w:rPr>
        <w:t xml:space="preserve">Action: AF to </w:t>
      </w:r>
      <w:r w:rsidR="001F2606">
        <w:rPr>
          <w:rFonts w:ascii="Arial" w:hAnsi="Arial" w:cs="Arial"/>
          <w:b/>
        </w:rPr>
        <w:t>confirm</w:t>
      </w:r>
      <w:r w:rsidRPr="001F293E">
        <w:rPr>
          <w:rFonts w:ascii="Arial" w:hAnsi="Arial" w:cs="Arial"/>
          <w:b/>
        </w:rPr>
        <w:t xml:space="preserve"> the date at which 2017 data zone level </w:t>
      </w:r>
      <w:proofErr w:type="spellStart"/>
      <w:r w:rsidRPr="001F293E">
        <w:rPr>
          <w:rFonts w:ascii="Arial" w:hAnsi="Arial" w:cs="Arial"/>
          <w:b/>
        </w:rPr>
        <w:t>MYE</w:t>
      </w:r>
      <w:proofErr w:type="spellEnd"/>
      <w:r w:rsidRPr="001F293E">
        <w:rPr>
          <w:rFonts w:ascii="Arial" w:hAnsi="Arial" w:cs="Arial"/>
          <w:b/>
        </w:rPr>
        <w:t xml:space="preserve"> become available. </w:t>
      </w:r>
    </w:p>
    <w:p w:rsidR="001F293E" w:rsidRDefault="001F293E" w:rsidP="00032ABD">
      <w:pPr>
        <w:spacing w:after="0" w:line="240" w:lineRule="auto"/>
        <w:jc w:val="both"/>
        <w:rPr>
          <w:rFonts w:ascii="Arial" w:hAnsi="Arial" w:cs="Arial"/>
        </w:rPr>
      </w:pPr>
    </w:p>
    <w:p w:rsidR="001F293E" w:rsidRDefault="001F293E" w:rsidP="00032ABD">
      <w:pPr>
        <w:spacing w:after="0" w:line="240" w:lineRule="auto"/>
        <w:jc w:val="both"/>
        <w:rPr>
          <w:rFonts w:ascii="Arial" w:hAnsi="Arial" w:cs="Arial"/>
        </w:rPr>
      </w:pPr>
      <w:r>
        <w:rPr>
          <w:rFonts w:ascii="Arial" w:hAnsi="Arial" w:cs="Arial"/>
        </w:rPr>
        <w:t>RMC noted that it was helpful to have the sh</w:t>
      </w:r>
      <w:r w:rsidR="00414FCD">
        <w:rPr>
          <w:rFonts w:ascii="Arial" w:hAnsi="Arial" w:cs="Arial"/>
        </w:rPr>
        <w:t>ares in advance of the budget.</w:t>
      </w:r>
      <w:r>
        <w:rPr>
          <w:rFonts w:ascii="Arial" w:hAnsi="Arial" w:cs="Arial"/>
        </w:rPr>
        <w:t xml:space="preserve">  PM noted that the ISD formula resources were cut back after the </w:t>
      </w:r>
      <w:proofErr w:type="spellStart"/>
      <w:r>
        <w:rPr>
          <w:rFonts w:ascii="Arial" w:hAnsi="Arial" w:cs="Arial"/>
        </w:rPr>
        <w:t>AMLC</w:t>
      </w:r>
      <w:proofErr w:type="spellEnd"/>
      <w:r>
        <w:rPr>
          <w:rFonts w:ascii="Arial" w:hAnsi="Arial" w:cs="Arial"/>
        </w:rPr>
        <w:t xml:space="preserve"> review when the formula went into the maintenance phase.  </w:t>
      </w:r>
      <w:r w:rsidR="003F1910">
        <w:rPr>
          <w:rFonts w:ascii="Arial" w:hAnsi="Arial" w:cs="Arial"/>
        </w:rPr>
        <w:t>The general consensus</w:t>
      </w:r>
      <w:r w:rsidR="00BB56D1">
        <w:rPr>
          <w:rFonts w:ascii="Arial" w:hAnsi="Arial" w:cs="Arial"/>
        </w:rPr>
        <w:t xml:space="preserve"> </w:t>
      </w:r>
      <w:r w:rsidR="003F1910">
        <w:rPr>
          <w:rFonts w:ascii="Arial" w:hAnsi="Arial" w:cs="Arial"/>
        </w:rPr>
        <w:t>was</w:t>
      </w:r>
      <w:r w:rsidR="00BB56D1">
        <w:rPr>
          <w:rFonts w:ascii="Arial" w:hAnsi="Arial" w:cs="Arial"/>
        </w:rPr>
        <w:t xml:space="preserve"> that it would be good to have the latest data</w:t>
      </w:r>
      <w:r w:rsidR="003F1910">
        <w:rPr>
          <w:rFonts w:ascii="Arial" w:hAnsi="Arial" w:cs="Arial"/>
        </w:rPr>
        <w:t xml:space="preserve"> available for the formula run</w:t>
      </w:r>
      <w:r w:rsidR="00BB56D1">
        <w:rPr>
          <w:rFonts w:ascii="Arial" w:hAnsi="Arial" w:cs="Arial"/>
        </w:rPr>
        <w:t xml:space="preserve">. AC noted </w:t>
      </w:r>
      <w:r w:rsidR="000C0165">
        <w:rPr>
          <w:rFonts w:ascii="Arial" w:hAnsi="Arial" w:cs="Arial"/>
        </w:rPr>
        <w:t>members’</w:t>
      </w:r>
      <w:r w:rsidR="00BB56D1">
        <w:rPr>
          <w:rFonts w:ascii="Arial" w:hAnsi="Arial" w:cs="Arial"/>
        </w:rPr>
        <w:t xml:space="preserve"> views and suggested that AST co</w:t>
      </w:r>
      <w:r w:rsidR="00CC7BC2">
        <w:rPr>
          <w:rFonts w:ascii="Arial" w:hAnsi="Arial" w:cs="Arial"/>
        </w:rPr>
        <w:t>uld decide in conjunction with F</w:t>
      </w:r>
      <w:r w:rsidR="00BB56D1">
        <w:rPr>
          <w:rFonts w:ascii="Arial" w:hAnsi="Arial" w:cs="Arial"/>
        </w:rPr>
        <w:t>inance.</w:t>
      </w:r>
    </w:p>
    <w:p w:rsidR="00BB56D1" w:rsidRDefault="00BB56D1" w:rsidP="00032ABD">
      <w:pPr>
        <w:spacing w:after="0" w:line="240" w:lineRule="auto"/>
        <w:jc w:val="both"/>
        <w:rPr>
          <w:rFonts w:ascii="Arial" w:hAnsi="Arial" w:cs="Arial"/>
        </w:rPr>
      </w:pPr>
    </w:p>
    <w:p w:rsidR="00BB56D1" w:rsidRPr="00BB56D1" w:rsidRDefault="00BB56D1" w:rsidP="00032ABD">
      <w:pPr>
        <w:spacing w:after="0" w:line="240" w:lineRule="auto"/>
        <w:jc w:val="both"/>
        <w:rPr>
          <w:rFonts w:ascii="Arial" w:hAnsi="Arial" w:cs="Arial"/>
          <w:b/>
        </w:rPr>
      </w:pPr>
      <w:r w:rsidRPr="00BB56D1">
        <w:rPr>
          <w:rFonts w:ascii="Arial" w:hAnsi="Arial" w:cs="Arial"/>
          <w:b/>
        </w:rPr>
        <w:t>Action: AST/Finance to take</w:t>
      </w:r>
      <w:r w:rsidR="00E71392">
        <w:rPr>
          <w:rFonts w:ascii="Arial" w:hAnsi="Arial" w:cs="Arial"/>
          <w:b/>
        </w:rPr>
        <w:t xml:space="preserve"> the</w:t>
      </w:r>
      <w:r w:rsidRPr="00BB56D1">
        <w:rPr>
          <w:rFonts w:ascii="Arial" w:hAnsi="Arial" w:cs="Arial"/>
          <w:b/>
        </w:rPr>
        <w:t xml:space="preserve"> decision on timing of formula run, in the light of the discussions</w:t>
      </w:r>
      <w:r w:rsidR="003F1910">
        <w:rPr>
          <w:rFonts w:ascii="Arial" w:hAnsi="Arial" w:cs="Arial"/>
          <w:b/>
        </w:rPr>
        <w:t xml:space="preserve"> and the timing of the availability of data</w:t>
      </w:r>
      <w:r w:rsidRPr="00BB56D1">
        <w:rPr>
          <w:rFonts w:ascii="Arial" w:hAnsi="Arial" w:cs="Arial"/>
          <w:b/>
        </w:rPr>
        <w:t xml:space="preserve">. </w:t>
      </w:r>
    </w:p>
    <w:p w:rsidR="00BB56D1" w:rsidRPr="00BB56D1" w:rsidRDefault="00BB56D1" w:rsidP="00032ABD">
      <w:pPr>
        <w:spacing w:after="0" w:line="240" w:lineRule="auto"/>
        <w:jc w:val="both"/>
        <w:rPr>
          <w:rFonts w:ascii="Arial" w:hAnsi="Arial" w:cs="Arial"/>
          <w:b/>
        </w:rPr>
      </w:pPr>
    </w:p>
    <w:p w:rsidR="00BB56D1" w:rsidRDefault="00CC7BC2" w:rsidP="008728CB">
      <w:pPr>
        <w:spacing w:after="0" w:line="240" w:lineRule="auto"/>
        <w:jc w:val="both"/>
        <w:rPr>
          <w:rFonts w:ascii="Arial" w:hAnsi="Arial" w:cs="Arial"/>
        </w:rPr>
      </w:pPr>
      <w:r>
        <w:rPr>
          <w:rFonts w:ascii="Arial" w:hAnsi="Arial" w:cs="Arial"/>
        </w:rPr>
        <w:t>A point was made that there</w:t>
      </w:r>
      <w:r w:rsidR="00E71392">
        <w:rPr>
          <w:rFonts w:ascii="Arial" w:hAnsi="Arial" w:cs="Arial"/>
        </w:rPr>
        <w:t xml:space="preserve"> were</w:t>
      </w:r>
      <w:r>
        <w:rPr>
          <w:rFonts w:ascii="Arial" w:hAnsi="Arial" w:cs="Arial"/>
        </w:rPr>
        <w:t xml:space="preserve"> concerns</w:t>
      </w:r>
      <w:r w:rsidR="008728CB">
        <w:rPr>
          <w:rFonts w:ascii="Arial" w:hAnsi="Arial" w:cs="Arial"/>
        </w:rPr>
        <w:t xml:space="preserve"> around population aging vs socio-economic circumstances, such that it may be appropriate to go beyond maintenance to address deeper concerns.  </w:t>
      </w:r>
      <w:r w:rsidR="00E71392">
        <w:rPr>
          <w:rFonts w:ascii="Arial" w:hAnsi="Arial" w:cs="Arial"/>
        </w:rPr>
        <w:t>AC</w:t>
      </w:r>
      <w:r w:rsidR="008728CB">
        <w:rPr>
          <w:rFonts w:ascii="Arial" w:hAnsi="Arial" w:cs="Arial"/>
        </w:rPr>
        <w:t xml:space="preserve"> noted that one potential methodological improvement would be to estimate the age/sex effect and MLC simultaneously</w:t>
      </w:r>
      <w:r w:rsidR="000C0165">
        <w:rPr>
          <w:rFonts w:ascii="Arial" w:hAnsi="Arial" w:cs="Arial"/>
        </w:rPr>
        <w:t xml:space="preserve">, </w:t>
      </w:r>
      <w:r w:rsidR="005433DA">
        <w:rPr>
          <w:rFonts w:ascii="Arial" w:hAnsi="Arial" w:cs="Arial"/>
        </w:rPr>
        <w:t xml:space="preserve">an approach </w:t>
      </w:r>
      <w:r w:rsidR="000C0165">
        <w:rPr>
          <w:rFonts w:ascii="Arial" w:hAnsi="Arial" w:cs="Arial"/>
        </w:rPr>
        <w:t xml:space="preserve">which </w:t>
      </w:r>
      <w:r w:rsidR="005433DA">
        <w:rPr>
          <w:rFonts w:ascii="Arial" w:hAnsi="Arial" w:cs="Arial"/>
        </w:rPr>
        <w:t>had been</w:t>
      </w:r>
      <w:r w:rsidR="000C0165">
        <w:rPr>
          <w:rFonts w:ascii="Arial" w:hAnsi="Arial" w:cs="Arial"/>
        </w:rPr>
        <w:t xml:space="preserve"> adopted for the new </w:t>
      </w:r>
      <w:proofErr w:type="spellStart"/>
      <w:r w:rsidR="000C0165">
        <w:rPr>
          <w:rFonts w:ascii="Arial" w:hAnsi="Arial" w:cs="Arial"/>
        </w:rPr>
        <w:t>SAF</w:t>
      </w:r>
      <w:proofErr w:type="spellEnd"/>
      <w:r w:rsidR="008728CB">
        <w:rPr>
          <w:rFonts w:ascii="Arial" w:hAnsi="Arial" w:cs="Arial"/>
        </w:rPr>
        <w:t xml:space="preserve">.  </w:t>
      </w:r>
      <w:r w:rsidR="005433DA">
        <w:rPr>
          <w:rFonts w:ascii="Arial" w:hAnsi="Arial" w:cs="Arial"/>
        </w:rPr>
        <w:t>It was</w:t>
      </w:r>
      <w:r w:rsidR="008728CB">
        <w:rPr>
          <w:rFonts w:ascii="Arial" w:hAnsi="Arial" w:cs="Arial"/>
        </w:rPr>
        <w:t xml:space="preserve"> suggested that there would be merit in dialogue with health boards to help inform the maintenance choices of TAGRA.  RMC agreed that, if </w:t>
      </w:r>
      <w:r w:rsidR="005433DA">
        <w:rPr>
          <w:rFonts w:ascii="Arial" w:hAnsi="Arial" w:cs="Arial"/>
        </w:rPr>
        <w:t xml:space="preserve">additional work were necessary </w:t>
      </w:r>
      <w:r w:rsidR="00E71392">
        <w:rPr>
          <w:rFonts w:ascii="Arial" w:hAnsi="Arial" w:cs="Arial"/>
        </w:rPr>
        <w:t>it should be picked up</w:t>
      </w:r>
      <w:r w:rsidR="008728CB">
        <w:rPr>
          <w:rFonts w:ascii="Arial" w:hAnsi="Arial" w:cs="Arial"/>
        </w:rPr>
        <w:t xml:space="preserve">. </w:t>
      </w:r>
    </w:p>
    <w:p w:rsidR="008728CB" w:rsidRDefault="008728CB" w:rsidP="008728CB">
      <w:pPr>
        <w:spacing w:after="0" w:line="240" w:lineRule="auto"/>
        <w:jc w:val="both"/>
        <w:rPr>
          <w:rFonts w:ascii="Arial" w:hAnsi="Arial" w:cs="Arial"/>
        </w:rPr>
      </w:pPr>
    </w:p>
    <w:p w:rsidR="008728CB" w:rsidRPr="008728CB" w:rsidRDefault="008728CB" w:rsidP="008728CB">
      <w:pPr>
        <w:spacing w:after="0" w:line="240" w:lineRule="auto"/>
        <w:jc w:val="both"/>
        <w:rPr>
          <w:rFonts w:ascii="Arial" w:hAnsi="Arial" w:cs="Arial"/>
          <w:b/>
        </w:rPr>
      </w:pPr>
      <w:r w:rsidRPr="008728CB">
        <w:rPr>
          <w:rFonts w:ascii="Arial" w:hAnsi="Arial" w:cs="Arial"/>
          <w:b/>
        </w:rPr>
        <w:t>Action</w:t>
      </w:r>
      <w:r w:rsidR="00221BAF">
        <w:rPr>
          <w:rFonts w:ascii="Arial" w:hAnsi="Arial" w:cs="Arial"/>
          <w:b/>
        </w:rPr>
        <w:t>:</w:t>
      </w:r>
      <w:r w:rsidRPr="008728CB">
        <w:rPr>
          <w:rFonts w:ascii="Arial" w:hAnsi="Arial" w:cs="Arial"/>
          <w:b/>
        </w:rPr>
        <w:t xml:space="preserve"> RMC to discuss with the Director</w:t>
      </w:r>
      <w:r w:rsidR="00F32ED8">
        <w:rPr>
          <w:rFonts w:ascii="Arial" w:hAnsi="Arial" w:cs="Arial"/>
          <w:b/>
        </w:rPr>
        <w:t>s</w:t>
      </w:r>
      <w:r w:rsidRPr="008728CB">
        <w:rPr>
          <w:rFonts w:ascii="Arial" w:hAnsi="Arial" w:cs="Arial"/>
          <w:b/>
        </w:rPr>
        <w:t xml:space="preserve"> of Health Finance.  </w:t>
      </w:r>
    </w:p>
    <w:p w:rsidR="008728CB" w:rsidRDefault="008728CB" w:rsidP="008728CB">
      <w:pPr>
        <w:spacing w:after="0" w:line="240" w:lineRule="auto"/>
        <w:jc w:val="both"/>
        <w:rPr>
          <w:rFonts w:ascii="Arial" w:hAnsi="Arial" w:cs="Arial"/>
        </w:rPr>
      </w:pPr>
    </w:p>
    <w:p w:rsidR="008728CB" w:rsidRDefault="008728CB" w:rsidP="008728CB">
      <w:pPr>
        <w:tabs>
          <w:tab w:val="num" w:pos="1080"/>
        </w:tabs>
        <w:spacing w:after="0" w:line="240" w:lineRule="auto"/>
        <w:jc w:val="both"/>
        <w:rPr>
          <w:rFonts w:ascii="Arial" w:hAnsi="Arial" w:cs="Arial"/>
          <w:b/>
        </w:rPr>
      </w:pPr>
      <w:r>
        <w:rPr>
          <w:rFonts w:ascii="Arial" w:hAnsi="Arial" w:cs="Arial"/>
          <w:b/>
        </w:rPr>
        <w:t xml:space="preserve">AGENDA ITEM 8 </w:t>
      </w:r>
      <w:r w:rsidRPr="0002430E">
        <w:rPr>
          <w:rFonts w:ascii="Arial" w:hAnsi="Arial" w:cs="Arial"/>
          <w:b/>
        </w:rPr>
        <w:t>–</w:t>
      </w:r>
      <w:r>
        <w:rPr>
          <w:rFonts w:ascii="Arial" w:hAnsi="Arial" w:cs="Arial"/>
          <w:b/>
        </w:rPr>
        <w:t xml:space="preserve"> Publication of </w:t>
      </w:r>
      <w:proofErr w:type="spellStart"/>
      <w:r>
        <w:rPr>
          <w:rFonts w:ascii="Arial" w:hAnsi="Arial" w:cs="Arial"/>
          <w:b/>
        </w:rPr>
        <w:t>HSCP</w:t>
      </w:r>
      <w:proofErr w:type="spellEnd"/>
      <w:r>
        <w:rPr>
          <w:rFonts w:ascii="Arial" w:hAnsi="Arial" w:cs="Arial"/>
          <w:b/>
        </w:rPr>
        <w:t xml:space="preserve"> shares – TAGRA(2018)04 </w:t>
      </w:r>
    </w:p>
    <w:p w:rsidR="006943F0" w:rsidRDefault="006943F0" w:rsidP="008728CB">
      <w:pPr>
        <w:spacing w:after="0" w:line="240" w:lineRule="auto"/>
        <w:jc w:val="both"/>
        <w:rPr>
          <w:rFonts w:ascii="Arial" w:hAnsi="Arial" w:cs="Arial"/>
        </w:rPr>
      </w:pPr>
    </w:p>
    <w:p w:rsidR="008728CB" w:rsidRDefault="006943F0" w:rsidP="008728CB">
      <w:pPr>
        <w:spacing w:after="0" w:line="240" w:lineRule="auto"/>
        <w:jc w:val="both"/>
        <w:rPr>
          <w:rFonts w:ascii="Arial" w:hAnsi="Arial" w:cs="Arial"/>
        </w:rPr>
      </w:pPr>
      <w:r>
        <w:rPr>
          <w:rFonts w:ascii="Arial" w:hAnsi="Arial" w:cs="Arial"/>
        </w:rPr>
        <w:t>AC</w:t>
      </w:r>
      <w:r w:rsidR="001A1362">
        <w:rPr>
          <w:rFonts w:ascii="Arial" w:hAnsi="Arial" w:cs="Arial"/>
        </w:rPr>
        <w:t xml:space="preserve"> explained that there had been requests for </w:t>
      </w:r>
      <w:proofErr w:type="spellStart"/>
      <w:r w:rsidR="001A1362">
        <w:rPr>
          <w:rFonts w:ascii="Arial" w:hAnsi="Arial" w:cs="Arial"/>
        </w:rPr>
        <w:t>NRAC</w:t>
      </w:r>
      <w:proofErr w:type="spellEnd"/>
      <w:r w:rsidR="001A1362">
        <w:rPr>
          <w:rFonts w:ascii="Arial" w:hAnsi="Arial" w:cs="Arial"/>
        </w:rPr>
        <w:t xml:space="preserve"> target shares specified at the </w:t>
      </w:r>
      <w:proofErr w:type="spellStart"/>
      <w:r w:rsidR="001A1362">
        <w:rPr>
          <w:rFonts w:ascii="Arial" w:hAnsi="Arial" w:cs="Arial"/>
        </w:rPr>
        <w:t>HSCP</w:t>
      </w:r>
      <w:proofErr w:type="spellEnd"/>
      <w:r w:rsidR="001A1362">
        <w:rPr>
          <w:rFonts w:ascii="Arial" w:hAnsi="Arial" w:cs="Arial"/>
        </w:rPr>
        <w:t xml:space="preserve">  level of geography.  In principle that would be straightforward to produce, but there are two potential issues for TAGRA to discuss: first, the treatment of the prescribing element which is based on practice populations – should they be included in the </w:t>
      </w:r>
      <w:proofErr w:type="spellStart"/>
      <w:r w:rsidR="001A1362">
        <w:rPr>
          <w:rFonts w:ascii="Arial" w:hAnsi="Arial" w:cs="Arial"/>
        </w:rPr>
        <w:t>HSCP</w:t>
      </w:r>
      <w:proofErr w:type="spellEnd"/>
      <w:r w:rsidR="001A1362">
        <w:rPr>
          <w:rFonts w:ascii="Arial" w:hAnsi="Arial" w:cs="Arial"/>
        </w:rPr>
        <w:t xml:space="preserve"> of the patients’ residences or in the </w:t>
      </w:r>
      <w:proofErr w:type="spellStart"/>
      <w:r w:rsidR="001A1362">
        <w:rPr>
          <w:rFonts w:ascii="Arial" w:hAnsi="Arial" w:cs="Arial"/>
        </w:rPr>
        <w:t>HSCP</w:t>
      </w:r>
      <w:proofErr w:type="spellEnd"/>
      <w:r w:rsidR="001A1362">
        <w:rPr>
          <w:rFonts w:ascii="Arial" w:hAnsi="Arial" w:cs="Arial"/>
        </w:rPr>
        <w:t xml:space="preserve"> of the location of the practice (as with </w:t>
      </w:r>
      <w:proofErr w:type="spellStart"/>
      <w:r w:rsidR="001A1362">
        <w:rPr>
          <w:rFonts w:ascii="Arial" w:hAnsi="Arial" w:cs="Arial"/>
        </w:rPr>
        <w:t>NRAC</w:t>
      </w:r>
      <w:proofErr w:type="spellEnd"/>
      <w:r w:rsidR="001A1362">
        <w:rPr>
          <w:rFonts w:ascii="Arial" w:hAnsi="Arial" w:cs="Arial"/>
        </w:rPr>
        <w:t xml:space="preserve">); second, how to express the OOH adjustment for the IA geography (as it is currently provided by PSD at the board level).  </w:t>
      </w:r>
    </w:p>
    <w:p w:rsidR="001A1362" w:rsidRDefault="001A1362" w:rsidP="008728CB">
      <w:pPr>
        <w:spacing w:after="0" w:line="240" w:lineRule="auto"/>
        <w:jc w:val="both"/>
        <w:rPr>
          <w:rFonts w:ascii="Arial" w:hAnsi="Arial" w:cs="Arial"/>
        </w:rPr>
      </w:pPr>
    </w:p>
    <w:p w:rsidR="001A1362" w:rsidRDefault="005433DA" w:rsidP="008728CB">
      <w:pPr>
        <w:spacing w:after="0" w:line="240" w:lineRule="auto"/>
        <w:jc w:val="both"/>
        <w:rPr>
          <w:rFonts w:ascii="Arial" w:hAnsi="Arial" w:cs="Arial"/>
        </w:rPr>
      </w:pPr>
      <w:r>
        <w:rPr>
          <w:rFonts w:ascii="Arial" w:hAnsi="Arial" w:cs="Arial"/>
        </w:rPr>
        <w:t>TY</w:t>
      </w:r>
      <w:r w:rsidR="001A1362">
        <w:rPr>
          <w:rFonts w:ascii="Arial" w:hAnsi="Arial" w:cs="Arial"/>
        </w:rPr>
        <w:t xml:space="preserve"> noted that she had had assurance from PSD that they could provide the data at the IA level. </w:t>
      </w:r>
    </w:p>
    <w:p w:rsidR="000C0165" w:rsidRDefault="000C0165" w:rsidP="008728CB">
      <w:pPr>
        <w:spacing w:after="0" w:line="240" w:lineRule="auto"/>
        <w:jc w:val="both"/>
        <w:rPr>
          <w:rFonts w:ascii="Arial" w:hAnsi="Arial" w:cs="Arial"/>
        </w:rPr>
      </w:pPr>
    </w:p>
    <w:p w:rsidR="001A1362" w:rsidRDefault="001A1362" w:rsidP="008728CB">
      <w:pPr>
        <w:spacing w:after="0" w:line="240" w:lineRule="auto"/>
        <w:jc w:val="both"/>
        <w:rPr>
          <w:rFonts w:ascii="Arial" w:hAnsi="Arial" w:cs="Arial"/>
        </w:rPr>
      </w:pPr>
      <w:r>
        <w:rPr>
          <w:rFonts w:ascii="Arial" w:hAnsi="Arial" w:cs="Arial"/>
        </w:rPr>
        <w:t xml:space="preserve">There was general agreement to publish the </w:t>
      </w:r>
      <w:proofErr w:type="spellStart"/>
      <w:r>
        <w:rPr>
          <w:rFonts w:ascii="Arial" w:hAnsi="Arial" w:cs="Arial"/>
        </w:rPr>
        <w:t>HSCP</w:t>
      </w:r>
      <w:proofErr w:type="spellEnd"/>
      <w:r>
        <w:rPr>
          <w:rFonts w:ascii="Arial" w:hAnsi="Arial" w:cs="Arial"/>
        </w:rPr>
        <w:t xml:space="preserve"> shares on</w:t>
      </w:r>
      <w:r w:rsidR="000C0165">
        <w:rPr>
          <w:rFonts w:ascii="Arial" w:hAnsi="Arial" w:cs="Arial"/>
        </w:rPr>
        <w:t xml:space="preserve"> the</w:t>
      </w:r>
      <w:r>
        <w:rPr>
          <w:rFonts w:ascii="Arial" w:hAnsi="Arial" w:cs="Arial"/>
        </w:rPr>
        <w:t xml:space="preserve"> basis</w:t>
      </w:r>
      <w:r w:rsidR="00414FCD">
        <w:rPr>
          <w:rFonts w:ascii="Arial" w:hAnsi="Arial" w:cs="Arial"/>
        </w:rPr>
        <w:t xml:space="preserve"> of </w:t>
      </w:r>
      <w:r w:rsidR="000C0165">
        <w:rPr>
          <w:rFonts w:ascii="Arial" w:hAnsi="Arial" w:cs="Arial"/>
        </w:rPr>
        <w:t xml:space="preserve">OOH shares calculated by </w:t>
      </w:r>
      <w:proofErr w:type="spellStart"/>
      <w:r w:rsidR="000C0165">
        <w:rPr>
          <w:rFonts w:ascii="Arial" w:hAnsi="Arial" w:cs="Arial"/>
        </w:rPr>
        <w:t>HSCP</w:t>
      </w:r>
      <w:proofErr w:type="spellEnd"/>
      <w:r w:rsidR="000C0165">
        <w:rPr>
          <w:rFonts w:ascii="Arial" w:hAnsi="Arial" w:cs="Arial"/>
        </w:rPr>
        <w:t xml:space="preserve"> area and lists allocated to </w:t>
      </w:r>
      <w:proofErr w:type="spellStart"/>
      <w:r w:rsidR="000C0165">
        <w:rPr>
          <w:rFonts w:ascii="Arial" w:hAnsi="Arial" w:cs="Arial"/>
        </w:rPr>
        <w:t>HSCP</w:t>
      </w:r>
      <w:proofErr w:type="spellEnd"/>
      <w:r w:rsidR="000C0165">
        <w:rPr>
          <w:rFonts w:ascii="Arial" w:hAnsi="Arial" w:cs="Arial"/>
        </w:rPr>
        <w:t xml:space="preserve"> by location of the practice</w:t>
      </w:r>
      <w:r>
        <w:rPr>
          <w:rFonts w:ascii="Arial" w:hAnsi="Arial" w:cs="Arial"/>
        </w:rPr>
        <w:t xml:space="preserve">.  </w:t>
      </w:r>
    </w:p>
    <w:p w:rsidR="001A1362" w:rsidRDefault="001A1362" w:rsidP="008728CB">
      <w:pPr>
        <w:spacing w:after="0" w:line="240" w:lineRule="auto"/>
        <w:jc w:val="both"/>
        <w:rPr>
          <w:rFonts w:ascii="Arial" w:hAnsi="Arial" w:cs="Arial"/>
        </w:rPr>
      </w:pPr>
    </w:p>
    <w:p w:rsidR="001A1362" w:rsidRDefault="001A1362" w:rsidP="001A1362">
      <w:pPr>
        <w:tabs>
          <w:tab w:val="num" w:pos="1080"/>
        </w:tabs>
        <w:spacing w:after="0" w:line="240" w:lineRule="auto"/>
        <w:jc w:val="both"/>
        <w:rPr>
          <w:rFonts w:ascii="Arial" w:hAnsi="Arial" w:cs="Arial"/>
          <w:b/>
        </w:rPr>
      </w:pPr>
      <w:r>
        <w:rPr>
          <w:rFonts w:ascii="Arial" w:hAnsi="Arial" w:cs="Arial"/>
          <w:b/>
        </w:rPr>
        <w:t xml:space="preserve">AGENDA ITEM 9 </w:t>
      </w:r>
      <w:r w:rsidRPr="0002430E">
        <w:rPr>
          <w:rFonts w:ascii="Arial" w:hAnsi="Arial" w:cs="Arial"/>
          <w:b/>
        </w:rPr>
        <w:t>–</w:t>
      </w:r>
      <w:r>
        <w:rPr>
          <w:rFonts w:ascii="Arial" w:hAnsi="Arial" w:cs="Arial"/>
          <w:b/>
        </w:rPr>
        <w:t xml:space="preserve"> Forward look: </w:t>
      </w:r>
      <w:r w:rsidR="00075B49">
        <w:rPr>
          <w:rFonts w:ascii="Arial" w:hAnsi="Arial" w:cs="Arial"/>
          <w:b/>
        </w:rPr>
        <w:t>regionalisation</w:t>
      </w:r>
      <w:r>
        <w:rPr>
          <w:rFonts w:ascii="Arial" w:hAnsi="Arial" w:cs="Arial"/>
          <w:b/>
        </w:rPr>
        <w:t xml:space="preserve">/integration </w:t>
      </w:r>
    </w:p>
    <w:p w:rsidR="001A1362" w:rsidRDefault="001A1362" w:rsidP="008728CB">
      <w:pPr>
        <w:spacing w:after="0" w:line="240" w:lineRule="auto"/>
        <w:jc w:val="both"/>
        <w:rPr>
          <w:rFonts w:ascii="Arial" w:hAnsi="Arial" w:cs="Arial"/>
        </w:rPr>
      </w:pPr>
    </w:p>
    <w:p w:rsidR="001A1362" w:rsidRDefault="006943F0" w:rsidP="008728CB">
      <w:pPr>
        <w:spacing w:after="0" w:line="240" w:lineRule="auto"/>
        <w:jc w:val="both"/>
        <w:rPr>
          <w:rFonts w:ascii="Arial" w:hAnsi="Arial" w:cs="Arial"/>
        </w:rPr>
      </w:pPr>
      <w:r>
        <w:rPr>
          <w:rFonts w:ascii="Arial" w:hAnsi="Arial" w:cs="Arial"/>
        </w:rPr>
        <w:t>AC</w:t>
      </w:r>
      <w:r w:rsidR="00194D38">
        <w:rPr>
          <w:rFonts w:ascii="Arial" w:hAnsi="Arial" w:cs="Arial"/>
        </w:rPr>
        <w:t xml:space="preserve"> stated that </w:t>
      </w:r>
      <w:r w:rsidR="000C0165">
        <w:rPr>
          <w:rFonts w:ascii="Arial" w:hAnsi="Arial" w:cs="Arial"/>
        </w:rPr>
        <w:t xml:space="preserve">the rationale for </w:t>
      </w:r>
      <w:r w:rsidR="00194D38">
        <w:rPr>
          <w:rFonts w:ascii="Arial" w:hAnsi="Arial" w:cs="Arial"/>
        </w:rPr>
        <w:t xml:space="preserve">this item was to offer an opportunity for members to reflect the potential implications </w:t>
      </w:r>
      <w:r w:rsidR="000C0165">
        <w:rPr>
          <w:rFonts w:ascii="Arial" w:hAnsi="Arial" w:cs="Arial"/>
        </w:rPr>
        <w:t xml:space="preserve">for the formula </w:t>
      </w:r>
      <w:r w:rsidR="00194D38">
        <w:rPr>
          <w:rFonts w:ascii="Arial" w:hAnsi="Arial" w:cs="Arial"/>
        </w:rPr>
        <w:t>of changes in the structure of service provision and note</w:t>
      </w:r>
      <w:r w:rsidR="000C0165">
        <w:rPr>
          <w:rFonts w:ascii="Arial" w:hAnsi="Arial" w:cs="Arial"/>
        </w:rPr>
        <w:t>d</w:t>
      </w:r>
      <w:r w:rsidR="00194D38">
        <w:rPr>
          <w:rFonts w:ascii="Arial" w:hAnsi="Arial" w:cs="Arial"/>
        </w:rPr>
        <w:t xml:space="preserve"> that a number of relevant points have already been</w:t>
      </w:r>
      <w:r w:rsidR="000C0165">
        <w:rPr>
          <w:rFonts w:ascii="Arial" w:hAnsi="Arial" w:cs="Arial"/>
        </w:rPr>
        <w:t xml:space="preserve"> made</w:t>
      </w:r>
      <w:r w:rsidR="00194D38">
        <w:rPr>
          <w:rFonts w:ascii="Arial" w:hAnsi="Arial" w:cs="Arial"/>
        </w:rPr>
        <w:t xml:space="preserve"> during the course of the meeting. </w:t>
      </w:r>
    </w:p>
    <w:p w:rsidR="00194D38" w:rsidRDefault="00194D38" w:rsidP="008728CB">
      <w:pPr>
        <w:spacing w:after="0" w:line="240" w:lineRule="auto"/>
        <w:jc w:val="both"/>
        <w:rPr>
          <w:rFonts w:ascii="Arial" w:hAnsi="Arial" w:cs="Arial"/>
        </w:rPr>
      </w:pPr>
    </w:p>
    <w:p w:rsidR="00194D38" w:rsidRDefault="00194D38" w:rsidP="008728CB">
      <w:pPr>
        <w:spacing w:after="0" w:line="240" w:lineRule="auto"/>
        <w:jc w:val="both"/>
        <w:rPr>
          <w:rFonts w:ascii="Arial" w:hAnsi="Arial" w:cs="Arial"/>
        </w:rPr>
      </w:pPr>
      <w:proofErr w:type="spellStart"/>
      <w:r>
        <w:rPr>
          <w:rFonts w:ascii="Arial" w:hAnsi="Arial" w:cs="Arial"/>
        </w:rPr>
        <w:t>RB</w:t>
      </w:r>
      <w:proofErr w:type="spellEnd"/>
      <w:r>
        <w:rPr>
          <w:rFonts w:ascii="Arial" w:hAnsi="Arial" w:cs="Arial"/>
        </w:rPr>
        <w:t xml:space="preserve"> flagged up the Discovery benchmarking tool, which has a regional presentation with LA geography.  </w:t>
      </w:r>
      <w:proofErr w:type="spellStart"/>
      <w:r>
        <w:rPr>
          <w:rFonts w:ascii="Arial" w:hAnsi="Arial" w:cs="Arial"/>
        </w:rPr>
        <w:t>HSCP</w:t>
      </w:r>
      <w:proofErr w:type="spellEnd"/>
      <w:r>
        <w:rPr>
          <w:rFonts w:ascii="Arial" w:hAnsi="Arial" w:cs="Arial"/>
        </w:rPr>
        <w:t xml:space="preserve"> are not hard coded yet but can be constructed locally.  There will be a road show to showcase the Discovery in Glasgow in October.  </w:t>
      </w:r>
      <w:r w:rsidR="005433DA">
        <w:rPr>
          <w:rFonts w:ascii="Arial" w:hAnsi="Arial" w:cs="Arial"/>
        </w:rPr>
        <w:t xml:space="preserve">In discussion it was noted that </w:t>
      </w:r>
      <w:r>
        <w:rPr>
          <w:rFonts w:ascii="Arial" w:hAnsi="Arial" w:cs="Arial"/>
        </w:rPr>
        <w:t xml:space="preserve"> that regionalisation may have an impact eventually (plans are not published yet) and transformational change is </w:t>
      </w:r>
      <w:r w:rsidR="00821A06">
        <w:rPr>
          <w:rFonts w:ascii="Arial" w:hAnsi="Arial" w:cs="Arial"/>
        </w:rPr>
        <w:t>difficult</w:t>
      </w:r>
      <w:r w:rsidR="00414FCD">
        <w:rPr>
          <w:rFonts w:ascii="Arial" w:hAnsi="Arial" w:cs="Arial"/>
        </w:rPr>
        <w:t xml:space="preserve"> to quantify,</w:t>
      </w:r>
      <w:r>
        <w:rPr>
          <w:rFonts w:ascii="Arial" w:hAnsi="Arial" w:cs="Arial"/>
        </w:rPr>
        <w:t xml:space="preserve"> so we should keep a watching brief</w:t>
      </w:r>
      <w:r w:rsidR="005433DA">
        <w:rPr>
          <w:rFonts w:ascii="Arial" w:hAnsi="Arial" w:cs="Arial"/>
        </w:rPr>
        <w:t>.  And a reference was made to</w:t>
      </w:r>
      <w:r>
        <w:rPr>
          <w:rFonts w:ascii="Arial" w:hAnsi="Arial" w:cs="Arial"/>
        </w:rPr>
        <w:t xml:space="preserve"> the potential complication of differences in parity within regions.  </w:t>
      </w:r>
      <w:r w:rsidR="005433DA">
        <w:rPr>
          <w:rFonts w:ascii="Arial" w:hAnsi="Arial" w:cs="Arial"/>
        </w:rPr>
        <w:t>It was also</w:t>
      </w:r>
      <w:r>
        <w:rPr>
          <w:rFonts w:ascii="Arial" w:hAnsi="Arial" w:cs="Arial"/>
        </w:rPr>
        <w:t xml:space="preserve"> noted that LA allocations use a different set of measures vs </w:t>
      </w:r>
      <w:proofErr w:type="spellStart"/>
      <w:r>
        <w:rPr>
          <w:rFonts w:ascii="Arial" w:hAnsi="Arial" w:cs="Arial"/>
        </w:rPr>
        <w:t>NRAC</w:t>
      </w:r>
      <w:proofErr w:type="spellEnd"/>
      <w:r>
        <w:rPr>
          <w:rFonts w:ascii="Arial" w:hAnsi="Arial" w:cs="Arial"/>
        </w:rPr>
        <w:t xml:space="preserve">.  </w:t>
      </w:r>
      <w:r w:rsidR="00414FCD">
        <w:rPr>
          <w:rFonts w:ascii="Arial" w:hAnsi="Arial" w:cs="Arial"/>
        </w:rPr>
        <w:t xml:space="preserve">AC </w:t>
      </w:r>
      <w:r>
        <w:rPr>
          <w:rFonts w:ascii="Arial" w:hAnsi="Arial" w:cs="Arial"/>
        </w:rPr>
        <w:t xml:space="preserve">explained that the LA service provision was correspondingly different from health service provision, but that we would identify the indicators for members. </w:t>
      </w:r>
    </w:p>
    <w:p w:rsidR="00194D38" w:rsidRDefault="00194D38" w:rsidP="008728CB">
      <w:pPr>
        <w:spacing w:after="0" w:line="240" w:lineRule="auto"/>
        <w:jc w:val="both"/>
        <w:rPr>
          <w:rFonts w:ascii="Arial" w:hAnsi="Arial" w:cs="Arial"/>
        </w:rPr>
      </w:pPr>
    </w:p>
    <w:p w:rsidR="00194D38" w:rsidRDefault="00194D38" w:rsidP="008728CB">
      <w:pPr>
        <w:spacing w:after="0" w:line="240" w:lineRule="auto"/>
        <w:jc w:val="both"/>
        <w:rPr>
          <w:rFonts w:ascii="Arial" w:hAnsi="Arial" w:cs="Arial"/>
          <w:b/>
        </w:rPr>
      </w:pPr>
      <w:r w:rsidRPr="00194D38">
        <w:rPr>
          <w:rFonts w:ascii="Arial" w:hAnsi="Arial" w:cs="Arial"/>
          <w:b/>
        </w:rPr>
        <w:t xml:space="preserve">Action: AST to check the LG </w:t>
      </w:r>
      <w:proofErr w:type="spellStart"/>
      <w:r w:rsidRPr="00194D38">
        <w:rPr>
          <w:rFonts w:ascii="Arial" w:hAnsi="Arial" w:cs="Arial"/>
          <w:b/>
        </w:rPr>
        <w:t>GAE</w:t>
      </w:r>
      <w:proofErr w:type="spellEnd"/>
      <w:r w:rsidRPr="00194D38">
        <w:rPr>
          <w:rFonts w:ascii="Arial" w:hAnsi="Arial" w:cs="Arial"/>
          <w:b/>
        </w:rPr>
        <w:t xml:space="preserve"> indicator. </w:t>
      </w:r>
    </w:p>
    <w:p w:rsidR="005433DA" w:rsidRDefault="005433DA" w:rsidP="008728CB">
      <w:pPr>
        <w:spacing w:after="0" w:line="240" w:lineRule="auto"/>
        <w:jc w:val="both"/>
        <w:rPr>
          <w:rFonts w:ascii="Arial" w:hAnsi="Arial" w:cs="Arial"/>
          <w:b/>
        </w:rPr>
      </w:pPr>
    </w:p>
    <w:p w:rsidR="005433DA" w:rsidRDefault="005433DA" w:rsidP="008728CB">
      <w:pPr>
        <w:spacing w:after="0" w:line="240" w:lineRule="auto"/>
        <w:jc w:val="both"/>
        <w:rPr>
          <w:rFonts w:ascii="Arial" w:hAnsi="Arial" w:cs="Arial"/>
        </w:rPr>
      </w:pPr>
      <w:r>
        <w:rPr>
          <w:rFonts w:ascii="Arial" w:hAnsi="Arial" w:cs="Arial"/>
          <w:b/>
        </w:rPr>
        <w:t xml:space="preserve">AGENDA ITEM 10 – </w:t>
      </w:r>
      <w:proofErr w:type="spellStart"/>
      <w:r>
        <w:rPr>
          <w:rFonts w:ascii="Arial" w:hAnsi="Arial" w:cs="Arial"/>
          <w:b/>
        </w:rPr>
        <w:t>AOB</w:t>
      </w:r>
      <w:proofErr w:type="spellEnd"/>
    </w:p>
    <w:p w:rsidR="005433DA" w:rsidRPr="005433DA" w:rsidRDefault="005433DA" w:rsidP="008728CB">
      <w:pPr>
        <w:spacing w:after="0" w:line="240" w:lineRule="auto"/>
        <w:jc w:val="both"/>
        <w:rPr>
          <w:rFonts w:ascii="Arial" w:hAnsi="Arial" w:cs="Arial"/>
        </w:rPr>
      </w:pPr>
      <w:r>
        <w:rPr>
          <w:rFonts w:ascii="Arial" w:hAnsi="Arial" w:cs="Arial"/>
        </w:rPr>
        <w:t xml:space="preserve">No other business was raised. </w:t>
      </w:r>
    </w:p>
    <w:sectPr w:rsidR="005433DA" w:rsidRPr="005433DA"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70" w:rsidRDefault="00EF1970">
      <w:pPr>
        <w:spacing w:line="240" w:lineRule="auto"/>
      </w:pPr>
      <w:r>
        <w:separator/>
      </w:r>
    </w:p>
  </w:endnote>
  <w:endnote w:type="continuationSeparator" w:id="0">
    <w:p w:rsidR="00EF1970" w:rsidRDefault="00EF1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46442"/>
      <w:docPartObj>
        <w:docPartGallery w:val="Page Numbers (Bottom of Page)"/>
        <w:docPartUnique/>
      </w:docPartObj>
    </w:sdtPr>
    <w:sdtEndPr>
      <w:rPr>
        <w:rFonts w:ascii="Arial" w:hAnsi="Arial" w:cs="Arial"/>
        <w:noProof/>
      </w:rPr>
    </w:sdtEndPr>
    <w:sdtContent>
      <w:p w:rsidR="00CF7525" w:rsidRPr="00EF0C07" w:rsidRDefault="00C001E0">
        <w:pPr>
          <w:pStyle w:val="Footer"/>
          <w:jc w:val="right"/>
          <w:rPr>
            <w:rFonts w:ascii="Arial" w:hAnsi="Arial" w:cs="Arial"/>
          </w:rPr>
        </w:pPr>
        <w:r w:rsidRPr="00EF0C07">
          <w:rPr>
            <w:rFonts w:ascii="Arial" w:hAnsi="Arial" w:cs="Arial"/>
          </w:rPr>
          <w:fldChar w:fldCharType="begin"/>
        </w:r>
        <w:r w:rsidR="00CF7525" w:rsidRPr="00EF0C07">
          <w:rPr>
            <w:rFonts w:ascii="Arial" w:hAnsi="Arial" w:cs="Arial"/>
          </w:rPr>
          <w:instrText xml:space="preserve"> PAGE   \* MERGEFORMAT </w:instrText>
        </w:r>
        <w:r w:rsidRPr="00EF0C07">
          <w:rPr>
            <w:rFonts w:ascii="Arial" w:hAnsi="Arial" w:cs="Arial"/>
          </w:rPr>
          <w:fldChar w:fldCharType="separate"/>
        </w:r>
        <w:r w:rsidR="003B2E67">
          <w:rPr>
            <w:rFonts w:ascii="Arial" w:hAnsi="Arial" w:cs="Arial"/>
            <w:noProof/>
          </w:rPr>
          <w:t>4</w:t>
        </w:r>
        <w:r w:rsidRPr="00EF0C07">
          <w:rPr>
            <w:rFonts w:ascii="Arial" w:hAnsi="Arial" w:cs="Arial"/>
            <w:noProof/>
          </w:rPr>
          <w:fldChar w:fldCharType="end"/>
        </w:r>
      </w:p>
    </w:sdtContent>
  </w:sdt>
  <w:p w:rsidR="00CF7525" w:rsidRPr="0067486A" w:rsidRDefault="00CF7525"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70" w:rsidRDefault="00EF1970">
      <w:pPr>
        <w:spacing w:line="240" w:lineRule="auto"/>
      </w:pPr>
      <w:r>
        <w:separator/>
      </w:r>
    </w:p>
  </w:footnote>
  <w:footnote w:type="continuationSeparator" w:id="0">
    <w:p w:rsidR="00EF1970" w:rsidRDefault="00EF1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25" w:rsidRPr="00EF0C07" w:rsidRDefault="00CF7525" w:rsidP="0067486A">
    <w:pPr>
      <w:pStyle w:val="Header"/>
      <w:tabs>
        <w:tab w:val="clear" w:pos="4153"/>
        <w:tab w:val="clear" w:pos="8306"/>
        <w:tab w:val="center" w:pos="4500"/>
        <w:tab w:val="right" w:pos="9000"/>
      </w:tabs>
      <w:rPr>
        <w:rFonts w:ascii="Arial" w:hAnsi="Arial" w:cs="Arial"/>
        <w:sz w:val="20"/>
      </w:rPr>
    </w:pPr>
    <w:r w:rsidRPr="00EF0C07">
      <w:rPr>
        <w:rFonts w:ascii="Arial" w:hAnsi="Arial" w:cs="Arial"/>
        <w:sz w:val="2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3FB6349"/>
    <w:multiLevelType w:val="hybridMultilevel"/>
    <w:tmpl w:val="5776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893F44"/>
    <w:multiLevelType w:val="hybridMultilevel"/>
    <w:tmpl w:val="C180D5DA"/>
    <w:lvl w:ilvl="0" w:tplc="FFFFFFFF">
      <w:start w:val="1"/>
      <w:numFmt w:val="decimal"/>
      <w:lvlText w:val="%1"/>
      <w:lvlJc w:val="left"/>
      <w:pPr>
        <w:tabs>
          <w:tab w:val="num" w:pos="-3600"/>
        </w:tabs>
        <w:ind w:left="-3600" w:hanging="720"/>
      </w:pPr>
      <w:rPr>
        <w:rFonts w:hint="default"/>
      </w:rPr>
    </w:lvl>
    <w:lvl w:ilvl="1" w:tplc="FFFFFFFF">
      <w:start w:val="1"/>
      <w:numFmt w:val="bullet"/>
      <w:lvlText w:val="o"/>
      <w:lvlJc w:val="left"/>
      <w:pPr>
        <w:tabs>
          <w:tab w:val="num" w:pos="-3240"/>
        </w:tabs>
        <w:ind w:left="-3240" w:hanging="360"/>
      </w:pPr>
      <w:rPr>
        <w:rFonts w:ascii="Courier New" w:hAnsi="Courier New" w:cs="Courier New"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360"/>
        </w:tabs>
        <w:ind w:left="-360" w:hanging="180"/>
      </w:pPr>
    </w:lvl>
    <w:lvl w:ilvl="6" w:tplc="FFFFFFFF" w:tentative="1">
      <w:start w:val="1"/>
      <w:numFmt w:val="decimal"/>
      <w:lvlText w:val="%7."/>
      <w:lvlJc w:val="left"/>
      <w:pPr>
        <w:tabs>
          <w:tab w:val="num" w:pos="360"/>
        </w:tabs>
        <w:ind w:left="360" w:hanging="360"/>
      </w:pPr>
    </w:lvl>
    <w:lvl w:ilvl="7" w:tplc="FFFFFFFF" w:tentative="1">
      <w:start w:val="1"/>
      <w:numFmt w:val="lowerLetter"/>
      <w:lvlText w:val="%8."/>
      <w:lvlJc w:val="left"/>
      <w:pPr>
        <w:tabs>
          <w:tab w:val="num" w:pos="1080"/>
        </w:tabs>
        <w:ind w:left="1080" w:hanging="360"/>
      </w:pPr>
    </w:lvl>
    <w:lvl w:ilvl="8" w:tplc="FFFFFFFF" w:tentative="1">
      <w:start w:val="1"/>
      <w:numFmt w:val="lowerRoman"/>
      <w:lvlText w:val="%9."/>
      <w:lvlJc w:val="right"/>
      <w:pPr>
        <w:tabs>
          <w:tab w:val="num" w:pos="1800"/>
        </w:tabs>
        <w:ind w:left="1800" w:hanging="180"/>
      </w:pPr>
    </w:lvl>
  </w:abstractNum>
  <w:abstractNum w:abstractNumId="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6AE2283A"/>
    <w:multiLevelType w:val="hybridMultilevel"/>
    <w:tmpl w:val="C77A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06F06"/>
    <w:multiLevelType w:val="hybridMultilevel"/>
    <w:tmpl w:val="31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1"/>
  </w:num>
  <w:num w:numId="6">
    <w:abstractNumId w:val="1"/>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17"/>
    <w:rsid w:val="00002B17"/>
    <w:rsid w:val="000052FB"/>
    <w:rsid w:val="00011615"/>
    <w:rsid w:val="00014D58"/>
    <w:rsid w:val="000175F8"/>
    <w:rsid w:val="00017EA3"/>
    <w:rsid w:val="00031534"/>
    <w:rsid w:val="00032ABD"/>
    <w:rsid w:val="00032DCF"/>
    <w:rsid w:val="00046D63"/>
    <w:rsid w:val="000506EA"/>
    <w:rsid w:val="00050EF6"/>
    <w:rsid w:val="00056AC5"/>
    <w:rsid w:val="0005760A"/>
    <w:rsid w:val="00075B49"/>
    <w:rsid w:val="0008066B"/>
    <w:rsid w:val="00081E03"/>
    <w:rsid w:val="00087C6C"/>
    <w:rsid w:val="00091349"/>
    <w:rsid w:val="00096B35"/>
    <w:rsid w:val="000A0262"/>
    <w:rsid w:val="000A2BB3"/>
    <w:rsid w:val="000A7884"/>
    <w:rsid w:val="000B1B97"/>
    <w:rsid w:val="000B4778"/>
    <w:rsid w:val="000B724C"/>
    <w:rsid w:val="000B77F0"/>
    <w:rsid w:val="000C0165"/>
    <w:rsid w:val="000C2563"/>
    <w:rsid w:val="000D268F"/>
    <w:rsid w:val="000D4363"/>
    <w:rsid w:val="000E60AE"/>
    <w:rsid w:val="000F3BBB"/>
    <w:rsid w:val="000F443D"/>
    <w:rsid w:val="000F5888"/>
    <w:rsid w:val="000F754C"/>
    <w:rsid w:val="00100021"/>
    <w:rsid w:val="0010303B"/>
    <w:rsid w:val="00103A32"/>
    <w:rsid w:val="00112B61"/>
    <w:rsid w:val="001202B3"/>
    <w:rsid w:val="001267F7"/>
    <w:rsid w:val="001309A7"/>
    <w:rsid w:val="00146587"/>
    <w:rsid w:val="00153061"/>
    <w:rsid w:val="00155793"/>
    <w:rsid w:val="00155D46"/>
    <w:rsid w:val="00157346"/>
    <w:rsid w:val="001631A7"/>
    <w:rsid w:val="00172645"/>
    <w:rsid w:val="001811DC"/>
    <w:rsid w:val="00192DC7"/>
    <w:rsid w:val="00194D38"/>
    <w:rsid w:val="00197505"/>
    <w:rsid w:val="001A1362"/>
    <w:rsid w:val="001A5866"/>
    <w:rsid w:val="001C4368"/>
    <w:rsid w:val="001D4755"/>
    <w:rsid w:val="001E33B6"/>
    <w:rsid w:val="001F2606"/>
    <w:rsid w:val="001F293E"/>
    <w:rsid w:val="00216768"/>
    <w:rsid w:val="00221BAF"/>
    <w:rsid w:val="002309B9"/>
    <w:rsid w:val="00242829"/>
    <w:rsid w:val="00251E9F"/>
    <w:rsid w:val="00255F5A"/>
    <w:rsid w:val="002740F7"/>
    <w:rsid w:val="00275B0A"/>
    <w:rsid w:val="00283F62"/>
    <w:rsid w:val="0029302A"/>
    <w:rsid w:val="002A04B4"/>
    <w:rsid w:val="002A4984"/>
    <w:rsid w:val="002B3202"/>
    <w:rsid w:val="002C5BB1"/>
    <w:rsid w:val="002D357D"/>
    <w:rsid w:val="002E5917"/>
    <w:rsid w:val="002E6681"/>
    <w:rsid w:val="002E75A7"/>
    <w:rsid w:val="002E77EB"/>
    <w:rsid w:val="002F2A78"/>
    <w:rsid w:val="002F2BFA"/>
    <w:rsid w:val="002F3688"/>
    <w:rsid w:val="002F57A2"/>
    <w:rsid w:val="003033BA"/>
    <w:rsid w:val="003040A4"/>
    <w:rsid w:val="00315BF2"/>
    <w:rsid w:val="00322277"/>
    <w:rsid w:val="003314EA"/>
    <w:rsid w:val="003400DF"/>
    <w:rsid w:val="00353E70"/>
    <w:rsid w:val="00354475"/>
    <w:rsid w:val="00356831"/>
    <w:rsid w:val="00360E5B"/>
    <w:rsid w:val="00361F26"/>
    <w:rsid w:val="003657D7"/>
    <w:rsid w:val="00370A03"/>
    <w:rsid w:val="003800A8"/>
    <w:rsid w:val="003806DB"/>
    <w:rsid w:val="003823C0"/>
    <w:rsid w:val="00382B78"/>
    <w:rsid w:val="00383807"/>
    <w:rsid w:val="0039098E"/>
    <w:rsid w:val="003912B5"/>
    <w:rsid w:val="003A61EE"/>
    <w:rsid w:val="003B2E67"/>
    <w:rsid w:val="003B3D8F"/>
    <w:rsid w:val="003B59C7"/>
    <w:rsid w:val="003C4C73"/>
    <w:rsid w:val="003D1531"/>
    <w:rsid w:val="003D371F"/>
    <w:rsid w:val="003D451A"/>
    <w:rsid w:val="003E4FF0"/>
    <w:rsid w:val="003F1910"/>
    <w:rsid w:val="003F2479"/>
    <w:rsid w:val="0040458F"/>
    <w:rsid w:val="00411FC4"/>
    <w:rsid w:val="00412E2F"/>
    <w:rsid w:val="0041307E"/>
    <w:rsid w:val="0041389E"/>
    <w:rsid w:val="00414FCD"/>
    <w:rsid w:val="00432E69"/>
    <w:rsid w:val="004332E5"/>
    <w:rsid w:val="0044539E"/>
    <w:rsid w:val="00460727"/>
    <w:rsid w:val="00460C9D"/>
    <w:rsid w:val="004615E9"/>
    <w:rsid w:val="00464D23"/>
    <w:rsid w:val="00467147"/>
    <w:rsid w:val="004706ED"/>
    <w:rsid w:val="00481123"/>
    <w:rsid w:val="0048298C"/>
    <w:rsid w:val="00484B05"/>
    <w:rsid w:val="00484C79"/>
    <w:rsid w:val="00491844"/>
    <w:rsid w:val="00491853"/>
    <w:rsid w:val="004925EB"/>
    <w:rsid w:val="00497BBD"/>
    <w:rsid w:val="004A2CD4"/>
    <w:rsid w:val="004A4790"/>
    <w:rsid w:val="004B4FAE"/>
    <w:rsid w:val="004C0232"/>
    <w:rsid w:val="004D0144"/>
    <w:rsid w:val="004D087B"/>
    <w:rsid w:val="004D3567"/>
    <w:rsid w:val="004D4718"/>
    <w:rsid w:val="004D49D9"/>
    <w:rsid w:val="004E3891"/>
    <w:rsid w:val="00504D85"/>
    <w:rsid w:val="00510193"/>
    <w:rsid w:val="00515F56"/>
    <w:rsid w:val="00520965"/>
    <w:rsid w:val="00521C10"/>
    <w:rsid w:val="005243BF"/>
    <w:rsid w:val="00525D20"/>
    <w:rsid w:val="00533CC1"/>
    <w:rsid w:val="00540E70"/>
    <w:rsid w:val="00541314"/>
    <w:rsid w:val="00542FCF"/>
    <w:rsid w:val="005433DA"/>
    <w:rsid w:val="005547D4"/>
    <w:rsid w:val="0055788F"/>
    <w:rsid w:val="0056019D"/>
    <w:rsid w:val="005655B9"/>
    <w:rsid w:val="00576AFD"/>
    <w:rsid w:val="005772CD"/>
    <w:rsid w:val="00581367"/>
    <w:rsid w:val="005819BB"/>
    <w:rsid w:val="005832FB"/>
    <w:rsid w:val="005A0190"/>
    <w:rsid w:val="005A3DAC"/>
    <w:rsid w:val="005B2C11"/>
    <w:rsid w:val="005B30CB"/>
    <w:rsid w:val="005B32C9"/>
    <w:rsid w:val="005B38AA"/>
    <w:rsid w:val="005B431C"/>
    <w:rsid w:val="005B4E97"/>
    <w:rsid w:val="005C1226"/>
    <w:rsid w:val="005C2324"/>
    <w:rsid w:val="005C2584"/>
    <w:rsid w:val="005E32B1"/>
    <w:rsid w:val="006024A2"/>
    <w:rsid w:val="006079FC"/>
    <w:rsid w:val="00611720"/>
    <w:rsid w:val="006172D0"/>
    <w:rsid w:val="006217CA"/>
    <w:rsid w:val="00624D4F"/>
    <w:rsid w:val="0062516C"/>
    <w:rsid w:val="00633076"/>
    <w:rsid w:val="00645E8D"/>
    <w:rsid w:val="006576DA"/>
    <w:rsid w:val="00661D07"/>
    <w:rsid w:val="006702FF"/>
    <w:rsid w:val="0067486A"/>
    <w:rsid w:val="00684DC9"/>
    <w:rsid w:val="00692FC5"/>
    <w:rsid w:val="006939AE"/>
    <w:rsid w:val="006943F0"/>
    <w:rsid w:val="0069489C"/>
    <w:rsid w:val="00696343"/>
    <w:rsid w:val="00697116"/>
    <w:rsid w:val="006A0CE7"/>
    <w:rsid w:val="006A4BC3"/>
    <w:rsid w:val="006A55C0"/>
    <w:rsid w:val="006A749A"/>
    <w:rsid w:val="006A7F5B"/>
    <w:rsid w:val="006B2B64"/>
    <w:rsid w:val="006B3BFA"/>
    <w:rsid w:val="006B55AA"/>
    <w:rsid w:val="006C1746"/>
    <w:rsid w:val="006C19F3"/>
    <w:rsid w:val="006C39AE"/>
    <w:rsid w:val="006D044E"/>
    <w:rsid w:val="006D15F0"/>
    <w:rsid w:val="006D26F7"/>
    <w:rsid w:val="006D583B"/>
    <w:rsid w:val="006D59D1"/>
    <w:rsid w:val="006D6E09"/>
    <w:rsid w:val="006E70F7"/>
    <w:rsid w:val="006F0898"/>
    <w:rsid w:val="006F263F"/>
    <w:rsid w:val="00701E25"/>
    <w:rsid w:val="0070284A"/>
    <w:rsid w:val="00705496"/>
    <w:rsid w:val="0070579C"/>
    <w:rsid w:val="00713C6B"/>
    <w:rsid w:val="00713D69"/>
    <w:rsid w:val="00720B73"/>
    <w:rsid w:val="00730029"/>
    <w:rsid w:val="00730CAD"/>
    <w:rsid w:val="007327FB"/>
    <w:rsid w:val="00736D86"/>
    <w:rsid w:val="00747476"/>
    <w:rsid w:val="00753B68"/>
    <w:rsid w:val="00756313"/>
    <w:rsid w:val="007576EE"/>
    <w:rsid w:val="007709B8"/>
    <w:rsid w:val="00771750"/>
    <w:rsid w:val="00790EE0"/>
    <w:rsid w:val="00794B32"/>
    <w:rsid w:val="007B6D95"/>
    <w:rsid w:val="007D14DC"/>
    <w:rsid w:val="007F41FD"/>
    <w:rsid w:val="00802BC4"/>
    <w:rsid w:val="00802C33"/>
    <w:rsid w:val="00804DD6"/>
    <w:rsid w:val="00811945"/>
    <w:rsid w:val="00814359"/>
    <w:rsid w:val="00821A06"/>
    <w:rsid w:val="00822D01"/>
    <w:rsid w:val="00822FA0"/>
    <w:rsid w:val="00833A2C"/>
    <w:rsid w:val="008357E9"/>
    <w:rsid w:val="00847396"/>
    <w:rsid w:val="008530E4"/>
    <w:rsid w:val="0085315A"/>
    <w:rsid w:val="008601E0"/>
    <w:rsid w:val="00864F39"/>
    <w:rsid w:val="0087023F"/>
    <w:rsid w:val="008728CB"/>
    <w:rsid w:val="008746E7"/>
    <w:rsid w:val="008815F8"/>
    <w:rsid w:val="00892D2F"/>
    <w:rsid w:val="008936E5"/>
    <w:rsid w:val="00895081"/>
    <w:rsid w:val="00895809"/>
    <w:rsid w:val="008A030F"/>
    <w:rsid w:val="008B1D32"/>
    <w:rsid w:val="008C1E48"/>
    <w:rsid w:val="008C2576"/>
    <w:rsid w:val="008C2FA3"/>
    <w:rsid w:val="008C4378"/>
    <w:rsid w:val="008D1D92"/>
    <w:rsid w:val="008D1E08"/>
    <w:rsid w:val="008D6A90"/>
    <w:rsid w:val="008D6EC4"/>
    <w:rsid w:val="008D7BD0"/>
    <w:rsid w:val="008E037B"/>
    <w:rsid w:val="00905E2C"/>
    <w:rsid w:val="00906B45"/>
    <w:rsid w:val="00906DCB"/>
    <w:rsid w:val="00913928"/>
    <w:rsid w:val="00922910"/>
    <w:rsid w:val="00923AE4"/>
    <w:rsid w:val="00926FE1"/>
    <w:rsid w:val="00932D48"/>
    <w:rsid w:val="00947BDD"/>
    <w:rsid w:val="0095231D"/>
    <w:rsid w:val="00952710"/>
    <w:rsid w:val="0095521E"/>
    <w:rsid w:val="00967752"/>
    <w:rsid w:val="00970629"/>
    <w:rsid w:val="00976D7D"/>
    <w:rsid w:val="0098338F"/>
    <w:rsid w:val="00986307"/>
    <w:rsid w:val="0099146B"/>
    <w:rsid w:val="009965FF"/>
    <w:rsid w:val="009A3398"/>
    <w:rsid w:val="009A701E"/>
    <w:rsid w:val="009B0816"/>
    <w:rsid w:val="009C7408"/>
    <w:rsid w:val="009D042F"/>
    <w:rsid w:val="009D2BFB"/>
    <w:rsid w:val="009D428B"/>
    <w:rsid w:val="009D523A"/>
    <w:rsid w:val="009E5D4E"/>
    <w:rsid w:val="009F71B8"/>
    <w:rsid w:val="00A053AA"/>
    <w:rsid w:val="00A209F4"/>
    <w:rsid w:val="00A35A6A"/>
    <w:rsid w:val="00A41824"/>
    <w:rsid w:val="00A422C0"/>
    <w:rsid w:val="00A4439D"/>
    <w:rsid w:val="00A52D17"/>
    <w:rsid w:val="00A53074"/>
    <w:rsid w:val="00A5523C"/>
    <w:rsid w:val="00A56EBA"/>
    <w:rsid w:val="00A61FC5"/>
    <w:rsid w:val="00A62616"/>
    <w:rsid w:val="00A7019E"/>
    <w:rsid w:val="00A81798"/>
    <w:rsid w:val="00A90A53"/>
    <w:rsid w:val="00AA240C"/>
    <w:rsid w:val="00AA631D"/>
    <w:rsid w:val="00AB54FF"/>
    <w:rsid w:val="00AB7C1D"/>
    <w:rsid w:val="00AC310B"/>
    <w:rsid w:val="00AC7036"/>
    <w:rsid w:val="00AD0739"/>
    <w:rsid w:val="00AD4E39"/>
    <w:rsid w:val="00AE01CB"/>
    <w:rsid w:val="00AE1327"/>
    <w:rsid w:val="00AE1771"/>
    <w:rsid w:val="00AE77D3"/>
    <w:rsid w:val="00AF1554"/>
    <w:rsid w:val="00AF188C"/>
    <w:rsid w:val="00AF66BC"/>
    <w:rsid w:val="00AF6C0B"/>
    <w:rsid w:val="00B06978"/>
    <w:rsid w:val="00B101EF"/>
    <w:rsid w:val="00B1048D"/>
    <w:rsid w:val="00B12F67"/>
    <w:rsid w:val="00B15A2D"/>
    <w:rsid w:val="00B16D67"/>
    <w:rsid w:val="00B2521E"/>
    <w:rsid w:val="00B30D3C"/>
    <w:rsid w:val="00B30F95"/>
    <w:rsid w:val="00B33DF5"/>
    <w:rsid w:val="00B377D8"/>
    <w:rsid w:val="00B416F8"/>
    <w:rsid w:val="00B50370"/>
    <w:rsid w:val="00B64C52"/>
    <w:rsid w:val="00B65922"/>
    <w:rsid w:val="00B66991"/>
    <w:rsid w:val="00B70CAB"/>
    <w:rsid w:val="00B83006"/>
    <w:rsid w:val="00B84EF5"/>
    <w:rsid w:val="00B85D9D"/>
    <w:rsid w:val="00B90D61"/>
    <w:rsid w:val="00B91C47"/>
    <w:rsid w:val="00B93AC9"/>
    <w:rsid w:val="00BB1324"/>
    <w:rsid w:val="00BB56D1"/>
    <w:rsid w:val="00BC1CF0"/>
    <w:rsid w:val="00BD278D"/>
    <w:rsid w:val="00BE4994"/>
    <w:rsid w:val="00BE6500"/>
    <w:rsid w:val="00BF5DE8"/>
    <w:rsid w:val="00C001E0"/>
    <w:rsid w:val="00C0738B"/>
    <w:rsid w:val="00C10935"/>
    <w:rsid w:val="00C114EB"/>
    <w:rsid w:val="00C12980"/>
    <w:rsid w:val="00C151D7"/>
    <w:rsid w:val="00C24738"/>
    <w:rsid w:val="00C27A52"/>
    <w:rsid w:val="00C4136D"/>
    <w:rsid w:val="00C422B2"/>
    <w:rsid w:val="00C42A3E"/>
    <w:rsid w:val="00C55D96"/>
    <w:rsid w:val="00C651C1"/>
    <w:rsid w:val="00C73EDE"/>
    <w:rsid w:val="00C843F6"/>
    <w:rsid w:val="00C844CD"/>
    <w:rsid w:val="00C86FBA"/>
    <w:rsid w:val="00C95FA9"/>
    <w:rsid w:val="00CA60C5"/>
    <w:rsid w:val="00CA6445"/>
    <w:rsid w:val="00CB40C5"/>
    <w:rsid w:val="00CC7BC2"/>
    <w:rsid w:val="00CD6D49"/>
    <w:rsid w:val="00CF7525"/>
    <w:rsid w:val="00D00C49"/>
    <w:rsid w:val="00D0420F"/>
    <w:rsid w:val="00D15D68"/>
    <w:rsid w:val="00D17144"/>
    <w:rsid w:val="00D2258D"/>
    <w:rsid w:val="00D23C00"/>
    <w:rsid w:val="00D40C22"/>
    <w:rsid w:val="00D417C4"/>
    <w:rsid w:val="00D42055"/>
    <w:rsid w:val="00D44B81"/>
    <w:rsid w:val="00D530AA"/>
    <w:rsid w:val="00D74087"/>
    <w:rsid w:val="00D81381"/>
    <w:rsid w:val="00D91A70"/>
    <w:rsid w:val="00D94578"/>
    <w:rsid w:val="00DA6994"/>
    <w:rsid w:val="00DC348D"/>
    <w:rsid w:val="00DD164F"/>
    <w:rsid w:val="00DD350A"/>
    <w:rsid w:val="00DD6E52"/>
    <w:rsid w:val="00DE2F66"/>
    <w:rsid w:val="00E03FE5"/>
    <w:rsid w:val="00E05A7B"/>
    <w:rsid w:val="00E14CA0"/>
    <w:rsid w:val="00E23590"/>
    <w:rsid w:val="00E313E1"/>
    <w:rsid w:val="00E3599D"/>
    <w:rsid w:val="00E36759"/>
    <w:rsid w:val="00E36948"/>
    <w:rsid w:val="00E36999"/>
    <w:rsid w:val="00E37C95"/>
    <w:rsid w:val="00E4284F"/>
    <w:rsid w:val="00E46286"/>
    <w:rsid w:val="00E65248"/>
    <w:rsid w:val="00E6617B"/>
    <w:rsid w:val="00E6786D"/>
    <w:rsid w:val="00E71392"/>
    <w:rsid w:val="00E83769"/>
    <w:rsid w:val="00EA5105"/>
    <w:rsid w:val="00EA6EF2"/>
    <w:rsid w:val="00EB14DF"/>
    <w:rsid w:val="00EC0474"/>
    <w:rsid w:val="00EC6149"/>
    <w:rsid w:val="00EE0748"/>
    <w:rsid w:val="00EE7B2E"/>
    <w:rsid w:val="00EE7D41"/>
    <w:rsid w:val="00EF0C07"/>
    <w:rsid w:val="00EF0D14"/>
    <w:rsid w:val="00EF1970"/>
    <w:rsid w:val="00EF3FA3"/>
    <w:rsid w:val="00F11784"/>
    <w:rsid w:val="00F138B9"/>
    <w:rsid w:val="00F149CA"/>
    <w:rsid w:val="00F24840"/>
    <w:rsid w:val="00F32ED8"/>
    <w:rsid w:val="00F32F3E"/>
    <w:rsid w:val="00F32FC5"/>
    <w:rsid w:val="00F342A7"/>
    <w:rsid w:val="00F50993"/>
    <w:rsid w:val="00F51148"/>
    <w:rsid w:val="00F51A17"/>
    <w:rsid w:val="00F54CFF"/>
    <w:rsid w:val="00F66DD3"/>
    <w:rsid w:val="00F718DD"/>
    <w:rsid w:val="00F74279"/>
    <w:rsid w:val="00F939E7"/>
    <w:rsid w:val="00FA5D97"/>
    <w:rsid w:val="00FA70B4"/>
    <w:rsid w:val="00FB25C1"/>
    <w:rsid w:val="00FB4A54"/>
    <w:rsid w:val="00FC3633"/>
    <w:rsid w:val="00FD2C38"/>
    <w:rsid w:val="00FD6FC1"/>
    <w:rsid w:val="00FD719E"/>
    <w:rsid w:val="00FE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1C734"/>
  <w15:docId w15:val="{1B45A183-DE54-449F-9045-DAFE4662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17"/>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paragraph" w:styleId="FootnoteText">
    <w:name w:val="footnote text"/>
    <w:basedOn w:val="Normal"/>
    <w:link w:val="FootnoteTextChar"/>
    <w:uiPriority w:val="99"/>
    <w:semiHidden/>
    <w:unhideWhenUsed/>
    <w:rsid w:val="002E5917"/>
    <w:rPr>
      <w:sz w:val="20"/>
      <w:szCs w:val="20"/>
    </w:rPr>
  </w:style>
  <w:style w:type="character" w:customStyle="1" w:styleId="FootnoteTextChar">
    <w:name w:val="Footnote Text Char"/>
    <w:basedOn w:val="DefaultParagraphFont"/>
    <w:link w:val="FootnoteText"/>
    <w:uiPriority w:val="99"/>
    <w:semiHidden/>
    <w:rsid w:val="002E5917"/>
    <w:rPr>
      <w:rFonts w:ascii="Calibri" w:eastAsia="Calibri" w:hAnsi="Calibri"/>
      <w:sz w:val="20"/>
      <w:lang w:eastAsia="en-US"/>
    </w:rPr>
  </w:style>
  <w:style w:type="character" w:styleId="FootnoteReference">
    <w:name w:val="footnote reference"/>
    <w:uiPriority w:val="99"/>
    <w:semiHidden/>
    <w:unhideWhenUsed/>
    <w:rsid w:val="002E5917"/>
    <w:rPr>
      <w:vertAlign w:val="superscript"/>
    </w:rPr>
  </w:style>
  <w:style w:type="character" w:customStyle="1" w:styleId="FooterChar">
    <w:name w:val="Footer Char"/>
    <w:basedOn w:val="DefaultParagraphFont"/>
    <w:link w:val="Footer"/>
    <w:uiPriority w:val="99"/>
    <w:rsid w:val="002E5917"/>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1631A7"/>
    <w:rPr>
      <w:sz w:val="16"/>
      <w:szCs w:val="16"/>
    </w:rPr>
  </w:style>
  <w:style w:type="paragraph" w:styleId="CommentText">
    <w:name w:val="annotation text"/>
    <w:basedOn w:val="Normal"/>
    <w:link w:val="CommentTextChar"/>
    <w:uiPriority w:val="99"/>
    <w:semiHidden/>
    <w:unhideWhenUsed/>
    <w:rsid w:val="001631A7"/>
    <w:pPr>
      <w:spacing w:line="240" w:lineRule="auto"/>
    </w:pPr>
    <w:rPr>
      <w:sz w:val="20"/>
      <w:szCs w:val="20"/>
    </w:rPr>
  </w:style>
  <w:style w:type="character" w:customStyle="1" w:styleId="CommentTextChar">
    <w:name w:val="Comment Text Char"/>
    <w:basedOn w:val="DefaultParagraphFont"/>
    <w:link w:val="CommentText"/>
    <w:uiPriority w:val="99"/>
    <w:semiHidden/>
    <w:rsid w:val="001631A7"/>
    <w:rPr>
      <w:rFonts w:ascii="Calibri" w:eastAsia="Calibri" w:hAnsi="Calibri"/>
      <w:sz w:val="20"/>
      <w:lang w:eastAsia="en-US"/>
    </w:rPr>
  </w:style>
  <w:style w:type="paragraph" w:styleId="CommentSubject">
    <w:name w:val="annotation subject"/>
    <w:basedOn w:val="CommentText"/>
    <w:next w:val="CommentText"/>
    <w:link w:val="CommentSubjectChar"/>
    <w:uiPriority w:val="99"/>
    <w:semiHidden/>
    <w:unhideWhenUsed/>
    <w:rsid w:val="001631A7"/>
    <w:rPr>
      <w:b/>
      <w:bCs/>
    </w:rPr>
  </w:style>
  <w:style w:type="character" w:customStyle="1" w:styleId="CommentSubjectChar">
    <w:name w:val="Comment Subject Char"/>
    <w:basedOn w:val="CommentTextChar"/>
    <w:link w:val="CommentSubject"/>
    <w:uiPriority w:val="99"/>
    <w:semiHidden/>
    <w:rsid w:val="001631A7"/>
    <w:rPr>
      <w:rFonts w:ascii="Calibri" w:eastAsia="Calibri" w:hAnsi="Calibri"/>
      <w:b/>
      <w:bCs/>
      <w:sz w:val="20"/>
      <w:lang w:eastAsia="en-US"/>
    </w:rPr>
  </w:style>
  <w:style w:type="paragraph" w:styleId="BalloonText">
    <w:name w:val="Balloon Text"/>
    <w:basedOn w:val="Normal"/>
    <w:link w:val="BalloonTextChar"/>
    <w:uiPriority w:val="99"/>
    <w:semiHidden/>
    <w:unhideWhenUsed/>
    <w:rsid w:val="0016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A7"/>
    <w:rPr>
      <w:rFonts w:ascii="Tahoma" w:eastAsia="Calibri" w:hAnsi="Tahoma" w:cs="Tahoma"/>
      <w:sz w:val="16"/>
      <w:szCs w:val="16"/>
      <w:lang w:eastAsia="en-US"/>
    </w:rPr>
  </w:style>
  <w:style w:type="paragraph" w:styleId="ListParagraph">
    <w:name w:val="List Paragraph"/>
    <w:basedOn w:val="Normal"/>
    <w:uiPriority w:val="34"/>
    <w:qFormat/>
    <w:rsid w:val="00811945"/>
    <w:pPr>
      <w:tabs>
        <w:tab w:val="left" w:pos="720"/>
        <w:tab w:val="left" w:pos="1440"/>
        <w:tab w:val="left" w:pos="2160"/>
        <w:tab w:val="left" w:pos="2880"/>
        <w:tab w:val="left" w:pos="4680"/>
        <w:tab w:val="left" w:pos="5400"/>
        <w:tab w:val="right" w:pos="9000"/>
      </w:tabs>
      <w:spacing w:after="0" w:line="240" w:lineRule="atLeast"/>
      <w:ind w:left="720"/>
      <w:contextualSpacing/>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64773">
      <w:bodyDiv w:val="1"/>
      <w:marLeft w:val="0"/>
      <w:marRight w:val="0"/>
      <w:marTop w:val="0"/>
      <w:marBottom w:val="0"/>
      <w:divBdr>
        <w:top w:val="none" w:sz="0" w:space="0" w:color="auto"/>
        <w:left w:val="none" w:sz="0" w:space="0" w:color="auto"/>
        <w:bottom w:val="none" w:sz="0" w:space="0" w:color="auto"/>
        <w:right w:val="none" w:sz="0" w:space="0" w:color="auto"/>
      </w:divBdr>
    </w:div>
    <w:div w:id="18690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522A-643C-42E0-8B93-C646D355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u440905</dc:creator>
  <cp:lastModifiedBy>Osborne P (Paudric)</cp:lastModifiedBy>
  <cp:revision>2</cp:revision>
  <cp:lastPrinted>2018-07-12T10:30:00Z</cp:lastPrinted>
  <dcterms:created xsi:type="dcterms:W3CDTF">2019-04-02T13:19:00Z</dcterms:created>
  <dcterms:modified xsi:type="dcterms:W3CDTF">2019-04-02T13:19:00Z</dcterms:modified>
</cp:coreProperties>
</file>