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AC" w:rsidRPr="00FC0AAC" w:rsidRDefault="003C6EF6" w:rsidP="00C94454">
      <w:pPr>
        <w:jc w:val="center"/>
        <w:rPr>
          <w:b/>
        </w:rPr>
      </w:pPr>
      <w:r>
        <w:rPr>
          <w:b/>
        </w:rPr>
        <w:t xml:space="preserve">Information on </w:t>
      </w:r>
      <w:proofErr w:type="spellStart"/>
      <w:r>
        <w:rPr>
          <w:b/>
        </w:rPr>
        <w:t>NRAC</w:t>
      </w:r>
      <w:proofErr w:type="spellEnd"/>
      <w:r>
        <w:rPr>
          <w:b/>
        </w:rPr>
        <w:t xml:space="preserve"> Parity by Board</w:t>
      </w:r>
    </w:p>
    <w:p w:rsidR="00FC0AAC" w:rsidRDefault="00FC0AAC" w:rsidP="00C94454">
      <w:pPr>
        <w:pStyle w:val="ListParagraph"/>
        <w:ind w:left="0"/>
      </w:pPr>
    </w:p>
    <w:p w:rsidR="00027C27" w:rsidRDefault="003C6EF6" w:rsidP="00C94454">
      <w:pPr>
        <w:pStyle w:val="ListParagraph"/>
        <w:numPr>
          <w:ilvl w:val="0"/>
          <w:numId w:val="7"/>
        </w:numPr>
        <w:ind w:left="0" w:firstLine="0"/>
      </w:pPr>
      <w:r>
        <w:t>The approach taken by the Scottish Government has been to move boards towards parity gradually over a number of years.  All boards have continued to benefit from year-on-year real-terms growth in their allocations, with additional ‘</w:t>
      </w:r>
      <w:proofErr w:type="spellStart"/>
      <w:r>
        <w:t>NRAC</w:t>
      </w:r>
      <w:proofErr w:type="spellEnd"/>
      <w:r>
        <w:t xml:space="preserve"> parity funding’ being allocated to boards behind parity.</w:t>
      </w:r>
    </w:p>
    <w:p w:rsidR="00A567AB" w:rsidRDefault="00A567AB" w:rsidP="00C94454">
      <w:pPr>
        <w:pStyle w:val="ListParagraph"/>
        <w:ind w:left="0"/>
      </w:pPr>
    </w:p>
    <w:p w:rsidR="000B0D37" w:rsidRDefault="003C6EF6" w:rsidP="00C94454">
      <w:pPr>
        <w:pStyle w:val="ListParagraph"/>
        <w:numPr>
          <w:ilvl w:val="0"/>
          <w:numId w:val="7"/>
        </w:numPr>
        <w:ind w:left="0" w:firstLine="0"/>
      </w:pPr>
      <w:r>
        <w:t xml:space="preserve">In 2018-19, an additional £30 </w:t>
      </w:r>
      <w:proofErr w:type="spellStart"/>
      <w:r>
        <w:t>mn</w:t>
      </w:r>
      <w:proofErr w:type="spellEnd"/>
      <w:r>
        <w:t xml:space="preserve"> was invested in moving boards from within 1% to within 0.8% from parity, and this is the closest boards have ever been to parity.  In order to continue this policy of differential growth and to maintain the current position of no board being further than 0.8% from parity, additional investment will be required in 2019-20 and beyond</w:t>
      </w:r>
      <w:r w:rsidR="000B0D37">
        <w:t>.</w:t>
      </w:r>
    </w:p>
    <w:p w:rsidR="000B0D37" w:rsidRDefault="000B0D37" w:rsidP="00C94454">
      <w:pPr>
        <w:pStyle w:val="ListParagraph"/>
        <w:ind w:left="0"/>
      </w:pPr>
    </w:p>
    <w:p w:rsidR="00A567AB" w:rsidRDefault="000B0D37" w:rsidP="00C94454">
      <w:pPr>
        <w:pStyle w:val="ListParagraph"/>
        <w:numPr>
          <w:ilvl w:val="0"/>
          <w:numId w:val="7"/>
        </w:numPr>
        <w:ind w:left="0" w:firstLine="0"/>
      </w:pPr>
      <w:r>
        <w:t xml:space="preserve">The </w:t>
      </w:r>
      <w:r w:rsidR="003C6EF6">
        <w:t xml:space="preserve">table below sets out the current position of each board. </w:t>
      </w:r>
      <w:r w:rsidR="003B0001">
        <w:t xml:space="preserve"> </w:t>
      </w:r>
    </w:p>
    <w:p w:rsidR="003C6EF6" w:rsidRDefault="003C6EF6" w:rsidP="003C6EF6"/>
    <w:tbl>
      <w:tblPr>
        <w:tblStyle w:val="TableGrid"/>
        <w:tblW w:w="0" w:type="auto"/>
        <w:tblLook w:val="04A0" w:firstRow="1" w:lastRow="0" w:firstColumn="1" w:lastColumn="0" w:noHBand="0" w:noVBand="1"/>
      </w:tblPr>
      <w:tblGrid>
        <w:gridCol w:w="2562"/>
        <w:gridCol w:w="1113"/>
        <w:gridCol w:w="1402"/>
        <w:gridCol w:w="1402"/>
        <w:gridCol w:w="1403"/>
        <w:gridCol w:w="1134"/>
      </w:tblGrid>
      <w:tr w:rsidR="00307206" w:rsidRPr="00307206" w:rsidTr="00307206">
        <w:trPr>
          <w:trHeight w:val="765"/>
        </w:trPr>
        <w:tc>
          <w:tcPr>
            <w:tcW w:w="2562" w:type="dxa"/>
            <w:hideMark/>
          </w:tcPr>
          <w:p w:rsidR="00307206" w:rsidRPr="00307206" w:rsidRDefault="00307206" w:rsidP="00307206">
            <w:pPr>
              <w:rPr>
                <w:rFonts w:cs="Arial"/>
                <w:b/>
                <w:bCs/>
                <w:sz w:val="22"/>
                <w:szCs w:val="22"/>
              </w:rPr>
            </w:pPr>
            <w:r w:rsidRPr="00307206">
              <w:rPr>
                <w:rFonts w:cs="Arial"/>
                <w:b/>
                <w:bCs/>
                <w:sz w:val="22"/>
                <w:szCs w:val="22"/>
              </w:rPr>
              <w:t>Health Board</w:t>
            </w:r>
          </w:p>
        </w:tc>
        <w:tc>
          <w:tcPr>
            <w:tcW w:w="1113" w:type="dxa"/>
            <w:hideMark/>
          </w:tcPr>
          <w:p w:rsidR="00307206" w:rsidRPr="00307206" w:rsidRDefault="00307206" w:rsidP="00307206">
            <w:pPr>
              <w:jc w:val="center"/>
              <w:rPr>
                <w:rFonts w:cs="Arial"/>
                <w:b/>
                <w:bCs/>
                <w:sz w:val="22"/>
                <w:szCs w:val="22"/>
              </w:rPr>
            </w:pPr>
            <w:r w:rsidRPr="00307206">
              <w:rPr>
                <w:rFonts w:cs="Arial"/>
                <w:b/>
                <w:bCs/>
                <w:sz w:val="22"/>
                <w:szCs w:val="22"/>
              </w:rPr>
              <w:t xml:space="preserve">2018-19 </w:t>
            </w:r>
            <w:proofErr w:type="spellStart"/>
            <w:r w:rsidRPr="00307206">
              <w:rPr>
                <w:rFonts w:cs="Arial"/>
                <w:b/>
                <w:bCs/>
                <w:sz w:val="22"/>
                <w:szCs w:val="22"/>
              </w:rPr>
              <w:t>NRAC</w:t>
            </w:r>
            <w:proofErr w:type="spellEnd"/>
            <w:r w:rsidRPr="00307206">
              <w:rPr>
                <w:rFonts w:cs="Arial"/>
                <w:b/>
                <w:bCs/>
                <w:sz w:val="22"/>
                <w:szCs w:val="22"/>
              </w:rPr>
              <w:t xml:space="preserve"> Target Shares</w:t>
            </w:r>
          </w:p>
        </w:tc>
        <w:tc>
          <w:tcPr>
            <w:tcW w:w="1402" w:type="dxa"/>
            <w:hideMark/>
          </w:tcPr>
          <w:p w:rsidR="00307206" w:rsidRPr="00307206" w:rsidRDefault="00307206" w:rsidP="00307206">
            <w:pPr>
              <w:jc w:val="center"/>
              <w:rPr>
                <w:rFonts w:cs="Arial"/>
                <w:b/>
                <w:bCs/>
                <w:sz w:val="22"/>
                <w:szCs w:val="22"/>
              </w:rPr>
            </w:pPr>
            <w:r w:rsidRPr="00307206">
              <w:rPr>
                <w:rFonts w:cs="Arial"/>
                <w:b/>
                <w:bCs/>
                <w:sz w:val="22"/>
                <w:szCs w:val="22"/>
              </w:rPr>
              <w:t>2018-19 Actual Allocations</w:t>
            </w:r>
          </w:p>
        </w:tc>
        <w:tc>
          <w:tcPr>
            <w:tcW w:w="1402" w:type="dxa"/>
            <w:hideMark/>
          </w:tcPr>
          <w:p w:rsidR="00307206" w:rsidRPr="00307206" w:rsidRDefault="00307206" w:rsidP="00307206">
            <w:pPr>
              <w:jc w:val="center"/>
              <w:rPr>
                <w:rFonts w:cs="Arial"/>
                <w:b/>
                <w:bCs/>
                <w:sz w:val="22"/>
                <w:szCs w:val="22"/>
              </w:rPr>
            </w:pPr>
            <w:r w:rsidRPr="00307206">
              <w:rPr>
                <w:rFonts w:cs="Arial"/>
                <w:b/>
                <w:bCs/>
                <w:sz w:val="22"/>
                <w:szCs w:val="22"/>
              </w:rPr>
              <w:t xml:space="preserve">2018-19 </w:t>
            </w:r>
            <w:proofErr w:type="spellStart"/>
            <w:r w:rsidRPr="00307206">
              <w:rPr>
                <w:rFonts w:cs="Arial"/>
                <w:b/>
                <w:bCs/>
                <w:sz w:val="22"/>
                <w:szCs w:val="22"/>
              </w:rPr>
              <w:t>NRAC</w:t>
            </w:r>
            <w:proofErr w:type="spellEnd"/>
            <w:r w:rsidRPr="00307206">
              <w:rPr>
                <w:rFonts w:cs="Arial"/>
                <w:b/>
                <w:bCs/>
                <w:sz w:val="22"/>
                <w:szCs w:val="22"/>
              </w:rPr>
              <w:t xml:space="preserve"> Target Allocations</w:t>
            </w:r>
          </w:p>
        </w:tc>
        <w:tc>
          <w:tcPr>
            <w:tcW w:w="1403" w:type="dxa"/>
            <w:hideMark/>
          </w:tcPr>
          <w:p w:rsidR="00307206" w:rsidRPr="00307206" w:rsidRDefault="00307206" w:rsidP="00307206">
            <w:pPr>
              <w:jc w:val="center"/>
              <w:rPr>
                <w:rFonts w:cs="Arial"/>
                <w:b/>
                <w:bCs/>
                <w:sz w:val="22"/>
                <w:szCs w:val="22"/>
              </w:rPr>
            </w:pPr>
            <w:r w:rsidRPr="00307206">
              <w:rPr>
                <w:rFonts w:cs="Arial"/>
                <w:b/>
                <w:bCs/>
                <w:sz w:val="22"/>
                <w:szCs w:val="22"/>
              </w:rPr>
              <w:t>Distance Percentage</w:t>
            </w:r>
          </w:p>
        </w:tc>
        <w:tc>
          <w:tcPr>
            <w:tcW w:w="1134" w:type="dxa"/>
            <w:hideMark/>
          </w:tcPr>
          <w:p w:rsidR="00307206" w:rsidRPr="00307206" w:rsidRDefault="00307206" w:rsidP="00307206">
            <w:pPr>
              <w:jc w:val="center"/>
              <w:rPr>
                <w:rFonts w:cs="Arial"/>
                <w:b/>
                <w:bCs/>
                <w:sz w:val="22"/>
                <w:szCs w:val="22"/>
              </w:rPr>
            </w:pPr>
            <w:r w:rsidRPr="00307206">
              <w:rPr>
                <w:rFonts w:cs="Arial"/>
                <w:b/>
                <w:bCs/>
                <w:sz w:val="22"/>
                <w:szCs w:val="22"/>
              </w:rPr>
              <w:t>Distance</w:t>
            </w:r>
          </w:p>
        </w:tc>
      </w:tr>
      <w:tr w:rsidR="00307206" w:rsidRPr="00307206" w:rsidTr="00307206">
        <w:trPr>
          <w:trHeight w:val="300"/>
        </w:trPr>
        <w:tc>
          <w:tcPr>
            <w:tcW w:w="2562" w:type="dxa"/>
            <w:hideMark/>
          </w:tcPr>
          <w:p w:rsidR="00307206" w:rsidRPr="00307206" w:rsidRDefault="00307206" w:rsidP="00307206">
            <w:pPr>
              <w:rPr>
                <w:rFonts w:cs="Arial"/>
                <w:b/>
                <w:bCs/>
                <w:sz w:val="22"/>
                <w:szCs w:val="22"/>
              </w:rPr>
            </w:pPr>
            <w:r w:rsidRPr="00307206">
              <w:rPr>
                <w:rFonts w:cs="Arial"/>
                <w:b/>
                <w:bCs/>
                <w:sz w:val="22"/>
                <w:szCs w:val="22"/>
              </w:rPr>
              <w:t> </w:t>
            </w:r>
          </w:p>
        </w:tc>
        <w:tc>
          <w:tcPr>
            <w:tcW w:w="1113" w:type="dxa"/>
            <w:hideMark/>
          </w:tcPr>
          <w:p w:rsidR="00307206" w:rsidRPr="00307206" w:rsidRDefault="00307206" w:rsidP="00307206">
            <w:pPr>
              <w:jc w:val="center"/>
              <w:rPr>
                <w:rFonts w:cs="Arial"/>
                <w:b/>
                <w:bCs/>
                <w:sz w:val="22"/>
                <w:szCs w:val="22"/>
              </w:rPr>
            </w:pPr>
            <w:r w:rsidRPr="00307206">
              <w:rPr>
                <w:rFonts w:cs="Arial"/>
                <w:b/>
                <w:bCs/>
                <w:sz w:val="22"/>
                <w:szCs w:val="22"/>
              </w:rPr>
              <w:t>%</w:t>
            </w:r>
          </w:p>
        </w:tc>
        <w:tc>
          <w:tcPr>
            <w:tcW w:w="1402" w:type="dxa"/>
            <w:hideMark/>
          </w:tcPr>
          <w:p w:rsidR="00307206" w:rsidRPr="00307206" w:rsidRDefault="00307206" w:rsidP="00307206">
            <w:pPr>
              <w:jc w:val="center"/>
              <w:rPr>
                <w:rFonts w:cs="Arial"/>
                <w:b/>
                <w:bCs/>
                <w:sz w:val="22"/>
                <w:szCs w:val="22"/>
              </w:rPr>
            </w:pPr>
            <w:r w:rsidRPr="00307206">
              <w:rPr>
                <w:rFonts w:cs="Arial"/>
                <w:b/>
                <w:bCs/>
                <w:sz w:val="22"/>
                <w:szCs w:val="22"/>
              </w:rPr>
              <w:t xml:space="preserve">£ </w:t>
            </w:r>
            <w:proofErr w:type="spellStart"/>
            <w:r w:rsidRPr="00307206">
              <w:rPr>
                <w:rFonts w:cs="Arial"/>
                <w:b/>
                <w:bCs/>
                <w:sz w:val="22"/>
                <w:szCs w:val="22"/>
              </w:rPr>
              <w:t>mn</w:t>
            </w:r>
            <w:proofErr w:type="spellEnd"/>
          </w:p>
        </w:tc>
        <w:tc>
          <w:tcPr>
            <w:tcW w:w="1402" w:type="dxa"/>
            <w:hideMark/>
          </w:tcPr>
          <w:p w:rsidR="00307206" w:rsidRPr="00307206" w:rsidRDefault="00307206" w:rsidP="00307206">
            <w:pPr>
              <w:jc w:val="center"/>
              <w:rPr>
                <w:rFonts w:cs="Arial"/>
                <w:b/>
                <w:bCs/>
                <w:sz w:val="22"/>
                <w:szCs w:val="22"/>
              </w:rPr>
            </w:pPr>
            <w:r w:rsidRPr="00307206">
              <w:rPr>
                <w:rFonts w:cs="Arial"/>
                <w:b/>
                <w:bCs/>
                <w:sz w:val="22"/>
                <w:szCs w:val="22"/>
              </w:rPr>
              <w:t xml:space="preserve">£ </w:t>
            </w:r>
            <w:proofErr w:type="spellStart"/>
            <w:r w:rsidRPr="00307206">
              <w:rPr>
                <w:rFonts w:cs="Arial"/>
                <w:b/>
                <w:bCs/>
                <w:sz w:val="22"/>
                <w:szCs w:val="22"/>
              </w:rPr>
              <w:t>mn</w:t>
            </w:r>
            <w:proofErr w:type="spellEnd"/>
          </w:p>
        </w:tc>
        <w:tc>
          <w:tcPr>
            <w:tcW w:w="1403" w:type="dxa"/>
            <w:hideMark/>
          </w:tcPr>
          <w:p w:rsidR="00307206" w:rsidRPr="00307206" w:rsidRDefault="00307206" w:rsidP="00307206">
            <w:pPr>
              <w:jc w:val="center"/>
              <w:rPr>
                <w:rFonts w:cs="Arial"/>
                <w:b/>
                <w:bCs/>
                <w:sz w:val="22"/>
                <w:szCs w:val="22"/>
              </w:rPr>
            </w:pPr>
            <w:r w:rsidRPr="00307206">
              <w:rPr>
                <w:rFonts w:cs="Arial"/>
                <w:b/>
                <w:bCs/>
                <w:sz w:val="22"/>
                <w:szCs w:val="22"/>
              </w:rPr>
              <w:t>%</w:t>
            </w:r>
          </w:p>
        </w:tc>
        <w:tc>
          <w:tcPr>
            <w:tcW w:w="1134" w:type="dxa"/>
            <w:hideMark/>
          </w:tcPr>
          <w:p w:rsidR="00307206" w:rsidRPr="00307206" w:rsidRDefault="00307206" w:rsidP="00307206">
            <w:pPr>
              <w:jc w:val="center"/>
              <w:rPr>
                <w:rFonts w:cs="Arial"/>
                <w:b/>
                <w:bCs/>
                <w:sz w:val="22"/>
                <w:szCs w:val="22"/>
              </w:rPr>
            </w:pPr>
            <w:r w:rsidRPr="00307206">
              <w:rPr>
                <w:rFonts w:cs="Arial"/>
                <w:b/>
                <w:bCs/>
                <w:sz w:val="22"/>
                <w:szCs w:val="22"/>
              </w:rPr>
              <w:t xml:space="preserve">£ </w:t>
            </w:r>
            <w:proofErr w:type="spellStart"/>
            <w:r w:rsidRPr="00307206">
              <w:rPr>
                <w:rFonts w:cs="Arial"/>
                <w:b/>
                <w:bCs/>
                <w:sz w:val="22"/>
                <w:szCs w:val="22"/>
              </w:rPr>
              <w:t>mn</w:t>
            </w:r>
            <w:proofErr w:type="spellEnd"/>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A</w:t>
            </w:r>
            <w:bookmarkStart w:id="0" w:name="_GoBack"/>
            <w:bookmarkEnd w:id="0"/>
            <w:r w:rsidRPr="00307206">
              <w:rPr>
                <w:rFonts w:cs="Arial"/>
                <w:b/>
                <w:bCs/>
                <w:sz w:val="22"/>
                <w:szCs w:val="22"/>
              </w:rPr>
              <w:t>yrshire &amp; Arran</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7.4%</w:t>
            </w:r>
          </w:p>
        </w:tc>
        <w:tc>
          <w:tcPr>
            <w:tcW w:w="1402" w:type="dxa"/>
            <w:noWrap/>
            <w:hideMark/>
          </w:tcPr>
          <w:p w:rsidR="00307206" w:rsidRPr="00307206" w:rsidRDefault="00307206" w:rsidP="00307206">
            <w:pPr>
              <w:jc w:val="right"/>
              <w:rPr>
                <w:sz w:val="22"/>
                <w:szCs w:val="22"/>
              </w:rPr>
            </w:pPr>
            <w:r w:rsidRPr="00307206">
              <w:rPr>
                <w:sz w:val="22"/>
                <w:szCs w:val="22"/>
              </w:rPr>
              <w:t>654</w:t>
            </w:r>
          </w:p>
        </w:tc>
        <w:tc>
          <w:tcPr>
            <w:tcW w:w="1402" w:type="dxa"/>
            <w:noWrap/>
            <w:hideMark/>
          </w:tcPr>
          <w:p w:rsidR="00307206" w:rsidRPr="00307206" w:rsidRDefault="00307206" w:rsidP="00307206">
            <w:pPr>
              <w:jc w:val="right"/>
              <w:rPr>
                <w:sz w:val="22"/>
                <w:szCs w:val="22"/>
              </w:rPr>
            </w:pPr>
            <w:r w:rsidRPr="00307206">
              <w:rPr>
                <w:sz w:val="22"/>
                <w:szCs w:val="22"/>
              </w:rPr>
              <w:t>659</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-5.6</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Borders</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2.1%</w:t>
            </w:r>
          </w:p>
        </w:tc>
        <w:tc>
          <w:tcPr>
            <w:tcW w:w="1402" w:type="dxa"/>
            <w:noWrap/>
            <w:hideMark/>
          </w:tcPr>
          <w:p w:rsidR="00307206" w:rsidRPr="00307206" w:rsidRDefault="00307206" w:rsidP="00307206">
            <w:pPr>
              <w:jc w:val="right"/>
              <w:rPr>
                <w:sz w:val="22"/>
                <w:szCs w:val="22"/>
              </w:rPr>
            </w:pPr>
            <w:r w:rsidRPr="00307206">
              <w:rPr>
                <w:sz w:val="22"/>
                <w:szCs w:val="22"/>
              </w:rPr>
              <w:t>189</w:t>
            </w:r>
          </w:p>
        </w:tc>
        <w:tc>
          <w:tcPr>
            <w:tcW w:w="1402" w:type="dxa"/>
            <w:noWrap/>
            <w:hideMark/>
          </w:tcPr>
          <w:p w:rsidR="00307206" w:rsidRPr="00307206" w:rsidRDefault="00307206" w:rsidP="00307206">
            <w:pPr>
              <w:jc w:val="right"/>
              <w:rPr>
                <w:sz w:val="22"/>
                <w:szCs w:val="22"/>
              </w:rPr>
            </w:pPr>
            <w:r w:rsidRPr="00307206">
              <w:rPr>
                <w:sz w:val="22"/>
                <w:szCs w:val="22"/>
              </w:rPr>
              <w:t>187</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1.1%</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2.0</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Dumfries &amp; Galloway</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3.0%</w:t>
            </w:r>
          </w:p>
        </w:tc>
        <w:tc>
          <w:tcPr>
            <w:tcW w:w="1402" w:type="dxa"/>
            <w:noWrap/>
            <w:hideMark/>
          </w:tcPr>
          <w:p w:rsidR="00307206" w:rsidRPr="00307206" w:rsidRDefault="00307206" w:rsidP="00307206">
            <w:pPr>
              <w:jc w:val="right"/>
              <w:rPr>
                <w:sz w:val="22"/>
                <w:szCs w:val="22"/>
              </w:rPr>
            </w:pPr>
            <w:r w:rsidRPr="00307206">
              <w:rPr>
                <w:sz w:val="22"/>
                <w:szCs w:val="22"/>
              </w:rPr>
              <w:t>273</w:t>
            </w:r>
          </w:p>
        </w:tc>
        <w:tc>
          <w:tcPr>
            <w:tcW w:w="1402" w:type="dxa"/>
            <w:noWrap/>
            <w:hideMark/>
          </w:tcPr>
          <w:p w:rsidR="00307206" w:rsidRPr="00307206" w:rsidRDefault="00307206" w:rsidP="00307206">
            <w:pPr>
              <w:jc w:val="right"/>
              <w:rPr>
                <w:sz w:val="22"/>
                <w:szCs w:val="22"/>
              </w:rPr>
            </w:pPr>
            <w:r w:rsidRPr="00307206">
              <w:rPr>
                <w:sz w:val="22"/>
                <w:szCs w:val="22"/>
              </w:rPr>
              <w:t>265</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2.8%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7.6</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Fife</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6.8%</w:t>
            </w:r>
          </w:p>
        </w:tc>
        <w:tc>
          <w:tcPr>
            <w:tcW w:w="1402" w:type="dxa"/>
            <w:noWrap/>
            <w:hideMark/>
          </w:tcPr>
          <w:p w:rsidR="00307206" w:rsidRPr="00307206" w:rsidRDefault="00307206" w:rsidP="00307206">
            <w:pPr>
              <w:jc w:val="right"/>
              <w:rPr>
                <w:sz w:val="22"/>
                <w:szCs w:val="22"/>
              </w:rPr>
            </w:pPr>
            <w:r w:rsidRPr="00307206">
              <w:rPr>
                <w:sz w:val="22"/>
                <w:szCs w:val="22"/>
              </w:rPr>
              <w:t>601</w:t>
            </w:r>
          </w:p>
        </w:tc>
        <w:tc>
          <w:tcPr>
            <w:tcW w:w="1402" w:type="dxa"/>
            <w:noWrap/>
            <w:hideMark/>
          </w:tcPr>
          <w:p w:rsidR="00307206" w:rsidRPr="00307206" w:rsidRDefault="00307206" w:rsidP="00307206">
            <w:pPr>
              <w:jc w:val="right"/>
              <w:rPr>
                <w:sz w:val="22"/>
                <w:szCs w:val="22"/>
              </w:rPr>
            </w:pPr>
            <w:r w:rsidRPr="00307206">
              <w:rPr>
                <w:sz w:val="22"/>
                <w:szCs w:val="22"/>
              </w:rPr>
              <w:t>606</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-5.1</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proofErr w:type="spellStart"/>
            <w:r w:rsidRPr="00307206">
              <w:rPr>
                <w:rFonts w:cs="Arial"/>
                <w:b/>
                <w:bCs/>
                <w:sz w:val="22"/>
                <w:szCs w:val="22"/>
              </w:rPr>
              <w:t>Forth</w:t>
            </w:r>
            <w:proofErr w:type="spellEnd"/>
            <w:r w:rsidRPr="00307206">
              <w:rPr>
                <w:rFonts w:cs="Arial"/>
                <w:b/>
                <w:bCs/>
                <w:sz w:val="22"/>
                <w:szCs w:val="22"/>
              </w:rPr>
              <w:t xml:space="preserve"> Valley</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5.4%</w:t>
            </w:r>
          </w:p>
        </w:tc>
        <w:tc>
          <w:tcPr>
            <w:tcW w:w="1402" w:type="dxa"/>
            <w:noWrap/>
            <w:hideMark/>
          </w:tcPr>
          <w:p w:rsidR="00307206" w:rsidRPr="00307206" w:rsidRDefault="00307206" w:rsidP="00307206">
            <w:pPr>
              <w:jc w:val="right"/>
              <w:rPr>
                <w:sz w:val="22"/>
                <w:szCs w:val="22"/>
              </w:rPr>
            </w:pPr>
            <w:r w:rsidRPr="00307206">
              <w:rPr>
                <w:sz w:val="22"/>
                <w:szCs w:val="22"/>
              </w:rPr>
              <w:t>478</w:t>
            </w:r>
          </w:p>
        </w:tc>
        <w:tc>
          <w:tcPr>
            <w:tcW w:w="1402" w:type="dxa"/>
            <w:noWrap/>
            <w:hideMark/>
          </w:tcPr>
          <w:p w:rsidR="00307206" w:rsidRPr="00307206" w:rsidRDefault="00307206" w:rsidP="00307206">
            <w:pPr>
              <w:jc w:val="right"/>
              <w:rPr>
                <w:sz w:val="22"/>
                <w:szCs w:val="22"/>
              </w:rPr>
            </w:pPr>
            <w:r w:rsidRPr="00307206">
              <w:rPr>
                <w:sz w:val="22"/>
                <w:szCs w:val="22"/>
              </w:rPr>
              <w:t>482</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-4.1</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Grampian</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9.9%</w:t>
            </w:r>
          </w:p>
        </w:tc>
        <w:tc>
          <w:tcPr>
            <w:tcW w:w="1402" w:type="dxa"/>
            <w:noWrap/>
            <w:hideMark/>
          </w:tcPr>
          <w:p w:rsidR="00307206" w:rsidRPr="00307206" w:rsidRDefault="00307206" w:rsidP="00307206">
            <w:pPr>
              <w:jc w:val="right"/>
              <w:rPr>
                <w:sz w:val="22"/>
                <w:szCs w:val="22"/>
              </w:rPr>
            </w:pPr>
            <w:r w:rsidRPr="00307206">
              <w:rPr>
                <w:sz w:val="22"/>
                <w:szCs w:val="22"/>
              </w:rPr>
              <w:t>871</w:t>
            </w:r>
          </w:p>
        </w:tc>
        <w:tc>
          <w:tcPr>
            <w:tcW w:w="1402" w:type="dxa"/>
            <w:noWrap/>
            <w:hideMark/>
          </w:tcPr>
          <w:p w:rsidR="00307206" w:rsidRPr="00307206" w:rsidRDefault="00307206" w:rsidP="00307206">
            <w:pPr>
              <w:jc w:val="right"/>
              <w:rPr>
                <w:sz w:val="22"/>
                <w:szCs w:val="22"/>
              </w:rPr>
            </w:pPr>
            <w:r w:rsidRPr="00307206">
              <w:rPr>
                <w:sz w:val="22"/>
                <w:szCs w:val="22"/>
              </w:rPr>
              <w:t>879</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-7.4</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G</w:t>
            </w:r>
            <w:r>
              <w:rPr>
                <w:rFonts w:cs="Arial"/>
                <w:b/>
                <w:bCs/>
                <w:sz w:val="22"/>
                <w:szCs w:val="22"/>
              </w:rPr>
              <w:t>.</w:t>
            </w:r>
            <w:r w:rsidRPr="00307206">
              <w:rPr>
                <w:rFonts w:cs="Arial"/>
                <w:b/>
                <w:bCs/>
                <w:sz w:val="22"/>
                <w:szCs w:val="22"/>
              </w:rPr>
              <w:t xml:space="preserve"> Glasgow &amp; Clyde</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22.3%</w:t>
            </w:r>
          </w:p>
        </w:tc>
        <w:tc>
          <w:tcPr>
            <w:tcW w:w="1402" w:type="dxa"/>
            <w:noWrap/>
            <w:hideMark/>
          </w:tcPr>
          <w:p w:rsidR="00307206" w:rsidRPr="00307206" w:rsidRDefault="00307206" w:rsidP="00307206">
            <w:pPr>
              <w:jc w:val="right"/>
              <w:rPr>
                <w:sz w:val="22"/>
                <w:szCs w:val="22"/>
              </w:rPr>
            </w:pPr>
            <w:r w:rsidRPr="00307206">
              <w:rPr>
                <w:sz w:val="22"/>
                <w:szCs w:val="22"/>
              </w:rPr>
              <w:t>2,024</w:t>
            </w:r>
          </w:p>
        </w:tc>
        <w:tc>
          <w:tcPr>
            <w:tcW w:w="1402" w:type="dxa"/>
            <w:noWrap/>
            <w:hideMark/>
          </w:tcPr>
          <w:p w:rsidR="00307206" w:rsidRPr="00307206" w:rsidRDefault="00307206" w:rsidP="00307206">
            <w:pPr>
              <w:jc w:val="right"/>
              <w:rPr>
                <w:sz w:val="22"/>
                <w:szCs w:val="22"/>
              </w:rPr>
            </w:pPr>
            <w:r w:rsidRPr="00307206">
              <w:rPr>
                <w:sz w:val="22"/>
                <w:szCs w:val="22"/>
              </w:rPr>
              <w:t>1,988</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1.8%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36.4</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Highland</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6.4%</w:t>
            </w:r>
          </w:p>
        </w:tc>
        <w:tc>
          <w:tcPr>
            <w:tcW w:w="1402" w:type="dxa"/>
            <w:noWrap/>
            <w:hideMark/>
          </w:tcPr>
          <w:p w:rsidR="00307206" w:rsidRPr="00307206" w:rsidRDefault="00307206" w:rsidP="00307206">
            <w:pPr>
              <w:jc w:val="right"/>
              <w:rPr>
                <w:sz w:val="22"/>
                <w:szCs w:val="22"/>
              </w:rPr>
            </w:pPr>
            <w:r w:rsidRPr="00307206">
              <w:rPr>
                <w:sz w:val="22"/>
                <w:szCs w:val="22"/>
              </w:rPr>
              <w:t>569</w:t>
            </w:r>
          </w:p>
        </w:tc>
        <w:tc>
          <w:tcPr>
            <w:tcW w:w="1402" w:type="dxa"/>
            <w:noWrap/>
            <w:hideMark/>
          </w:tcPr>
          <w:p w:rsidR="00307206" w:rsidRPr="00307206" w:rsidRDefault="00307206" w:rsidP="00307206">
            <w:pPr>
              <w:jc w:val="right"/>
              <w:rPr>
                <w:sz w:val="22"/>
                <w:szCs w:val="22"/>
              </w:rPr>
            </w:pPr>
            <w:r w:rsidRPr="00307206">
              <w:rPr>
                <w:sz w:val="22"/>
                <w:szCs w:val="22"/>
              </w:rPr>
              <w:t>573</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-4.8</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Lanarkshire</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12.3%</w:t>
            </w:r>
          </w:p>
        </w:tc>
        <w:tc>
          <w:tcPr>
            <w:tcW w:w="1402" w:type="dxa"/>
            <w:noWrap/>
            <w:hideMark/>
          </w:tcPr>
          <w:p w:rsidR="00307206" w:rsidRPr="00307206" w:rsidRDefault="00307206" w:rsidP="00307206">
            <w:pPr>
              <w:jc w:val="right"/>
              <w:rPr>
                <w:sz w:val="22"/>
                <w:szCs w:val="22"/>
              </w:rPr>
            </w:pPr>
            <w:r w:rsidRPr="00307206">
              <w:rPr>
                <w:sz w:val="22"/>
                <w:szCs w:val="22"/>
              </w:rPr>
              <w:t>1,090</w:t>
            </w:r>
          </w:p>
        </w:tc>
        <w:tc>
          <w:tcPr>
            <w:tcW w:w="1402" w:type="dxa"/>
            <w:noWrap/>
            <w:hideMark/>
          </w:tcPr>
          <w:p w:rsidR="00307206" w:rsidRPr="00307206" w:rsidRDefault="00307206" w:rsidP="00307206">
            <w:pPr>
              <w:jc w:val="right"/>
              <w:rPr>
                <w:sz w:val="22"/>
                <w:szCs w:val="22"/>
              </w:rPr>
            </w:pPr>
            <w:r w:rsidRPr="00307206">
              <w:rPr>
                <w:sz w:val="22"/>
                <w:szCs w:val="22"/>
              </w:rPr>
              <w:t>1,099</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-9.3</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Lothian</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14.8%</w:t>
            </w:r>
          </w:p>
        </w:tc>
        <w:tc>
          <w:tcPr>
            <w:tcW w:w="1402" w:type="dxa"/>
            <w:noWrap/>
            <w:hideMark/>
          </w:tcPr>
          <w:p w:rsidR="00307206" w:rsidRPr="00307206" w:rsidRDefault="00307206" w:rsidP="00307206">
            <w:pPr>
              <w:jc w:val="right"/>
              <w:rPr>
                <w:sz w:val="22"/>
                <w:szCs w:val="22"/>
              </w:rPr>
            </w:pPr>
            <w:r w:rsidRPr="00307206">
              <w:rPr>
                <w:sz w:val="22"/>
                <w:szCs w:val="22"/>
              </w:rPr>
              <w:t>1,306</w:t>
            </w:r>
          </w:p>
        </w:tc>
        <w:tc>
          <w:tcPr>
            <w:tcW w:w="1402" w:type="dxa"/>
            <w:noWrap/>
            <w:hideMark/>
          </w:tcPr>
          <w:p w:rsidR="00307206" w:rsidRPr="00307206" w:rsidRDefault="00307206" w:rsidP="00307206">
            <w:pPr>
              <w:jc w:val="right"/>
              <w:rPr>
                <w:sz w:val="22"/>
                <w:szCs w:val="22"/>
              </w:rPr>
            </w:pPr>
            <w:r w:rsidRPr="00307206">
              <w:rPr>
                <w:sz w:val="22"/>
                <w:szCs w:val="22"/>
              </w:rPr>
              <w:t>1,318</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-11.1</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Orkney</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0.5%</w:t>
            </w:r>
          </w:p>
        </w:tc>
        <w:tc>
          <w:tcPr>
            <w:tcW w:w="1402" w:type="dxa"/>
            <w:noWrap/>
            <w:hideMark/>
          </w:tcPr>
          <w:p w:rsidR="00307206" w:rsidRPr="00307206" w:rsidRDefault="00307206" w:rsidP="00307206">
            <w:pPr>
              <w:jc w:val="right"/>
              <w:rPr>
                <w:sz w:val="22"/>
                <w:szCs w:val="22"/>
              </w:rPr>
            </w:pPr>
            <w:r w:rsidRPr="00307206">
              <w:rPr>
                <w:sz w:val="22"/>
                <w:szCs w:val="22"/>
              </w:rPr>
              <w:t>43</w:t>
            </w:r>
          </w:p>
        </w:tc>
        <w:tc>
          <w:tcPr>
            <w:tcW w:w="1402" w:type="dxa"/>
            <w:noWrap/>
            <w:hideMark/>
          </w:tcPr>
          <w:p w:rsidR="00307206" w:rsidRPr="00307206" w:rsidRDefault="00307206" w:rsidP="00307206">
            <w:pPr>
              <w:jc w:val="right"/>
              <w:rPr>
                <w:sz w:val="22"/>
                <w:szCs w:val="22"/>
              </w:rPr>
            </w:pPr>
            <w:r w:rsidRPr="00307206">
              <w:rPr>
                <w:sz w:val="22"/>
                <w:szCs w:val="22"/>
              </w:rPr>
              <w:t>43</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-0.4%</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-0.2</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Shetland</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0.5%</w:t>
            </w:r>
          </w:p>
        </w:tc>
        <w:tc>
          <w:tcPr>
            <w:tcW w:w="1402" w:type="dxa"/>
            <w:noWrap/>
            <w:hideMark/>
          </w:tcPr>
          <w:p w:rsidR="00307206" w:rsidRPr="00307206" w:rsidRDefault="00307206" w:rsidP="00307206">
            <w:pPr>
              <w:jc w:val="right"/>
              <w:rPr>
                <w:sz w:val="22"/>
                <w:szCs w:val="22"/>
              </w:rPr>
            </w:pPr>
            <w:r w:rsidRPr="00307206">
              <w:rPr>
                <w:sz w:val="22"/>
                <w:szCs w:val="22"/>
              </w:rPr>
              <w:t>43</w:t>
            </w:r>
          </w:p>
        </w:tc>
        <w:tc>
          <w:tcPr>
            <w:tcW w:w="1402" w:type="dxa"/>
            <w:noWrap/>
            <w:hideMark/>
          </w:tcPr>
          <w:p w:rsidR="00307206" w:rsidRPr="00307206" w:rsidRDefault="00307206" w:rsidP="00307206">
            <w:pPr>
              <w:jc w:val="right"/>
              <w:rPr>
                <w:sz w:val="22"/>
                <w:szCs w:val="22"/>
              </w:rPr>
            </w:pPr>
            <w:r w:rsidRPr="00307206">
              <w:rPr>
                <w:sz w:val="22"/>
                <w:szCs w:val="22"/>
              </w:rPr>
              <w:t>44</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-0.4%</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-0.2</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Tayside</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7.8%</w:t>
            </w:r>
          </w:p>
        </w:tc>
        <w:tc>
          <w:tcPr>
            <w:tcW w:w="1402" w:type="dxa"/>
            <w:noWrap/>
            <w:hideMark/>
          </w:tcPr>
          <w:p w:rsidR="00307206" w:rsidRPr="00307206" w:rsidRDefault="00307206" w:rsidP="00307206">
            <w:pPr>
              <w:jc w:val="right"/>
              <w:rPr>
                <w:sz w:val="22"/>
                <w:szCs w:val="22"/>
              </w:rPr>
            </w:pPr>
            <w:r w:rsidRPr="00307206">
              <w:rPr>
                <w:sz w:val="22"/>
                <w:szCs w:val="22"/>
              </w:rPr>
              <w:t>693</w:t>
            </w:r>
          </w:p>
        </w:tc>
        <w:tc>
          <w:tcPr>
            <w:tcW w:w="1402" w:type="dxa"/>
            <w:noWrap/>
            <w:hideMark/>
          </w:tcPr>
          <w:p w:rsidR="00307206" w:rsidRPr="00307206" w:rsidRDefault="00307206" w:rsidP="00307206">
            <w:pPr>
              <w:jc w:val="right"/>
              <w:rPr>
                <w:sz w:val="22"/>
                <w:szCs w:val="22"/>
              </w:rPr>
            </w:pPr>
            <w:r w:rsidRPr="00307206">
              <w:rPr>
                <w:sz w:val="22"/>
                <w:szCs w:val="22"/>
              </w:rPr>
              <w:t>698</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-0.8%</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-5.9</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Western Isles</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0.7%</w:t>
            </w:r>
          </w:p>
        </w:tc>
        <w:tc>
          <w:tcPr>
            <w:tcW w:w="1402" w:type="dxa"/>
            <w:noWrap/>
            <w:hideMark/>
          </w:tcPr>
          <w:p w:rsidR="00307206" w:rsidRPr="00307206" w:rsidRDefault="00307206" w:rsidP="00307206">
            <w:pPr>
              <w:jc w:val="right"/>
              <w:rPr>
                <w:sz w:val="22"/>
                <w:szCs w:val="22"/>
              </w:rPr>
            </w:pPr>
            <w:r w:rsidRPr="00307206">
              <w:rPr>
                <w:sz w:val="22"/>
                <w:szCs w:val="22"/>
              </w:rPr>
              <w:t>66</w:t>
            </w:r>
          </w:p>
        </w:tc>
        <w:tc>
          <w:tcPr>
            <w:tcW w:w="1402" w:type="dxa"/>
            <w:noWrap/>
            <w:hideMark/>
          </w:tcPr>
          <w:p w:rsidR="00307206" w:rsidRPr="00307206" w:rsidRDefault="00307206" w:rsidP="00307206">
            <w:pPr>
              <w:jc w:val="right"/>
              <w:rPr>
                <w:sz w:val="22"/>
                <w:szCs w:val="22"/>
              </w:rPr>
            </w:pPr>
            <w:r w:rsidRPr="00307206">
              <w:rPr>
                <w:sz w:val="22"/>
                <w:szCs w:val="22"/>
              </w:rPr>
              <w:t>58</w:t>
            </w:r>
          </w:p>
        </w:tc>
        <w:tc>
          <w:tcPr>
            <w:tcW w:w="1403" w:type="dxa"/>
            <w:noWrap/>
            <w:hideMark/>
          </w:tcPr>
          <w:p w:rsidR="00307206" w:rsidRPr="00307206" w:rsidRDefault="00307206" w:rsidP="00307206">
            <w:pPr>
              <w:jc w:val="right"/>
              <w:rPr>
                <w:rFonts w:cs="Arial"/>
                <w:sz w:val="22"/>
                <w:szCs w:val="22"/>
              </w:rPr>
            </w:pPr>
            <w:r w:rsidRPr="00307206">
              <w:rPr>
                <w:rFonts w:cs="Arial"/>
                <w:sz w:val="22"/>
                <w:szCs w:val="22"/>
              </w:rPr>
              <w:t>11.3%</w:t>
            </w: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7.5</w:t>
            </w:r>
          </w:p>
        </w:tc>
      </w:tr>
      <w:tr w:rsidR="00307206" w:rsidRPr="00307206" w:rsidTr="00307206">
        <w:trPr>
          <w:trHeight w:val="300"/>
        </w:trPr>
        <w:tc>
          <w:tcPr>
            <w:tcW w:w="2562" w:type="dxa"/>
            <w:noWrap/>
            <w:hideMark/>
          </w:tcPr>
          <w:p w:rsidR="00307206" w:rsidRPr="00307206" w:rsidRDefault="00307206" w:rsidP="00307206">
            <w:pPr>
              <w:rPr>
                <w:rFonts w:cs="Arial"/>
                <w:b/>
                <w:bCs/>
                <w:sz w:val="22"/>
                <w:szCs w:val="22"/>
              </w:rPr>
            </w:pPr>
            <w:r w:rsidRPr="00307206">
              <w:rPr>
                <w:rFonts w:cs="Arial"/>
                <w:b/>
                <w:bCs/>
                <w:sz w:val="22"/>
                <w:szCs w:val="22"/>
              </w:rPr>
              <w:t>Total</w:t>
            </w:r>
          </w:p>
        </w:tc>
        <w:tc>
          <w:tcPr>
            <w:tcW w:w="1113" w:type="dxa"/>
            <w:noWrap/>
            <w:hideMark/>
          </w:tcPr>
          <w:p w:rsidR="00307206" w:rsidRPr="00307206" w:rsidRDefault="00307206" w:rsidP="00307206">
            <w:pPr>
              <w:jc w:val="right"/>
              <w:rPr>
                <w:rFonts w:cs="Arial"/>
                <w:sz w:val="22"/>
                <w:szCs w:val="22"/>
              </w:rPr>
            </w:pPr>
            <w:r w:rsidRPr="00307206">
              <w:rPr>
                <w:rFonts w:cs="Arial"/>
                <w:sz w:val="22"/>
                <w:szCs w:val="22"/>
              </w:rPr>
              <w:t>100%</w:t>
            </w:r>
          </w:p>
        </w:tc>
        <w:tc>
          <w:tcPr>
            <w:tcW w:w="1402" w:type="dxa"/>
            <w:noWrap/>
            <w:hideMark/>
          </w:tcPr>
          <w:p w:rsidR="00307206" w:rsidRPr="00307206" w:rsidRDefault="00307206" w:rsidP="00307206">
            <w:pPr>
              <w:jc w:val="right"/>
              <w:rPr>
                <w:sz w:val="22"/>
                <w:szCs w:val="22"/>
              </w:rPr>
            </w:pPr>
            <w:r w:rsidRPr="00307206">
              <w:rPr>
                <w:sz w:val="22"/>
                <w:szCs w:val="22"/>
              </w:rPr>
              <w:t>8,900</w:t>
            </w:r>
          </w:p>
        </w:tc>
        <w:tc>
          <w:tcPr>
            <w:tcW w:w="1402" w:type="dxa"/>
            <w:noWrap/>
            <w:hideMark/>
          </w:tcPr>
          <w:p w:rsidR="00307206" w:rsidRPr="00307206" w:rsidRDefault="00307206" w:rsidP="00307206">
            <w:pPr>
              <w:jc w:val="right"/>
              <w:rPr>
                <w:sz w:val="22"/>
                <w:szCs w:val="22"/>
              </w:rPr>
            </w:pPr>
            <w:r w:rsidRPr="00307206">
              <w:rPr>
                <w:sz w:val="22"/>
                <w:szCs w:val="22"/>
              </w:rPr>
              <w:t>8,900</w:t>
            </w:r>
          </w:p>
        </w:tc>
        <w:tc>
          <w:tcPr>
            <w:tcW w:w="1403" w:type="dxa"/>
            <w:noWrap/>
            <w:hideMark/>
          </w:tcPr>
          <w:p w:rsidR="00307206" w:rsidRPr="00307206" w:rsidRDefault="00307206" w:rsidP="00307206">
            <w:pPr>
              <w:jc w:val="right"/>
              <w:rPr>
                <w:rFonts w:cs="Arial"/>
                <w:sz w:val="22"/>
                <w:szCs w:val="22"/>
              </w:rPr>
            </w:pPr>
          </w:p>
        </w:tc>
        <w:tc>
          <w:tcPr>
            <w:tcW w:w="1134" w:type="dxa"/>
            <w:noWrap/>
            <w:hideMark/>
          </w:tcPr>
          <w:p w:rsidR="00307206" w:rsidRPr="00307206" w:rsidRDefault="00307206" w:rsidP="00307206">
            <w:pPr>
              <w:jc w:val="right"/>
              <w:rPr>
                <w:rFonts w:cs="Arial"/>
                <w:sz w:val="22"/>
                <w:szCs w:val="22"/>
              </w:rPr>
            </w:pPr>
            <w:r w:rsidRPr="00307206">
              <w:rPr>
                <w:rFonts w:cs="Arial"/>
                <w:sz w:val="22"/>
                <w:szCs w:val="22"/>
              </w:rPr>
              <w:t>0.0</w:t>
            </w:r>
          </w:p>
        </w:tc>
      </w:tr>
    </w:tbl>
    <w:p w:rsidR="003C6EF6" w:rsidRDefault="003C6EF6" w:rsidP="003C6EF6"/>
    <w:sectPr w:rsidR="003C6EF6" w:rsidSect="00B561C0">
      <w:head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A1" w:rsidRDefault="008D3FA1" w:rsidP="008D3FA1">
      <w:r>
        <w:separator/>
      </w:r>
    </w:p>
  </w:endnote>
  <w:endnote w:type="continuationSeparator" w:id="0">
    <w:p w:rsidR="008D3FA1" w:rsidRDefault="008D3FA1" w:rsidP="008D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A1" w:rsidRDefault="008D3FA1" w:rsidP="008D3FA1">
      <w:r>
        <w:separator/>
      </w:r>
    </w:p>
  </w:footnote>
  <w:footnote w:type="continuationSeparator" w:id="0">
    <w:p w:rsidR="008D3FA1" w:rsidRDefault="008D3FA1" w:rsidP="008D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FA1" w:rsidRPr="008D3FA1" w:rsidRDefault="008D3FA1" w:rsidP="008D3FA1">
    <w:pPr>
      <w:pStyle w:val="Header"/>
      <w:rPr>
        <w:i/>
      </w:rPr>
    </w:pPr>
    <w:r w:rsidRPr="008D3FA1">
      <w:rPr>
        <w:i/>
      </w:rPr>
      <w:t>Fair Shares for Health in Scotland</w:t>
    </w:r>
    <w:r w:rsidRPr="008D3FA1">
      <w:rPr>
        <w:i/>
      </w:rPr>
      <w:ptab w:relativeTo="margin" w:alignment="center" w:leader="none"/>
    </w:r>
    <w:r w:rsidRPr="008D3FA1">
      <w:rPr>
        <w:i/>
      </w:rPr>
      <w:ptab w:relativeTo="margin" w:alignment="right" w:leader="none"/>
    </w:r>
    <w:r w:rsidRPr="008D3FA1">
      <w:rPr>
        <w:i/>
      </w:rPr>
      <w:t>TAGRA(2019)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616516"/>
    <w:multiLevelType w:val="hybridMultilevel"/>
    <w:tmpl w:val="94E0C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2"/>
    <w:rsid w:val="00027C27"/>
    <w:rsid w:val="00076AD2"/>
    <w:rsid w:val="000B0D37"/>
    <w:rsid w:val="000C0CF4"/>
    <w:rsid w:val="00222A25"/>
    <w:rsid w:val="00281579"/>
    <w:rsid w:val="00306C61"/>
    <w:rsid w:val="00307206"/>
    <w:rsid w:val="0037582B"/>
    <w:rsid w:val="003B0001"/>
    <w:rsid w:val="003C6EF6"/>
    <w:rsid w:val="00431586"/>
    <w:rsid w:val="00677106"/>
    <w:rsid w:val="00857548"/>
    <w:rsid w:val="008D3FA1"/>
    <w:rsid w:val="008F7B7F"/>
    <w:rsid w:val="009B7615"/>
    <w:rsid w:val="00A567AB"/>
    <w:rsid w:val="00B51BDC"/>
    <w:rsid w:val="00B561C0"/>
    <w:rsid w:val="00B773CE"/>
    <w:rsid w:val="00C6113A"/>
    <w:rsid w:val="00C91823"/>
    <w:rsid w:val="00C94454"/>
    <w:rsid w:val="00D008AB"/>
    <w:rsid w:val="00F62667"/>
    <w:rsid w:val="00F70ED8"/>
    <w:rsid w:val="00FA4BC1"/>
    <w:rsid w:val="00FC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6ACB2"/>
  <w15:chartTrackingRefBased/>
  <w15:docId w15:val="{88546014-7863-437C-BF45-C1C329A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6113A"/>
    <w:pPr>
      <w:ind w:left="720"/>
      <w:contextualSpacing/>
    </w:pPr>
  </w:style>
  <w:style w:type="paragraph" w:styleId="BalloonText">
    <w:name w:val="Balloon Text"/>
    <w:basedOn w:val="Normal"/>
    <w:link w:val="BalloonTextChar"/>
    <w:uiPriority w:val="99"/>
    <w:semiHidden/>
    <w:unhideWhenUsed/>
    <w:rsid w:val="0043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586"/>
    <w:rPr>
      <w:rFonts w:ascii="Segoe UI" w:hAnsi="Segoe UI" w:cs="Segoe UI"/>
      <w:sz w:val="18"/>
      <w:szCs w:val="18"/>
    </w:rPr>
  </w:style>
  <w:style w:type="table" w:styleId="TableGrid">
    <w:name w:val="Table Grid"/>
    <w:basedOn w:val="TableNormal"/>
    <w:uiPriority w:val="39"/>
    <w:rsid w:val="0030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6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86DF-0FB2-4FE5-9CDB-7DD50054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P (Paudric)</dc:creator>
  <cp:keywords/>
  <dc:description/>
  <cp:lastModifiedBy>Osborne P (Paudric)</cp:lastModifiedBy>
  <cp:revision>4</cp:revision>
  <cp:lastPrinted>2019-03-28T15:47:00Z</cp:lastPrinted>
  <dcterms:created xsi:type="dcterms:W3CDTF">2019-03-28T16:49:00Z</dcterms:created>
  <dcterms:modified xsi:type="dcterms:W3CDTF">2019-03-29T09:45:00Z</dcterms:modified>
</cp:coreProperties>
</file>