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5BCB" w14:textId="1A986ECE" w:rsidR="00F3051D" w:rsidRPr="00F3051D" w:rsidRDefault="00F3051D" w:rsidP="00D06989">
      <w:pPr>
        <w:pStyle w:val="ListParagraph"/>
        <w:spacing w:line="240" w:lineRule="auto"/>
        <w:ind w:left="0"/>
        <w:mirrorIndents/>
        <w:jc w:val="center"/>
        <w:rPr>
          <w:rFonts w:ascii="Arial" w:hAnsi="Arial" w:cs="Arial"/>
          <w:b/>
          <w:bCs/>
          <w:sz w:val="24"/>
          <w:szCs w:val="24"/>
        </w:rPr>
      </w:pPr>
      <w:r w:rsidRPr="00F3051D">
        <w:rPr>
          <w:rFonts w:ascii="Arial" w:hAnsi="Arial" w:cs="Arial"/>
          <w:b/>
          <w:bCs/>
          <w:sz w:val="24"/>
          <w:szCs w:val="24"/>
        </w:rPr>
        <w:t>Desk Review of Developments in Formula Methodology</w:t>
      </w:r>
    </w:p>
    <w:p w14:paraId="4EA2D1B2" w14:textId="77777777" w:rsidR="0028128E" w:rsidRDefault="0028128E" w:rsidP="00D06989">
      <w:pPr>
        <w:pStyle w:val="ListParagraph"/>
        <w:spacing w:line="240" w:lineRule="auto"/>
        <w:ind w:left="0"/>
        <w:mirrorIndents/>
        <w:jc w:val="both"/>
        <w:rPr>
          <w:rFonts w:ascii="Arial" w:hAnsi="Arial" w:cs="Arial"/>
          <w:sz w:val="24"/>
          <w:szCs w:val="24"/>
          <w:u w:val="single"/>
        </w:rPr>
      </w:pPr>
    </w:p>
    <w:p w14:paraId="163F4C31" w14:textId="3F2E21D1" w:rsidR="006000B2" w:rsidRPr="00485140" w:rsidRDefault="002B5525" w:rsidP="00D06989">
      <w:pPr>
        <w:pStyle w:val="ListParagraph"/>
        <w:spacing w:line="240" w:lineRule="auto"/>
        <w:ind w:left="0"/>
        <w:mirrorIndents/>
        <w:jc w:val="both"/>
        <w:rPr>
          <w:rFonts w:ascii="Arial" w:hAnsi="Arial" w:cs="Arial"/>
          <w:b/>
          <w:bCs/>
          <w:sz w:val="24"/>
          <w:szCs w:val="24"/>
        </w:rPr>
      </w:pPr>
      <w:r w:rsidRPr="00485140">
        <w:rPr>
          <w:rFonts w:ascii="Arial" w:hAnsi="Arial" w:cs="Arial"/>
          <w:b/>
          <w:bCs/>
          <w:sz w:val="24"/>
          <w:szCs w:val="24"/>
        </w:rPr>
        <w:t>1. Introduction:</w:t>
      </w:r>
    </w:p>
    <w:p w14:paraId="3FCA29A9" w14:textId="145E1E05" w:rsidR="007867B3" w:rsidRPr="00153249" w:rsidRDefault="006D71AB" w:rsidP="00D06989">
      <w:pPr>
        <w:pStyle w:val="ListParagraph"/>
        <w:numPr>
          <w:ilvl w:val="0"/>
          <w:numId w:val="8"/>
        </w:numPr>
        <w:spacing w:line="240" w:lineRule="auto"/>
        <w:ind w:left="0" w:firstLine="0"/>
        <w:mirrorIndents/>
        <w:jc w:val="both"/>
        <w:rPr>
          <w:rFonts w:ascii="Arial" w:hAnsi="Arial" w:cs="Arial"/>
          <w:sz w:val="24"/>
          <w:szCs w:val="24"/>
        </w:rPr>
      </w:pPr>
      <w:r w:rsidRPr="00FF04BA">
        <w:rPr>
          <w:rFonts w:ascii="Arial" w:hAnsi="Arial" w:cs="Arial"/>
          <w:sz w:val="24"/>
          <w:szCs w:val="24"/>
        </w:rPr>
        <w:t>This note</w:t>
      </w:r>
      <w:r w:rsidR="00CA6533">
        <w:rPr>
          <w:rFonts w:ascii="Arial" w:hAnsi="Arial" w:cs="Arial"/>
          <w:sz w:val="24"/>
          <w:szCs w:val="24"/>
        </w:rPr>
        <w:t xml:space="preserve"> </w:t>
      </w:r>
      <w:r w:rsidR="00C63A82">
        <w:rPr>
          <w:rFonts w:ascii="Arial" w:hAnsi="Arial" w:cs="Arial"/>
          <w:sz w:val="24"/>
          <w:szCs w:val="24"/>
        </w:rPr>
        <w:t>reports</w:t>
      </w:r>
      <w:r w:rsidR="00F3051D">
        <w:rPr>
          <w:rFonts w:ascii="Arial" w:hAnsi="Arial" w:cs="Arial"/>
          <w:sz w:val="24"/>
          <w:szCs w:val="24"/>
        </w:rPr>
        <w:t xml:space="preserve"> </w:t>
      </w:r>
      <w:r w:rsidR="00C63FF8">
        <w:rPr>
          <w:rFonts w:ascii="Arial" w:hAnsi="Arial" w:cs="Arial"/>
          <w:sz w:val="24"/>
          <w:szCs w:val="24"/>
        </w:rPr>
        <w:t>work</w:t>
      </w:r>
      <w:r w:rsidR="00D86FCB">
        <w:rPr>
          <w:rFonts w:ascii="Arial" w:hAnsi="Arial" w:cs="Arial"/>
          <w:sz w:val="24"/>
          <w:szCs w:val="24"/>
        </w:rPr>
        <w:t xml:space="preserve"> undertaken </w:t>
      </w:r>
      <w:r w:rsidR="00094BA3">
        <w:rPr>
          <w:rFonts w:ascii="Arial" w:hAnsi="Arial" w:cs="Arial"/>
          <w:sz w:val="24"/>
          <w:szCs w:val="24"/>
        </w:rPr>
        <w:t>for</w:t>
      </w:r>
      <w:r w:rsidR="00D86FCB">
        <w:rPr>
          <w:rFonts w:ascii="Arial" w:hAnsi="Arial" w:cs="Arial"/>
          <w:sz w:val="24"/>
          <w:szCs w:val="24"/>
        </w:rPr>
        <w:t xml:space="preserve"> Work P</w:t>
      </w:r>
      <w:r w:rsidR="00C63FF8">
        <w:rPr>
          <w:rFonts w:ascii="Arial" w:hAnsi="Arial" w:cs="Arial"/>
          <w:sz w:val="24"/>
          <w:szCs w:val="24"/>
        </w:rPr>
        <w:t>rogramme</w:t>
      </w:r>
      <w:r w:rsidR="00CC5B63">
        <w:rPr>
          <w:rFonts w:ascii="Arial" w:hAnsi="Arial" w:cs="Arial"/>
          <w:sz w:val="24"/>
          <w:szCs w:val="24"/>
        </w:rPr>
        <w:t xml:space="preserve"> item</w:t>
      </w:r>
      <w:r w:rsidR="00D86FCB">
        <w:rPr>
          <w:rFonts w:ascii="Arial" w:hAnsi="Arial" w:cs="Arial"/>
          <w:sz w:val="24"/>
          <w:szCs w:val="24"/>
        </w:rPr>
        <w:t xml:space="preserve"> SM-4 </w:t>
      </w:r>
      <w:r w:rsidR="002A4038">
        <w:rPr>
          <w:rFonts w:ascii="Arial" w:hAnsi="Arial" w:cs="Arial"/>
          <w:sz w:val="24"/>
          <w:szCs w:val="24"/>
        </w:rPr>
        <w:t xml:space="preserve">to </w:t>
      </w:r>
      <w:r w:rsidR="00340192">
        <w:rPr>
          <w:rFonts w:ascii="Arial" w:hAnsi="Arial" w:cs="Arial"/>
          <w:sz w:val="24"/>
          <w:szCs w:val="24"/>
        </w:rPr>
        <w:t>review</w:t>
      </w:r>
      <w:r w:rsidR="002A4038">
        <w:rPr>
          <w:rFonts w:ascii="Arial" w:hAnsi="Arial" w:cs="Arial"/>
          <w:sz w:val="24"/>
          <w:szCs w:val="24"/>
        </w:rPr>
        <w:t xml:space="preserve"> </w:t>
      </w:r>
      <w:r w:rsidR="006633D0">
        <w:rPr>
          <w:rFonts w:ascii="Arial" w:hAnsi="Arial" w:cs="Arial"/>
          <w:sz w:val="24"/>
          <w:szCs w:val="24"/>
        </w:rPr>
        <w:t>developments</w:t>
      </w:r>
      <w:r w:rsidR="00C6176E">
        <w:rPr>
          <w:rFonts w:ascii="Arial" w:hAnsi="Arial" w:cs="Arial"/>
          <w:sz w:val="24"/>
          <w:szCs w:val="24"/>
        </w:rPr>
        <w:t xml:space="preserve"> </w:t>
      </w:r>
      <w:r w:rsidR="00333A62">
        <w:rPr>
          <w:rFonts w:ascii="Arial" w:hAnsi="Arial" w:cs="Arial"/>
          <w:sz w:val="24"/>
          <w:szCs w:val="24"/>
        </w:rPr>
        <w:t>in</w:t>
      </w:r>
      <w:r w:rsidR="00082964">
        <w:rPr>
          <w:rFonts w:ascii="Arial" w:hAnsi="Arial" w:cs="Arial"/>
          <w:sz w:val="24"/>
          <w:szCs w:val="24"/>
        </w:rPr>
        <w:t xml:space="preserve"> allocation</w:t>
      </w:r>
      <w:r w:rsidR="002A4038">
        <w:rPr>
          <w:rFonts w:ascii="Arial" w:hAnsi="Arial" w:cs="Arial"/>
          <w:sz w:val="24"/>
          <w:szCs w:val="24"/>
        </w:rPr>
        <w:t xml:space="preserve"> formula</w:t>
      </w:r>
      <w:r w:rsidR="00A85C60">
        <w:rPr>
          <w:rFonts w:ascii="Arial" w:hAnsi="Arial" w:cs="Arial"/>
          <w:sz w:val="24"/>
          <w:szCs w:val="24"/>
        </w:rPr>
        <w:t>e</w:t>
      </w:r>
      <w:r w:rsidR="002A4038">
        <w:rPr>
          <w:rFonts w:ascii="Arial" w:hAnsi="Arial" w:cs="Arial"/>
          <w:sz w:val="24"/>
          <w:szCs w:val="24"/>
        </w:rPr>
        <w:t xml:space="preserve"> </w:t>
      </w:r>
      <w:r w:rsidR="00333A62">
        <w:rPr>
          <w:rFonts w:ascii="Arial" w:hAnsi="Arial" w:cs="Arial"/>
          <w:sz w:val="24"/>
          <w:szCs w:val="24"/>
        </w:rPr>
        <w:t>methods</w:t>
      </w:r>
      <w:r w:rsidR="00094BA3">
        <w:rPr>
          <w:rFonts w:ascii="Arial" w:hAnsi="Arial" w:cs="Arial"/>
          <w:sz w:val="24"/>
          <w:szCs w:val="24"/>
        </w:rPr>
        <w:t xml:space="preserve">.  </w:t>
      </w:r>
      <w:r w:rsidR="007A7F27">
        <w:rPr>
          <w:rFonts w:ascii="Arial" w:hAnsi="Arial" w:cs="Arial"/>
          <w:sz w:val="24"/>
          <w:szCs w:val="24"/>
        </w:rPr>
        <w:t>The aim is to</w:t>
      </w:r>
      <w:r w:rsidR="007A7F27" w:rsidRPr="00E17442">
        <w:t xml:space="preserve"> </w:t>
      </w:r>
      <w:r w:rsidR="007A7F27" w:rsidRPr="00E17442">
        <w:rPr>
          <w:rFonts w:ascii="Arial" w:hAnsi="Arial" w:cs="Arial"/>
          <w:sz w:val="24"/>
          <w:szCs w:val="24"/>
        </w:rPr>
        <w:t xml:space="preserve">help inform </w:t>
      </w:r>
      <w:r w:rsidR="007A7F27">
        <w:rPr>
          <w:rFonts w:ascii="Arial" w:hAnsi="Arial" w:cs="Arial"/>
          <w:sz w:val="24"/>
          <w:szCs w:val="24"/>
        </w:rPr>
        <w:t>discussions</w:t>
      </w:r>
      <w:r w:rsidR="007A7F27" w:rsidRPr="00E17442">
        <w:rPr>
          <w:rFonts w:ascii="Arial" w:hAnsi="Arial" w:cs="Arial"/>
          <w:sz w:val="24"/>
          <w:szCs w:val="24"/>
        </w:rPr>
        <w:t xml:space="preserve"> regarding the scope and content of the formula review</w:t>
      </w:r>
      <w:r w:rsidR="007A7F27">
        <w:rPr>
          <w:rFonts w:ascii="Arial" w:hAnsi="Arial" w:cs="Arial"/>
          <w:sz w:val="24"/>
          <w:szCs w:val="24"/>
        </w:rPr>
        <w:t xml:space="preserve"> by </w:t>
      </w:r>
      <w:r w:rsidR="00340192">
        <w:rPr>
          <w:rFonts w:ascii="Arial" w:hAnsi="Arial" w:cs="Arial"/>
          <w:sz w:val="24"/>
          <w:szCs w:val="24"/>
        </w:rPr>
        <w:t>identifying</w:t>
      </w:r>
      <w:r w:rsidR="003B58F8">
        <w:rPr>
          <w:rFonts w:ascii="Arial" w:hAnsi="Arial" w:cs="Arial"/>
          <w:sz w:val="24"/>
          <w:szCs w:val="24"/>
        </w:rPr>
        <w:t xml:space="preserve"> potential</w:t>
      </w:r>
      <w:r w:rsidR="00340192">
        <w:rPr>
          <w:rFonts w:ascii="Arial" w:hAnsi="Arial" w:cs="Arial"/>
          <w:sz w:val="24"/>
          <w:szCs w:val="24"/>
        </w:rPr>
        <w:t xml:space="preserve"> </w:t>
      </w:r>
      <w:r w:rsidR="006633D0">
        <w:rPr>
          <w:rFonts w:ascii="Arial" w:hAnsi="Arial" w:cs="Arial"/>
          <w:sz w:val="24"/>
          <w:szCs w:val="24"/>
        </w:rPr>
        <w:t>improvements</w:t>
      </w:r>
      <w:r w:rsidR="0014186D">
        <w:rPr>
          <w:rFonts w:ascii="Arial" w:hAnsi="Arial" w:cs="Arial"/>
          <w:sz w:val="24"/>
          <w:szCs w:val="24"/>
        </w:rPr>
        <w:t xml:space="preserve"> to</w:t>
      </w:r>
      <w:r w:rsidR="003E2E40">
        <w:rPr>
          <w:rFonts w:ascii="Arial" w:hAnsi="Arial" w:cs="Arial"/>
          <w:sz w:val="24"/>
          <w:szCs w:val="24"/>
        </w:rPr>
        <w:t xml:space="preserve"> the methods used in</w:t>
      </w:r>
      <w:r w:rsidR="000F54E6">
        <w:rPr>
          <w:rFonts w:ascii="Arial" w:hAnsi="Arial" w:cs="Arial"/>
          <w:sz w:val="24"/>
          <w:szCs w:val="24"/>
        </w:rPr>
        <w:t xml:space="preserve"> </w:t>
      </w:r>
      <w:r w:rsidR="002804E0">
        <w:rPr>
          <w:rFonts w:ascii="Arial" w:hAnsi="Arial" w:cs="Arial"/>
          <w:sz w:val="24"/>
          <w:szCs w:val="24"/>
        </w:rPr>
        <w:t xml:space="preserve">the NRAC formula.  </w:t>
      </w:r>
    </w:p>
    <w:p w14:paraId="0C851D4C" w14:textId="77777777" w:rsidR="007867B3" w:rsidRDefault="007867B3" w:rsidP="00D06989">
      <w:pPr>
        <w:pStyle w:val="ListParagraph"/>
        <w:spacing w:line="240" w:lineRule="auto"/>
        <w:ind w:left="0"/>
        <w:mirrorIndents/>
        <w:jc w:val="both"/>
        <w:rPr>
          <w:rFonts w:ascii="Arial" w:hAnsi="Arial" w:cs="Arial"/>
          <w:sz w:val="24"/>
          <w:szCs w:val="24"/>
        </w:rPr>
      </w:pPr>
    </w:p>
    <w:p w14:paraId="56F55D8E" w14:textId="3C600DEA" w:rsidR="008847C7" w:rsidRDefault="005D28C3" w:rsidP="00D06989">
      <w:pPr>
        <w:pStyle w:val="ListParagraph"/>
        <w:numPr>
          <w:ilvl w:val="0"/>
          <w:numId w:val="8"/>
        </w:numPr>
        <w:spacing w:line="240" w:lineRule="auto"/>
        <w:ind w:left="0" w:firstLine="0"/>
        <w:mirrorIndents/>
        <w:jc w:val="both"/>
        <w:rPr>
          <w:rFonts w:ascii="Arial" w:hAnsi="Arial" w:cs="Arial"/>
          <w:sz w:val="24"/>
          <w:szCs w:val="24"/>
        </w:rPr>
      </w:pPr>
      <w:r w:rsidRPr="003A7580">
        <w:rPr>
          <w:rFonts w:ascii="Arial" w:hAnsi="Arial" w:cs="Arial"/>
          <w:sz w:val="24"/>
          <w:szCs w:val="24"/>
        </w:rPr>
        <w:t xml:space="preserve">The review </w:t>
      </w:r>
      <w:r w:rsidR="00903C21" w:rsidRPr="003A7580">
        <w:rPr>
          <w:rFonts w:ascii="Arial" w:hAnsi="Arial" w:cs="Arial"/>
          <w:sz w:val="24"/>
          <w:szCs w:val="24"/>
        </w:rPr>
        <w:t>is limited to</w:t>
      </w:r>
      <w:r w:rsidRPr="003A7580">
        <w:rPr>
          <w:rFonts w:ascii="Arial" w:hAnsi="Arial" w:cs="Arial"/>
          <w:sz w:val="24"/>
          <w:szCs w:val="24"/>
        </w:rPr>
        <w:t xml:space="preserve"> </w:t>
      </w:r>
      <w:r w:rsidR="00903C21" w:rsidRPr="003A7580">
        <w:rPr>
          <w:rFonts w:ascii="Arial" w:hAnsi="Arial" w:cs="Arial"/>
          <w:sz w:val="24"/>
          <w:szCs w:val="24"/>
        </w:rPr>
        <w:t>formula</w:t>
      </w:r>
      <w:r w:rsidR="00A85C60" w:rsidRPr="003A7580">
        <w:rPr>
          <w:rFonts w:ascii="Arial" w:hAnsi="Arial" w:cs="Arial"/>
          <w:sz w:val="24"/>
          <w:szCs w:val="24"/>
        </w:rPr>
        <w:t>e</w:t>
      </w:r>
      <w:r w:rsidR="00903C21" w:rsidRPr="003A7580">
        <w:rPr>
          <w:rFonts w:ascii="Arial" w:hAnsi="Arial" w:cs="Arial"/>
          <w:sz w:val="24"/>
          <w:szCs w:val="24"/>
        </w:rPr>
        <w:t xml:space="preserve"> used in the rest of the UK as the</w:t>
      </w:r>
      <w:r w:rsidR="00753771" w:rsidRPr="003A7580">
        <w:rPr>
          <w:rFonts w:ascii="Arial" w:hAnsi="Arial" w:cs="Arial"/>
          <w:sz w:val="24"/>
          <w:szCs w:val="24"/>
        </w:rPr>
        <w:t xml:space="preserve"> health service, data availability and capitation formula approaches there are most relevant to the </w:t>
      </w:r>
      <w:r w:rsidR="00A15ACF">
        <w:rPr>
          <w:rFonts w:ascii="Arial" w:hAnsi="Arial" w:cs="Arial"/>
          <w:sz w:val="24"/>
          <w:szCs w:val="24"/>
        </w:rPr>
        <w:t>context</w:t>
      </w:r>
      <w:r w:rsidR="00753771" w:rsidRPr="003A7580">
        <w:rPr>
          <w:rFonts w:ascii="Arial" w:hAnsi="Arial" w:cs="Arial"/>
          <w:sz w:val="24"/>
          <w:szCs w:val="24"/>
        </w:rPr>
        <w:t xml:space="preserve"> in Scotland.  In practice this means</w:t>
      </w:r>
      <w:r w:rsidR="00D31031" w:rsidRPr="003A7580">
        <w:rPr>
          <w:rFonts w:ascii="Arial" w:hAnsi="Arial" w:cs="Arial"/>
          <w:sz w:val="24"/>
          <w:szCs w:val="24"/>
        </w:rPr>
        <w:t xml:space="preserve"> focussing</w:t>
      </w:r>
      <w:r w:rsidR="00753771" w:rsidRPr="003A7580">
        <w:rPr>
          <w:rFonts w:ascii="Arial" w:hAnsi="Arial" w:cs="Arial"/>
          <w:sz w:val="24"/>
          <w:szCs w:val="24"/>
        </w:rPr>
        <w:t xml:space="preserve"> primarily</w:t>
      </w:r>
      <w:r w:rsidR="00D31031" w:rsidRPr="003A7580">
        <w:rPr>
          <w:rFonts w:ascii="Arial" w:hAnsi="Arial" w:cs="Arial"/>
          <w:sz w:val="24"/>
          <w:szCs w:val="24"/>
        </w:rPr>
        <w:t xml:space="preserve"> on</w:t>
      </w:r>
      <w:r w:rsidR="00753771" w:rsidRPr="003A7580">
        <w:rPr>
          <w:rFonts w:ascii="Arial" w:hAnsi="Arial" w:cs="Arial"/>
          <w:sz w:val="24"/>
          <w:szCs w:val="24"/>
        </w:rPr>
        <w:t xml:space="preserve"> England and Northern Ireland</w:t>
      </w:r>
      <w:r w:rsidR="002F59EC" w:rsidRPr="003A7580">
        <w:rPr>
          <w:rFonts w:ascii="Arial" w:hAnsi="Arial" w:cs="Arial"/>
          <w:sz w:val="24"/>
          <w:szCs w:val="24"/>
        </w:rPr>
        <w:t>,</w:t>
      </w:r>
      <w:r w:rsidR="00753771" w:rsidRPr="003A7580">
        <w:rPr>
          <w:rFonts w:ascii="Arial" w:hAnsi="Arial" w:cs="Arial"/>
          <w:sz w:val="24"/>
          <w:szCs w:val="24"/>
        </w:rPr>
        <w:t xml:space="preserve"> as health funding allocations in Wales </w:t>
      </w:r>
      <w:r w:rsidR="00D52AB3" w:rsidRPr="003A7580">
        <w:rPr>
          <w:rFonts w:ascii="Arial" w:hAnsi="Arial" w:cs="Arial"/>
          <w:sz w:val="24"/>
          <w:szCs w:val="24"/>
        </w:rPr>
        <w:t>have been</w:t>
      </w:r>
      <w:r w:rsidR="00753771" w:rsidRPr="003A7580">
        <w:rPr>
          <w:rFonts w:ascii="Arial" w:hAnsi="Arial" w:cs="Arial"/>
          <w:sz w:val="24"/>
          <w:szCs w:val="24"/>
        </w:rPr>
        <w:t xml:space="preserve"> based on an </w:t>
      </w:r>
      <w:r w:rsidR="00051554" w:rsidRPr="003A7580">
        <w:rPr>
          <w:rFonts w:ascii="Arial" w:hAnsi="Arial" w:cs="Arial"/>
          <w:sz w:val="24"/>
          <w:szCs w:val="24"/>
        </w:rPr>
        <w:t>epidemiological approach</w:t>
      </w:r>
      <w:r w:rsidR="004924C2">
        <w:rPr>
          <w:rFonts w:ascii="Arial" w:hAnsi="Arial" w:cs="Arial"/>
          <w:sz w:val="24"/>
          <w:szCs w:val="24"/>
        </w:rPr>
        <w:t xml:space="preserve"> (</w:t>
      </w:r>
      <w:r w:rsidR="00D52AB3" w:rsidRPr="003A7580">
        <w:rPr>
          <w:rFonts w:ascii="Arial" w:hAnsi="Arial" w:cs="Arial"/>
          <w:sz w:val="24"/>
          <w:szCs w:val="24"/>
        </w:rPr>
        <w:t xml:space="preserve">though </w:t>
      </w:r>
      <w:r w:rsidR="003A7580" w:rsidRPr="003A7580">
        <w:rPr>
          <w:rFonts w:ascii="Arial" w:hAnsi="Arial" w:cs="Arial"/>
          <w:sz w:val="24"/>
          <w:szCs w:val="24"/>
        </w:rPr>
        <w:t>a needs formula</w:t>
      </w:r>
      <w:r w:rsidR="00EB269F">
        <w:rPr>
          <w:rFonts w:ascii="Arial" w:hAnsi="Arial" w:cs="Arial"/>
          <w:sz w:val="24"/>
          <w:szCs w:val="24"/>
        </w:rPr>
        <w:t xml:space="preserve"> </w:t>
      </w:r>
      <w:r w:rsidR="003A7580" w:rsidRPr="003A7580">
        <w:rPr>
          <w:rFonts w:ascii="Arial" w:hAnsi="Arial" w:cs="Arial"/>
          <w:sz w:val="24"/>
          <w:szCs w:val="24"/>
        </w:rPr>
        <w:t>based on NRAC</w:t>
      </w:r>
      <w:r w:rsidR="00D86B78">
        <w:rPr>
          <w:rFonts w:ascii="Arial" w:hAnsi="Arial" w:cs="Arial"/>
          <w:sz w:val="24"/>
          <w:szCs w:val="24"/>
        </w:rPr>
        <w:t xml:space="preserve"> has </w:t>
      </w:r>
      <w:r w:rsidR="00AA6200">
        <w:rPr>
          <w:rFonts w:ascii="Arial" w:hAnsi="Arial" w:cs="Arial"/>
          <w:sz w:val="24"/>
          <w:szCs w:val="24"/>
        </w:rPr>
        <w:t>recently</w:t>
      </w:r>
      <w:r w:rsidR="00D86B78">
        <w:rPr>
          <w:rFonts w:ascii="Arial" w:hAnsi="Arial" w:cs="Arial"/>
          <w:sz w:val="24"/>
          <w:szCs w:val="24"/>
        </w:rPr>
        <w:t xml:space="preserve"> been introduced</w:t>
      </w:r>
      <w:r w:rsidR="004924C2">
        <w:rPr>
          <w:rFonts w:ascii="Arial" w:hAnsi="Arial" w:cs="Arial"/>
          <w:sz w:val="24"/>
          <w:szCs w:val="24"/>
        </w:rPr>
        <w:t>)</w:t>
      </w:r>
      <w:r w:rsidR="003A7580" w:rsidRPr="003A7580">
        <w:rPr>
          <w:rFonts w:ascii="Arial" w:hAnsi="Arial" w:cs="Arial"/>
          <w:sz w:val="24"/>
          <w:szCs w:val="24"/>
        </w:rPr>
        <w:t xml:space="preserve">. </w:t>
      </w:r>
    </w:p>
    <w:p w14:paraId="773D2E79" w14:textId="77777777" w:rsidR="003A7580" w:rsidRPr="003A7580" w:rsidRDefault="003A7580" w:rsidP="00D06989">
      <w:pPr>
        <w:pStyle w:val="ListParagraph"/>
        <w:spacing w:line="240" w:lineRule="auto"/>
        <w:ind w:left="0"/>
        <w:mirrorIndents/>
        <w:jc w:val="both"/>
        <w:rPr>
          <w:rFonts w:ascii="Arial" w:hAnsi="Arial" w:cs="Arial"/>
          <w:sz w:val="24"/>
          <w:szCs w:val="24"/>
        </w:rPr>
      </w:pPr>
    </w:p>
    <w:p w14:paraId="3F0B7414" w14:textId="0600FB9E" w:rsidR="0033408A" w:rsidRDefault="0002774D" w:rsidP="00D06989">
      <w:pPr>
        <w:pStyle w:val="ListParagraph"/>
        <w:numPr>
          <w:ilvl w:val="0"/>
          <w:numId w:val="8"/>
        </w:numPr>
        <w:spacing w:line="240" w:lineRule="auto"/>
        <w:ind w:left="0" w:firstLine="0"/>
        <w:mirrorIndents/>
        <w:jc w:val="both"/>
        <w:rPr>
          <w:rFonts w:ascii="Arial" w:hAnsi="Arial" w:cs="Arial"/>
          <w:sz w:val="24"/>
          <w:szCs w:val="24"/>
        </w:rPr>
      </w:pPr>
      <w:r>
        <w:rPr>
          <w:rFonts w:ascii="Arial" w:hAnsi="Arial" w:cs="Arial"/>
          <w:sz w:val="24"/>
          <w:szCs w:val="24"/>
        </w:rPr>
        <w:t>The</w:t>
      </w:r>
      <w:r w:rsidR="0033408A" w:rsidRPr="00A87AA4">
        <w:rPr>
          <w:rFonts w:ascii="Arial" w:hAnsi="Arial" w:cs="Arial"/>
          <w:sz w:val="24"/>
          <w:szCs w:val="24"/>
        </w:rPr>
        <w:t xml:space="preserve"> methods </w:t>
      </w:r>
      <w:r>
        <w:rPr>
          <w:rFonts w:ascii="Arial" w:hAnsi="Arial" w:cs="Arial"/>
          <w:sz w:val="24"/>
          <w:szCs w:val="24"/>
        </w:rPr>
        <w:t xml:space="preserve">which </w:t>
      </w:r>
      <w:r w:rsidR="002E61E4">
        <w:rPr>
          <w:rFonts w:ascii="Arial" w:hAnsi="Arial" w:cs="Arial"/>
          <w:sz w:val="24"/>
          <w:szCs w:val="24"/>
        </w:rPr>
        <w:t>are discussed below</w:t>
      </w:r>
      <w:r w:rsidR="0033408A" w:rsidRPr="00A87AA4">
        <w:rPr>
          <w:rFonts w:ascii="Arial" w:hAnsi="Arial" w:cs="Arial"/>
          <w:sz w:val="24"/>
          <w:szCs w:val="24"/>
        </w:rPr>
        <w:t xml:space="preserve"> </w:t>
      </w:r>
      <w:r w:rsidR="002E61E4">
        <w:rPr>
          <w:rFonts w:ascii="Arial" w:hAnsi="Arial" w:cs="Arial"/>
          <w:sz w:val="24"/>
          <w:szCs w:val="24"/>
        </w:rPr>
        <w:t xml:space="preserve">are </w:t>
      </w:r>
      <w:r w:rsidR="0033408A" w:rsidRPr="00A87AA4">
        <w:rPr>
          <w:rFonts w:ascii="Arial" w:hAnsi="Arial" w:cs="Arial"/>
          <w:sz w:val="24"/>
          <w:szCs w:val="24"/>
        </w:rPr>
        <w:t xml:space="preserve">not necessarily </w:t>
      </w:r>
      <w:r w:rsidR="002E61E4">
        <w:rPr>
          <w:rFonts w:ascii="Arial" w:hAnsi="Arial" w:cs="Arial"/>
          <w:sz w:val="24"/>
          <w:szCs w:val="24"/>
        </w:rPr>
        <w:t>applicable</w:t>
      </w:r>
      <w:r w:rsidR="0033408A" w:rsidRPr="00A87AA4">
        <w:rPr>
          <w:rFonts w:ascii="Arial" w:hAnsi="Arial" w:cs="Arial"/>
          <w:sz w:val="24"/>
          <w:szCs w:val="24"/>
        </w:rPr>
        <w:t xml:space="preserve"> to the whole formula</w:t>
      </w:r>
      <w:r w:rsidR="00125C32">
        <w:rPr>
          <w:rFonts w:ascii="Arial" w:hAnsi="Arial" w:cs="Arial"/>
          <w:sz w:val="24"/>
          <w:szCs w:val="24"/>
        </w:rPr>
        <w:t>.</w:t>
      </w:r>
      <w:r w:rsidR="0033408A" w:rsidRPr="00A87AA4">
        <w:rPr>
          <w:rFonts w:ascii="Arial" w:hAnsi="Arial" w:cs="Arial"/>
          <w:sz w:val="24"/>
          <w:szCs w:val="24"/>
        </w:rPr>
        <w:t xml:space="preserve"> </w:t>
      </w:r>
      <w:r w:rsidR="00D756DC">
        <w:rPr>
          <w:rFonts w:ascii="Arial" w:hAnsi="Arial" w:cs="Arial"/>
          <w:sz w:val="24"/>
          <w:szCs w:val="24"/>
        </w:rPr>
        <w:t xml:space="preserve"> </w:t>
      </w:r>
      <w:r w:rsidR="00125C32">
        <w:rPr>
          <w:rFonts w:ascii="Arial" w:hAnsi="Arial" w:cs="Arial"/>
          <w:sz w:val="24"/>
          <w:szCs w:val="24"/>
        </w:rPr>
        <w:t>T</w:t>
      </w:r>
      <w:r w:rsidR="0033408A" w:rsidRPr="00A87AA4">
        <w:rPr>
          <w:rFonts w:ascii="Arial" w:hAnsi="Arial" w:cs="Arial"/>
          <w:sz w:val="24"/>
          <w:szCs w:val="24"/>
        </w:rPr>
        <w:t>hey may be relevant only to one</w:t>
      </w:r>
      <w:r w:rsidR="002E61E4">
        <w:rPr>
          <w:rFonts w:ascii="Arial" w:hAnsi="Arial" w:cs="Arial"/>
          <w:sz w:val="24"/>
          <w:szCs w:val="24"/>
        </w:rPr>
        <w:t xml:space="preserve"> </w:t>
      </w:r>
      <w:r w:rsidR="0033408A" w:rsidRPr="00A87AA4">
        <w:rPr>
          <w:rFonts w:ascii="Arial" w:hAnsi="Arial" w:cs="Arial"/>
          <w:sz w:val="24"/>
          <w:szCs w:val="24"/>
        </w:rPr>
        <w:t>care programme, as the service structure and data availability vary across care programmes</w:t>
      </w:r>
      <w:r w:rsidR="00D756DC">
        <w:rPr>
          <w:rFonts w:ascii="Arial" w:hAnsi="Arial" w:cs="Arial"/>
          <w:sz w:val="24"/>
          <w:szCs w:val="24"/>
        </w:rPr>
        <w:t xml:space="preserve"> and care settings</w:t>
      </w:r>
      <w:r w:rsidR="0033408A" w:rsidRPr="00A87AA4">
        <w:rPr>
          <w:rFonts w:ascii="Arial" w:hAnsi="Arial" w:cs="Arial"/>
          <w:sz w:val="24"/>
          <w:szCs w:val="24"/>
        </w:rPr>
        <w:t xml:space="preserve">. </w:t>
      </w:r>
      <w:r w:rsidR="00D754E2" w:rsidRPr="00A87AA4">
        <w:rPr>
          <w:rFonts w:ascii="Arial" w:hAnsi="Arial" w:cs="Arial"/>
          <w:sz w:val="24"/>
          <w:szCs w:val="24"/>
        </w:rPr>
        <w:t xml:space="preserve"> </w:t>
      </w:r>
    </w:p>
    <w:p w14:paraId="128E1731" w14:textId="77777777" w:rsidR="00A87AA4" w:rsidRPr="00A87AA4" w:rsidRDefault="00A87AA4" w:rsidP="00D06989">
      <w:pPr>
        <w:pStyle w:val="ListParagraph"/>
        <w:spacing w:line="240" w:lineRule="auto"/>
        <w:ind w:left="0"/>
        <w:mirrorIndents/>
        <w:jc w:val="both"/>
        <w:rPr>
          <w:rFonts w:ascii="Arial" w:hAnsi="Arial" w:cs="Arial"/>
          <w:sz w:val="24"/>
          <w:szCs w:val="24"/>
        </w:rPr>
      </w:pPr>
    </w:p>
    <w:p w14:paraId="0A1521FE" w14:textId="278C5A5D" w:rsidR="00093C32" w:rsidRDefault="001208CF" w:rsidP="00D06989">
      <w:pPr>
        <w:pStyle w:val="ListParagraph"/>
        <w:numPr>
          <w:ilvl w:val="0"/>
          <w:numId w:val="8"/>
        </w:numPr>
        <w:spacing w:line="240" w:lineRule="auto"/>
        <w:ind w:left="0" w:firstLine="0"/>
        <w:mirrorIndents/>
        <w:jc w:val="both"/>
        <w:rPr>
          <w:rFonts w:ascii="Arial" w:hAnsi="Arial" w:cs="Arial"/>
          <w:sz w:val="24"/>
          <w:szCs w:val="24"/>
        </w:rPr>
      </w:pPr>
      <w:r>
        <w:rPr>
          <w:rFonts w:ascii="Arial" w:hAnsi="Arial" w:cs="Arial"/>
          <w:sz w:val="24"/>
          <w:szCs w:val="24"/>
        </w:rPr>
        <w:t xml:space="preserve">The three main </w:t>
      </w:r>
      <w:r w:rsidR="00DB0A64">
        <w:rPr>
          <w:rFonts w:ascii="Arial" w:hAnsi="Arial" w:cs="Arial"/>
          <w:sz w:val="24"/>
          <w:szCs w:val="24"/>
        </w:rPr>
        <w:t>improvement</w:t>
      </w:r>
      <w:r>
        <w:rPr>
          <w:rFonts w:ascii="Arial" w:hAnsi="Arial" w:cs="Arial"/>
          <w:sz w:val="24"/>
          <w:szCs w:val="24"/>
        </w:rPr>
        <w:t xml:space="preserve">s identified were: </w:t>
      </w:r>
    </w:p>
    <w:p w14:paraId="3A1C9CEE" w14:textId="00368B33" w:rsidR="00D71D37" w:rsidRDefault="00371675" w:rsidP="00D06989">
      <w:pPr>
        <w:pStyle w:val="ListParagraph"/>
        <w:numPr>
          <w:ilvl w:val="0"/>
          <w:numId w:val="10"/>
        </w:numPr>
        <w:spacing w:line="240" w:lineRule="auto"/>
        <w:mirrorIndents/>
        <w:rPr>
          <w:rFonts w:ascii="Arial" w:hAnsi="Arial" w:cs="Arial"/>
          <w:sz w:val="24"/>
          <w:szCs w:val="24"/>
        </w:rPr>
      </w:pPr>
      <w:r>
        <w:rPr>
          <w:rFonts w:ascii="Arial" w:hAnsi="Arial" w:cs="Arial"/>
          <w:sz w:val="24"/>
          <w:szCs w:val="24"/>
        </w:rPr>
        <w:t>refining</w:t>
      </w:r>
      <w:r w:rsidR="001E30A1">
        <w:rPr>
          <w:rFonts w:ascii="Arial" w:hAnsi="Arial" w:cs="Arial"/>
          <w:sz w:val="24"/>
          <w:szCs w:val="24"/>
        </w:rPr>
        <w:t xml:space="preserve"> the case-mix adjustment for calculating </w:t>
      </w:r>
      <w:r w:rsidR="00813A03">
        <w:rPr>
          <w:rFonts w:ascii="Arial" w:hAnsi="Arial" w:cs="Arial"/>
          <w:sz w:val="24"/>
          <w:szCs w:val="24"/>
        </w:rPr>
        <w:t xml:space="preserve">acute </w:t>
      </w:r>
      <w:r w:rsidR="001E30A1">
        <w:rPr>
          <w:rFonts w:ascii="Arial" w:hAnsi="Arial" w:cs="Arial"/>
          <w:sz w:val="24"/>
          <w:szCs w:val="24"/>
        </w:rPr>
        <w:t>unit costs</w:t>
      </w:r>
      <w:r w:rsidR="00813A03">
        <w:rPr>
          <w:rFonts w:ascii="Arial" w:hAnsi="Arial" w:cs="Arial"/>
          <w:sz w:val="24"/>
          <w:szCs w:val="24"/>
        </w:rPr>
        <w:t>;</w:t>
      </w:r>
    </w:p>
    <w:p w14:paraId="4E434C35" w14:textId="6522AA1B" w:rsidR="00813A03" w:rsidRDefault="00287356" w:rsidP="00D06989">
      <w:pPr>
        <w:pStyle w:val="ListParagraph"/>
        <w:numPr>
          <w:ilvl w:val="0"/>
          <w:numId w:val="10"/>
        </w:numPr>
        <w:spacing w:line="240" w:lineRule="auto"/>
        <w:mirrorIndents/>
        <w:rPr>
          <w:rFonts w:ascii="Arial" w:hAnsi="Arial" w:cs="Arial"/>
          <w:sz w:val="24"/>
          <w:szCs w:val="24"/>
        </w:rPr>
      </w:pPr>
      <w:r>
        <w:rPr>
          <w:rFonts w:ascii="Arial" w:hAnsi="Arial" w:cs="Arial"/>
          <w:sz w:val="24"/>
          <w:szCs w:val="24"/>
        </w:rPr>
        <w:t xml:space="preserve">estimating </w:t>
      </w:r>
      <w:r w:rsidR="00BD66BF">
        <w:rPr>
          <w:rFonts w:ascii="Arial" w:hAnsi="Arial" w:cs="Arial"/>
          <w:sz w:val="24"/>
          <w:szCs w:val="24"/>
        </w:rPr>
        <w:t>age/sex and morbidity and life circumstances effects</w:t>
      </w:r>
      <w:r w:rsidR="003F7934">
        <w:rPr>
          <w:rFonts w:ascii="Arial" w:hAnsi="Arial" w:cs="Arial"/>
          <w:sz w:val="24"/>
          <w:szCs w:val="24"/>
        </w:rPr>
        <w:t xml:space="preserve"> (M</w:t>
      </w:r>
      <w:r w:rsidR="00B1367B">
        <w:rPr>
          <w:rFonts w:ascii="Arial" w:hAnsi="Arial" w:cs="Arial"/>
          <w:sz w:val="24"/>
          <w:szCs w:val="24"/>
        </w:rPr>
        <w:t>LC)</w:t>
      </w:r>
      <w:r w:rsidR="00BD66BF">
        <w:rPr>
          <w:rFonts w:ascii="Arial" w:hAnsi="Arial" w:cs="Arial"/>
          <w:sz w:val="24"/>
          <w:szCs w:val="24"/>
        </w:rPr>
        <w:t xml:space="preserve"> simultaneously rather than sequentially;</w:t>
      </w:r>
    </w:p>
    <w:p w14:paraId="449C4555" w14:textId="0BF01C58" w:rsidR="00D71D37" w:rsidRPr="003F1487" w:rsidRDefault="00CB6CC8" w:rsidP="00D06989">
      <w:pPr>
        <w:pStyle w:val="ListParagraph"/>
        <w:numPr>
          <w:ilvl w:val="0"/>
          <w:numId w:val="10"/>
        </w:numPr>
        <w:spacing w:line="240" w:lineRule="auto"/>
        <w:mirrorIndents/>
        <w:rPr>
          <w:rFonts w:ascii="Arial" w:hAnsi="Arial" w:cs="Arial"/>
          <w:sz w:val="24"/>
          <w:szCs w:val="24"/>
        </w:rPr>
      </w:pPr>
      <w:r>
        <w:rPr>
          <w:rFonts w:ascii="Arial" w:hAnsi="Arial" w:cs="Arial"/>
          <w:sz w:val="24"/>
          <w:szCs w:val="24"/>
        </w:rPr>
        <w:t>analysing</w:t>
      </w:r>
      <w:r w:rsidR="008D0EA6">
        <w:rPr>
          <w:rFonts w:ascii="Arial" w:hAnsi="Arial" w:cs="Arial"/>
          <w:sz w:val="24"/>
          <w:szCs w:val="24"/>
        </w:rPr>
        <w:t xml:space="preserve"> need using </w:t>
      </w:r>
      <w:r w:rsidR="007E2FEA">
        <w:rPr>
          <w:rFonts w:ascii="Arial" w:hAnsi="Arial" w:cs="Arial"/>
          <w:sz w:val="24"/>
          <w:szCs w:val="24"/>
        </w:rPr>
        <w:t>person</w:t>
      </w:r>
      <w:r w:rsidR="008D0EA6">
        <w:rPr>
          <w:rFonts w:ascii="Arial" w:hAnsi="Arial" w:cs="Arial"/>
          <w:sz w:val="24"/>
          <w:szCs w:val="24"/>
        </w:rPr>
        <w:t>-</w:t>
      </w:r>
      <w:r w:rsidR="007A5D25">
        <w:rPr>
          <w:rFonts w:ascii="Arial" w:hAnsi="Arial" w:cs="Arial"/>
          <w:sz w:val="24"/>
          <w:szCs w:val="24"/>
        </w:rPr>
        <w:t>level</w:t>
      </w:r>
      <w:r w:rsidR="008D0EA6">
        <w:rPr>
          <w:rFonts w:ascii="Arial" w:hAnsi="Arial" w:cs="Arial"/>
          <w:sz w:val="24"/>
          <w:szCs w:val="24"/>
        </w:rPr>
        <w:t xml:space="preserve"> </w:t>
      </w:r>
      <w:r w:rsidR="00A00139">
        <w:rPr>
          <w:rFonts w:ascii="Arial" w:hAnsi="Arial" w:cs="Arial"/>
          <w:sz w:val="24"/>
          <w:szCs w:val="24"/>
        </w:rPr>
        <w:t xml:space="preserve">morbidity </w:t>
      </w:r>
      <w:r w:rsidR="00EB2946">
        <w:rPr>
          <w:rFonts w:ascii="Arial" w:hAnsi="Arial" w:cs="Arial"/>
          <w:sz w:val="24"/>
          <w:szCs w:val="24"/>
        </w:rPr>
        <w:t>indicators</w:t>
      </w:r>
      <w:r w:rsidR="00A00139">
        <w:rPr>
          <w:rFonts w:ascii="Arial" w:hAnsi="Arial" w:cs="Arial"/>
          <w:sz w:val="24"/>
          <w:szCs w:val="24"/>
        </w:rPr>
        <w:t xml:space="preserve"> as well as area based indicators</w:t>
      </w:r>
      <w:r w:rsidR="00EB2946">
        <w:rPr>
          <w:rFonts w:ascii="Arial" w:hAnsi="Arial" w:cs="Arial"/>
          <w:sz w:val="24"/>
          <w:szCs w:val="24"/>
        </w:rPr>
        <w:t>.</w:t>
      </w:r>
    </w:p>
    <w:p w14:paraId="314790F5" w14:textId="4B03BA02" w:rsidR="00C205FA" w:rsidRDefault="00C205FA" w:rsidP="00D06989">
      <w:pPr>
        <w:pStyle w:val="ListParagraph"/>
        <w:spacing w:line="240" w:lineRule="auto"/>
        <w:ind w:left="0"/>
        <w:mirrorIndents/>
        <w:jc w:val="both"/>
        <w:rPr>
          <w:rFonts w:ascii="Arial" w:hAnsi="Arial" w:cs="Arial"/>
          <w:sz w:val="24"/>
          <w:szCs w:val="24"/>
        </w:rPr>
      </w:pPr>
    </w:p>
    <w:p w14:paraId="7BC7FA90" w14:textId="6EC1DA35" w:rsidR="00C205FA" w:rsidRDefault="00F37282" w:rsidP="00D06989">
      <w:pPr>
        <w:pStyle w:val="ListParagraph"/>
        <w:numPr>
          <w:ilvl w:val="0"/>
          <w:numId w:val="8"/>
        </w:numPr>
        <w:spacing w:line="240" w:lineRule="auto"/>
        <w:ind w:left="0" w:firstLine="0"/>
        <w:mirrorIndents/>
        <w:jc w:val="both"/>
        <w:rPr>
          <w:rFonts w:ascii="Arial" w:hAnsi="Arial" w:cs="Arial"/>
          <w:sz w:val="24"/>
          <w:szCs w:val="24"/>
        </w:rPr>
      </w:pPr>
      <w:r>
        <w:rPr>
          <w:rFonts w:ascii="Arial" w:hAnsi="Arial" w:cs="Arial"/>
          <w:sz w:val="24"/>
          <w:szCs w:val="24"/>
        </w:rPr>
        <w:t xml:space="preserve">The following sections </w:t>
      </w:r>
      <w:r w:rsidR="009E77E4">
        <w:rPr>
          <w:rFonts w:ascii="Arial" w:hAnsi="Arial" w:cs="Arial"/>
          <w:sz w:val="24"/>
          <w:szCs w:val="24"/>
        </w:rPr>
        <w:t>describe</w:t>
      </w:r>
      <w:r>
        <w:rPr>
          <w:rFonts w:ascii="Arial" w:hAnsi="Arial" w:cs="Arial"/>
          <w:sz w:val="24"/>
          <w:szCs w:val="24"/>
        </w:rPr>
        <w:t xml:space="preserve"> each of these areas in turn</w:t>
      </w:r>
      <w:r w:rsidR="009E77E4">
        <w:rPr>
          <w:rFonts w:ascii="Arial" w:hAnsi="Arial" w:cs="Arial"/>
          <w:sz w:val="24"/>
          <w:szCs w:val="24"/>
        </w:rPr>
        <w:t>.  For</w:t>
      </w:r>
      <w:r w:rsidR="00187ABC">
        <w:rPr>
          <w:rFonts w:ascii="Arial" w:hAnsi="Arial" w:cs="Arial"/>
          <w:sz w:val="24"/>
          <w:szCs w:val="24"/>
        </w:rPr>
        <w:t xml:space="preserve"> additional</w:t>
      </w:r>
      <w:r w:rsidR="009E77E4">
        <w:rPr>
          <w:rFonts w:ascii="Arial" w:hAnsi="Arial" w:cs="Arial"/>
          <w:sz w:val="24"/>
          <w:szCs w:val="24"/>
        </w:rPr>
        <w:t xml:space="preserve"> </w:t>
      </w:r>
      <w:r w:rsidR="00187ABC">
        <w:rPr>
          <w:rFonts w:ascii="Arial" w:hAnsi="Arial" w:cs="Arial"/>
          <w:sz w:val="24"/>
          <w:szCs w:val="24"/>
        </w:rPr>
        <w:t>information</w:t>
      </w:r>
      <w:r>
        <w:rPr>
          <w:rFonts w:ascii="Arial" w:hAnsi="Arial" w:cs="Arial"/>
          <w:sz w:val="24"/>
          <w:szCs w:val="24"/>
        </w:rPr>
        <w:t xml:space="preserve"> a final section notes a </w:t>
      </w:r>
      <w:r w:rsidR="006D1CE8">
        <w:rPr>
          <w:rFonts w:ascii="Arial" w:hAnsi="Arial" w:cs="Arial"/>
          <w:sz w:val="24"/>
          <w:szCs w:val="24"/>
        </w:rPr>
        <w:t xml:space="preserve">number of minor </w:t>
      </w:r>
      <w:r w:rsidR="00262B4F">
        <w:rPr>
          <w:rFonts w:ascii="Arial" w:hAnsi="Arial" w:cs="Arial"/>
          <w:sz w:val="24"/>
          <w:szCs w:val="24"/>
        </w:rPr>
        <w:t xml:space="preserve">areas where there are differences between the NRAC </w:t>
      </w:r>
      <w:r w:rsidR="00264896">
        <w:rPr>
          <w:rFonts w:ascii="Arial" w:hAnsi="Arial" w:cs="Arial"/>
          <w:sz w:val="24"/>
          <w:szCs w:val="24"/>
        </w:rPr>
        <w:t>formula and formulae used in the</w:t>
      </w:r>
      <w:r w:rsidR="007534EB">
        <w:rPr>
          <w:rFonts w:ascii="Arial" w:hAnsi="Arial" w:cs="Arial"/>
          <w:sz w:val="24"/>
          <w:szCs w:val="24"/>
        </w:rPr>
        <w:t xml:space="preserve"> other parts of the</w:t>
      </w:r>
      <w:r w:rsidR="00264896">
        <w:rPr>
          <w:rFonts w:ascii="Arial" w:hAnsi="Arial" w:cs="Arial"/>
          <w:sz w:val="24"/>
          <w:szCs w:val="24"/>
        </w:rPr>
        <w:t xml:space="preserve"> UK.</w:t>
      </w:r>
      <w:r w:rsidR="00AE3A1D">
        <w:rPr>
          <w:rFonts w:ascii="Arial" w:hAnsi="Arial" w:cs="Arial"/>
          <w:sz w:val="24"/>
          <w:szCs w:val="24"/>
        </w:rPr>
        <w:t xml:space="preserve"> </w:t>
      </w:r>
    </w:p>
    <w:p w14:paraId="1E666608" w14:textId="77777777" w:rsidR="00AF3EFA" w:rsidRDefault="00AF3EFA" w:rsidP="00D06989">
      <w:pPr>
        <w:pStyle w:val="ListParagraph"/>
        <w:spacing w:line="240" w:lineRule="auto"/>
        <w:ind w:left="0"/>
        <w:mirrorIndents/>
        <w:jc w:val="both"/>
        <w:rPr>
          <w:rFonts w:ascii="Arial" w:hAnsi="Arial" w:cs="Arial"/>
          <w:sz w:val="24"/>
          <w:szCs w:val="24"/>
        </w:rPr>
      </w:pPr>
    </w:p>
    <w:p w14:paraId="196EBDFB" w14:textId="0B8706F3" w:rsidR="00185EFD" w:rsidRDefault="00E91BD0" w:rsidP="00D06989">
      <w:pPr>
        <w:pStyle w:val="ListParagraph"/>
        <w:numPr>
          <w:ilvl w:val="0"/>
          <w:numId w:val="8"/>
        </w:numPr>
        <w:spacing w:line="240" w:lineRule="auto"/>
        <w:ind w:left="0" w:firstLine="0"/>
        <w:mirrorIndents/>
        <w:jc w:val="both"/>
        <w:rPr>
          <w:rFonts w:ascii="Arial" w:hAnsi="Arial" w:cs="Arial"/>
          <w:sz w:val="24"/>
          <w:szCs w:val="24"/>
        </w:rPr>
      </w:pPr>
      <w:r w:rsidRPr="00AF3EFA">
        <w:rPr>
          <w:rFonts w:ascii="Arial" w:hAnsi="Arial" w:cs="Arial"/>
          <w:sz w:val="24"/>
          <w:szCs w:val="24"/>
        </w:rPr>
        <w:t xml:space="preserve">The innovations </w:t>
      </w:r>
      <w:r w:rsidR="00264896">
        <w:rPr>
          <w:rFonts w:ascii="Arial" w:hAnsi="Arial" w:cs="Arial"/>
          <w:sz w:val="24"/>
          <w:szCs w:val="24"/>
        </w:rPr>
        <w:t xml:space="preserve">described in this note </w:t>
      </w:r>
      <w:r w:rsidRPr="00AF3EFA">
        <w:rPr>
          <w:rFonts w:ascii="Arial" w:hAnsi="Arial" w:cs="Arial"/>
          <w:sz w:val="24"/>
          <w:szCs w:val="24"/>
        </w:rPr>
        <w:t xml:space="preserve">could be incorporated into the NRAC formula </w:t>
      </w:r>
      <w:r w:rsidR="00FF682A" w:rsidRPr="00AF3EFA">
        <w:rPr>
          <w:rFonts w:ascii="Arial" w:hAnsi="Arial" w:cs="Arial"/>
          <w:sz w:val="24"/>
          <w:szCs w:val="24"/>
        </w:rPr>
        <w:t xml:space="preserve">subject to research on </w:t>
      </w:r>
      <w:r w:rsidR="003B0181">
        <w:rPr>
          <w:rFonts w:ascii="Arial" w:hAnsi="Arial" w:cs="Arial"/>
          <w:sz w:val="24"/>
          <w:szCs w:val="24"/>
        </w:rPr>
        <w:t>feasibility and</w:t>
      </w:r>
      <w:r w:rsidR="00F00E02">
        <w:rPr>
          <w:rFonts w:ascii="Arial" w:hAnsi="Arial" w:cs="Arial"/>
          <w:sz w:val="24"/>
          <w:szCs w:val="24"/>
        </w:rPr>
        <w:t xml:space="preserve"> on</w:t>
      </w:r>
      <w:r w:rsidR="003B0181">
        <w:rPr>
          <w:rFonts w:ascii="Arial" w:hAnsi="Arial" w:cs="Arial"/>
          <w:sz w:val="24"/>
          <w:szCs w:val="24"/>
        </w:rPr>
        <w:t xml:space="preserve"> whether the </w:t>
      </w:r>
      <w:r w:rsidR="00791748">
        <w:rPr>
          <w:rFonts w:ascii="Arial" w:hAnsi="Arial" w:cs="Arial"/>
          <w:sz w:val="24"/>
          <w:szCs w:val="24"/>
        </w:rPr>
        <w:t xml:space="preserve">change would yield sufficient improvement </w:t>
      </w:r>
      <w:r w:rsidR="005C3E2B">
        <w:rPr>
          <w:rFonts w:ascii="Arial" w:hAnsi="Arial" w:cs="Arial"/>
          <w:sz w:val="24"/>
          <w:szCs w:val="24"/>
        </w:rPr>
        <w:t xml:space="preserve">in predictive precision </w:t>
      </w:r>
      <w:r w:rsidR="00791748">
        <w:rPr>
          <w:rFonts w:ascii="Arial" w:hAnsi="Arial" w:cs="Arial"/>
          <w:sz w:val="24"/>
          <w:szCs w:val="24"/>
        </w:rPr>
        <w:t xml:space="preserve">to warrant the additional work and complexity.  </w:t>
      </w:r>
      <w:r w:rsidR="005C3E2B">
        <w:rPr>
          <w:rFonts w:ascii="Arial" w:hAnsi="Arial" w:cs="Arial"/>
          <w:sz w:val="24"/>
          <w:szCs w:val="24"/>
        </w:rPr>
        <w:t xml:space="preserve">Adoption of these </w:t>
      </w:r>
      <w:r w:rsidR="00CB29A7">
        <w:rPr>
          <w:rFonts w:ascii="Arial" w:hAnsi="Arial" w:cs="Arial"/>
          <w:sz w:val="24"/>
          <w:szCs w:val="24"/>
        </w:rPr>
        <w:t xml:space="preserve">changes would </w:t>
      </w:r>
      <w:r w:rsidR="00871663">
        <w:rPr>
          <w:rFonts w:ascii="Arial" w:hAnsi="Arial" w:cs="Arial"/>
          <w:sz w:val="24"/>
          <w:szCs w:val="24"/>
        </w:rPr>
        <w:t>crucially</w:t>
      </w:r>
      <w:r w:rsidR="00CB29A7">
        <w:rPr>
          <w:rFonts w:ascii="Arial" w:hAnsi="Arial" w:cs="Arial"/>
          <w:sz w:val="24"/>
          <w:szCs w:val="24"/>
        </w:rPr>
        <w:t xml:space="preserve"> depend on </w:t>
      </w:r>
      <w:r w:rsidR="00FF682A" w:rsidRPr="00AF3EFA">
        <w:rPr>
          <w:rFonts w:ascii="Arial" w:hAnsi="Arial" w:cs="Arial"/>
          <w:sz w:val="24"/>
          <w:szCs w:val="24"/>
        </w:rPr>
        <w:t>data availability</w:t>
      </w:r>
      <w:r w:rsidR="00C3000E">
        <w:rPr>
          <w:rFonts w:ascii="Arial" w:hAnsi="Arial" w:cs="Arial"/>
          <w:sz w:val="24"/>
          <w:szCs w:val="24"/>
        </w:rPr>
        <w:t xml:space="preserve">.  </w:t>
      </w:r>
      <w:r w:rsidR="007351B7">
        <w:rPr>
          <w:rFonts w:ascii="Arial" w:hAnsi="Arial" w:cs="Arial"/>
          <w:sz w:val="24"/>
          <w:szCs w:val="24"/>
        </w:rPr>
        <w:t>Howeve</w:t>
      </w:r>
      <w:r w:rsidR="008067EA">
        <w:rPr>
          <w:rFonts w:ascii="Arial" w:hAnsi="Arial" w:cs="Arial"/>
          <w:sz w:val="24"/>
          <w:szCs w:val="24"/>
        </w:rPr>
        <w:t>r, i</w:t>
      </w:r>
      <w:r w:rsidR="0098607C" w:rsidRPr="00AF3EFA">
        <w:rPr>
          <w:rFonts w:ascii="Arial" w:hAnsi="Arial" w:cs="Arial"/>
          <w:sz w:val="24"/>
          <w:szCs w:val="24"/>
        </w:rPr>
        <w:t xml:space="preserve">f appropriate data are not </w:t>
      </w:r>
      <w:r w:rsidR="008067EA">
        <w:rPr>
          <w:rFonts w:ascii="Arial" w:hAnsi="Arial" w:cs="Arial"/>
          <w:sz w:val="24"/>
          <w:szCs w:val="24"/>
        </w:rPr>
        <w:t xml:space="preserve">currently </w:t>
      </w:r>
      <w:r w:rsidR="0098607C" w:rsidRPr="00AF3EFA">
        <w:rPr>
          <w:rFonts w:ascii="Arial" w:hAnsi="Arial" w:cs="Arial"/>
          <w:sz w:val="24"/>
          <w:szCs w:val="24"/>
        </w:rPr>
        <w:t xml:space="preserve">available it would be open to TAGRA to </w:t>
      </w:r>
      <w:r w:rsidR="00B82787" w:rsidRPr="00AF3EFA">
        <w:rPr>
          <w:rFonts w:ascii="Arial" w:hAnsi="Arial" w:cs="Arial"/>
          <w:sz w:val="24"/>
          <w:szCs w:val="24"/>
        </w:rPr>
        <w:t>recommend the collection (or estimation) of necessary data to the</w:t>
      </w:r>
      <w:r w:rsidR="00BE70D1">
        <w:rPr>
          <w:rFonts w:ascii="Arial" w:hAnsi="Arial" w:cs="Arial"/>
          <w:sz w:val="24"/>
          <w:szCs w:val="24"/>
        </w:rPr>
        <w:t xml:space="preserve"> prospective</w:t>
      </w:r>
      <w:r w:rsidR="00B82787" w:rsidRPr="00AF3EFA">
        <w:rPr>
          <w:rFonts w:ascii="Arial" w:hAnsi="Arial" w:cs="Arial"/>
          <w:sz w:val="24"/>
          <w:szCs w:val="24"/>
        </w:rPr>
        <w:t xml:space="preserve"> costing review.  </w:t>
      </w:r>
    </w:p>
    <w:p w14:paraId="2C2FA3AD" w14:textId="77777777" w:rsidR="00AF3EFA" w:rsidRPr="00AF3EFA" w:rsidRDefault="00AF3EFA" w:rsidP="00D06989">
      <w:pPr>
        <w:pStyle w:val="ListParagraph"/>
        <w:spacing w:line="240" w:lineRule="auto"/>
        <w:ind w:left="0"/>
        <w:mirrorIndents/>
        <w:jc w:val="both"/>
        <w:rPr>
          <w:rFonts w:ascii="Arial" w:hAnsi="Arial" w:cs="Arial"/>
          <w:sz w:val="24"/>
          <w:szCs w:val="24"/>
        </w:rPr>
      </w:pPr>
    </w:p>
    <w:p w14:paraId="51F8AB00" w14:textId="1E63EF5B" w:rsidR="00825A2E" w:rsidRPr="007D6007" w:rsidRDefault="00BC3F6B" w:rsidP="00D06989">
      <w:pPr>
        <w:pStyle w:val="ListParagraph"/>
        <w:numPr>
          <w:ilvl w:val="0"/>
          <w:numId w:val="8"/>
        </w:numPr>
        <w:spacing w:line="240" w:lineRule="auto"/>
        <w:ind w:left="0" w:firstLine="0"/>
        <w:mirrorIndents/>
        <w:jc w:val="both"/>
        <w:rPr>
          <w:rFonts w:ascii="Arial" w:hAnsi="Arial" w:cs="Arial"/>
          <w:b/>
          <w:bCs/>
          <w:sz w:val="24"/>
          <w:szCs w:val="24"/>
        </w:rPr>
      </w:pPr>
      <w:r w:rsidRPr="007D6007">
        <w:rPr>
          <w:rFonts w:ascii="Arial" w:hAnsi="Arial" w:cs="Arial"/>
          <w:b/>
          <w:bCs/>
          <w:sz w:val="24"/>
          <w:szCs w:val="24"/>
        </w:rPr>
        <w:t>TAG</w:t>
      </w:r>
      <w:r w:rsidR="00273D69" w:rsidRPr="007D6007">
        <w:rPr>
          <w:rFonts w:ascii="Arial" w:hAnsi="Arial" w:cs="Arial"/>
          <w:b/>
          <w:bCs/>
          <w:sz w:val="24"/>
          <w:szCs w:val="24"/>
        </w:rPr>
        <w:t>RA</w:t>
      </w:r>
      <w:r w:rsidRPr="007D6007">
        <w:rPr>
          <w:rFonts w:ascii="Arial" w:hAnsi="Arial" w:cs="Arial"/>
          <w:b/>
          <w:bCs/>
          <w:sz w:val="24"/>
          <w:szCs w:val="24"/>
        </w:rPr>
        <w:t xml:space="preserve"> are invited to discuss </w:t>
      </w:r>
      <w:r w:rsidR="00F82095" w:rsidRPr="007D6007">
        <w:rPr>
          <w:rFonts w:ascii="Arial" w:hAnsi="Arial" w:cs="Arial"/>
          <w:b/>
          <w:bCs/>
          <w:sz w:val="24"/>
          <w:szCs w:val="24"/>
        </w:rPr>
        <w:t>these</w:t>
      </w:r>
      <w:r w:rsidR="00273D69" w:rsidRPr="007D6007">
        <w:rPr>
          <w:rFonts w:ascii="Arial" w:hAnsi="Arial" w:cs="Arial"/>
          <w:b/>
          <w:bCs/>
          <w:sz w:val="24"/>
          <w:szCs w:val="24"/>
        </w:rPr>
        <w:t xml:space="preserve"> findings and to consider w</w:t>
      </w:r>
      <w:r w:rsidR="00832DEC" w:rsidRPr="007D6007">
        <w:rPr>
          <w:rFonts w:ascii="Arial" w:hAnsi="Arial" w:cs="Arial"/>
          <w:b/>
          <w:bCs/>
          <w:sz w:val="24"/>
          <w:szCs w:val="24"/>
        </w:rPr>
        <w:t xml:space="preserve">hether </w:t>
      </w:r>
      <w:r w:rsidR="00F82095" w:rsidRPr="007D6007">
        <w:rPr>
          <w:rFonts w:ascii="Arial" w:hAnsi="Arial" w:cs="Arial"/>
          <w:b/>
          <w:bCs/>
          <w:sz w:val="24"/>
          <w:szCs w:val="24"/>
        </w:rPr>
        <w:t>further work</w:t>
      </w:r>
      <w:r w:rsidR="00273D69" w:rsidRPr="007D6007">
        <w:rPr>
          <w:rFonts w:ascii="Arial" w:hAnsi="Arial" w:cs="Arial"/>
          <w:b/>
          <w:bCs/>
          <w:sz w:val="24"/>
          <w:szCs w:val="24"/>
        </w:rPr>
        <w:t xml:space="preserve"> is justified </w:t>
      </w:r>
      <w:r w:rsidR="005E5012" w:rsidRPr="007D6007">
        <w:rPr>
          <w:rFonts w:ascii="Arial" w:hAnsi="Arial" w:cs="Arial"/>
          <w:b/>
          <w:bCs/>
          <w:sz w:val="24"/>
          <w:szCs w:val="24"/>
        </w:rPr>
        <w:t>to explore the usefulness and feasibility of incorporating any of these methodological changes into the NRAC formula</w:t>
      </w:r>
      <w:r w:rsidR="00825A2E" w:rsidRPr="007D6007">
        <w:rPr>
          <w:rFonts w:ascii="Arial" w:hAnsi="Arial" w:cs="Arial"/>
          <w:b/>
          <w:bCs/>
          <w:sz w:val="24"/>
          <w:szCs w:val="24"/>
        </w:rPr>
        <w:t>.</w:t>
      </w:r>
      <w:r w:rsidR="008E1A8B">
        <w:rPr>
          <w:rFonts w:ascii="Arial" w:hAnsi="Arial" w:cs="Arial"/>
          <w:b/>
          <w:bCs/>
          <w:sz w:val="24"/>
          <w:szCs w:val="24"/>
        </w:rPr>
        <w:t xml:space="preserve">  And, if so, </w:t>
      </w:r>
      <w:r w:rsidR="005E5012">
        <w:rPr>
          <w:rFonts w:ascii="Arial" w:hAnsi="Arial" w:cs="Arial"/>
          <w:b/>
          <w:bCs/>
          <w:sz w:val="24"/>
          <w:szCs w:val="24"/>
        </w:rPr>
        <w:t xml:space="preserve">how should the different </w:t>
      </w:r>
      <w:r w:rsidR="00D70E22">
        <w:rPr>
          <w:rFonts w:ascii="Arial" w:hAnsi="Arial" w:cs="Arial"/>
          <w:b/>
          <w:bCs/>
          <w:sz w:val="24"/>
          <w:szCs w:val="24"/>
        </w:rPr>
        <w:t>innovations be prioritised</w:t>
      </w:r>
      <w:r w:rsidR="008E1A8B">
        <w:rPr>
          <w:rFonts w:ascii="Arial" w:hAnsi="Arial" w:cs="Arial"/>
          <w:b/>
          <w:bCs/>
          <w:sz w:val="24"/>
          <w:szCs w:val="24"/>
        </w:rPr>
        <w:t>?</w:t>
      </w:r>
    </w:p>
    <w:p w14:paraId="258BE4A2" w14:textId="77777777" w:rsidR="00825A2E" w:rsidRDefault="00825A2E" w:rsidP="00D06989">
      <w:pPr>
        <w:pStyle w:val="ListParagraph"/>
        <w:spacing w:line="240" w:lineRule="auto"/>
        <w:ind w:left="0"/>
        <w:mirrorIndents/>
        <w:jc w:val="both"/>
        <w:rPr>
          <w:rFonts w:ascii="Arial" w:hAnsi="Arial" w:cs="Arial"/>
          <w:sz w:val="24"/>
          <w:szCs w:val="24"/>
        </w:rPr>
      </w:pPr>
    </w:p>
    <w:p w14:paraId="5A043CC5" w14:textId="0891A769" w:rsidR="00A37542" w:rsidRPr="00825A2E" w:rsidRDefault="00A37542" w:rsidP="00D06989">
      <w:pPr>
        <w:pStyle w:val="ListParagraph"/>
        <w:spacing w:line="240" w:lineRule="auto"/>
        <w:ind w:left="0"/>
        <w:mirrorIndents/>
        <w:jc w:val="both"/>
        <w:rPr>
          <w:rFonts w:ascii="Arial" w:hAnsi="Arial" w:cs="Arial"/>
          <w:b/>
          <w:bCs/>
          <w:sz w:val="24"/>
          <w:szCs w:val="24"/>
        </w:rPr>
      </w:pPr>
      <w:r w:rsidRPr="00825A2E">
        <w:rPr>
          <w:rFonts w:ascii="Arial" w:hAnsi="Arial" w:cs="Arial"/>
          <w:b/>
          <w:bCs/>
          <w:sz w:val="24"/>
          <w:szCs w:val="24"/>
        </w:rPr>
        <w:t xml:space="preserve">2. Estimating Unit Costs of </w:t>
      </w:r>
      <w:r w:rsidR="006070F7">
        <w:rPr>
          <w:rFonts w:ascii="Arial" w:hAnsi="Arial" w:cs="Arial"/>
          <w:b/>
          <w:bCs/>
          <w:sz w:val="24"/>
          <w:szCs w:val="24"/>
        </w:rPr>
        <w:t>Acute</w:t>
      </w:r>
      <w:r w:rsidRPr="00825A2E">
        <w:rPr>
          <w:rFonts w:ascii="Arial" w:hAnsi="Arial" w:cs="Arial"/>
          <w:b/>
          <w:bCs/>
          <w:sz w:val="24"/>
          <w:szCs w:val="24"/>
        </w:rPr>
        <w:t xml:space="preserve"> Activity</w:t>
      </w:r>
    </w:p>
    <w:p w14:paraId="7A3A5B30" w14:textId="2AACB206" w:rsidR="006E22C4" w:rsidRPr="006E22C4" w:rsidRDefault="006E22C4" w:rsidP="00D06989">
      <w:pPr>
        <w:pStyle w:val="ListParagraph"/>
        <w:spacing w:line="240" w:lineRule="auto"/>
        <w:ind w:left="0"/>
        <w:mirrorIndents/>
        <w:jc w:val="both"/>
        <w:rPr>
          <w:rFonts w:ascii="Arial" w:hAnsi="Arial" w:cs="Arial"/>
          <w:i/>
          <w:iCs/>
          <w:sz w:val="24"/>
          <w:szCs w:val="24"/>
        </w:rPr>
      </w:pPr>
      <w:r w:rsidRPr="006E22C4">
        <w:rPr>
          <w:rFonts w:ascii="Arial" w:hAnsi="Arial" w:cs="Arial"/>
          <w:i/>
          <w:iCs/>
          <w:sz w:val="24"/>
          <w:szCs w:val="24"/>
        </w:rPr>
        <w:t>The use of costing in the formula:</w:t>
      </w:r>
    </w:p>
    <w:p w14:paraId="120DAD8E" w14:textId="6BF6E84A" w:rsidR="000C7FB3" w:rsidRDefault="00FD01A3" w:rsidP="00D06989">
      <w:pPr>
        <w:pStyle w:val="ListParagraph"/>
        <w:numPr>
          <w:ilvl w:val="0"/>
          <w:numId w:val="8"/>
        </w:numPr>
        <w:spacing w:line="240" w:lineRule="auto"/>
        <w:ind w:left="0" w:firstLine="0"/>
        <w:mirrorIndents/>
        <w:jc w:val="both"/>
        <w:rPr>
          <w:rFonts w:ascii="Arial" w:hAnsi="Arial" w:cs="Arial"/>
          <w:sz w:val="24"/>
          <w:szCs w:val="24"/>
        </w:rPr>
      </w:pPr>
      <w:r w:rsidRPr="000C7FB3">
        <w:rPr>
          <w:rFonts w:ascii="Arial" w:hAnsi="Arial" w:cs="Arial"/>
          <w:sz w:val="24"/>
          <w:szCs w:val="24"/>
        </w:rPr>
        <w:t xml:space="preserve">The objective of the formula is to predict relative need for healthcare across small area populations (SAP), to facilitate equal access to health care for equal need.  It does this in two steps: first, analysing the objective determinants of the variation in actual utilisation of health services to derive weights “explaining” that variation; </w:t>
      </w:r>
      <w:r w:rsidRPr="000C7FB3">
        <w:rPr>
          <w:rFonts w:ascii="Arial" w:hAnsi="Arial" w:cs="Arial"/>
          <w:sz w:val="24"/>
          <w:szCs w:val="24"/>
        </w:rPr>
        <w:lastRenderedPageBreak/>
        <w:t xml:space="preserve">second, predicting need by applying those weights to the demographic and </w:t>
      </w:r>
      <w:r w:rsidR="002C33ED" w:rsidRPr="000C7FB3">
        <w:rPr>
          <w:rFonts w:ascii="Arial" w:hAnsi="Arial" w:cs="Arial"/>
          <w:sz w:val="24"/>
          <w:szCs w:val="24"/>
        </w:rPr>
        <w:t>Morbidity and Life Circumstances (MLC)</w:t>
      </w:r>
      <w:r w:rsidRPr="000C7FB3">
        <w:rPr>
          <w:rFonts w:ascii="Arial" w:hAnsi="Arial" w:cs="Arial"/>
          <w:sz w:val="24"/>
          <w:szCs w:val="24"/>
        </w:rPr>
        <w:t xml:space="preserve"> of the small area populations.  </w:t>
      </w:r>
    </w:p>
    <w:p w14:paraId="5A027CC7" w14:textId="77777777" w:rsidR="000C7FB3" w:rsidRDefault="000C7FB3" w:rsidP="00D06989">
      <w:pPr>
        <w:pStyle w:val="ListParagraph"/>
        <w:spacing w:line="240" w:lineRule="auto"/>
        <w:ind w:left="0"/>
        <w:mirrorIndents/>
        <w:jc w:val="both"/>
        <w:rPr>
          <w:rFonts w:ascii="Arial" w:hAnsi="Arial" w:cs="Arial"/>
          <w:sz w:val="24"/>
          <w:szCs w:val="24"/>
        </w:rPr>
      </w:pPr>
    </w:p>
    <w:p w14:paraId="58AA855C" w14:textId="08249A6F" w:rsidR="00B95E8D" w:rsidRDefault="00FD01A3" w:rsidP="00D06989">
      <w:pPr>
        <w:pStyle w:val="ListParagraph"/>
        <w:numPr>
          <w:ilvl w:val="0"/>
          <w:numId w:val="8"/>
        </w:numPr>
        <w:spacing w:line="240" w:lineRule="auto"/>
        <w:ind w:left="0" w:firstLine="0"/>
        <w:mirrorIndents/>
        <w:jc w:val="both"/>
        <w:rPr>
          <w:rFonts w:ascii="Arial" w:hAnsi="Arial" w:cs="Arial"/>
          <w:sz w:val="24"/>
          <w:szCs w:val="24"/>
        </w:rPr>
      </w:pPr>
      <w:r w:rsidRPr="00B95E8D">
        <w:rPr>
          <w:rFonts w:ascii="Arial" w:hAnsi="Arial" w:cs="Arial"/>
          <w:sz w:val="24"/>
          <w:szCs w:val="24"/>
        </w:rPr>
        <w:t>In practical terms, taking one determinant of need – age – as an example, this means first analysing how utilisation has varied with age to calculate</w:t>
      </w:r>
      <w:r w:rsidR="008B275A">
        <w:rPr>
          <w:rFonts w:ascii="Arial" w:hAnsi="Arial" w:cs="Arial"/>
          <w:sz w:val="24"/>
          <w:szCs w:val="24"/>
        </w:rPr>
        <w:t xml:space="preserve"> national average</w:t>
      </w:r>
      <w:r w:rsidRPr="00B95E8D">
        <w:rPr>
          <w:rFonts w:ascii="Arial" w:hAnsi="Arial" w:cs="Arial"/>
          <w:sz w:val="24"/>
          <w:szCs w:val="24"/>
        </w:rPr>
        <w:t xml:space="preserve"> relative weights for each age cohort</w:t>
      </w:r>
      <w:r w:rsidR="00D1548C">
        <w:rPr>
          <w:rFonts w:ascii="Arial" w:hAnsi="Arial" w:cs="Arial"/>
          <w:sz w:val="24"/>
          <w:szCs w:val="24"/>
        </w:rPr>
        <w:t>.  T</w:t>
      </w:r>
      <w:r w:rsidRPr="00B95E8D">
        <w:rPr>
          <w:rFonts w:ascii="Arial" w:hAnsi="Arial" w:cs="Arial"/>
          <w:sz w:val="24"/>
          <w:szCs w:val="24"/>
        </w:rPr>
        <w:t xml:space="preserve">hen predicting relative need by applying those weights to </w:t>
      </w:r>
      <w:r w:rsidR="00D1548C">
        <w:rPr>
          <w:rFonts w:ascii="Arial" w:hAnsi="Arial" w:cs="Arial"/>
          <w:sz w:val="24"/>
          <w:szCs w:val="24"/>
        </w:rPr>
        <w:t>each</w:t>
      </w:r>
      <w:r w:rsidRPr="00B95E8D">
        <w:rPr>
          <w:rFonts w:ascii="Arial" w:hAnsi="Arial" w:cs="Arial"/>
          <w:sz w:val="24"/>
          <w:szCs w:val="24"/>
        </w:rPr>
        <w:t xml:space="preserve"> small area population </w:t>
      </w:r>
      <w:r w:rsidR="00D1548C">
        <w:rPr>
          <w:rFonts w:ascii="Arial" w:hAnsi="Arial" w:cs="Arial"/>
          <w:sz w:val="24"/>
          <w:szCs w:val="24"/>
        </w:rPr>
        <w:t>age structure</w:t>
      </w:r>
      <w:r w:rsidR="00B2336D">
        <w:rPr>
          <w:rFonts w:ascii="Arial" w:hAnsi="Arial" w:cs="Arial"/>
          <w:sz w:val="24"/>
          <w:szCs w:val="24"/>
        </w:rPr>
        <w:t>,</w:t>
      </w:r>
      <w:r w:rsidRPr="00B95E8D">
        <w:rPr>
          <w:rFonts w:ascii="Arial" w:hAnsi="Arial" w:cs="Arial"/>
          <w:sz w:val="24"/>
          <w:szCs w:val="24"/>
        </w:rPr>
        <w:t xml:space="preserve"> for the target share year.  </w:t>
      </w:r>
    </w:p>
    <w:p w14:paraId="20CAF144" w14:textId="77777777" w:rsidR="00B95E8D" w:rsidRPr="00B95E8D" w:rsidRDefault="00B95E8D" w:rsidP="00D06989">
      <w:pPr>
        <w:pStyle w:val="ListParagraph"/>
        <w:spacing w:line="240" w:lineRule="auto"/>
        <w:ind w:left="0"/>
        <w:rPr>
          <w:rFonts w:ascii="Arial" w:hAnsi="Arial" w:cs="Arial"/>
          <w:sz w:val="24"/>
          <w:szCs w:val="24"/>
        </w:rPr>
      </w:pPr>
    </w:p>
    <w:p w14:paraId="530EBDD3" w14:textId="2E94516B" w:rsidR="00A8062B" w:rsidRDefault="00817373" w:rsidP="00D06989">
      <w:pPr>
        <w:pStyle w:val="ListParagraph"/>
        <w:numPr>
          <w:ilvl w:val="0"/>
          <w:numId w:val="8"/>
        </w:numPr>
        <w:spacing w:line="240" w:lineRule="auto"/>
        <w:ind w:left="0" w:firstLine="0"/>
        <w:mirrorIndents/>
        <w:jc w:val="both"/>
        <w:rPr>
          <w:rFonts w:ascii="Arial" w:hAnsi="Arial" w:cs="Arial"/>
          <w:sz w:val="24"/>
          <w:szCs w:val="24"/>
        </w:rPr>
      </w:pPr>
      <w:r>
        <w:rPr>
          <w:rFonts w:ascii="Arial" w:hAnsi="Arial" w:cs="Arial"/>
          <w:sz w:val="24"/>
          <w:szCs w:val="24"/>
        </w:rPr>
        <w:t>C</w:t>
      </w:r>
      <w:r w:rsidRPr="00A8062B">
        <w:rPr>
          <w:rFonts w:ascii="Arial" w:hAnsi="Arial" w:cs="Arial"/>
          <w:sz w:val="24"/>
          <w:szCs w:val="24"/>
        </w:rPr>
        <w:t xml:space="preserve">osted utilisation </w:t>
      </w:r>
      <w:r>
        <w:rPr>
          <w:rFonts w:ascii="Arial" w:hAnsi="Arial" w:cs="Arial"/>
          <w:sz w:val="24"/>
          <w:szCs w:val="24"/>
        </w:rPr>
        <w:t>is used as t</w:t>
      </w:r>
      <w:r w:rsidR="00634CDA" w:rsidRPr="00A8062B">
        <w:rPr>
          <w:rFonts w:ascii="Arial" w:hAnsi="Arial" w:cs="Arial"/>
          <w:sz w:val="24"/>
          <w:szCs w:val="24"/>
        </w:rPr>
        <w:t>he</w:t>
      </w:r>
      <w:r w:rsidR="00A37542" w:rsidRPr="00A8062B">
        <w:rPr>
          <w:rFonts w:ascii="Arial" w:hAnsi="Arial" w:cs="Arial"/>
          <w:sz w:val="24"/>
          <w:szCs w:val="24"/>
        </w:rPr>
        <w:t xml:space="preserve"> </w:t>
      </w:r>
      <w:r w:rsidR="00634CDA" w:rsidRPr="00A8062B">
        <w:rPr>
          <w:rFonts w:ascii="Arial" w:hAnsi="Arial" w:cs="Arial"/>
          <w:sz w:val="24"/>
          <w:szCs w:val="24"/>
        </w:rPr>
        <w:t xml:space="preserve">measure of </w:t>
      </w:r>
      <w:r w:rsidR="008D0804">
        <w:rPr>
          <w:rFonts w:ascii="Arial" w:hAnsi="Arial" w:cs="Arial"/>
          <w:sz w:val="24"/>
          <w:szCs w:val="24"/>
        </w:rPr>
        <w:t xml:space="preserve">observed </w:t>
      </w:r>
      <w:r w:rsidR="00634CDA" w:rsidRPr="00A8062B">
        <w:rPr>
          <w:rFonts w:ascii="Arial" w:hAnsi="Arial" w:cs="Arial"/>
          <w:sz w:val="24"/>
          <w:szCs w:val="24"/>
        </w:rPr>
        <w:t>need</w:t>
      </w:r>
      <w:r w:rsidR="00811C9F">
        <w:rPr>
          <w:rFonts w:ascii="Arial" w:hAnsi="Arial" w:cs="Arial"/>
          <w:sz w:val="24"/>
          <w:szCs w:val="24"/>
        </w:rPr>
        <w:t xml:space="preserve"> </w:t>
      </w:r>
      <w:r w:rsidR="00A37542" w:rsidRPr="00A8062B">
        <w:rPr>
          <w:rFonts w:ascii="Arial" w:hAnsi="Arial" w:cs="Arial"/>
          <w:sz w:val="24"/>
          <w:szCs w:val="24"/>
        </w:rPr>
        <w:t>because it reflects the resource intensity of the services</w:t>
      </w:r>
      <w:r w:rsidR="00B2336D">
        <w:rPr>
          <w:rFonts w:ascii="Arial" w:hAnsi="Arial" w:cs="Arial"/>
          <w:sz w:val="24"/>
          <w:szCs w:val="24"/>
        </w:rPr>
        <w:t xml:space="preserve"> used</w:t>
      </w:r>
      <w:r w:rsidR="00A37542" w:rsidRPr="00A8062B">
        <w:rPr>
          <w:rFonts w:ascii="Arial" w:hAnsi="Arial" w:cs="Arial"/>
          <w:sz w:val="24"/>
          <w:szCs w:val="24"/>
        </w:rPr>
        <w:t xml:space="preserve"> and indicates the relative funding required to provide </w:t>
      </w:r>
      <w:r w:rsidR="009C396B">
        <w:rPr>
          <w:rFonts w:ascii="Arial" w:hAnsi="Arial" w:cs="Arial"/>
          <w:sz w:val="24"/>
          <w:szCs w:val="24"/>
        </w:rPr>
        <w:t xml:space="preserve">the </w:t>
      </w:r>
      <w:r w:rsidR="00A62458">
        <w:rPr>
          <w:rFonts w:ascii="Arial" w:hAnsi="Arial" w:cs="Arial"/>
          <w:sz w:val="24"/>
          <w:szCs w:val="24"/>
        </w:rPr>
        <w:t>services</w:t>
      </w:r>
      <w:r w:rsidR="00A37542" w:rsidRPr="00A8062B">
        <w:rPr>
          <w:rFonts w:ascii="Arial" w:hAnsi="Arial" w:cs="Arial"/>
          <w:sz w:val="24"/>
          <w:szCs w:val="24"/>
        </w:rPr>
        <w:t xml:space="preserve">.  In the absence of prices for the healthcare services provided, </w:t>
      </w:r>
      <w:r w:rsidR="006962BC" w:rsidRPr="00A8062B">
        <w:rPr>
          <w:rFonts w:ascii="Arial" w:hAnsi="Arial" w:cs="Arial"/>
          <w:sz w:val="24"/>
          <w:szCs w:val="24"/>
        </w:rPr>
        <w:t>unit</w:t>
      </w:r>
      <w:r w:rsidR="00A37542" w:rsidRPr="00A8062B">
        <w:rPr>
          <w:rFonts w:ascii="Arial" w:hAnsi="Arial" w:cs="Arial"/>
          <w:sz w:val="24"/>
          <w:szCs w:val="24"/>
        </w:rPr>
        <w:t xml:space="preserve"> costs are calculated using a combination</w:t>
      </w:r>
      <w:r w:rsidR="00A8062B" w:rsidRPr="00A8062B">
        <w:rPr>
          <w:rFonts w:ascii="Arial" w:hAnsi="Arial" w:cs="Arial"/>
          <w:sz w:val="24"/>
          <w:szCs w:val="24"/>
        </w:rPr>
        <w:t xml:space="preserve"> of</w:t>
      </w:r>
      <w:r w:rsidR="00A14C21" w:rsidRPr="00A8062B">
        <w:rPr>
          <w:rFonts w:ascii="Arial" w:hAnsi="Arial" w:cs="Arial"/>
          <w:sz w:val="24"/>
          <w:szCs w:val="24"/>
        </w:rPr>
        <w:t xml:space="preserve"> expenditure </w:t>
      </w:r>
      <w:r w:rsidR="00DD34AB" w:rsidRPr="00A8062B">
        <w:rPr>
          <w:rFonts w:ascii="Arial" w:hAnsi="Arial" w:cs="Arial"/>
          <w:sz w:val="24"/>
          <w:szCs w:val="24"/>
        </w:rPr>
        <w:t xml:space="preserve">data and information on the number and type of activities which have been funded by that expenditure.  </w:t>
      </w:r>
      <w:r w:rsidR="006D14ED" w:rsidRPr="00A8062B">
        <w:rPr>
          <w:rFonts w:ascii="Arial" w:hAnsi="Arial" w:cs="Arial"/>
          <w:sz w:val="24"/>
          <w:szCs w:val="24"/>
        </w:rPr>
        <w:t>The reliability of the calculated target shares depends ultimately on the accuracy of the costing methods.</w:t>
      </w:r>
    </w:p>
    <w:p w14:paraId="2B10BA82" w14:textId="70D15854" w:rsidR="00597E5A" w:rsidRPr="00597E5A" w:rsidRDefault="00597E5A" w:rsidP="00D06989">
      <w:pPr>
        <w:pStyle w:val="ListParagraph"/>
        <w:spacing w:line="240" w:lineRule="auto"/>
        <w:ind w:left="0"/>
        <w:rPr>
          <w:rFonts w:ascii="Arial" w:hAnsi="Arial" w:cs="Arial"/>
          <w:i/>
          <w:iCs/>
          <w:sz w:val="24"/>
          <w:szCs w:val="24"/>
        </w:rPr>
      </w:pPr>
    </w:p>
    <w:p w14:paraId="65CFEB17" w14:textId="73A222A1" w:rsidR="00CB5EB1" w:rsidRPr="00054189" w:rsidRDefault="00A37542" w:rsidP="00D06989">
      <w:pPr>
        <w:pStyle w:val="ListParagraph"/>
        <w:numPr>
          <w:ilvl w:val="0"/>
          <w:numId w:val="8"/>
        </w:numPr>
        <w:spacing w:line="240" w:lineRule="auto"/>
        <w:ind w:left="0" w:firstLine="0"/>
        <w:mirrorIndents/>
        <w:jc w:val="both"/>
        <w:rPr>
          <w:rFonts w:ascii="Arial" w:hAnsi="Arial" w:cs="Arial"/>
          <w:sz w:val="24"/>
          <w:szCs w:val="24"/>
        </w:rPr>
      </w:pPr>
      <w:r w:rsidRPr="00A8062B">
        <w:rPr>
          <w:rFonts w:ascii="Arial" w:hAnsi="Arial" w:cs="Arial"/>
          <w:sz w:val="24"/>
          <w:szCs w:val="24"/>
        </w:rPr>
        <w:t xml:space="preserve">The method for calculating unit costs </w:t>
      </w:r>
      <w:r w:rsidR="00136535" w:rsidRPr="00A8062B">
        <w:rPr>
          <w:rFonts w:ascii="Arial" w:hAnsi="Arial" w:cs="Arial"/>
          <w:sz w:val="24"/>
          <w:szCs w:val="24"/>
        </w:rPr>
        <w:t>vari</w:t>
      </w:r>
      <w:r w:rsidR="00136535">
        <w:rPr>
          <w:rFonts w:ascii="Arial" w:hAnsi="Arial" w:cs="Arial"/>
          <w:sz w:val="24"/>
          <w:szCs w:val="24"/>
        </w:rPr>
        <w:t>es</w:t>
      </w:r>
      <w:r w:rsidRPr="00A8062B">
        <w:rPr>
          <w:rFonts w:ascii="Arial" w:hAnsi="Arial" w:cs="Arial"/>
          <w:sz w:val="24"/>
          <w:szCs w:val="24"/>
        </w:rPr>
        <w:t xml:space="preserve"> across care programmes, depending on the type of healthcare provided and the availability of data.  As the most detailed data are available for hospital care, and the variation in the resource intensity is typically much greater for admitted patient care</w:t>
      </w:r>
      <w:r w:rsidR="00284363" w:rsidRPr="00A8062B">
        <w:rPr>
          <w:rFonts w:ascii="Arial" w:hAnsi="Arial" w:cs="Arial"/>
          <w:sz w:val="24"/>
          <w:szCs w:val="24"/>
        </w:rPr>
        <w:t xml:space="preserve"> than </w:t>
      </w:r>
      <w:r w:rsidR="00054189">
        <w:rPr>
          <w:rFonts w:ascii="Arial" w:hAnsi="Arial" w:cs="Arial"/>
          <w:sz w:val="24"/>
          <w:szCs w:val="24"/>
        </w:rPr>
        <w:t>for other types of</w:t>
      </w:r>
      <w:r w:rsidR="00284363" w:rsidRPr="00054189">
        <w:rPr>
          <w:rFonts w:ascii="Arial" w:hAnsi="Arial" w:cs="Arial"/>
          <w:sz w:val="24"/>
          <w:szCs w:val="24"/>
        </w:rPr>
        <w:t xml:space="preserve"> care</w:t>
      </w:r>
      <w:r w:rsidRPr="00054189">
        <w:rPr>
          <w:rFonts w:ascii="Arial" w:hAnsi="Arial" w:cs="Arial"/>
          <w:sz w:val="24"/>
          <w:szCs w:val="24"/>
        </w:rPr>
        <w:t>, th</w:t>
      </w:r>
      <w:r w:rsidR="000672B2">
        <w:rPr>
          <w:rFonts w:ascii="Arial" w:hAnsi="Arial" w:cs="Arial"/>
          <w:sz w:val="24"/>
          <w:szCs w:val="24"/>
        </w:rPr>
        <w:t>is</w:t>
      </w:r>
      <w:r w:rsidRPr="00054189">
        <w:rPr>
          <w:rFonts w:ascii="Arial" w:hAnsi="Arial" w:cs="Arial"/>
          <w:sz w:val="24"/>
          <w:szCs w:val="24"/>
        </w:rPr>
        <w:t xml:space="preserve"> discussion will focus on that aspect of the formula.</w:t>
      </w:r>
      <w:r w:rsidR="00136535" w:rsidRPr="00054189">
        <w:rPr>
          <w:rFonts w:ascii="Arial" w:hAnsi="Arial" w:cs="Arial"/>
          <w:sz w:val="24"/>
          <w:szCs w:val="24"/>
        </w:rPr>
        <w:t xml:space="preserve">  </w:t>
      </w:r>
      <w:r w:rsidRPr="00054189">
        <w:rPr>
          <w:rFonts w:ascii="Arial" w:hAnsi="Arial" w:cs="Arial"/>
          <w:sz w:val="24"/>
          <w:szCs w:val="24"/>
        </w:rPr>
        <w:t>And, in particular</w:t>
      </w:r>
      <w:r w:rsidR="000672B2">
        <w:rPr>
          <w:rFonts w:ascii="Arial" w:hAnsi="Arial" w:cs="Arial"/>
          <w:sz w:val="24"/>
          <w:szCs w:val="24"/>
        </w:rPr>
        <w:t>,</w:t>
      </w:r>
      <w:r w:rsidRPr="00054189">
        <w:rPr>
          <w:rFonts w:ascii="Arial" w:hAnsi="Arial" w:cs="Arial"/>
          <w:sz w:val="24"/>
          <w:szCs w:val="24"/>
        </w:rPr>
        <w:t xml:space="preserve"> on the case-mix adjustment which is crucial for incorporating an adequate reflection of the variation in resource use intensity.  </w:t>
      </w:r>
    </w:p>
    <w:p w14:paraId="747AC890" w14:textId="77777777" w:rsidR="00CB5EB1" w:rsidRDefault="00CB5EB1" w:rsidP="00D06989">
      <w:pPr>
        <w:pStyle w:val="ListParagraph"/>
        <w:spacing w:line="240" w:lineRule="auto"/>
        <w:ind w:left="0"/>
        <w:rPr>
          <w:rFonts w:ascii="Arial" w:hAnsi="Arial" w:cs="Arial"/>
          <w:sz w:val="24"/>
          <w:szCs w:val="24"/>
        </w:rPr>
      </w:pPr>
    </w:p>
    <w:p w14:paraId="661E52F6" w14:textId="32AAABB2" w:rsidR="00EE2E70" w:rsidRPr="00EE2E70" w:rsidRDefault="00EE2E70" w:rsidP="00D06989">
      <w:pPr>
        <w:pStyle w:val="ListParagraph"/>
        <w:spacing w:line="240" w:lineRule="auto"/>
        <w:ind w:left="0"/>
        <w:rPr>
          <w:rFonts w:ascii="Arial" w:hAnsi="Arial" w:cs="Arial"/>
          <w:i/>
          <w:iCs/>
          <w:sz w:val="24"/>
          <w:szCs w:val="24"/>
        </w:rPr>
      </w:pPr>
      <w:r w:rsidRPr="00EE2E70">
        <w:rPr>
          <w:rFonts w:ascii="Arial" w:hAnsi="Arial" w:cs="Arial"/>
          <w:i/>
          <w:iCs/>
          <w:sz w:val="24"/>
          <w:szCs w:val="24"/>
        </w:rPr>
        <w:t>The NRAC method:</w:t>
      </w:r>
    </w:p>
    <w:p w14:paraId="1066659C" w14:textId="5758184D" w:rsidR="00CB5EB1" w:rsidRDefault="00934203" w:rsidP="00D06989">
      <w:pPr>
        <w:pStyle w:val="ListParagraph"/>
        <w:numPr>
          <w:ilvl w:val="0"/>
          <w:numId w:val="8"/>
        </w:numPr>
        <w:spacing w:line="240" w:lineRule="auto"/>
        <w:ind w:left="0" w:firstLine="0"/>
        <w:mirrorIndents/>
        <w:jc w:val="both"/>
        <w:rPr>
          <w:rFonts w:ascii="Arial" w:hAnsi="Arial" w:cs="Arial"/>
          <w:sz w:val="24"/>
          <w:szCs w:val="24"/>
        </w:rPr>
      </w:pPr>
      <w:r w:rsidRPr="00CB5EB1">
        <w:rPr>
          <w:rFonts w:ascii="Arial" w:hAnsi="Arial" w:cs="Arial"/>
          <w:sz w:val="24"/>
          <w:szCs w:val="24"/>
        </w:rPr>
        <w:t>The</w:t>
      </w:r>
      <w:r w:rsidR="00946AFA" w:rsidRPr="00CB5EB1">
        <w:rPr>
          <w:rFonts w:ascii="Arial" w:hAnsi="Arial" w:cs="Arial"/>
          <w:sz w:val="24"/>
          <w:szCs w:val="24"/>
        </w:rPr>
        <w:t xml:space="preserve"> </w:t>
      </w:r>
      <w:r w:rsidR="006B6740" w:rsidRPr="00CB5EB1">
        <w:rPr>
          <w:rFonts w:ascii="Arial" w:hAnsi="Arial" w:cs="Arial"/>
          <w:sz w:val="24"/>
          <w:szCs w:val="24"/>
        </w:rPr>
        <w:t xml:space="preserve">most </w:t>
      </w:r>
      <w:r w:rsidR="00946AFA" w:rsidRPr="00CB5EB1">
        <w:rPr>
          <w:rFonts w:ascii="Arial" w:hAnsi="Arial" w:cs="Arial"/>
          <w:sz w:val="24"/>
          <w:szCs w:val="24"/>
        </w:rPr>
        <w:t>common</w:t>
      </w:r>
      <w:r w:rsidRPr="00CB5EB1">
        <w:rPr>
          <w:rFonts w:ascii="Arial" w:hAnsi="Arial" w:cs="Arial"/>
          <w:sz w:val="24"/>
          <w:szCs w:val="24"/>
        </w:rPr>
        <w:t xml:space="preserve"> approach to estimating unit costs for the episodes of care</w:t>
      </w:r>
      <w:r w:rsidR="0055019B" w:rsidRPr="00CB5EB1">
        <w:rPr>
          <w:rFonts w:ascii="Arial" w:hAnsi="Arial" w:cs="Arial"/>
          <w:sz w:val="24"/>
          <w:szCs w:val="24"/>
        </w:rPr>
        <w:t xml:space="preserve"> for NRAC</w:t>
      </w:r>
      <w:r w:rsidRPr="00CB5EB1">
        <w:rPr>
          <w:rFonts w:ascii="Arial" w:hAnsi="Arial" w:cs="Arial"/>
          <w:sz w:val="24"/>
          <w:szCs w:val="24"/>
        </w:rPr>
        <w:t xml:space="preserve"> is to combine the cost data from the Costs Book with activity data from the</w:t>
      </w:r>
      <w:r w:rsidR="0037232E">
        <w:rPr>
          <w:rFonts w:ascii="Arial" w:hAnsi="Arial" w:cs="Arial"/>
          <w:sz w:val="24"/>
          <w:szCs w:val="24"/>
        </w:rPr>
        <w:t xml:space="preserve"> Scottish </w:t>
      </w:r>
      <w:r w:rsidR="00883C3A">
        <w:rPr>
          <w:rFonts w:ascii="Arial" w:hAnsi="Arial" w:cs="Arial"/>
          <w:sz w:val="24"/>
          <w:szCs w:val="24"/>
        </w:rPr>
        <w:t>Morbidity</w:t>
      </w:r>
      <w:r w:rsidR="0037232E">
        <w:rPr>
          <w:rFonts w:ascii="Arial" w:hAnsi="Arial" w:cs="Arial"/>
          <w:sz w:val="24"/>
          <w:szCs w:val="24"/>
        </w:rPr>
        <w:t xml:space="preserve"> Record (</w:t>
      </w:r>
      <w:proofErr w:type="spellStart"/>
      <w:r w:rsidRPr="00CB5EB1">
        <w:rPr>
          <w:rFonts w:ascii="Arial" w:hAnsi="Arial" w:cs="Arial"/>
          <w:sz w:val="24"/>
          <w:szCs w:val="24"/>
        </w:rPr>
        <w:t>SMR</w:t>
      </w:r>
      <w:proofErr w:type="spellEnd"/>
      <w:r w:rsidR="0037232E">
        <w:rPr>
          <w:rFonts w:ascii="Arial" w:hAnsi="Arial" w:cs="Arial"/>
          <w:sz w:val="24"/>
          <w:szCs w:val="24"/>
        </w:rPr>
        <w:t>)</w:t>
      </w:r>
      <w:r w:rsidRPr="00CB5EB1">
        <w:rPr>
          <w:rFonts w:ascii="Arial" w:hAnsi="Arial" w:cs="Arial"/>
          <w:sz w:val="24"/>
          <w:szCs w:val="24"/>
        </w:rPr>
        <w:t xml:space="preserve"> datasets.  </w:t>
      </w:r>
      <w:r w:rsidR="0066233F" w:rsidRPr="00CB5EB1">
        <w:rPr>
          <w:rFonts w:ascii="Arial" w:hAnsi="Arial" w:cs="Arial"/>
          <w:sz w:val="24"/>
          <w:szCs w:val="24"/>
        </w:rPr>
        <w:t xml:space="preserve">The Costs Book provides </w:t>
      </w:r>
      <w:r w:rsidR="006562D0">
        <w:rPr>
          <w:rFonts w:ascii="Arial" w:hAnsi="Arial" w:cs="Arial"/>
          <w:sz w:val="24"/>
          <w:szCs w:val="24"/>
        </w:rPr>
        <w:t xml:space="preserve">cost </w:t>
      </w:r>
      <w:r w:rsidR="0066233F" w:rsidRPr="00CB5EB1">
        <w:rPr>
          <w:rFonts w:ascii="Arial" w:hAnsi="Arial" w:cs="Arial"/>
          <w:sz w:val="24"/>
          <w:szCs w:val="24"/>
        </w:rPr>
        <w:t>data at the hospital and speciality</w:t>
      </w:r>
      <w:r w:rsidRPr="00CB5EB1">
        <w:rPr>
          <w:rFonts w:ascii="Arial" w:hAnsi="Arial" w:cs="Arial"/>
          <w:sz w:val="24"/>
          <w:szCs w:val="24"/>
        </w:rPr>
        <w:t xml:space="preserve"> level</w:t>
      </w:r>
      <w:r w:rsidR="00057CE2" w:rsidRPr="00CB5EB1">
        <w:rPr>
          <w:rFonts w:ascii="Arial" w:hAnsi="Arial" w:cs="Arial"/>
          <w:sz w:val="24"/>
          <w:szCs w:val="24"/>
        </w:rPr>
        <w:t xml:space="preserve"> and for different patient types</w:t>
      </w:r>
      <w:r w:rsidRPr="00CB5EB1">
        <w:rPr>
          <w:rFonts w:ascii="Arial" w:hAnsi="Arial" w:cs="Arial"/>
          <w:sz w:val="24"/>
          <w:szCs w:val="24"/>
        </w:rPr>
        <w:t xml:space="preserve">.  The </w:t>
      </w:r>
      <w:proofErr w:type="spellStart"/>
      <w:r w:rsidRPr="00CB5EB1">
        <w:rPr>
          <w:rFonts w:ascii="Arial" w:hAnsi="Arial" w:cs="Arial"/>
          <w:sz w:val="24"/>
          <w:szCs w:val="24"/>
        </w:rPr>
        <w:t>SMR</w:t>
      </w:r>
      <w:proofErr w:type="spellEnd"/>
      <w:r w:rsidRPr="00CB5EB1">
        <w:rPr>
          <w:rFonts w:ascii="Arial" w:hAnsi="Arial" w:cs="Arial"/>
          <w:sz w:val="24"/>
          <w:szCs w:val="24"/>
        </w:rPr>
        <w:t xml:space="preserve"> datasets provide the age, sex, data zone of residence of the patient and hospital of treatment, as well as diagnostic and treatment information including length of stay</w:t>
      </w:r>
      <w:r w:rsidR="00CA1DD0">
        <w:rPr>
          <w:rFonts w:ascii="Arial" w:hAnsi="Arial" w:cs="Arial"/>
          <w:sz w:val="24"/>
          <w:szCs w:val="24"/>
        </w:rPr>
        <w:t xml:space="preserve"> (LOS)</w:t>
      </w:r>
      <w:r w:rsidRPr="00CB5EB1">
        <w:rPr>
          <w:rFonts w:ascii="Arial" w:hAnsi="Arial" w:cs="Arial"/>
          <w:sz w:val="24"/>
          <w:szCs w:val="24"/>
        </w:rPr>
        <w:t xml:space="preserve">.  The demographic information allows the calculation of costs by age-sex </w:t>
      </w:r>
      <w:r w:rsidR="00305327">
        <w:rPr>
          <w:rFonts w:ascii="Arial" w:hAnsi="Arial" w:cs="Arial"/>
          <w:sz w:val="24"/>
          <w:szCs w:val="24"/>
        </w:rPr>
        <w:t>cohorts</w:t>
      </w:r>
      <w:r w:rsidRPr="00CB5EB1">
        <w:rPr>
          <w:rFonts w:ascii="Arial" w:hAnsi="Arial" w:cs="Arial"/>
          <w:sz w:val="24"/>
          <w:szCs w:val="24"/>
        </w:rPr>
        <w:t xml:space="preserve"> (using 20 age </w:t>
      </w:r>
      <w:r w:rsidR="00305327">
        <w:rPr>
          <w:rFonts w:ascii="Arial" w:hAnsi="Arial" w:cs="Arial"/>
          <w:sz w:val="24"/>
          <w:szCs w:val="24"/>
        </w:rPr>
        <w:t>groups</w:t>
      </w:r>
      <w:r w:rsidRPr="00CB5EB1">
        <w:rPr>
          <w:rFonts w:ascii="Arial" w:hAnsi="Arial" w:cs="Arial"/>
          <w:sz w:val="24"/>
          <w:szCs w:val="24"/>
        </w:rPr>
        <w:t>: 0-1, 2-4, 5-9, 10-14, etc, up to 85-89, 90 years and over)</w:t>
      </w:r>
      <w:r w:rsidR="009C3722" w:rsidRPr="009C3722">
        <w:rPr>
          <w:rFonts w:ascii="Arial" w:hAnsi="Arial" w:cs="Arial"/>
          <w:sz w:val="24"/>
          <w:szCs w:val="24"/>
        </w:rPr>
        <w:t xml:space="preserve"> </w:t>
      </w:r>
      <w:r w:rsidR="00587807">
        <w:rPr>
          <w:rFonts w:ascii="Arial" w:hAnsi="Arial" w:cs="Arial"/>
          <w:sz w:val="24"/>
          <w:szCs w:val="24"/>
        </w:rPr>
        <w:t xml:space="preserve">and </w:t>
      </w:r>
      <w:r w:rsidR="00305327">
        <w:rPr>
          <w:rFonts w:ascii="Arial" w:hAnsi="Arial" w:cs="Arial"/>
          <w:sz w:val="24"/>
          <w:szCs w:val="24"/>
        </w:rPr>
        <w:t>allocati</w:t>
      </w:r>
      <w:r w:rsidR="00D131B3">
        <w:rPr>
          <w:rFonts w:ascii="Arial" w:hAnsi="Arial" w:cs="Arial"/>
          <w:sz w:val="24"/>
          <w:szCs w:val="24"/>
        </w:rPr>
        <w:t xml:space="preserve">on </w:t>
      </w:r>
      <w:r w:rsidR="00587807">
        <w:rPr>
          <w:rFonts w:ascii="Arial" w:hAnsi="Arial" w:cs="Arial"/>
          <w:sz w:val="24"/>
          <w:szCs w:val="24"/>
        </w:rPr>
        <w:t xml:space="preserve">to </w:t>
      </w:r>
      <w:r w:rsidR="009C3722" w:rsidRPr="00CB5EB1">
        <w:rPr>
          <w:rFonts w:ascii="Arial" w:hAnsi="Arial" w:cs="Arial"/>
          <w:sz w:val="24"/>
          <w:szCs w:val="24"/>
        </w:rPr>
        <w:t xml:space="preserve">data zone </w:t>
      </w:r>
      <w:r w:rsidR="00587807">
        <w:rPr>
          <w:rFonts w:ascii="Arial" w:hAnsi="Arial" w:cs="Arial"/>
          <w:sz w:val="24"/>
          <w:szCs w:val="24"/>
        </w:rPr>
        <w:t>of residence</w:t>
      </w:r>
      <w:r w:rsidRPr="00CB5EB1">
        <w:rPr>
          <w:rFonts w:ascii="Arial" w:hAnsi="Arial" w:cs="Arial"/>
          <w:sz w:val="24"/>
          <w:szCs w:val="24"/>
        </w:rPr>
        <w:t>; the treatment information allows the episode to be mapped to the Costs Book speciality categories</w:t>
      </w:r>
      <w:r w:rsidR="00587807">
        <w:rPr>
          <w:rFonts w:ascii="Arial" w:hAnsi="Arial" w:cs="Arial"/>
          <w:sz w:val="24"/>
          <w:szCs w:val="24"/>
        </w:rPr>
        <w:t xml:space="preserve"> and gives length of stay</w:t>
      </w:r>
      <w:r w:rsidRPr="00CB5EB1">
        <w:rPr>
          <w:rFonts w:ascii="Arial" w:hAnsi="Arial" w:cs="Arial"/>
          <w:sz w:val="24"/>
          <w:szCs w:val="24"/>
        </w:rPr>
        <w:t xml:space="preserve">.  </w:t>
      </w:r>
    </w:p>
    <w:p w14:paraId="4354CEAA" w14:textId="77777777" w:rsidR="00CB5EB1" w:rsidRPr="00CB5EB1" w:rsidRDefault="00CB5EB1" w:rsidP="00D06989">
      <w:pPr>
        <w:pStyle w:val="ListParagraph"/>
        <w:spacing w:line="240" w:lineRule="auto"/>
        <w:ind w:left="0"/>
        <w:rPr>
          <w:rFonts w:ascii="Arial" w:hAnsi="Arial" w:cs="Arial"/>
          <w:sz w:val="24"/>
          <w:szCs w:val="24"/>
        </w:rPr>
      </w:pPr>
    </w:p>
    <w:p w14:paraId="0C16FEF9" w14:textId="78B7C8F5" w:rsidR="00DA32D7" w:rsidRDefault="00770DDC" w:rsidP="00D06989">
      <w:pPr>
        <w:pStyle w:val="ListParagraph"/>
        <w:numPr>
          <w:ilvl w:val="0"/>
          <w:numId w:val="8"/>
        </w:numPr>
        <w:spacing w:line="240" w:lineRule="auto"/>
        <w:ind w:left="0" w:firstLine="0"/>
        <w:mirrorIndents/>
        <w:jc w:val="both"/>
        <w:rPr>
          <w:rFonts w:ascii="Arial" w:hAnsi="Arial" w:cs="Arial"/>
          <w:sz w:val="24"/>
          <w:szCs w:val="24"/>
        </w:rPr>
      </w:pPr>
      <w:r>
        <w:rPr>
          <w:rFonts w:ascii="Arial" w:hAnsi="Arial" w:cs="Arial"/>
          <w:sz w:val="24"/>
          <w:szCs w:val="24"/>
        </w:rPr>
        <w:t>T</w:t>
      </w:r>
      <w:r w:rsidR="0066606A" w:rsidRPr="00CB5EB1">
        <w:rPr>
          <w:rFonts w:ascii="Arial" w:hAnsi="Arial" w:cs="Arial"/>
          <w:sz w:val="24"/>
          <w:szCs w:val="24"/>
        </w:rPr>
        <w:t>he total</w:t>
      </w:r>
      <w:r>
        <w:rPr>
          <w:rFonts w:ascii="Arial" w:hAnsi="Arial" w:cs="Arial"/>
          <w:sz w:val="24"/>
          <w:szCs w:val="24"/>
        </w:rPr>
        <w:t xml:space="preserve"> inpatient</w:t>
      </w:r>
      <w:r w:rsidR="0066606A" w:rsidRPr="00CB5EB1">
        <w:rPr>
          <w:rFonts w:ascii="Arial" w:hAnsi="Arial" w:cs="Arial"/>
          <w:sz w:val="24"/>
          <w:szCs w:val="24"/>
        </w:rPr>
        <w:t xml:space="preserve"> speciality costs</w:t>
      </w:r>
      <w:r w:rsidR="006C54D5" w:rsidRPr="006C54D5">
        <w:rPr>
          <w:rFonts w:ascii="Arial" w:hAnsi="Arial" w:cs="Arial"/>
          <w:sz w:val="24"/>
          <w:szCs w:val="24"/>
        </w:rPr>
        <w:t xml:space="preserve"> </w:t>
      </w:r>
      <w:r w:rsidR="0066606A" w:rsidRPr="00CB5EB1">
        <w:rPr>
          <w:rFonts w:ascii="Arial" w:hAnsi="Arial" w:cs="Arial"/>
          <w:sz w:val="24"/>
          <w:szCs w:val="24"/>
        </w:rPr>
        <w:t xml:space="preserve">are </w:t>
      </w:r>
      <w:r w:rsidR="00A37542" w:rsidRPr="00CB5EB1">
        <w:rPr>
          <w:rFonts w:ascii="Arial" w:hAnsi="Arial" w:cs="Arial"/>
          <w:sz w:val="24"/>
          <w:szCs w:val="24"/>
        </w:rPr>
        <w:t xml:space="preserve">divided into a fixed </w:t>
      </w:r>
      <w:r w:rsidR="00EB449B" w:rsidRPr="00CB5EB1">
        <w:rPr>
          <w:rFonts w:ascii="Arial" w:hAnsi="Arial" w:cs="Arial"/>
          <w:sz w:val="24"/>
          <w:szCs w:val="24"/>
        </w:rPr>
        <w:t xml:space="preserve">cost </w:t>
      </w:r>
      <w:r w:rsidR="00651B44" w:rsidRPr="00CB5EB1">
        <w:rPr>
          <w:rFonts w:ascii="Arial" w:hAnsi="Arial" w:cs="Arial"/>
          <w:sz w:val="24"/>
          <w:szCs w:val="24"/>
        </w:rPr>
        <w:t xml:space="preserve">component </w:t>
      </w:r>
      <w:r w:rsidR="00A37542" w:rsidRPr="00CB5EB1">
        <w:rPr>
          <w:rFonts w:ascii="Arial" w:hAnsi="Arial" w:cs="Arial"/>
          <w:sz w:val="24"/>
          <w:szCs w:val="24"/>
        </w:rPr>
        <w:t xml:space="preserve">and a variable </w:t>
      </w:r>
      <w:r w:rsidR="00651B44" w:rsidRPr="00CB5EB1">
        <w:rPr>
          <w:rFonts w:ascii="Arial" w:hAnsi="Arial" w:cs="Arial"/>
          <w:sz w:val="24"/>
          <w:szCs w:val="24"/>
        </w:rPr>
        <w:t xml:space="preserve">cost </w:t>
      </w:r>
      <w:r w:rsidR="00A37542" w:rsidRPr="00CB5EB1">
        <w:rPr>
          <w:rFonts w:ascii="Arial" w:hAnsi="Arial" w:cs="Arial"/>
          <w:sz w:val="24"/>
          <w:szCs w:val="24"/>
        </w:rPr>
        <w:t>component</w:t>
      </w:r>
      <w:r w:rsidR="00651B44" w:rsidRPr="00CB5EB1">
        <w:rPr>
          <w:rFonts w:ascii="Arial" w:hAnsi="Arial" w:cs="Arial"/>
          <w:sz w:val="24"/>
          <w:szCs w:val="24"/>
        </w:rPr>
        <w:t xml:space="preserve">.  </w:t>
      </w:r>
      <w:r w:rsidR="00973D86">
        <w:rPr>
          <w:rFonts w:ascii="Arial" w:hAnsi="Arial" w:cs="Arial"/>
          <w:sz w:val="24"/>
          <w:szCs w:val="24"/>
        </w:rPr>
        <w:t>F</w:t>
      </w:r>
      <w:r w:rsidR="00170308" w:rsidRPr="00CB5EB1">
        <w:rPr>
          <w:rFonts w:ascii="Arial" w:hAnsi="Arial" w:cs="Arial"/>
          <w:sz w:val="24"/>
          <w:szCs w:val="24"/>
        </w:rPr>
        <w:t xml:space="preserve">ixed costs are those </w:t>
      </w:r>
      <w:r w:rsidR="005B74E9">
        <w:rPr>
          <w:rFonts w:ascii="Arial" w:hAnsi="Arial" w:cs="Arial"/>
          <w:sz w:val="24"/>
          <w:szCs w:val="24"/>
        </w:rPr>
        <w:t>incurred by the fact of</w:t>
      </w:r>
      <w:r w:rsidR="00183F2D">
        <w:rPr>
          <w:rFonts w:ascii="Arial" w:hAnsi="Arial" w:cs="Arial"/>
          <w:sz w:val="24"/>
          <w:szCs w:val="24"/>
        </w:rPr>
        <w:t xml:space="preserve"> </w:t>
      </w:r>
      <w:r w:rsidR="003303ED">
        <w:rPr>
          <w:rFonts w:ascii="Arial" w:hAnsi="Arial" w:cs="Arial"/>
          <w:sz w:val="24"/>
          <w:szCs w:val="24"/>
        </w:rPr>
        <w:t>providing</w:t>
      </w:r>
      <w:r w:rsidR="00183F2D">
        <w:rPr>
          <w:rFonts w:ascii="Arial" w:hAnsi="Arial" w:cs="Arial"/>
          <w:sz w:val="24"/>
          <w:szCs w:val="24"/>
        </w:rPr>
        <w:t xml:space="preserve"> an episode of care</w:t>
      </w:r>
      <w:r w:rsidR="00170308" w:rsidRPr="00CB5EB1">
        <w:rPr>
          <w:rFonts w:ascii="Arial" w:hAnsi="Arial" w:cs="Arial"/>
          <w:sz w:val="24"/>
          <w:szCs w:val="24"/>
        </w:rPr>
        <w:t xml:space="preserve"> and variable costs are the costs </w:t>
      </w:r>
      <w:r w:rsidR="0066723F" w:rsidRPr="00CB5EB1">
        <w:rPr>
          <w:rFonts w:ascii="Arial" w:hAnsi="Arial" w:cs="Arial"/>
          <w:sz w:val="24"/>
          <w:szCs w:val="24"/>
        </w:rPr>
        <w:t>which vary by length of stay</w:t>
      </w:r>
      <w:r w:rsidR="00D94434">
        <w:rPr>
          <w:rFonts w:ascii="Arial" w:hAnsi="Arial" w:cs="Arial"/>
          <w:sz w:val="24"/>
          <w:szCs w:val="24"/>
        </w:rPr>
        <w:t xml:space="preserve"> during that episode</w:t>
      </w:r>
      <w:r w:rsidR="001E16AB">
        <w:rPr>
          <w:rFonts w:ascii="Arial" w:hAnsi="Arial" w:cs="Arial"/>
          <w:sz w:val="24"/>
          <w:szCs w:val="24"/>
        </w:rPr>
        <w:t xml:space="preserve"> (</w:t>
      </w:r>
      <w:r w:rsidR="001F38D1">
        <w:rPr>
          <w:rFonts w:ascii="Arial" w:hAnsi="Arial" w:cs="Arial"/>
          <w:sz w:val="24"/>
          <w:szCs w:val="24"/>
        </w:rPr>
        <w:t>i.e. cost per day)</w:t>
      </w:r>
      <w:r w:rsidR="0066723F" w:rsidRPr="00CB5EB1">
        <w:rPr>
          <w:rFonts w:ascii="Arial" w:hAnsi="Arial" w:cs="Arial"/>
          <w:sz w:val="24"/>
          <w:szCs w:val="24"/>
        </w:rPr>
        <w:t xml:space="preserve">.  </w:t>
      </w:r>
      <w:r w:rsidR="00651B44" w:rsidRPr="00CB5EB1">
        <w:rPr>
          <w:rFonts w:ascii="Arial" w:hAnsi="Arial" w:cs="Arial"/>
          <w:sz w:val="24"/>
          <w:szCs w:val="24"/>
        </w:rPr>
        <w:t>Th</w:t>
      </w:r>
      <w:r w:rsidR="00B92FC7" w:rsidRPr="00CB5EB1">
        <w:rPr>
          <w:rFonts w:ascii="Arial" w:hAnsi="Arial" w:cs="Arial"/>
          <w:sz w:val="24"/>
          <w:szCs w:val="24"/>
        </w:rPr>
        <w:t xml:space="preserve">e method of achieving </w:t>
      </w:r>
      <w:r w:rsidR="0066723F" w:rsidRPr="00CB5EB1">
        <w:rPr>
          <w:rFonts w:ascii="Arial" w:hAnsi="Arial" w:cs="Arial"/>
          <w:sz w:val="24"/>
          <w:szCs w:val="24"/>
        </w:rPr>
        <w:t>the</w:t>
      </w:r>
      <w:r w:rsidR="00B92FC7" w:rsidRPr="00CB5EB1">
        <w:rPr>
          <w:rFonts w:ascii="Arial" w:hAnsi="Arial" w:cs="Arial"/>
          <w:sz w:val="24"/>
          <w:szCs w:val="24"/>
        </w:rPr>
        <w:t xml:space="preserve"> fixed/variable split was revised during the review of the </w:t>
      </w:r>
      <w:r w:rsidR="00954C1A" w:rsidRPr="00CB5EB1">
        <w:rPr>
          <w:rFonts w:ascii="Arial" w:hAnsi="Arial" w:cs="Arial"/>
          <w:sz w:val="24"/>
          <w:szCs w:val="24"/>
        </w:rPr>
        <w:t xml:space="preserve">Acute MLC </w:t>
      </w:r>
      <w:r w:rsidR="00EA30C9">
        <w:rPr>
          <w:rFonts w:ascii="Arial" w:hAnsi="Arial" w:cs="Arial"/>
          <w:sz w:val="24"/>
          <w:szCs w:val="24"/>
        </w:rPr>
        <w:t xml:space="preserve">in 2015 </w:t>
      </w:r>
      <w:r w:rsidR="00954C1A" w:rsidRPr="00CB5EB1">
        <w:rPr>
          <w:rFonts w:ascii="Arial" w:hAnsi="Arial" w:cs="Arial"/>
          <w:sz w:val="24"/>
          <w:szCs w:val="24"/>
        </w:rPr>
        <w:t xml:space="preserve">and now uses </w:t>
      </w:r>
      <w:r w:rsidR="00EF4927" w:rsidRPr="00CB5EB1">
        <w:rPr>
          <w:rFonts w:ascii="Arial" w:hAnsi="Arial" w:cs="Arial"/>
          <w:sz w:val="24"/>
          <w:szCs w:val="24"/>
        </w:rPr>
        <w:t>a factor derived</w:t>
      </w:r>
      <w:r w:rsidR="00954C1A" w:rsidRPr="00CB5EB1">
        <w:rPr>
          <w:rFonts w:ascii="Arial" w:hAnsi="Arial" w:cs="Arial"/>
          <w:sz w:val="24"/>
          <w:szCs w:val="24"/>
        </w:rPr>
        <w:t xml:space="preserve"> from the Patient Level Information and Costing</w:t>
      </w:r>
      <w:r w:rsidR="0086200F" w:rsidRPr="00CB5EB1">
        <w:rPr>
          <w:rFonts w:ascii="Arial" w:hAnsi="Arial" w:cs="Arial"/>
          <w:sz w:val="24"/>
          <w:szCs w:val="24"/>
        </w:rPr>
        <w:t xml:space="preserve"> System</w:t>
      </w:r>
      <w:r w:rsidR="00954C1A" w:rsidRPr="00CB5EB1">
        <w:rPr>
          <w:rFonts w:ascii="Arial" w:hAnsi="Arial" w:cs="Arial"/>
          <w:sz w:val="24"/>
          <w:szCs w:val="24"/>
        </w:rPr>
        <w:t xml:space="preserve"> (PLICS)</w:t>
      </w:r>
      <w:r w:rsidR="00A37542" w:rsidRPr="00CB5EB1">
        <w:rPr>
          <w:rFonts w:ascii="Arial" w:hAnsi="Arial" w:cs="Arial"/>
          <w:sz w:val="24"/>
          <w:szCs w:val="24"/>
        </w:rPr>
        <w:t xml:space="preserve">. </w:t>
      </w:r>
      <w:r w:rsidR="00057CE2" w:rsidRPr="00CB5EB1">
        <w:rPr>
          <w:rFonts w:ascii="Arial" w:hAnsi="Arial" w:cs="Arial"/>
          <w:sz w:val="24"/>
          <w:szCs w:val="24"/>
        </w:rPr>
        <w:t xml:space="preserve"> </w:t>
      </w:r>
      <w:r w:rsidR="00EF4927" w:rsidRPr="00CB5EB1">
        <w:rPr>
          <w:rFonts w:ascii="Arial" w:hAnsi="Arial" w:cs="Arial"/>
          <w:sz w:val="24"/>
          <w:szCs w:val="24"/>
        </w:rPr>
        <w:t xml:space="preserve">Basically </w:t>
      </w:r>
      <w:r w:rsidR="005723F6" w:rsidRPr="00CB5EB1">
        <w:rPr>
          <w:rFonts w:ascii="Arial" w:hAnsi="Arial" w:cs="Arial"/>
          <w:sz w:val="24"/>
          <w:szCs w:val="24"/>
        </w:rPr>
        <w:t xml:space="preserve">the </w:t>
      </w:r>
      <w:r w:rsidR="0066723F" w:rsidRPr="00CB5EB1">
        <w:rPr>
          <w:rFonts w:ascii="Arial" w:hAnsi="Arial" w:cs="Arial"/>
          <w:sz w:val="24"/>
          <w:szCs w:val="24"/>
        </w:rPr>
        <w:t>variable</w:t>
      </w:r>
      <w:r w:rsidR="005723F6" w:rsidRPr="00CB5EB1">
        <w:rPr>
          <w:rFonts w:ascii="Arial" w:hAnsi="Arial" w:cs="Arial"/>
          <w:sz w:val="24"/>
          <w:szCs w:val="24"/>
        </w:rPr>
        <w:t xml:space="preserve"> component </w:t>
      </w:r>
      <w:r w:rsidR="00D824A9">
        <w:rPr>
          <w:rFonts w:ascii="Arial" w:hAnsi="Arial" w:cs="Arial"/>
          <w:sz w:val="24"/>
          <w:szCs w:val="24"/>
        </w:rPr>
        <w:t xml:space="preserve">share is </w:t>
      </w:r>
      <w:r w:rsidR="0066723F" w:rsidRPr="00CB5EB1">
        <w:rPr>
          <w:rFonts w:ascii="Arial" w:hAnsi="Arial" w:cs="Arial"/>
          <w:sz w:val="24"/>
          <w:szCs w:val="24"/>
        </w:rPr>
        <w:t xml:space="preserve">estimated for </w:t>
      </w:r>
      <w:r w:rsidR="009A5421">
        <w:rPr>
          <w:rFonts w:ascii="Arial" w:hAnsi="Arial" w:cs="Arial"/>
          <w:sz w:val="24"/>
          <w:szCs w:val="24"/>
        </w:rPr>
        <w:t>each</w:t>
      </w:r>
      <w:r w:rsidR="0066723F" w:rsidRPr="00CB5EB1">
        <w:rPr>
          <w:rFonts w:ascii="Arial" w:hAnsi="Arial" w:cs="Arial"/>
          <w:sz w:val="24"/>
          <w:szCs w:val="24"/>
        </w:rPr>
        <w:t xml:space="preserve"> specialty using the share of </w:t>
      </w:r>
      <w:r w:rsidR="00F80CFB">
        <w:rPr>
          <w:rFonts w:ascii="Arial" w:hAnsi="Arial" w:cs="Arial"/>
          <w:sz w:val="24"/>
          <w:szCs w:val="24"/>
        </w:rPr>
        <w:t xml:space="preserve">the </w:t>
      </w:r>
      <w:r w:rsidR="00EF4927" w:rsidRPr="00CB5EB1">
        <w:rPr>
          <w:rFonts w:ascii="Arial" w:hAnsi="Arial" w:cs="Arial"/>
          <w:sz w:val="24"/>
          <w:szCs w:val="24"/>
        </w:rPr>
        <w:t xml:space="preserve">PLICS </w:t>
      </w:r>
      <w:r w:rsidR="00CD2A47" w:rsidRPr="00CB5EB1">
        <w:rPr>
          <w:rFonts w:ascii="Arial" w:hAnsi="Arial" w:cs="Arial"/>
          <w:sz w:val="24"/>
          <w:szCs w:val="24"/>
        </w:rPr>
        <w:t xml:space="preserve">costs </w:t>
      </w:r>
      <w:r w:rsidR="00973C86">
        <w:rPr>
          <w:rFonts w:ascii="Arial" w:hAnsi="Arial" w:cs="Arial"/>
          <w:sz w:val="24"/>
          <w:szCs w:val="24"/>
        </w:rPr>
        <w:t xml:space="preserve">in that speciality </w:t>
      </w:r>
      <w:r w:rsidR="00CD2A47" w:rsidRPr="00CB5EB1">
        <w:rPr>
          <w:rFonts w:ascii="Arial" w:hAnsi="Arial" w:cs="Arial"/>
          <w:sz w:val="24"/>
          <w:szCs w:val="24"/>
        </w:rPr>
        <w:t>which are thought to be related to length of stay</w:t>
      </w:r>
      <w:r w:rsidR="00566447" w:rsidRPr="00CB5EB1">
        <w:rPr>
          <w:rFonts w:ascii="Arial" w:hAnsi="Arial" w:cs="Arial"/>
          <w:sz w:val="24"/>
          <w:szCs w:val="24"/>
        </w:rPr>
        <w:t xml:space="preserve">.  </w:t>
      </w:r>
    </w:p>
    <w:p w14:paraId="69404D3A" w14:textId="77777777" w:rsidR="00DA32D7" w:rsidRPr="00DA32D7" w:rsidRDefault="00DA32D7" w:rsidP="00D06989">
      <w:pPr>
        <w:pStyle w:val="ListParagraph"/>
        <w:spacing w:line="240" w:lineRule="auto"/>
        <w:ind w:left="0"/>
        <w:rPr>
          <w:rFonts w:ascii="Arial" w:hAnsi="Arial" w:cs="Arial"/>
          <w:sz w:val="24"/>
          <w:szCs w:val="24"/>
        </w:rPr>
      </w:pPr>
    </w:p>
    <w:p w14:paraId="3E1865B7" w14:textId="3DA556E4" w:rsidR="00DA32D7" w:rsidRDefault="00A87D77" w:rsidP="00D06989">
      <w:pPr>
        <w:pStyle w:val="ListParagraph"/>
        <w:numPr>
          <w:ilvl w:val="0"/>
          <w:numId w:val="8"/>
        </w:numPr>
        <w:spacing w:line="240" w:lineRule="auto"/>
        <w:ind w:left="0" w:firstLine="0"/>
        <w:mirrorIndents/>
        <w:jc w:val="both"/>
        <w:rPr>
          <w:rFonts w:ascii="Arial" w:hAnsi="Arial" w:cs="Arial"/>
          <w:sz w:val="24"/>
          <w:szCs w:val="24"/>
        </w:rPr>
      </w:pPr>
      <w:r w:rsidRPr="00DA32D7">
        <w:rPr>
          <w:rFonts w:ascii="Arial" w:hAnsi="Arial" w:cs="Arial"/>
          <w:sz w:val="24"/>
          <w:szCs w:val="24"/>
        </w:rPr>
        <w:t xml:space="preserve">For each relevant speciality the fixed </w:t>
      </w:r>
      <w:r w:rsidR="003D7871" w:rsidRPr="00DA32D7">
        <w:rPr>
          <w:rFonts w:ascii="Arial" w:hAnsi="Arial" w:cs="Arial"/>
          <w:sz w:val="24"/>
          <w:szCs w:val="24"/>
        </w:rPr>
        <w:t>component</w:t>
      </w:r>
      <w:r w:rsidRPr="00DA32D7">
        <w:rPr>
          <w:rFonts w:ascii="Arial" w:hAnsi="Arial" w:cs="Arial"/>
          <w:sz w:val="24"/>
          <w:szCs w:val="24"/>
        </w:rPr>
        <w:t xml:space="preserve"> is divided </w:t>
      </w:r>
      <w:r w:rsidR="003D7871" w:rsidRPr="00DA32D7">
        <w:rPr>
          <w:rFonts w:ascii="Arial" w:hAnsi="Arial" w:cs="Arial"/>
          <w:sz w:val="24"/>
          <w:szCs w:val="24"/>
        </w:rPr>
        <w:t xml:space="preserve">by the number </w:t>
      </w:r>
      <w:r w:rsidR="005A614C">
        <w:rPr>
          <w:rFonts w:ascii="Arial" w:hAnsi="Arial" w:cs="Arial"/>
          <w:sz w:val="24"/>
          <w:szCs w:val="24"/>
        </w:rPr>
        <w:t xml:space="preserve">of </w:t>
      </w:r>
      <w:r w:rsidR="00E71A96">
        <w:rPr>
          <w:rFonts w:ascii="Arial" w:hAnsi="Arial" w:cs="Arial"/>
          <w:sz w:val="24"/>
          <w:szCs w:val="24"/>
        </w:rPr>
        <w:t>episodes</w:t>
      </w:r>
      <w:r w:rsidR="003D7871" w:rsidRPr="00DA32D7">
        <w:rPr>
          <w:rFonts w:ascii="Arial" w:hAnsi="Arial" w:cs="Arial"/>
          <w:sz w:val="24"/>
          <w:szCs w:val="24"/>
        </w:rPr>
        <w:t xml:space="preserve"> to get an average cost per </w:t>
      </w:r>
      <w:r w:rsidR="00E71A96">
        <w:rPr>
          <w:rFonts w:ascii="Arial" w:hAnsi="Arial" w:cs="Arial"/>
          <w:sz w:val="24"/>
          <w:szCs w:val="24"/>
        </w:rPr>
        <w:t>episode</w:t>
      </w:r>
      <w:r w:rsidR="003D7871" w:rsidRPr="00DA32D7">
        <w:rPr>
          <w:rFonts w:ascii="Arial" w:hAnsi="Arial" w:cs="Arial"/>
          <w:sz w:val="24"/>
          <w:szCs w:val="24"/>
        </w:rPr>
        <w:t xml:space="preserve">; the </w:t>
      </w:r>
      <w:r w:rsidR="001C677A" w:rsidRPr="00DA32D7">
        <w:rPr>
          <w:rFonts w:ascii="Arial" w:hAnsi="Arial" w:cs="Arial"/>
          <w:sz w:val="24"/>
          <w:szCs w:val="24"/>
        </w:rPr>
        <w:t xml:space="preserve">variable cost component is divided by the total number of bed days to get an average cost per day.  The cost </w:t>
      </w:r>
      <w:r w:rsidR="0015171C">
        <w:rPr>
          <w:rFonts w:ascii="Arial" w:hAnsi="Arial" w:cs="Arial"/>
          <w:sz w:val="24"/>
          <w:szCs w:val="24"/>
        </w:rPr>
        <w:t>of an</w:t>
      </w:r>
      <w:r w:rsidR="001C677A" w:rsidRPr="00DA32D7">
        <w:rPr>
          <w:rFonts w:ascii="Arial" w:hAnsi="Arial" w:cs="Arial"/>
          <w:sz w:val="24"/>
          <w:szCs w:val="24"/>
        </w:rPr>
        <w:t xml:space="preserve"> episode of care is the </w:t>
      </w:r>
      <w:r w:rsidR="00D60030" w:rsidRPr="00DA32D7">
        <w:rPr>
          <w:rFonts w:ascii="Arial" w:hAnsi="Arial" w:cs="Arial"/>
          <w:sz w:val="24"/>
          <w:szCs w:val="24"/>
        </w:rPr>
        <w:t xml:space="preserve">sum of the </w:t>
      </w:r>
      <w:r w:rsidR="00334E4C">
        <w:rPr>
          <w:rFonts w:ascii="Arial" w:hAnsi="Arial" w:cs="Arial"/>
          <w:sz w:val="24"/>
          <w:szCs w:val="24"/>
        </w:rPr>
        <w:t>fixed</w:t>
      </w:r>
      <w:r w:rsidR="00D60030" w:rsidRPr="00DA32D7">
        <w:rPr>
          <w:rFonts w:ascii="Arial" w:hAnsi="Arial" w:cs="Arial"/>
          <w:sz w:val="24"/>
          <w:szCs w:val="24"/>
        </w:rPr>
        <w:t xml:space="preserve"> cost per </w:t>
      </w:r>
      <w:r w:rsidR="00334E4C">
        <w:rPr>
          <w:rFonts w:ascii="Arial" w:hAnsi="Arial" w:cs="Arial"/>
          <w:sz w:val="24"/>
          <w:szCs w:val="24"/>
        </w:rPr>
        <w:t>episode</w:t>
      </w:r>
      <w:r w:rsidR="00D60030" w:rsidRPr="00DA32D7">
        <w:rPr>
          <w:rFonts w:ascii="Arial" w:hAnsi="Arial" w:cs="Arial"/>
          <w:sz w:val="24"/>
          <w:szCs w:val="24"/>
        </w:rPr>
        <w:t xml:space="preserve"> and the </w:t>
      </w:r>
      <w:r w:rsidR="009518E4" w:rsidRPr="00DA32D7">
        <w:rPr>
          <w:rFonts w:ascii="Arial" w:hAnsi="Arial" w:cs="Arial"/>
          <w:sz w:val="24"/>
          <w:szCs w:val="24"/>
        </w:rPr>
        <w:t xml:space="preserve">average cost per day times the length of stay for that episode of care.  </w:t>
      </w:r>
    </w:p>
    <w:p w14:paraId="4902E64F" w14:textId="77777777" w:rsidR="00DA32D7" w:rsidRPr="00DA32D7" w:rsidRDefault="00DA32D7" w:rsidP="00D06989">
      <w:pPr>
        <w:pStyle w:val="ListParagraph"/>
        <w:spacing w:line="240" w:lineRule="auto"/>
        <w:ind w:left="0"/>
        <w:rPr>
          <w:rFonts w:ascii="Arial" w:hAnsi="Arial" w:cs="Arial"/>
          <w:sz w:val="24"/>
          <w:szCs w:val="24"/>
        </w:rPr>
      </w:pPr>
    </w:p>
    <w:p w14:paraId="40B98906" w14:textId="1EB82F84" w:rsidR="006A4A51" w:rsidRPr="00532F79" w:rsidRDefault="00A37542" w:rsidP="00D06989">
      <w:pPr>
        <w:pStyle w:val="ListParagraph"/>
        <w:numPr>
          <w:ilvl w:val="0"/>
          <w:numId w:val="8"/>
        </w:numPr>
        <w:spacing w:line="240" w:lineRule="auto"/>
        <w:ind w:left="0" w:firstLine="0"/>
        <w:mirrorIndents/>
        <w:jc w:val="both"/>
        <w:rPr>
          <w:rFonts w:ascii="Arial" w:hAnsi="Arial" w:cs="Arial"/>
          <w:sz w:val="24"/>
          <w:szCs w:val="24"/>
        </w:rPr>
      </w:pPr>
      <w:r w:rsidRPr="00DA32D7">
        <w:rPr>
          <w:rFonts w:ascii="Arial" w:hAnsi="Arial" w:cs="Arial"/>
          <w:sz w:val="24"/>
          <w:szCs w:val="24"/>
        </w:rPr>
        <w:t xml:space="preserve">The </w:t>
      </w:r>
      <w:proofErr w:type="spellStart"/>
      <w:r w:rsidRPr="00DA32D7">
        <w:rPr>
          <w:rFonts w:ascii="Arial" w:hAnsi="Arial" w:cs="Arial"/>
          <w:sz w:val="24"/>
          <w:szCs w:val="24"/>
        </w:rPr>
        <w:t>casemix</w:t>
      </w:r>
      <w:proofErr w:type="spellEnd"/>
      <w:r w:rsidRPr="00DA32D7">
        <w:rPr>
          <w:rFonts w:ascii="Arial" w:hAnsi="Arial" w:cs="Arial"/>
          <w:sz w:val="24"/>
          <w:szCs w:val="24"/>
        </w:rPr>
        <w:t xml:space="preserve"> adjustment </w:t>
      </w:r>
      <w:r w:rsidR="00002CC4">
        <w:rPr>
          <w:rFonts w:ascii="Arial" w:hAnsi="Arial" w:cs="Arial"/>
          <w:sz w:val="24"/>
          <w:szCs w:val="24"/>
        </w:rPr>
        <w:t>therefore reflects</w:t>
      </w:r>
      <w:r w:rsidRPr="00DA32D7">
        <w:rPr>
          <w:rFonts w:ascii="Arial" w:hAnsi="Arial" w:cs="Arial"/>
          <w:sz w:val="24"/>
          <w:szCs w:val="24"/>
        </w:rPr>
        <w:t xml:space="preserve"> the speciality of treatment and the length of stay. </w:t>
      </w:r>
    </w:p>
    <w:p w14:paraId="40DD80E6" w14:textId="77777777" w:rsidR="00EE2E70" w:rsidRDefault="00EE2E70" w:rsidP="00D06989">
      <w:pPr>
        <w:pStyle w:val="ListParagraph"/>
        <w:spacing w:line="240" w:lineRule="auto"/>
        <w:ind w:left="0"/>
        <w:rPr>
          <w:rFonts w:ascii="Arial" w:hAnsi="Arial" w:cs="Arial"/>
          <w:sz w:val="24"/>
          <w:szCs w:val="24"/>
        </w:rPr>
      </w:pPr>
    </w:p>
    <w:p w14:paraId="24FE303C" w14:textId="6652A518" w:rsidR="00CE37E3" w:rsidRPr="00CE37E3" w:rsidRDefault="00CE37E3" w:rsidP="00D06989">
      <w:pPr>
        <w:pStyle w:val="ListParagraph"/>
        <w:spacing w:line="240" w:lineRule="auto"/>
        <w:ind w:left="0"/>
        <w:rPr>
          <w:rFonts w:ascii="Arial" w:hAnsi="Arial" w:cs="Arial"/>
          <w:i/>
          <w:iCs/>
          <w:sz w:val="24"/>
          <w:szCs w:val="24"/>
        </w:rPr>
      </w:pPr>
      <w:r w:rsidRPr="00CE37E3">
        <w:rPr>
          <w:rFonts w:ascii="Arial" w:hAnsi="Arial" w:cs="Arial"/>
          <w:i/>
          <w:iCs/>
          <w:sz w:val="24"/>
          <w:szCs w:val="24"/>
        </w:rPr>
        <w:t>Alternative Methods:</w:t>
      </w:r>
    </w:p>
    <w:p w14:paraId="789B2BBE" w14:textId="5440500A" w:rsidR="00B331B4" w:rsidRDefault="002100BB" w:rsidP="00D06989">
      <w:pPr>
        <w:pStyle w:val="ListParagraph"/>
        <w:numPr>
          <w:ilvl w:val="0"/>
          <w:numId w:val="8"/>
        </w:numPr>
        <w:spacing w:line="240" w:lineRule="auto"/>
        <w:ind w:left="0" w:firstLine="0"/>
        <w:mirrorIndents/>
        <w:jc w:val="both"/>
        <w:rPr>
          <w:rFonts w:ascii="Arial" w:hAnsi="Arial" w:cs="Arial"/>
          <w:sz w:val="24"/>
          <w:szCs w:val="24"/>
        </w:rPr>
      </w:pPr>
      <w:r w:rsidRPr="00D869C2">
        <w:rPr>
          <w:rFonts w:ascii="Arial" w:hAnsi="Arial" w:cs="Arial"/>
          <w:sz w:val="24"/>
          <w:szCs w:val="24"/>
        </w:rPr>
        <w:t>F</w:t>
      </w:r>
      <w:r w:rsidR="00AC1278" w:rsidRPr="00D869C2">
        <w:rPr>
          <w:rFonts w:ascii="Arial" w:hAnsi="Arial" w:cs="Arial"/>
          <w:sz w:val="24"/>
          <w:szCs w:val="24"/>
        </w:rPr>
        <w:t xml:space="preserve">or both England and Northern Ireland the </w:t>
      </w:r>
      <w:r w:rsidR="00A51450" w:rsidRPr="00D869C2">
        <w:rPr>
          <w:rFonts w:ascii="Arial" w:hAnsi="Arial" w:cs="Arial"/>
          <w:sz w:val="24"/>
          <w:szCs w:val="24"/>
        </w:rPr>
        <w:t xml:space="preserve">costing </w:t>
      </w:r>
      <w:proofErr w:type="spellStart"/>
      <w:r w:rsidR="00390341" w:rsidRPr="00D869C2">
        <w:rPr>
          <w:rFonts w:ascii="Arial" w:hAnsi="Arial" w:cs="Arial"/>
          <w:sz w:val="24"/>
          <w:szCs w:val="24"/>
        </w:rPr>
        <w:t>casemix</w:t>
      </w:r>
      <w:proofErr w:type="spellEnd"/>
      <w:r w:rsidR="00390341" w:rsidRPr="00D869C2">
        <w:rPr>
          <w:rFonts w:ascii="Arial" w:hAnsi="Arial" w:cs="Arial"/>
          <w:sz w:val="24"/>
          <w:szCs w:val="24"/>
        </w:rPr>
        <w:t xml:space="preserve"> adjustment</w:t>
      </w:r>
      <w:r w:rsidR="00A51450" w:rsidRPr="00D869C2">
        <w:rPr>
          <w:rFonts w:ascii="Arial" w:hAnsi="Arial" w:cs="Arial"/>
          <w:sz w:val="24"/>
          <w:szCs w:val="24"/>
        </w:rPr>
        <w:t xml:space="preserve"> uses the Health Care Resource Group </w:t>
      </w:r>
      <w:r w:rsidR="00292A38" w:rsidRPr="00D869C2">
        <w:rPr>
          <w:rFonts w:ascii="Arial" w:hAnsi="Arial" w:cs="Arial"/>
          <w:sz w:val="24"/>
          <w:szCs w:val="24"/>
        </w:rPr>
        <w:t>(</w:t>
      </w:r>
      <w:proofErr w:type="spellStart"/>
      <w:r w:rsidR="00292A38" w:rsidRPr="00D869C2">
        <w:rPr>
          <w:rFonts w:ascii="Arial" w:hAnsi="Arial" w:cs="Arial"/>
          <w:sz w:val="24"/>
          <w:szCs w:val="24"/>
        </w:rPr>
        <w:t>HRG</w:t>
      </w:r>
      <w:proofErr w:type="spellEnd"/>
      <w:r w:rsidR="00292A38" w:rsidRPr="00D869C2">
        <w:rPr>
          <w:rFonts w:ascii="Arial" w:hAnsi="Arial" w:cs="Arial"/>
          <w:sz w:val="24"/>
          <w:szCs w:val="24"/>
        </w:rPr>
        <w:t xml:space="preserve">) </w:t>
      </w:r>
      <w:r w:rsidRPr="00D869C2">
        <w:rPr>
          <w:rFonts w:ascii="Arial" w:hAnsi="Arial" w:cs="Arial"/>
          <w:sz w:val="24"/>
          <w:szCs w:val="24"/>
        </w:rPr>
        <w:t>classification</w:t>
      </w:r>
      <w:r w:rsidR="00143FE6" w:rsidRPr="00D869C2">
        <w:rPr>
          <w:rFonts w:ascii="Arial" w:hAnsi="Arial" w:cs="Arial"/>
          <w:sz w:val="24"/>
          <w:szCs w:val="24"/>
        </w:rPr>
        <w:t>.</w:t>
      </w:r>
      <w:r w:rsidR="00DA32D7" w:rsidRPr="00D869C2">
        <w:rPr>
          <w:rFonts w:ascii="Arial" w:hAnsi="Arial" w:cs="Arial"/>
          <w:sz w:val="24"/>
          <w:szCs w:val="24"/>
        </w:rPr>
        <w:t xml:space="preserve">  </w:t>
      </w:r>
      <w:r w:rsidR="00A37542" w:rsidRPr="00D869C2">
        <w:rPr>
          <w:rFonts w:ascii="Arial" w:hAnsi="Arial" w:cs="Arial"/>
          <w:sz w:val="24"/>
          <w:szCs w:val="24"/>
        </w:rPr>
        <w:t>Th</w:t>
      </w:r>
      <w:r w:rsidR="00E12BC1" w:rsidRPr="00D869C2">
        <w:rPr>
          <w:rFonts w:ascii="Arial" w:hAnsi="Arial" w:cs="Arial"/>
          <w:sz w:val="24"/>
          <w:szCs w:val="24"/>
        </w:rPr>
        <w:t>e</w:t>
      </w:r>
      <w:r w:rsidR="00A37542" w:rsidRPr="00D869C2">
        <w:rPr>
          <w:rFonts w:ascii="Arial" w:hAnsi="Arial" w:cs="Arial"/>
          <w:sz w:val="24"/>
          <w:szCs w:val="24"/>
        </w:rPr>
        <w:t xml:space="preserve"> Healthcare Resource Groups (</w:t>
      </w:r>
      <w:proofErr w:type="spellStart"/>
      <w:r w:rsidR="00A37542" w:rsidRPr="00D869C2">
        <w:rPr>
          <w:rFonts w:ascii="Arial" w:hAnsi="Arial" w:cs="Arial"/>
          <w:sz w:val="24"/>
          <w:szCs w:val="24"/>
        </w:rPr>
        <w:t>HRGs</w:t>
      </w:r>
      <w:proofErr w:type="spellEnd"/>
      <w:r w:rsidR="00A37542" w:rsidRPr="00D869C2">
        <w:rPr>
          <w:rFonts w:ascii="Arial" w:hAnsi="Arial" w:cs="Arial"/>
          <w:sz w:val="24"/>
          <w:szCs w:val="24"/>
        </w:rPr>
        <w:t>)</w:t>
      </w:r>
      <w:r w:rsidR="00292A38" w:rsidRPr="00D869C2">
        <w:rPr>
          <w:rFonts w:ascii="Arial" w:hAnsi="Arial" w:cs="Arial"/>
          <w:sz w:val="24"/>
          <w:szCs w:val="24"/>
        </w:rPr>
        <w:t xml:space="preserve"> </w:t>
      </w:r>
      <w:r w:rsidR="000E2AA8" w:rsidRPr="00D869C2">
        <w:rPr>
          <w:rFonts w:ascii="Arial" w:hAnsi="Arial" w:cs="Arial"/>
          <w:sz w:val="24"/>
          <w:szCs w:val="24"/>
        </w:rPr>
        <w:t>are</w:t>
      </w:r>
      <w:r w:rsidR="00292A38" w:rsidRPr="00D869C2">
        <w:rPr>
          <w:rFonts w:ascii="Arial" w:hAnsi="Arial" w:cs="Arial"/>
          <w:sz w:val="24"/>
          <w:szCs w:val="24"/>
        </w:rPr>
        <w:t xml:space="preserve"> developed </w:t>
      </w:r>
      <w:r w:rsidR="00AF465F" w:rsidRPr="00D869C2">
        <w:rPr>
          <w:rFonts w:ascii="Arial" w:hAnsi="Arial" w:cs="Arial"/>
          <w:sz w:val="24"/>
          <w:szCs w:val="24"/>
        </w:rPr>
        <w:t xml:space="preserve">and </w:t>
      </w:r>
      <w:r w:rsidR="000E2AA8" w:rsidRPr="00D869C2">
        <w:rPr>
          <w:rFonts w:ascii="Arial" w:hAnsi="Arial" w:cs="Arial"/>
          <w:sz w:val="24"/>
          <w:szCs w:val="24"/>
        </w:rPr>
        <w:t xml:space="preserve">maintained </w:t>
      </w:r>
      <w:r w:rsidR="00292A38" w:rsidRPr="00D869C2">
        <w:rPr>
          <w:rFonts w:ascii="Arial" w:hAnsi="Arial" w:cs="Arial"/>
          <w:sz w:val="24"/>
          <w:szCs w:val="24"/>
        </w:rPr>
        <w:t xml:space="preserve">by the National </w:t>
      </w:r>
      <w:proofErr w:type="spellStart"/>
      <w:r w:rsidR="00292A38" w:rsidRPr="00D869C2">
        <w:rPr>
          <w:rFonts w:ascii="Arial" w:hAnsi="Arial" w:cs="Arial"/>
          <w:sz w:val="24"/>
          <w:szCs w:val="24"/>
        </w:rPr>
        <w:t>Casemix</w:t>
      </w:r>
      <w:proofErr w:type="spellEnd"/>
      <w:r w:rsidR="00292A38" w:rsidRPr="00D869C2">
        <w:rPr>
          <w:rFonts w:ascii="Arial" w:hAnsi="Arial" w:cs="Arial"/>
          <w:sz w:val="24"/>
          <w:szCs w:val="24"/>
        </w:rPr>
        <w:t xml:space="preserve"> Office</w:t>
      </w:r>
      <w:r w:rsidR="00390341" w:rsidRPr="00D869C2">
        <w:rPr>
          <w:rFonts w:ascii="Arial" w:hAnsi="Arial" w:cs="Arial"/>
          <w:sz w:val="24"/>
          <w:szCs w:val="24"/>
        </w:rPr>
        <w:t xml:space="preserve">, part of NHS </w:t>
      </w:r>
      <w:r w:rsidR="00A22DD9" w:rsidRPr="00D869C2">
        <w:rPr>
          <w:rFonts w:ascii="Arial" w:hAnsi="Arial" w:cs="Arial"/>
          <w:sz w:val="24"/>
          <w:szCs w:val="24"/>
        </w:rPr>
        <w:t>Digital</w:t>
      </w:r>
      <w:r w:rsidR="00390341" w:rsidRPr="00D869C2">
        <w:rPr>
          <w:rFonts w:ascii="Arial" w:hAnsi="Arial" w:cs="Arial"/>
          <w:sz w:val="24"/>
          <w:szCs w:val="24"/>
        </w:rPr>
        <w:t xml:space="preserve">.  </w:t>
      </w:r>
      <w:r w:rsidR="003A4671" w:rsidRPr="00D869C2">
        <w:rPr>
          <w:rFonts w:ascii="Arial" w:hAnsi="Arial" w:cs="Arial"/>
          <w:sz w:val="24"/>
          <w:szCs w:val="24"/>
        </w:rPr>
        <w:t>The classification covers admitted patient care, outpatient consultations, A&amp;E and Critical Care</w:t>
      </w:r>
      <w:r w:rsidR="00925A7D">
        <w:rPr>
          <w:rFonts w:ascii="Arial" w:hAnsi="Arial" w:cs="Arial"/>
          <w:sz w:val="24"/>
          <w:szCs w:val="24"/>
        </w:rPr>
        <w:t xml:space="preserve"> and</w:t>
      </w:r>
      <w:r w:rsidR="00820CCD">
        <w:rPr>
          <w:rFonts w:ascii="Arial" w:hAnsi="Arial" w:cs="Arial"/>
          <w:sz w:val="24"/>
          <w:szCs w:val="24"/>
        </w:rPr>
        <w:t xml:space="preserve"> are the basis for the Payment By Results (</w:t>
      </w:r>
      <w:proofErr w:type="spellStart"/>
      <w:r w:rsidR="00820CCD">
        <w:rPr>
          <w:rFonts w:ascii="Arial" w:hAnsi="Arial" w:cs="Arial"/>
          <w:sz w:val="24"/>
          <w:szCs w:val="24"/>
        </w:rPr>
        <w:t>PbR</w:t>
      </w:r>
      <w:proofErr w:type="spellEnd"/>
      <w:r w:rsidR="00820CCD">
        <w:rPr>
          <w:rFonts w:ascii="Arial" w:hAnsi="Arial" w:cs="Arial"/>
          <w:sz w:val="24"/>
          <w:szCs w:val="24"/>
        </w:rPr>
        <w:t>)</w:t>
      </w:r>
      <w:r w:rsidR="00925A7D">
        <w:rPr>
          <w:rFonts w:ascii="Arial" w:hAnsi="Arial" w:cs="Arial"/>
          <w:sz w:val="24"/>
          <w:szCs w:val="24"/>
        </w:rPr>
        <w:t xml:space="preserve"> system of provider remuneration.  </w:t>
      </w:r>
      <w:proofErr w:type="spellStart"/>
      <w:r w:rsidR="0084786E" w:rsidRPr="00D869C2">
        <w:rPr>
          <w:rFonts w:ascii="Arial" w:hAnsi="Arial" w:cs="Arial"/>
          <w:sz w:val="24"/>
          <w:szCs w:val="24"/>
        </w:rPr>
        <w:t>HRGs</w:t>
      </w:r>
      <w:proofErr w:type="spellEnd"/>
      <w:r w:rsidR="0084786E" w:rsidRPr="00D869C2">
        <w:rPr>
          <w:rFonts w:ascii="Arial" w:hAnsi="Arial" w:cs="Arial"/>
          <w:sz w:val="24"/>
          <w:szCs w:val="24"/>
        </w:rPr>
        <w:t xml:space="preserve"> are clinically meaningful groupings of patient activity derived primarily from </w:t>
      </w:r>
      <w:r w:rsidR="0084786E" w:rsidRPr="008D734C">
        <w:rPr>
          <w:rFonts w:ascii="Arial" w:hAnsi="Arial" w:cs="Arial"/>
          <w:sz w:val="24"/>
          <w:szCs w:val="24"/>
        </w:rPr>
        <w:t>procedure (</w:t>
      </w:r>
      <w:proofErr w:type="spellStart"/>
      <w:r w:rsidR="0084786E" w:rsidRPr="008D734C">
        <w:rPr>
          <w:rFonts w:ascii="Arial" w:hAnsi="Arial" w:cs="Arial"/>
          <w:sz w:val="24"/>
          <w:szCs w:val="24"/>
        </w:rPr>
        <w:t>OPCS</w:t>
      </w:r>
      <w:proofErr w:type="spellEnd"/>
      <w:r w:rsidR="0084786E" w:rsidRPr="008D734C">
        <w:rPr>
          <w:rFonts w:ascii="Arial" w:hAnsi="Arial" w:cs="Arial"/>
          <w:sz w:val="24"/>
          <w:szCs w:val="24"/>
        </w:rPr>
        <w:t xml:space="preserve">-4) and diagnosis (ICD-10) codes within patient records. </w:t>
      </w:r>
      <w:r w:rsidR="003A4671">
        <w:rPr>
          <w:rFonts w:ascii="Arial" w:hAnsi="Arial" w:cs="Arial"/>
          <w:sz w:val="24"/>
          <w:szCs w:val="24"/>
        </w:rPr>
        <w:t xml:space="preserve"> </w:t>
      </w:r>
      <w:r w:rsidR="006E4C2A">
        <w:rPr>
          <w:rFonts w:ascii="Arial" w:hAnsi="Arial" w:cs="Arial"/>
          <w:sz w:val="24"/>
          <w:szCs w:val="24"/>
        </w:rPr>
        <w:t>A</w:t>
      </w:r>
      <w:r w:rsidR="009C69CF">
        <w:rPr>
          <w:rFonts w:ascii="Arial" w:hAnsi="Arial" w:cs="Arial"/>
          <w:sz w:val="24"/>
          <w:szCs w:val="24"/>
        </w:rPr>
        <w:t xml:space="preserve"> extract of the</w:t>
      </w:r>
      <w:r w:rsidR="00CE0B5C">
        <w:rPr>
          <w:rFonts w:ascii="Arial" w:hAnsi="Arial" w:cs="Arial"/>
          <w:sz w:val="24"/>
          <w:szCs w:val="24"/>
        </w:rPr>
        <w:t xml:space="preserve"> </w:t>
      </w:r>
      <w:proofErr w:type="spellStart"/>
      <w:r w:rsidR="00CE0B5C">
        <w:rPr>
          <w:rFonts w:ascii="Arial" w:hAnsi="Arial" w:cs="Arial"/>
          <w:sz w:val="24"/>
          <w:szCs w:val="24"/>
        </w:rPr>
        <w:t>HRG</w:t>
      </w:r>
      <w:proofErr w:type="spellEnd"/>
      <w:r w:rsidR="00B042B4">
        <w:rPr>
          <w:rFonts w:ascii="Arial" w:hAnsi="Arial" w:cs="Arial"/>
          <w:sz w:val="24"/>
          <w:szCs w:val="24"/>
        </w:rPr>
        <w:t xml:space="preserve"> for hip procedures</w:t>
      </w:r>
      <w:r w:rsidR="006E4C2A">
        <w:rPr>
          <w:rFonts w:ascii="Arial" w:hAnsi="Arial" w:cs="Arial"/>
          <w:sz w:val="24"/>
          <w:szCs w:val="24"/>
        </w:rPr>
        <w:t xml:space="preserve"> is </w:t>
      </w:r>
      <w:r w:rsidR="00B042B4">
        <w:rPr>
          <w:rFonts w:ascii="Arial" w:hAnsi="Arial" w:cs="Arial"/>
          <w:sz w:val="24"/>
          <w:szCs w:val="24"/>
        </w:rPr>
        <w:t>provided</w:t>
      </w:r>
      <w:r w:rsidR="006E4C2A">
        <w:rPr>
          <w:rFonts w:ascii="Arial" w:hAnsi="Arial" w:cs="Arial"/>
          <w:sz w:val="24"/>
          <w:szCs w:val="24"/>
        </w:rPr>
        <w:t xml:space="preserve"> in the annex</w:t>
      </w:r>
      <w:r w:rsidR="009C69CF">
        <w:rPr>
          <w:rFonts w:ascii="Arial" w:hAnsi="Arial" w:cs="Arial"/>
          <w:sz w:val="24"/>
          <w:szCs w:val="24"/>
        </w:rPr>
        <w:t xml:space="preserve"> as an illustration of the level of detail</w:t>
      </w:r>
      <w:r w:rsidR="00CE0B5C">
        <w:rPr>
          <w:rFonts w:ascii="Arial" w:hAnsi="Arial" w:cs="Arial"/>
          <w:sz w:val="24"/>
          <w:szCs w:val="24"/>
        </w:rPr>
        <w:t xml:space="preserve"> embodied in the classification</w:t>
      </w:r>
      <w:r w:rsidR="006E4C2A">
        <w:rPr>
          <w:rFonts w:ascii="Arial" w:hAnsi="Arial" w:cs="Arial"/>
          <w:sz w:val="24"/>
          <w:szCs w:val="24"/>
        </w:rPr>
        <w:t xml:space="preserve">.  </w:t>
      </w:r>
    </w:p>
    <w:p w14:paraId="7670FDA9" w14:textId="77777777" w:rsidR="00B331B4" w:rsidRDefault="00B331B4" w:rsidP="00D06989">
      <w:pPr>
        <w:pStyle w:val="ListParagraph"/>
        <w:spacing w:line="240" w:lineRule="auto"/>
        <w:ind w:left="0"/>
        <w:mirrorIndents/>
        <w:jc w:val="both"/>
        <w:rPr>
          <w:rFonts w:ascii="Arial" w:hAnsi="Arial" w:cs="Arial"/>
          <w:sz w:val="24"/>
          <w:szCs w:val="24"/>
        </w:rPr>
      </w:pPr>
    </w:p>
    <w:p w14:paraId="5DEB68A7" w14:textId="67C02AC3" w:rsidR="001B1EB9" w:rsidRPr="00CA0CC8" w:rsidRDefault="00CE2009" w:rsidP="00D06989">
      <w:pPr>
        <w:pStyle w:val="ListParagraph"/>
        <w:numPr>
          <w:ilvl w:val="0"/>
          <w:numId w:val="8"/>
        </w:numPr>
        <w:spacing w:line="240" w:lineRule="auto"/>
        <w:ind w:left="0" w:firstLine="0"/>
        <w:mirrorIndents/>
        <w:jc w:val="both"/>
        <w:rPr>
          <w:rFonts w:ascii="Arial" w:hAnsi="Arial" w:cs="Arial"/>
          <w:sz w:val="24"/>
          <w:szCs w:val="24"/>
        </w:rPr>
      </w:pPr>
      <w:r>
        <w:rPr>
          <w:rFonts w:ascii="Arial" w:hAnsi="Arial" w:cs="Arial"/>
          <w:sz w:val="24"/>
          <w:szCs w:val="24"/>
        </w:rPr>
        <w:t>Th</w:t>
      </w:r>
      <w:r w:rsidR="00985A33">
        <w:rPr>
          <w:rFonts w:ascii="Arial" w:hAnsi="Arial" w:cs="Arial"/>
          <w:sz w:val="24"/>
          <w:szCs w:val="24"/>
        </w:rPr>
        <w:t xml:space="preserve">e </w:t>
      </w:r>
      <w:proofErr w:type="spellStart"/>
      <w:r w:rsidR="00985A33">
        <w:rPr>
          <w:rFonts w:ascii="Arial" w:hAnsi="Arial" w:cs="Arial"/>
          <w:sz w:val="24"/>
          <w:szCs w:val="24"/>
        </w:rPr>
        <w:t>HRG</w:t>
      </w:r>
      <w:proofErr w:type="spellEnd"/>
      <w:r w:rsidR="00985A33">
        <w:rPr>
          <w:rFonts w:ascii="Arial" w:hAnsi="Arial" w:cs="Arial"/>
          <w:sz w:val="24"/>
          <w:szCs w:val="24"/>
        </w:rPr>
        <w:t xml:space="preserve"> approach</w:t>
      </w:r>
      <w:r>
        <w:rPr>
          <w:rFonts w:ascii="Arial" w:hAnsi="Arial" w:cs="Arial"/>
          <w:sz w:val="24"/>
          <w:szCs w:val="24"/>
        </w:rPr>
        <w:t xml:space="preserve"> constitutes a </w:t>
      </w:r>
      <w:r w:rsidR="00985A33">
        <w:rPr>
          <w:rFonts w:ascii="Arial" w:hAnsi="Arial" w:cs="Arial"/>
          <w:sz w:val="24"/>
          <w:szCs w:val="24"/>
        </w:rPr>
        <w:t>complex</w:t>
      </w:r>
      <w:r>
        <w:rPr>
          <w:rFonts w:ascii="Arial" w:hAnsi="Arial" w:cs="Arial"/>
          <w:sz w:val="24"/>
          <w:szCs w:val="24"/>
        </w:rPr>
        <w:t xml:space="preserve"> </w:t>
      </w:r>
      <w:proofErr w:type="spellStart"/>
      <w:r>
        <w:rPr>
          <w:rFonts w:ascii="Arial" w:hAnsi="Arial" w:cs="Arial"/>
          <w:sz w:val="24"/>
          <w:szCs w:val="24"/>
        </w:rPr>
        <w:t>casemix</w:t>
      </w:r>
      <w:proofErr w:type="spellEnd"/>
      <w:r>
        <w:rPr>
          <w:rFonts w:ascii="Arial" w:hAnsi="Arial" w:cs="Arial"/>
          <w:sz w:val="24"/>
          <w:szCs w:val="24"/>
        </w:rPr>
        <w:t xml:space="preserve"> adjustment </w:t>
      </w:r>
      <w:r w:rsidR="00985A33">
        <w:rPr>
          <w:rFonts w:ascii="Arial" w:hAnsi="Arial" w:cs="Arial"/>
          <w:sz w:val="24"/>
          <w:szCs w:val="24"/>
        </w:rPr>
        <w:t>which takes account of the type of diagnosis, procedure and morbidity</w:t>
      </w:r>
      <w:r w:rsidR="0093629E">
        <w:rPr>
          <w:rFonts w:ascii="Arial" w:hAnsi="Arial" w:cs="Arial"/>
          <w:sz w:val="24"/>
          <w:szCs w:val="24"/>
        </w:rPr>
        <w:t xml:space="preserve"> and resource use</w:t>
      </w:r>
      <w:r w:rsidR="00985A33">
        <w:rPr>
          <w:rFonts w:ascii="Arial" w:hAnsi="Arial" w:cs="Arial"/>
          <w:sz w:val="24"/>
          <w:szCs w:val="24"/>
        </w:rPr>
        <w:t>.</w:t>
      </w:r>
    </w:p>
    <w:p w14:paraId="2B1AA42A" w14:textId="77777777" w:rsidR="001B1EB9" w:rsidRDefault="001B1EB9" w:rsidP="00D06989">
      <w:pPr>
        <w:pStyle w:val="ListParagraph"/>
        <w:spacing w:line="240" w:lineRule="auto"/>
        <w:ind w:left="0"/>
        <w:rPr>
          <w:rFonts w:ascii="Arial" w:hAnsi="Arial" w:cs="Arial"/>
          <w:sz w:val="24"/>
          <w:szCs w:val="24"/>
        </w:rPr>
      </w:pPr>
    </w:p>
    <w:p w14:paraId="3546DF10" w14:textId="25EECCFA" w:rsidR="00D26F9E" w:rsidRPr="00D26F9E" w:rsidRDefault="00D26F9E" w:rsidP="00D06989">
      <w:pPr>
        <w:pStyle w:val="ListParagraph"/>
        <w:spacing w:line="240" w:lineRule="auto"/>
        <w:ind w:left="0"/>
        <w:rPr>
          <w:rFonts w:ascii="Arial" w:hAnsi="Arial" w:cs="Arial"/>
          <w:i/>
          <w:iCs/>
          <w:sz w:val="24"/>
          <w:szCs w:val="24"/>
        </w:rPr>
      </w:pPr>
      <w:r w:rsidRPr="00D26F9E">
        <w:rPr>
          <w:rFonts w:ascii="Arial" w:hAnsi="Arial" w:cs="Arial"/>
          <w:i/>
          <w:iCs/>
          <w:sz w:val="24"/>
          <w:szCs w:val="24"/>
        </w:rPr>
        <w:t>Discussion:</w:t>
      </w:r>
    </w:p>
    <w:p w14:paraId="79A1A362" w14:textId="34AFDACE" w:rsidR="00611099" w:rsidRDefault="00611099" w:rsidP="00D06989">
      <w:pPr>
        <w:pStyle w:val="ListParagraph"/>
        <w:numPr>
          <w:ilvl w:val="0"/>
          <w:numId w:val="8"/>
        </w:numPr>
        <w:spacing w:line="240" w:lineRule="auto"/>
        <w:ind w:left="0" w:firstLine="0"/>
        <w:mirrorIndents/>
        <w:jc w:val="both"/>
        <w:rPr>
          <w:rFonts w:ascii="Arial" w:hAnsi="Arial" w:cs="Arial"/>
          <w:sz w:val="24"/>
          <w:szCs w:val="24"/>
        </w:rPr>
      </w:pPr>
      <w:r>
        <w:rPr>
          <w:rFonts w:ascii="Arial" w:hAnsi="Arial" w:cs="Arial"/>
          <w:sz w:val="24"/>
          <w:szCs w:val="24"/>
        </w:rPr>
        <w:t xml:space="preserve">At the time of the review of the MLC for the Acute Care Programme in 2015 it was judged that </w:t>
      </w:r>
      <w:r w:rsidR="00872FD4">
        <w:rPr>
          <w:rFonts w:ascii="Arial" w:hAnsi="Arial" w:cs="Arial"/>
          <w:sz w:val="24"/>
          <w:szCs w:val="24"/>
        </w:rPr>
        <w:t>it would be premature to use the full</w:t>
      </w:r>
      <w:r>
        <w:rPr>
          <w:rFonts w:ascii="Arial" w:hAnsi="Arial" w:cs="Arial"/>
          <w:sz w:val="24"/>
          <w:szCs w:val="24"/>
        </w:rPr>
        <w:t xml:space="preserve"> PLICS </w:t>
      </w:r>
      <w:r w:rsidR="00872FD4">
        <w:rPr>
          <w:rFonts w:ascii="Arial" w:hAnsi="Arial" w:cs="Arial"/>
          <w:sz w:val="24"/>
          <w:szCs w:val="24"/>
        </w:rPr>
        <w:t xml:space="preserve">approach for costing as it was still </w:t>
      </w:r>
      <w:r w:rsidR="008D7FAF">
        <w:rPr>
          <w:rFonts w:ascii="Arial" w:hAnsi="Arial" w:cs="Arial"/>
          <w:sz w:val="24"/>
          <w:szCs w:val="24"/>
        </w:rPr>
        <w:t xml:space="preserve">classed as </w:t>
      </w:r>
      <w:r w:rsidR="00872FD4">
        <w:rPr>
          <w:rFonts w:ascii="Arial" w:hAnsi="Arial" w:cs="Arial"/>
          <w:sz w:val="24"/>
          <w:szCs w:val="24"/>
        </w:rPr>
        <w:t>develop</w:t>
      </w:r>
      <w:r w:rsidR="006B7AA3">
        <w:rPr>
          <w:rFonts w:ascii="Arial" w:hAnsi="Arial" w:cs="Arial"/>
          <w:sz w:val="24"/>
          <w:szCs w:val="24"/>
        </w:rPr>
        <w:t>mental</w:t>
      </w:r>
      <w:r>
        <w:rPr>
          <w:rFonts w:ascii="Arial" w:hAnsi="Arial" w:cs="Arial"/>
          <w:sz w:val="24"/>
          <w:szCs w:val="24"/>
        </w:rPr>
        <w:t>.  In addition, the lack of a detailed Costs Book for 2020/21 and 2021/22 would preclude calculation of PLICS for those years.  It would, however, be possible to revisit this issue to determine whether it would</w:t>
      </w:r>
      <w:r w:rsidR="006B7AA3">
        <w:rPr>
          <w:rFonts w:ascii="Arial" w:hAnsi="Arial" w:cs="Arial"/>
          <w:sz w:val="24"/>
          <w:szCs w:val="24"/>
        </w:rPr>
        <w:t xml:space="preserve"> now</w:t>
      </w:r>
      <w:r>
        <w:rPr>
          <w:rFonts w:ascii="Arial" w:hAnsi="Arial" w:cs="Arial"/>
          <w:sz w:val="24"/>
          <w:szCs w:val="24"/>
        </w:rPr>
        <w:t xml:space="preserve"> be </w:t>
      </w:r>
      <w:r w:rsidR="006B7AA3">
        <w:rPr>
          <w:rFonts w:ascii="Arial" w:hAnsi="Arial" w:cs="Arial"/>
          <w:sz w:val="24"/>
          <w:szCs w:val="24"/>
        </w:rPr>
        <w:t>feasible</w:t>
      </w:r>
      <w:r>
        <w:rPr>
          <w:rFonts w:ascii="Arial" w:hAnsi="Arial" w:cs="Arial"/>
          <w:sz w:val="24"/>
          <w:szCs w:val="24"/>
        </w:rPr>
        <w:t xml:space="preserve"> to move to a PLICS-based approach for the formula</w:t>
      </w:r>
      <w:r w:rsidR="006B7AA3">
        <w:rPr>
          <w:rFonts w:ascii="Arial" w:hAnsi="Arial" w:cs="Arial"/>
          <w:sz w:val="24"/>
          <w:szCs w:val="24"/>
        </w:rPr>
        <w:t xml:space="preserve"> costing</w:t>
      </w:r>
      <w:r>
        <w:rPr>
          <w:rFonts w:ascii="Arial" w:hAnsi="Arial" w:cs="Arial"/>
          <w:sz w:val="24"/>
          <w:szCs w:val="24"/>
        </w:rPr>
        <w:t xml:space="preserve">. </w:t>
      </w:r>
      <w:r w:rsidR="00D4218C">
        <w:rPr>
          <w:rFonts w:ascii="Arial" w:hAnsi="Arial" w:cs="Arial"/>
          <w:sz w:val="24"/>
          <w:szCs w:val="24"/>
        </w:rPr>
        <w:t xml:space="preserve"> </w:t>
      </w:r>
    </w:p>
    <w:p w14:paraId="489B50A2" w14:textId="2D9B81C6" w:rsidR="00611099" w:rsidRDefault="00D4218C" w:rsidP="00D06989">
      <w:pPr>
        <w:pStyle w:val="ListParagraph"/>
        <w:spacing w:line="240" w:lineRule="auto"/>
        <w:ind w:left="0"/>
        <w:mirrorIndents/>
        <w:jc w:val="both"/>
        <w:rPr>
          <w:rFonts w:ascii="Arial" w:hAnsi="Arial" w:cs="Arial"/>
          <w:sz w:val="24"/>
          <w:szCs w:val="24"/>
        </w:rPr>
      </w:pPr>
      <w:r>
        <w:rPr>
          <w:rFonts w:ascii="Arial" w:hAnsi="Arial" w:cs="Arial"/>
          <w:sz w:val="24"/>
          <w:szCs w:val="24"/>
        </w:rPr>
        <w:t xml:space="preserve"> </w:t>
      </w:r>
    </w:p>
    <w:p w14:paraId="4912C47E" w14:textId="7DB8F37D" w:rsidR="00F73F72" w:rsidRDefault="0092232B" w:rsidP="00D06989">
      <w:pPr>
        <w:pStyle w:val="ListParagraph"/>
        <w:numPr>
          <w:ilvl w:val="0"/>
          <w:numId w:val="8"/>
        </w:numPr>
        <w:spacing w:line="240" w:lineRule="auto"/>
        <w:ind w:left="0" w:firstLine="0"/>
        <w:mirrorIndents/>
        <w:jc w:val="both"/>
        <w:rPr>
          <w:rFonts w:ascii="Arial" w:hAnsi="Arial" w:cs="Arial"/>
          <w:sz w:val="24"/>
          <w:szCs w:val="24"/>
        </w:rPr>
      </w:pPr>
      <w:r>
        <w:rPr>
          <w:rFonts w:ascii="Arial" w:hAnsi="Arial" w:cs="Arial"/>
          <w:sz w:val="24"/>
          <w:szCs w:val="24"/>
        </w:rPr>
        <w:t>Alternatively t</w:t>
      </w:r>
      <w:r w:rsidR="00B05ECB">
        <w:rPr>
          <w:rFonts w:ascii="Arial" w:hAnsi="Arial" w:cs="Arial"/>
          <w:sz w:val="24"/>
          <w:szCs w:val="24"/>
        </w:rPr>
        <w:t xml:space="preserve">he </w:t>
      </w:r>
      <w:proofErr w:type="spellStart"/>
      <w:r w:rsidR="00B05ECB">
        <w:rPr>
          <w:rFonts w:ascii="Arial" w:hAnsi="Arial" w:cs="Arial"/>
          <w:sz w:val="24"/>
          <w:szCs w:val="24"/>
        </w:rPr>
        <w:t>HRG</w:t>
      </w:r>
      <w:proofErr w:type="spellEnd"/>
      <w:r w:rsidR="00B05ECB">
        <w:rPr>
          <w:rFonts w:ascii="Arial" w:hAnsi="Arial" w:cs="Arial"/>
          <w:sz w:val="24"/>
          <w:szCs w:val="24"/>
        </w:rPr>
        <w:t xml:space="preserve"> approach would</w:t>
      </w:r>
      <w:r w:rsidR="00E30097">
        <w:rPr>
          <w:rFonts w:ascii="Arial" w:hAnsi="Arial" w:cs="Arial"/>
          <w:sz w:val="24"/>
          <w:szCs w:val="24"/>
        </w:rPr>
        <w:t xml:space="preserve"> potentially</w:t>
      </w:r>
      <w:r w:rsidR="00B05ECB">
        <w:rPr>
          <w:rFonts w:ascii="Arial" w:hAnsi="Arial" w:cs="Arial"/>
          <w:sz w:val="24"/>
          <w:szCs w:val="24"/>
        </w:rPr>
        <w:t xml:space="preserve"> provide a much richer </w:t>
      </w:r>
      <w:proofErr w:type="spellStart"/>
      <w:r w:rsidR="00E30097">
        <w:rPr>
          <w:rFonts w:ascii="Arial" w:hAnsi="Arial" w:cs="Arial"/>
          <w:sz w:val="24"/>
          <w:szCs w:val="24"/>
        </w:rPr>
        <w:t>casemix</w:t>
      </w:r>
      <w:proofErr w:type="spellEnd"/>
      <w:r w:rsidR="00E30097">
        <w:rPr>
          <w:rFonts w:ascii="Arial" w:hAnsi="Arial" w:cs="Arial"/>
          <w:sz w:val="24"/>
          <w:szCs w:val="24"/>
        </w:rPr>
        <w:t xml:space="preserve"> adjustment than does the current NRAC method.  </w:t>
      </w:r>
      <w:r w:rsidR="00140D01">
        <w:rPr>
          <w:rFonts w:ascii="Arial" w:hAnsi="Arial" w:cs="Arial"/>
          <w:sz w:val="24"/>
          <w:szCs w:val="24"/>
        </w:rPr>
        <w:t xml:space="preserve">At present </w:t>
      </w:r>
      <w:proofErr w:type="spellStart"/>
      <w:r w:rsidR="000A0E90">
        <w:rPr>
          <w:rFonts w:ascii="Arial" w:hAnsi="Arial" w:cs="Arial"/>
          <w:sz w:val="24"/>
          <w:szCs w:val="24"/>
        </w:rPr>
        <w:t>HRG</w:t>
      </w:r>
      <w:proofErr w:type="spellEnd"/>
      <w:r w:rsidRPr="0092232B">
        <w:rPr>
          <w:rFonts w:ascii="Arial" w:hAnsi="Arial" w:cs="Arial"/>
          <w:sz w:val="24"/>
          <w:szCs w:val="24"/>
        </w:rPr>
        <w:t xml:space="preserve"> </w:t>
      </w:r>
      <w:r>
        <w:rPr>
          <w:rFonts w:ascii="Arial" w:hAnsi="Arial" w:cs="Arial"/>
          <w:sz w:val="24"/>
          <w:szCs w:val="24"/>
        </w:rPr>
        <w:t>costing</w:t>
      </w:r>
      <w:r w:rsidR="000A0E90">
        <w:rPr>
          <w:rFonts w:ascii="Arial" w:hAnsi="Arial" w:cs="Arial"/>
          <w:sz w:val="24"/>
          <w:szCs w:val="24"/>
        </w:rPr>
        <w:t xml:space="preserve"> in Scotland relies on making use of detailed cost relativities </w:t>
      </w:r>
      <w:r w:rsidR="00A84777">
        <w:rPr>
          <w:rFonts w:ascii="Arial" w:hAnsi="Arial" w:cs="Arial"/>
          <w:sz w:val="24"/>
          <w:szCs w:val="24"/>
        </w:rPr>
        <w:t>from the English data to disaggregate the available Scottish cost data (which is less de</w:t>
      </w:r>
      <w:r w:rsidR="002A421A">
        <w:rPr>
          <w:rFonts w:ascii="Arial" w:hAnsi="Arial" w:cs="Arial"/>
          <w:sz w:val="24"/>
          <w:szCs w:val="24"/>
        </w:rPr>
        <w:t>tailed than required)</w:t>
      </w:r>
      <w:r w:rsidR="00C76675">
        <w:rPr>
          <w:rFonts w:ascii="Arial" w:hAnsi="Arial" w:cs="Arial"/>
          <w:sz w:val="24"/>
          <w:szCs w:val="24"/>
        </w:rPr>
        <w:t xml:space="preserve">.  However, the costing review provides an opportunity </w:t>
      </w:r>
      <w:r w:rsidR="00B0637B">
        <w:rPr>
          <w:rFonts w:ascii="Arial" w:hAnsi="Arial" w:cs="Arial"/>
          <w:sz w:val="24"/>
          <w:szCs w:val="24"/>
        </w:rPr>
        <w:t xml:space="preserve">for TAGRA </w:t>
      </w:r>
      <w:r w:rsidR="00C76675">
        <w:rPr>
          <w:rFonts w:ascii="Arial" w:hAnsi="Arial" w:cs="Arial"/>
          <w:sz w:val="24"/>
          <w:szCs w:val="24"/>
        </w:rPr>
        <w:t xml:space="preserve">to </w:t>
      </w:r>
      <w:r w:rsidR="00B0637B">
        <w:rPr>
          <w:rFonts w:ascii="Arial" w:hAnsi="Arial" w:cs="Arial"/>
          <w:sz w:val="24"/>
          <w:szCs w:val="24"/>
        </w:rPr>
        <w:t>recommend the acquisition of</w:t>
      </w:r>
      <w:r w:rsidR="00C76675">
        <w:rPr>
          <w:rFonts w:ascii="Arial" w:hAnsi="Arial" w:cs="Arial"/>
          <w:sz w:val="24"/>
          <w:szCs w:val="24"/>
        </w:rPr>
        <w:t xml:space="preserve"> more detailed cost data to facilitate </w:t>
      </w:r>
      <w:proofErr w:type="spellStart"/>
      <w:r w:rsidR="00663DE4">
        <w:rPr>
          <w:rFonts w:ascii="Arial" w:hAnsi="Arial" w:cs="Arial"/>
          <w:sz w:val="24"/>
          <w:szCs w:val="24"/>
        </w:rPr>
        <w:t>HRG</w:t>
      </w:r>
      <w:proofErr w:type="spellEnd"/>
      <w:r w:rsidR="00663DE4">
        <w:rPr>
          <w:rFonts w:ascii="Arial" w:hAnsi="Arial" w:cs="Arial"/>
          <w:sz w:val="24"/>
          <w:szCs w:val="24"/>
        </w:rPr>
        <w:t xml:space="preserve"> costing using only Scottish data. </w:t>
      </w:r>
    </w:p>
    <w:p w14:paraId="2000012D" w14:textId="77777777" w:rsidR="00F73F72" w:rsidRDefault="00F73F72" w:rsidP="00D06989">
      <w:pPr>
        <w:pStyle w:val="ListParagraph"/>
        <w:spacing w:line="240" w:lineRule="auto"/>
        <w:ind w:left="0"/>
        <w:mirrorIndents/>
        <w:jc w:val="both"/>
        <w:rPr>
          <w:rFonts w:ascii="Arial" w:hAnsi="Arial" w:cs="Arial"/>
          <w:sz w:val="24"/>
          <w:szCs w:val="24"/>
        </w:rPr>
      </w:pPr>
    </w:p>
    <w:p w14:paraId="4FA9C128" w14:textId="2C3AFF96" w:rsidR="00F66598" w:rsidRPr="0081005C" w:rsidRDefault="006E7C42" w:rsidP="00D06989">
      <w:pPr>
        <w:pStyle w:val="ListParagraph"/>
        <w:numPr>
          <w:ilvl w:val="0"/>
          <w:numId w:val="8"/>
        </w:numPr>
        <w:spacing w:line="240" w:lineRule="auto"/>
        <w:ind w:left="0" w:firstLine="0"/>
        <w:mirrorIndents/>
        <w:jc w:val="both"/>
        <w:rPr>
          <w:rFonts w:ascii="Arial" w:hAnsi="Arial" w:cs="Arial"/>
          <w:sz w:val="24"/>
          <w:szCs w:val="24"/>
        </w:rPr>
      </w:pPr>
      <w:r w:rsidRPr="001B1EB9">
        <w:rPr>
          <w:rFonts w:ascii="Arial" w:hAnsi="Arial" w:cs="Arial"/>
          <w:sz w:val="24"/>
          <w:szCs w:val="24"/>
        </w:rPr>
        <w:t xml:space="preserve">It should also be noted that the method used in the NRAC formula for estimating the </w:t>
      </w:r>
      <w:r w:rsidR="00300F13" w:rsidRPr="001B1EB9">
        <w:rPr>
          <w:rFonts w:ascii="Arial" w:hAnsi="Arial" w:cs="Arial"/>
          <w:sz w:val="24"/>
          <w:szCs w:val="24"/>
        </w:rPr>
        <w:t xml:space="preserve">cost of an episode of care </w:t>
      </w:r>
      <w:r w:rsidR="00537606">
        <w:rPr>
          <w:rFonts w:ascii="Arial" w:hAnsi="Arial" w:cs="Arial"/>
          <w:sz w:val="24"/>
          <w:szCs w:val="24"/>
        </w:rPr>
        <w:t>is</w:t>
      </w:r>
      <w:r w:rsidR="00300F13" w:rsidRPr="001B1EB9">
        <w:rPr>
          <w:rFonts w:ascii="Arial" w:hAnsi="Arial" w:cs="Arial"/>
          <w:sz w:val="24"/>
          <w:szCs w:val="24"/>
        </w:rPr>
        <w:t xml:space="preserve"> unique to the formula.  The method is not used for calculating the cost of cross-boundary flows of patients</w:t>
      </w:r>
      <w:r w:rsidR="009E26E5">
        <w:rPr>
          <w:rFonts w:ascii="Arial" w:hAnsi="Arial" w:cs="Arial"/>
          <w:sz w:val="24"/>
          <w:szCs w:val="24"/>
        </w:rPr>
        <w:t xml:space="preserve">, </w:t>
      </w:r>
      <w:r w:rsidR="00F24E72">
        <w:rPr>
          <w:rFonts w:ascii="Arial" w:hAnsi="Arial" w:cs="Arial"/>
          <w:sz w:val="24"/>
          <w:szCs w:val="24"/>
        </w:rPr>
        <w:t xml:space="preserve">when patients are treated in </w:t>
      </w:r>
      <w:r w:rsidR="00687932">
        <w:rPr>
          <w:rFonts w:ascii="Arial" w:hAnsi="Arial" w:cs="Arial"/>
          <w:sz w:val="24"/>
          <w:szCs w:val="24"/>
        </w:rPr>
        <w:t>a board other than the one in which they are resident</w:t>
      </w:r>
      <w:r w:rsidR="00E040CC">
        <w:rPr>
          <w:rFonts w:ascii="Arial" w:hAnsi="Arial" w:cs="Arial"/>
          <w:sz w:val="24"/>
          <w:szCs w:val="24"/>
        </w:rPr>
        <w:t>.</w:t>
      </w:r>
      <w:r w:rsidR="00BF6753" w:rsidRPr="001B1EB9">
        <w:rPr>
          <w:rFonts w:ascii="Arial" w:hAnsi="Arial" w:cs="Arial"/>
          <w:sz w:val="24"/>
          <w:szCs w:val="24"/>
        </w:rPr>
        <w:t xml:space="preserve">  </w:t>
      </w:r>
      <w:r w:rsidR="00D57583">
        <w:rPr>
          <w:rFonts w:ascii="Arial" w:hAnsi="Arial" w:cs="Arial"/>
          <w:sz w:val="24"/>
          <w:szCs w:val="24"/>
        </w:rPr>
        <w:t xml:space="preserve">In principle </w:t>
      </w:r>
      <w:r w:rsidR="00713BB5">
        <w:rPr>
          <w:rFonts w:ascii="Arial" w:hAnsi="Arial" w:cs="Arial"/>
          <w:sz w:val="24"/>
          <w:szCs w:val="24"/>
        </w:rPr>
        <w:t xml:space="preserve">the methods used  for the allocation formula should be the same as </w:t>
      </w:r>
      <w:r w:rsidR="00E13A51">
        <w:rPr>
          <w:rFonts w:ascii="Arial" w:hAnsi="Arial" w:cs="Arial"/>
          <w:sz w:val="24"/>
          <w:szCs w:val="24"/>
        </w:rPr>
        <w:t>those used to determine inter-board payments for treatment</w:t>
      </w:r>
      <w:r w:rsidR="00D57583">
        <w:rPr>
          <w:rFonts w:ascii="Arial" w:hAnsi="Arial" w:cs="Arial"/>
          <w:sz w:val="24"/>
          <w:szCs w:val="24"/>
        </w:rPr>
        <w:t xml:space="preserve">.  </w:t>
      </w:r>
    </w:p>
    <w:p w14:paraId="3E640CAC" w14:textId="77777777" w:rsidR="00F66598" w:rsidRPr="00F66598" w:rsidRDefault="00F66598" w:rsidP="00D06989">
      <w:pPr>
        <w:pStyle w:val="ListParagraph"/>
        <w:spacing w:line="240" w:lineRule="auto"/>
        <w:ind w:left="0"/>
        <w:rPr>
          <w:rFonts w:ascii="Arial" w:hAnsi="Arial" w:cs="Arial"/>
          <w:sz w:val="24"/>
          <w:szCs w:val="24"/>
        </w:rPr>
      </w:pPr>
    </w:p>
    <w:p w14:paraId="4B3F0A33" w14:textId="0EA57095" w:rsidR="00727DB6" w:rsidRDefault="005111AB" w:rsidP="00D06989">
      <w:pPr>
        <w:pStyle w:val="ListParagraph"/>
        <w:numPr>
          <w:ilvl w:val="0"/>
          <w:numId w:val="8"/>
        </w:numPr>
        <w:spacing w:line="240" w:lineRule="auto"/>
        <w:ind w:left="0" w:firstLine="0"/>
        <w:mirrorIndents/>
        <w:jc w:val="both"/>
        <w:rPr>
          <w:rFonts w:ascii="Arial" w:hAnsi="Arial" w:cs="Arial"/>
          <w:sz w:val="24"/>
          <w:szCs w:val="24"/>
        </w:rPr>
      </w:pPr>
      <w:r>
        <w:rPr>
          <w:rFonts w:ascii="Arial" w:hAnsi="Arial" w:cs="Arial"/>
          <w:sz w:val="24"/>
          <w:szCs w:val="24"/>
        </w:rPr>
        <w:t>Th</w:t>
      </w:r>
      <w:r w:rsidR="00EB5BE0">
        <w:rPr>
          <w:rFonts w:ascii="Arial" w:hAnsi="Arial" w:cs="Arial"/>
          <w:sz w:val="24"/>
          <w:szCs w:val="24"/>
        </w:rPr>
        <w:t>is</w:t>
      </w:r>
      <w:r>
        <w:rPr>
          <w:rFonts w:ascii="Arial" w:hAnsi="Arial" w:cs="Arial"/>
          <w:sz w:val="24"/>
          <w:szCs w:val="24"/>
        </w:rPr>
        <w:t xml:space="preserve"> </w:t>
      </w:r>
      <w:r w:rsidR="00037A3E">
        <w:rPr>
          <w:rFonts w:ascii="Arial" w:hAnsi="Arial" w:cs="Arial"/>
          <w:sz w:val="24"/>
          <w:szCs w:val="24"/>
        </w:rPr>
        <w:t xml:space="preserve">lack of consistency within Scotland between the NRAC formula and the </w:t>
      </w:r>
      <w:r w:rsidR="004D193E">
        <w:rPr>
          <w:rFonts w:ascii="Arial" w:hAnsi="Arial" w:cs="Arial"/>
          <w:sz w:val="24"/>
          <w:szCs w:val="24"/>
        </w:rPr>
        <w:t xml:space="preserve">methods used to cost cross-boundary </w:t>
      </w:r>
      <w:r w:rsidR="007348FF">
        <w:rPr>
          <w:rFonts w:ascii="Arial" w:hAnsi="Arial" w:cs="Arial"/>
          <w:sz w:val="24"/>
          <w:szCs w:val="24"/>
        </w:rPr>
        <w:t>patient treatments is a</w:t>
      </w:r>
      <w:r w:rsidR="00B234A0">
        <w:rPr>
          <w:rFonts w:ascii="Arial" w:hAnsi="Arial" w:cs="Arial"/>
          <w:sz w:val="24"/>
          <w:szCs w:val="24"/>
        </w:rPr>
        <w:t xml:space="preserve"> further</w:t>
      </w:r>
      <w:r w:rsidR="007348FF">
        <w:rPr>
          <w:rFonts w:ascii="Arial" w:hAnsi="Arial" w:cs="Arial"/>
          <w:sz w:val="24"/>
          <w:szCs w:val="24"/>
        </w:rPr>
        <w:t xml:space="preserve"> motivation to review the formula costing method.  This could involve </w:t>
      </w:r>
      <w:r w:rsidR="00EB5BE0">
        <w:rPr>
          <w:rFonts w:ascii="Arial" w:hAnsi="Arial" w:cs="Arial"/>
          <w:sz w:val="24"/>
          <w:szCs w:val="24"/>
        </w:rPr>
        <w:t>discussions</w:t>
      </w:r>
      <w:r w:rsidR="007348FF">
        <w:rPr>
          <w:rFonts w:ascii="Arial" w:hAnsi="Arial" w:cs="Arial"/>
          <w:sz w:val="24"/>
          <w:szCs w:val="24"/>
        </w:rPr>
        <w:t xml:space="preserve"> with boards </w:t>
      </w:r>
      <w:r w:rsidR="00B06D02">
        <w:rPr>
          <w:rFonts w:ascii="Arial" w:hAnsi="Arial" w:cs="Arial"/>
          <w:sz w:val="24"/>
          <w:szCs w:val="24"/>
        </w:rPr>
        <w:t>to determine the</w:t>
      </w:r>
      <w:r w:rsidR="00727DB6">
        <w:rPr>
          <w:rFonts w:ascii="Arial" w:hAnsi="Arial" w:cs="Arial"/>
          <w:sz w:val="24"/>
          <w:szCs w:val="24"/>
        </w:rPr>
        <w:t xml:space="preserve"> details of the </w:t>
      </w:r>
      <w:r w:rsidR="00EB5BE0">
        <w:rPr>
          <w:rFonts w:ascii="Arial" w:hAnsi="Arial" w:cs="Arial"/>
          <w:sz w:val="24"/>
          <w:szCs w:val="24"/>
        </w:rPr>
        <w:t>methods which they use</w:t>
      </w:r>
      <w:r w:rsidR="00727DB6">
        <w:rPr>
          <w:rFonts w:ascii="Arial" w:hAnsi="Arial" w:cs="Arial"/>
          <w:sz w:val="24"/>
          <w:szCs w:val="24"/>
        </w:rPr>
        <w:t xml:space="preserve"> and whether improvements </w:t>
      </w:r>
      <w:r w:rsidR="000A769B">
        <w:rPr>
          <w:rFonts w:ascii="Arial" w:hAnsi="Arial" w:cs="Arial"/>
          <w:sz w:val="24"/>
          <w:szCs w:val="24"/>
        </w:rPr>
        <w:t xml:space="preserve">in consistency </w:t>
      </w:r>
      <w:r w:rsidR="00727DB6">
        <w:rPr>
          <w:rFonts w:ascii="Arial" w:hAnsi="Arial" w:cs="Arial"/>
          <w:sz w:val="24"/>
          <w:szCs w:val="24"/>
        </w:rPr>
        <w:t>could be achieved.</w:t>
      </w:r>
    </w:p>
    <w:p w14:paraId="4C771F51" w14:textId="7BDCC41D" w:rsidR="00B234A0" w:rsidRDefault="00B234A0">
      <w:pPr>
        <w:rPr>
          <w:rFonts w:ascii="Arial" w:hAnsi="Arial" w:cs="Arial"/>
          <w:sz w:val="24"/>
          <w:szCs w:val="24"/>
        </w:rPr>
      </w:pPr>
      <w:r>
        <w:rPr>
          <w:rFonts w:ascii="Arial" w:hAnsi="Arial" w:cs="Arial"/>
          <w:sz w:val="24"/>
          <w:szCs w:val="24"/>
        </w:rPr>
        <w:br w:type="page"/>
      </w:r>
    </w:p>
    <w:p w14:paraId="2B657232" w14:textId="007EEA72" w:rsidR="00ED7EE4" w:rsidRPr="00485140" w:rsidRDefault="00A37542" w:rsidP="00D06989">
      <w:pPr>
        <w:pStyle w:val="ListParagraph"/>
        <w:spacing w:line="240" w:lineRule="auto"/>
        <w:ind w:left="0"/>
        <w:mirrorIndents/>
        <w:jc w:val="both"/>
        <w:rPr>
          <w:rFonts w:ascii="Arial" w:hAnsi="Arial" w:cs="Arial"/>
          <w:b/>
          <w:bCs/>
          <w:sz w:val="24"/>
          <w:szCs w:val="24"/>
        </w:rPr>
      </w:pPr>
      <w:r w:rsidRPr="00485140">
        <w:rPr>
          <w:rFonts w:ascii="Arial" w:hAnsi="Arial" w:cs="Arial"/>
          <w:b/>
          <w:bCs/>
          <w:sz w:val="24"/>
          <w:szCs w:val="24"/>
        </w:rPr>
        <w:lastRenderedPageBreak/>
        <w:t>3</w:t>
      </w:r>
      <w:r w:rsidR="009170CD" w:rsidRPr="00485140">
        <w:rPr>
          <w:rFonts w:ascii="Arial" w:hAnsi="Arial" w:cs="Arial"/>
          <w:b/>
          <w:bCs/>
          <w:sz w:val="24"/>
          <w:szCs w:val="24"/>
        </w:rPr>
        <w:t xml:space="preserve">. </w:t>
      </w:r>
      <w:r w:rsidR="00F95F30" w:rsidRPr="00485140">
        <w:rPr>
          <w:rFonts w:ascii="Arial" w:hAnsi="Arial" w:cs="Arial"/>
          <w:b/>
          <w:bCs/>
          <w:sz w:val="24"/>
          <w:szCs w:val="24"/>
        </w:rPr>
        <w:t xml:space="preserve">Estimating </w:t>
      </w:r>
      <w:r w:rsidR="004947B4" w:rsidRPr="00485140">
        <w:rPr>
          <w:rFonts w:ascii="Arial" w:hAnsi="Arial" w:cs="Arial"/>
          <w:b/>
          <w:bCs/>
          <w:sz w:val="24"/>
          <w:szCs w:val="24"/>
        </w:rPr>
        <w:t xml:space="preserve">the </w:t>
      </w:r>
      <w:r w:rsidR="009170CD" w:rsidRPr="00485140">
        <w:rPr>
          <w:rFonts w:ascii="Arial" w:hAnsi="Arial" w:cs="Arial"/>
          <w:b/>
          <w:bCs/>
          <w:sz w:val="24"/>
          <w:szCs w:val="24"/>
        </w:rPr>
        <w:t>Age/Sex</w:t>
      </w:r>
      <w:r w:rsidR="004947B4" w:rsidRPr="00485140">
        <w:rPr>
          <w:rFonts w:ascii="Arial" w:hAnsi="Arial" w:cs="Arial"/>
          <w:b/>
          <w:bCs/>
          <w:sz w:val="24"/>
          <w:szCs w:val="24"/>
        </w:rPr>
        <w:t xml:space="preserve"> and MLC coefficients:</w:t>
      </w:r>
    </w:p>
    <w:p w14:paraId="390C133F" w14:textId="5263E31C" w:rsidR="00D26F9E" w:rsidRPr="004E61FA" w:rsidRDefault="003A1828" w:rsidP="00D06989">
      <w:pPr>
        <w:pStyle w:val="ListParagraph"/>
        <w:spacing w:line="240" w:lineRule="auto"/>
        <w:ind w:left="0"/>
        <w:mirrorIndents/>
        <w:jc w:val="both"/>
        <w:rPr>
          <w:rFonts w:ascii="Arial" w:hAnsi="Arial" w:cs="Arial"/>
          <w:i/>
          <w:iCs/>
          <w:sz w:val="24"/>
          <w:szCs w:val="24"/>
        </w:rPr>
      </w:pPr>
      <w:r w:rsidRPr="004E61FA">
        <w:rPr>
          <w:rFonts w:ascii="Arial" w:hAnsi="Arial" w:cs="Arial"/>
          <w:i/>
          <w:iCs/>
          <w:sz w:val="24"/>
          <w:szCs w:val="24"/>
        </w:rPr>
        <w:t xml:space="preserve">Basic </w:t>
      </w:r>
      <w:r w:rsidR="00305251">
        <w:rPr>
          <w:rFonts w:ascii="Arial" w:hAnsi="Arial" w:cs="Arial"/>
          <w:i/>
          <w:iCs/>
          <w:sz w:val="24"/>
          <w:szCs w:val="24"/>
        </w:rPr>
        <w:t>a</w:t>
      </w:r>
      <w:r w:rsidR="004E61FA" w:rsidRPr="004E61FA">
        <w:rPr>
          <w:rFonts w:ascii="Arial" w:hAnsi="Arial" w:cs="Arial"/>
          <w:i/>
          <w:iCs/>
          <w:sz w:val="24"/>
          <w:szCs w:val="24"/>
        </w:rPr>
        <w:t>pproaches:</w:t>
      </w:r>
    </w:p>
    <w:p w14:paraId="2F890DAB" w14:textId="739B42AC" w:rsidR="00305251" w:rsidRDefault="001B45FE" w:rsidP="00D06989">
      <w:pPr>
        <w:pStyle w:val="ListParagraph"/>
        <w:numPr>
          <w:ilvl w:val="0"/>
          <w:numId w:val="8"/>
        </w:numPr>
        <w:spacing w:line="240" w:lineRule="auto"/>
        <w:ind w:left="0" w:firstLine="0"/>
        <w:mirrorIndents/>
        <w:jc w:val="both"/>
        <w:rPr>
          <w:rFonts w:ascii="Arial" w:hAnsi="Arial" w:cs="Arial"/>
          <w:sz w:val="24"/>
          <w:szCs w:val="24"/>
        </w:rPr>
      </w:pPr>
      <w:r w:rsidRPr="00FF04BA">
        <w:rPr>
          <w:rFonts w:ascii="Arial" w:hAnsi="Arial" w:cs="Arial"/>
          <w:sz w:val="24"/>
          <w:szCs w:val="24"/>
        </w:rPr>
        <w:t xml:space="preserve">The formula </w:t>
      </w:r>
      <w:r w:rsidR="00A501BE">
        <w:rPr>
          <w:rFonts w:ascii="Arial" w:hAnsi="Arial" w:cs="Arial"/>
          <w:sz w:val="24"/>
          <w:szCs w:val="24"/>
        </w:rPr>
        <w:t>incorporates</w:t>
      </w:r>
      <w:r w:rsidRPr="00FF04BA">
        <w:rPr>
          <w:rFonts w:ascii="Arial" w:hAnsi="Arial" w:cs="Arial"/>
          <w:sz w:val="24"/>
          <w:szCs w:val="24"/>
        </w:rPr>
        <w:t xml:space="preserve"> </w:t>
      </w:r>
      <w:r w:rsidR="009778DB" w:rsidRPr="00FF04BA">
        <w:rPr>
          <w:rFonts w:ascii="Arial" w:hAnsi="Arial" w:cs="Arial"/>
          <w:sz w:val="24"/>
          <w:szCs w:val="24"/>
        </w:rPr>
        <w:t xml:space="preserve">weights which reflect the relative need across </w:t>
      </w:r>
      <w:r w:rsidR="00A9550F" w:rsidRPr="00FF04BA">
        <w:rPr>
          <w:rFonts w:ascii="Arial" w:hAnsi="Arial" w:cs="Arial"/>
          <w:sz w:val="24"/>
          <w:szCs w:val="24"/>
        </w:rPr>
        <w:t>age/sex cohorts and due to different</w:t>
      </w:r>
      <w:r w:rsidR="00B23B4C">
        <w:rPr>
          <w:rFonts w:ascii="Arial" w:hAnsi="Arial" w:cs="Arial"/>
          <w:sz w:val="24"/>
          <w:szCs w:val="24"/>
        </w:rPr>
        <w:t xml:space="preserve"> Morbidity and Life Circumstances (MLC)</w:t>
      </w:r>
      <w:r w:rsidR="00A9550F" w:rsidRPr="00FF04BA">
        <w:rPr>
          <w:rFonts w:ascii="Arial" w:hAnsi="Arial" w:cs="Arial"/>
          <w:sz w:val="24"/>
          <w:szCs w:val="24"/>
        </w:rPr>
        <w:t xml:space="preserve">.  </w:t>
      </w:r>
      <w:r w:rsidR="0099390A" w:rsidRPr="00FF04BA">
        <w:rPr>
          <w:rFonts w:ascii="Arial" w:hAnsi="Arial" w:cs="Arial"/>
          <w:sz w:val="24"/>
          <w:szCs w:val="24"/>
        </w:rPr>
        <w:t>These are applied to the</w:t>
      </w:r>
      <w:r w:rsidR="0016749A">
        <w:rPr>
          <w:rFonts w:ascii="Arial" w:hAnsi="Arial" w:cs="Arial"/>
          <w:sz w:val="24"/>
          <w:szCs w:val="24"/>
        </w:rPr>
        <w:t xml:space="preserve"> small area</w:t>
      </w:r>
      <w:r w:rsidR="0099390A" w:rsidRPr="00FF04BA">
        <w:rPr>
          <w:rFonts w:ascii="Arial" w:hAnsi="Arial" w:cs="Arial"/>
          <w:sz w:val="24"/>
          <w:szCs w:val="24"/>
        </w:rPr>
        <w:t xml:space="preserve"> population </w:t>
      </w:r>
      <w:r w:rsidR="0016749A">
        <w:rPr>
          <w:rFonts w:ascii="Arial" w:hAnsi="Arial" w:cs="Arial"/>
          <w:sz w:val="24"/>
          <w:szCs w:val="24"/>
        </w:rPr>
        <w:t>data</w:t>
      </w:r>
      <w:r w:rsidR="0099390A" w:rsidRPr="00FF04BA">
        <w:rPr>
          <w:rFonts w:ascii="Arial" w:hAnsi="Arial" w:cs="Arial"/>
          <w:sz w:val="24"/>
          <w:szCs w:val="24"/>
        </w:rPr>
        <w:t xml:space="preserve"> to </w:t>
      </w:r>
      <w:r w:rsidR="00E9167F">
        <w:rPr>
          <w:rFonts w:ascii="Arial" w:hAnsi="Arial" w:cs="Arial"/>
          <w:sz w:val="24"/>
          <w:szCs w:val="24"/>
        </w:rPr>
        <w:t>predict</w:t>
      </w:r>
      <w:r w:rsidR="0099390A" w:rsidRPr="00FF04BA">
        <w:rPr>
          <w:rFonts w:ascii="Arial" w:hAnsi="Arial" w:cs="Arial"/>
          <w:sz w:val="24"/>
          <w:szCs w:val="24"/>
        </w:rPr>
        <w:t xml:space="preserve"> the relative need by geographical area.  </w:t>
      </w:r>
      <w:r w:rsidR="00BD6ADF">
        <w:rPr>
          <w:rFonts w:ascii="Arial" w:hAnsi="Arial" w:cs="Arial"/>
          <w:sz w:val="24"/>
          <w:szCs w:val="24"/>
        </w:rPr>
        <w:t>T</w:t>
      </w:r>
      <w:r w:rsidR="00446663" w:rsidRPr="00FF04BA">
        <w:rPr>
          <w:rFonts w:ascii="Arial" w:hAnsi="Arial" w:cs="Arial"/>
          <w:sz w:val="24"/>
          <w:szCs w:val="24"/>
        </w:rPr>
        <w:t>he main alternatives</w:t>
      </w:r>
      <w:r w:rsidR="00BD6ADF">
        <w:rPr>
          <w:rFonts w:ascii="Arial" w:hAnsi="Arial" w:cs="Arial"/>
          <w:sz w:val="24"/>
          <w:szCs w:val="24"/>
        </w:rPr>
        <w:t xml:space="preserve"> for estimating the formula weights </w:t>
      </w:r>
      <w:r w:rsidR="00446663" w:rsidRPr="00FF04BA">
        <w:rPr>
          <w:rFonts w:ascii="Arial" w:hAnsi="Arial" w:cs="Arial"/>
          <w:sz w:val="24"/>
          <w:szCs w:val="24"/>
        </w:rPr>
        <w:t>are a one</w:t>
      </w:r>
      <w:r w:rsidR="00C25E60" w:rsidRPr="00FF04BA">
        <w:rPr>
          <w:rFonts w:ascii="Arial" w:hAnsi="Arial" w:cs="Arial"/>
          <w:sz w:val="24"/>
          <w:szCs w:val="24"/>
        </w:rPr>
        <w:t>-</w:t>
      </w:r>
      <w:r w:rsidR="00446663" w:rsidRPr="00FF04BA">
        <w:rPr>
          <w:rFonts w:ascii="Arial" w:hAnsi="Arial" w:cs="Arial"/>
          <w:sz w:val="24"/>
          <w:szCs w:val="24"/>
        </w:rPr>
        <w:t xml:space="preserve">stage </w:t>
      </w:r>
      <w:r w:rsidR="00903487" w:rsidRPr="00FF04BA">
        <w:rPr>
          <w:rFonts w:ascii="Arial" w:hAnsi="Arial" w:cs="Arial"/>
          <w:sz w:val="24"/>
          <w:szCs w:val="24"/>
        </w:rPr>
        <w:t>or a</w:t>
      </w:r>
      <w:r w:rsidR="00903487" w:rsidRPr="00903487">
        <w:rPr>
          <w:rFonts w:ascii="Arial" w:hAnsi="Arial" w:cs="Arial"/>
          <w:sz w:val="24"/>
          <w:szCs w:val="24"/>
        </w:rPr>
        <w:t xml:space="preserve"> </w:t>
      </w:r>
      <w:r w:rsidR="00903487" w:rsidRPr="00FF04BA">
        <w:rPr>
          <w:rFonts w:ascii="Arial" w:hAnsi="Arial" w:cs="Arial"/>
          <w:sz w:val="24"/>
          <w:szCs w:val="24"/>
        </w:rPr>
        <w:t>two-stage</w:t>
      </w:r>
      <w:r w:rsidR="00903487" w:rsidRPr="00903487">
        <w:rPr>
          <w:rFonts w:ascii="Arial" w:hAnsi="Arial" w:cs="Arial"/>
          <w:sz w:val="24"/>
          <w:szCs w:val="24"/>
        </w:rPr>
        <w:t xml:space="preserve"> </w:t>
      </w:r>
      <w:r w:rsidR="00005522">
        <w:rPr>
          <w:rFonts w:ascii="Arial" w:hAnsi="Arial" w:cs="Arial"/>
          <w:sz w:val="24"/>
          <w:szCs w:val="24"/>
        </w:rPr>
        <w:t>method</w:t>
      </w:r>
      <w:r w:rsidR="00446663" w:rsidRPr="00FF04BA">
        <w:rPr>
          <w:rFonts w:ascii="Arial" w:hAnsi="Arial" w:cs="Arial"/>
          <w:sz w:val="24"/>
          <w:szCs w:val="24"/>
        </w:rPr>
        <w:t>.</w:t>
      </w:r>
      <w:r w:rsidR="00ED06BC" w:rsidRPr="00FF04BA">
        <w:rPr>
          <w:rFonts w:ascii="Arial" w:hAnsi="Arial" w:cs="Arial"/>
          <w:sz w:val="24"/>
          <w:szCs w:val="24"/>
        </w:rPr>
        <w:t xml:space="preserve">  </w:t>
      </w:r>
      <w:r w:rsidR="002701D8" w:rsidRPr="00FF04BA">
        <w:rPr>
          <w:rFonts w:ascii="Arial" w:hAnsi="Arial" w:cs="Arial"/>
          <w:sz w:val="24"/>
          <w:szCs w:val="24"/>
        </w:rPr>
        <w:t>In a one</w:t>
      </w:r>
      <w:r w:rsidR="00005522">
        <w:rPr>
          <w:rFonts w:ascii="Arial" w:hAnsi="Arial" w:cs="Arial"/>
          <w:sz w:val="24"/>
          <w:szCs w:val="24"/>
        </w:rPr>
        <w:t>-</w:t>
      </w:r>
      <w:r w:rsidR="002701D8" w:rsidRPr="00FF04BA">
        <w:rPr>
          <w:rFonts w:ascii="Arial" w:hAnsi="Arial" w:cs="Arial"/>
          <w:sz w:val="24"/>
          <w:szCs w:val="24"/>
        </w:rPr>
        <w:t>stage</w:t>
      </w:r>
      <w:r w:rsidR="00005522">
        <w:rPr>
          <w:rFonts w:ascii="Arial" w:hAnsi="Arial" w:cs="Arial"/>
          <w:sz w:val="24"/>
          <w:szCs w:val="24"/>
        </w:rPr>
        <w:t xml:space="preserve"> method</w:t>
      </w:r>
      <w:r w:rsidR="002701D8" w:rsidRPr="00FF04BA">
        <w:rPr>
          <w:rFonts w:ascii="Arial" w:hAnsi="Arial" w:cs="Arial"/>
          <w:sz w:val="24"/>
          <w:szCs w:val="24"/>
        </w:rPr>
        <w:t xml:space="preserve"> both the age and sex and </w:t>
      </w:r>
      <w:r w:rsidR="00131A56">
        <w:rPr>
          <w:rFonts w:ascii="Arial" w:hAnsi="Arial" w:cs="Arial"/>
          <w:sz w:val="24"/>
          <w:szCs w:val="24"/>
        </w:rPr>
        <w:t>Morbidity and Life Circumstances (</w:t>
      </w:r>
      <w:r w:rsidR="002701D8" w:rsidRPr="00FF04BA">
        <w:rPr>
          <w:rFonts w:ascii="Arial" w:hAnsi="Arial" w:cs="Arial"/>
          <w:sz w:val="24"/>
          <w:szCs w:val="24"/>
        </w:rPr>
        <w:t>MLC</w:t>
      </w:r>
      <w:r w:rsidR="00131A56">
        <w:rPr>
          <w:rFonts w:ascii="Arial" w:hAnsi="Arial" w:cs="Arial"/>
          <w:sz w:val="24"/>
          <w:szCs w:val="24"/>
        </w:rPr>
        <w:t>)</w:t>
      </w:r>
      <w:r w:rsidR="002701D8" w:rsidRPr="00FF04BA">
        <w:rPr>
          <w:rFonts w:ascii="Arial" w:hAnsi="Arial" w:cs="Arial"/>
          <w:sz w:val="24"/>
          <w:szCs w:val="24"/>
        </w:rPr>
        <w:t xml:space="preserve"> are estimated simultaneously.</w:t>
      </w:r>
      <w:r w:rsidR="002701D8">
        <w:rPr>
          <w:rFonts w:ascii="Arial" w:hAnsi="Arial" w:cs="Arial"/>
          <w:sz w:val="24"/>
          <w:szCs w:val="24"/>
        </w:rPr>
        <w:t xml:space="preserve">  I</w:t>
      </w:r>
      <w:r w:rsidR="009E1990" w:rsidRPr="00FF04BA">
        <w:rPr>
          <w:rFonts w:ascii="Arial" w:hAnsi="Arial" w:cs="Arial"/>
          <w:sz w:val="24"/>
          <w:szCs w:val="24"/>
        </w:rPr>
        <w:t xml:space="preserve">n the </w:t>
      </w:r>
      <w:r w:rsidR="00ED06BC" w:rsidRPr="00FF04BA">
        <w:rPr>
          <w:rFonts w:ascii="Arial" w:hAnsi="Arial" w:cs="Arial"/>
          <w:sz w:val="24"/>
          <w:szCs w:val="24"/>
        </w:rPr>
        <w:t xml:space="preserve">two stage </w:t>
      </w:r>
      <w:r w:rsidR="00D224C4">
        <w:rPr>
          <w:rFonts w:ascii="Arial" w:hAnsi="Arial" w:cs="Arial"/>
          <w:sz w:val="24"/>
          <w:szCs w:val="24"/>
        </w:rPr>
        <w:t>method</w:t>
      </w:r>
      <w:r w:rsidR="00820065" w:rsidRPr="00FF04BA">
        <w:rPr>
          <w:rFonts w:ascii="Arial" w:hAnsi="Arial" w:cs="Arial"/>
          <w:sz w:val="24"/>
          <w:szCs w:val="24"/>
        </w:rPr>
        <w:t xml:space="preserve"> </w:t>
      </w:r>
      <w:r w:rsidR="002701D8">
        <w:rPr>
          <w:rFonts w:ascii="Arial" w:hAnsi="Arial" w:cs="Arial"/>
          <w:sz w:val="24"/>
          <w:szCs w:val="24"/>
        </w:rPr>
        <w:t>t</w:t>
      </w:r>
      <w:r w:rsidR="002701D8" w:rsidRPr="00FF04BA">
        <w:rPr>
          <w:rFonts w:ascii="Arial" w:hAnsi="Arial" w:cs="Arial"/>
          <w:sz w:val="24"/>
          <w:szCs w:val="24"/>
        </w:rPr>
        <w:t xml:space="preserve">he first step </w:t>
      </w:r>
      <w:r w:rsidR="002701D8">
        <w:rPr>
          <w:rFonts w:ascii="Arial" w:hAnsi="Arial" w:cs="Arial"/>
          <w:sz w:val="24"/>
          <w:szCs w:val="24"/>
        </w:rPr>
        <w:t>identifies</w:t>
      </w:r>
      <w:r w:rsidR="00ED06BC" w:rsidRPr="00FF04BA">
        <w:rPr>
          <w:rFonts w:ascii="Arial" w:hAnsi="Arial" w:cs="Arial"/>
          <w:sz w:val="24"/>
          <w:szCs w:val="24"/>
        </w:rPr>
        <w:t xml:space="preserve"> the costs due to age and</w:t>
      </w:r>
      <w:r w:rsidR="009E1990" w:rsidRPr="00FF04BA">
        <w:rPr>
          <w:rFonts w:ascii="Arial" w:hAnsi="Arial" w:cs="Arial"/>
          <w:sz w:val="24"/>
          <w:szCs w:val="24"/>
        </w:rPr>
        <w:t xml:space="preserve"> sex</w:t>
      </w:r>
      <w:r w:rsidR="00820065" w:rsidRPr="00FF04BA">
        <w:rPr>
          <w:rFonts w:ascii="Arial" w:hAnsi="Arial" w:cs="Arial"/>
          <w:sz w:val="24"/>
          <w:szCs w:val="24"/>
        </w:rPr>
        <w:t xml:space="preserve">; the second step </w:t>
      </w:r>
      <w:r w:rsidR="0057347F" w:rsidRPr="00FF04BA">
        <w:rPr>
          <w:rFonts w:ascii="Arial" w:hAnsi="Arial" w:cs="Arial"/>
          <w:sz w:val="24"/>
          <w:szCs w:val="24"/>
        </w:rPr>
        <w:t xml:space="preserve">estimates the </w:t>
      </w:r>
      <w:r w:rsidR="00606763">
        <w:rPr>
          <w:rFonts w:ascii="Arial" w:hAnsi="Arial" w:cs="Arial"/>
          <w:sz w:val="24"/>
          <w:szCs w:val="24"/>
        </w:rPr>
        <w:t xml:space="preserve">(residual) </w:t>
      </w:r>
      <w:r w:rsidR="0057347F" w:rsidRPr="00FF04BA">
        <w:rPr>
          <w:rFonts w:ascii="Arial" w:hAnsi="Arial" w:cs="Arial"/>
          <w:sz w:val="24"/>
          <w:szCs w:val="24"/>
        </w:rPr>
        <w:t xml:space="preserve">effects </w:t>
      </w:r>
      <w:r w:rsidR="00606763">
        <w:rPr>
          <w:rFonts w:ascii="Arial" w:hAnsi="Arial" w:cs="Arial"/>
          <w:sz w:val="24"/>
          <w:szCs w:val="24"/>
        </w:rPr>
        <w:t>due to</w:t>
      </w:r>
      <w:r w:rsidR="0057347F" w:rsidRPr="00FF04BA">
        <w:rPr>
          <w:rFonts w:ascii="Arial" w:hAnsi="Arial" w:cs="Arial"/>
          <w:sz w:val="24"/>
          <w:szCs w:val="24"/>
        </w:rPr>
        <w:t xml:space="preserve"> MLC.  </w:t>
      </w:r>
    </w:p>
    <w:p w14:paraId="4CC05E42" w14:textId="77777777" w:rsidR="00305251" w:rsidRDefault="00305251" w:rsidP="00D06989">
      <w:pPr>
        <w:pStyle w:val="ListParagraph"/>
        <w:spacing w:line="240" w:lineRule="auto"/>
        <w:ind w:left="0"/>
        <w:mirrorIndents/>
        <w:jc w:val="both"/>
        <w:rPr>
          <w:rFonts w:ascii="Arial" w:hAnsi="Arial" w:cs="Arial"/>
          <w:sz w:val="24"/>
          <w:szCs w:val="24"/>
        </w:rPr>
      </w:pPr>
    </w:p>
    <w:p w14:paraId="3C48C1F8" w14:textId="7F158553" w:rsidR="00305251" w:rsidRPr="00305251" w:rsidRDefault="00305251" w:rsidP="00D06989">
      <w:pPr>
        <w:pStyle w:val="ListParagraph"/>
        <w:spacing w:line="240" w:lineRule="auto"/>
        <w:ind w:left="0"/>
        <w:mirrorIndents/>
        <w:jc w:val="both"/>
        <w:rPr>
          <w:rFonts w:ascii="Arial" w:hAnsi="Arial" w:cs="Arial"/>
          <w:i/>
          <w:iCs/>
          <w:sz w:val="24"/>
          <w:szCs w:val="24"/>
        </w:rPr>
      </w:pPr>
      <w:r w:rsidRPr="00305251">
        <w:rPr>
          <w:rFonts w:ascii="Arial" w:hAnsi="Arial" w:cs="Arial"/>
          <w:i/>
          <w:iCs/>
          <w:sz w:val="24"/>
          <w:szCs w:val="24"/>
        </w:rPr>
        <w:t>NRAC:</w:t>
      </w:r>
    </w:p>
    <w:p w14:paraId="5499B75B" w14:textId="1A7928CA" w:rsidR="0082126E" w:rsidRDefault="0099390A" w:rsidP="00D06989">
      <w:pPr>
        <w:pStyle w:val="ListParagraph"/>
        <w:numPr>
          <w:ilvl w:val="0"/>
          <w:numId w:val="8"/>
        </w:numPr>
        <w:spacing w:line="240" w:lineRule="auto"/>
        <w:ind w:left="0" w:firstLine="0"/>
        <w:mirrorIndents/>
        <w:jc w:val="both"/>
        <w:rPr>
          <w:rFonts w:ascii="Arial" w:hAnsi="Arial" w:cs="Arial"/>
          <w:sz w:val="24"/>
          <w:szCs w:val="24"/>
        </w:rPr>
      </w:pPr>
      <w:r w:rsidRPr="00305251">
        <w:rPr>
          <w:rFonts w:ascii="Arial" w:hAnsi="Arial" w:cs="Arial"/>
          <w:sz w:val="24"/>
          <w:szCs w:val="24"/>
        </w:rPr>
        <w:t xml:space="preserve">The NRAC </w:t>
      </w:r>
      <w:r w:rsidR="0021529F">
        <w:rPr>
          <w:rFonts w:ascii="Arial" w:hAnsi="Arial" w:cs="Arial"/>
          <w:sz w:val="24"/>
          <w:szCs w:val="24"/>
        </w:rPr>
        <w:t>formula</w:t>
      </w:r>
      <w:r w:rsidRPr="00305251">
        <w:rPr>
          <w:rFonts w:ascii="Arial" w:hAnsi="Arial" w:cs="Arial"/>
          <w:sz w:val="24"/>
          <w:szCs w:val="24"/>
        </w:rPr>
        <w:t xml:space="preserve"> uses a </w:t>
      </w:r>
      <w:r w:rsidR="00C25E60" w:rsidRPr="00305251">
        <w:rPr>
          <w:rFonts w:ascii="Arial" w:hAnsi="Arial" w:cs="Arial"/>
          <w:sz w:val="24"/>
          <w:szCs w:val="24"/>
        </w:rPr>
        <w:t xml:space="preserve">two-stage method.  </w:t>
      </w:r>
      <w:r w:rsidR="002E22FC" w:rsidRPr="00305251">
        <w:rPr>
          <w:rFonts w:ascii="Arial" w:hAnsi="Arial" w:cs="Arial"/>
          <w:sz w:val="24"/>
          <w:szCs w:val="24"/>
        </w:rPr>
        <w:t xml:space="preserve">The first stage </w:t>
      </w:r>
      <w:r w:rsidR="001E4F62" w:rsidRPr="00305251">
        <w:rPr>
          <w:rFonts w:ascii="Arial" w:hAnsi="Arial" w:cs="Arial"/>
          <w:sz w:val="24"/>
          <w:szCs w:val="24"/>
        </w:rPr>
        <w:t>identif</w:t>
      </w:r>
      <w:r w:rsidR="00D224C4" w:rsidRPr="00305251">
        <w:rPr>
          <w:rFonts w:ascii="Arial" w:hAnsi="Arial" w:cs="Arial"/>
          <w:sz w:val="24"/>
          <w:szCs w:val="24"/>
        </w:rPr>
        <w:t>ies</w:t>
      </w:r>
      <w:r w:rsidR="001E4F62" w:rsidRPr="00305251">
        <w:rPr>
          <w:rFonts w:ascii="Arial" w:hAnsi="Arial" w:cs="Arial"/>
          <w:sz w:val="24"/>
          <w:szCs w:val="24"/>
        </w:rPr>
        <w:t xml:space="preserve"> the </w:t>
      </w:r>
      <w:r w:rsidR="00815938">
        <w:rPr>
          <w:rFonts w:ascii="Arial" w:hAnsi="Arial" w:cs="Arial"/>
          <w:sz w:val="24"/>
          <w:szCs w:val="24"/>
        </w:rPr>
        <w:t xml:space="preserve">national </w:t>
      </w:r>
      <w:r w:rsidR="00C036C1" w:rsidRPr="00305251">
        <w:rPr>
          <w:rFonts w:ascii="Arial" w:hAnsi="Arial" w:cs="Arial"/>
          <w:sz w:val="24"/>
          <w:szCs w:val="24"/>
        </w:rPr>
        <w:t xml:space="preserve">average costs </w:t>
      </w:r>
      <w:r w:rsidR="00D224C4" w:rsidRPr="00305251">
        <w:rPr>
          <w:rFonts w:ascii="Arial" w:hAnsi="Arial" w:cs="Arial"/>
          <w:sz w:val="24"/>
          <w:szCs w:val="24"/>
        </w:rPr>
        <w:t xml:space="preserve">separately for males and females </w:t>
      </w:r>
      <w:r w:rsidR="00314BE1" w:rsidRPr="00305251">
        <w:rPr>
          <w:rFonts w:ascii="Arial" w:hAnsi="Arial" w:cs="Arial"/>
          <w:sz w:val="24"/>
          <w:szCs w:val="24"/>
        </w:rPr>
        <w:t>in</w:t>
      </w:r>
      <w:r w:rsidR="00AE39F1" w:rsidRPr="00305251">
        <w:rPr>
          <w:rFonts w:ascii="Arial" w:hAnsi="Arial" w:cs="Arial"/>
          <w:sz w:val="24"/>
          <w:szCs w:val="24"/>
        </w:rPr>
        <w:t xml:space="preserve"> 20 age cohorts</w:t>
      </w:r>
      <w:r w:rsidR="00D61091" w:rsidRPr="00305251">
        <w:rPr>
          <w:rFonts w:ascii="Arial" w:hAnsi="Arial" w:cs="Arial"/>
          <w:sz w:val="24"/>
          <w:szCs w:val="24"/>
        </w:rPr>
        <w:t xml:space="preserve"> (mostly 5-year age</w:t>
      </w:r>
      <w:r w:rsidR="0090576A" w:rsidRPr="00305251">
        <w:rPr>
          <w:rFonts w:ascii="Arial" w:hAnsi="Arial" w:cs="Arial"/>
          <w:sz w:val="24"/>
          <w:szCs w:val="24"/>
        </w:rPr>
        <w:t xml:space="preserve"> bands</w:t>
      </w:r>
      <w:r w:rsidR="00690251">
        <w:rPr>
          <w:rFonts w:ascii="Arial" w:hAnsi="Arial" w:cs="Arial"/>
          <w:sz w:val="24"/>
          <w:szCs w:val="24"/>
        </w:rPr>
        <w:t xml:space="preserve"> – see para. 12</w:t>
      </w:r>
      <w:r w:rsidR="0090576A" w:rsidRPr="00305251">
        <w:rPr>
          <w:rFonts w:ascii="Arial" w:hAnsi="Arial" w:cs="Arial"/>
          <w:sz w:val="24"/>
          <w:szCs w:val="24"/>
        </w:rPr>
        <w:t>)</w:t>
      </w:r>
      <w:r w:rsidR="00C036C1" w:rsidRPr="00305251">
        <w:rPr>
          <w:rFonts w:ascii="Arial" w:hAnsi="Arial" w:cs="Arial"/>
          <w:sz w:val="24"/>
          <w:szCs w:val="24"/>
        </w:rPr>
        <w:t xml:space="preserve">.  These </w:t>
      </w:r>
      <w:r w:rsidR="008218EF" w:rsidRPr="00305251">
        <w:rPr>
          <w:rFonts w:ascii="Arial" w:hAnsi="Arial" w:cs="Arial"/>
          <w:sz w:val="24"/>
          <w:szCs w:val="24"/>
        </w:rPr>
        <w:t xml:space="preserve">costs per capita per </w:t>
      </w:r>
      <w:r w:rsidR="0090576A" w:rsidRPr="00305251">
        <w:rPr>
          <w:rFonts w:ascii="Arial" w:hAnsi="Arial" w:cs="Arial"/>
          <w:sz w:val="24"/>
          <w:szCs w:val="24"/>
        </w:rPr>
        <w:t>age/sex (</w:t>
      </w:r>
      <w:r w:rsidR="008218EF" w:rsidRPr="00305251">
        <w:rPr>
          <w:rFonts w:ascii="Arial" w:hAnsi="Arial" w:cs="Arial"/>
          <w:sz w:val="24"/>
          <w:szCs w:val="24"/>
        </w:rPr>
        <w:t>AS</w:t>
      </w:r>
      <w:r w:rsidR="0090576A" w:rsidRPr="00305251">
        <w:rPr>
          <w:rFonts w:ascii="Arial" w:hAnsi="Arial" w:cs="Arial"/>
          <w:sz w:val="24"/>
          <w:szCs w:val="24"/>
        </w:rPr>
        <w:t>)</w:t>
      </w:r>
      <w:r w:rsidR="008218EF" w:rsidRPr="00305251">
        <w:rPr>
          <w:rFonts w:ascii="Arial" w:hAnsi="Arial" w:cs="Arial"/>
          <w:sz w:val="24"/>
          <w:szCs w:val="24"/>
        </w:rPr>
        <w:t xml:space="preserve"> cohort are then</w:t>
      </w:r>
      <w:r w:rsidR="0090576A" w:rsidRPr="00305251">
        <w:rPr>
          <w:rFonts w:ascii="Arial" w:hAnsi="Arial" w:cs="Arial"/>
          <w:sz w:val="24"/>
          <w:szCs w:val="24"/>
        </w:rPr>
        <w:t xml:space="preserve"> applied to </w:t>
      </w:r>
      <w:r w:rsidR="006E5C39" w:rsidRPr="00305251">
        <w:rPr>
          <w:rFonts w:ascii="Arial" w:hAnsi="Arial" w:cs="Arial"/>
          <w:sz w:val="24"/>
          <w:szCs w:val="24"/>
        </w:rPr>
        <w:t xml:space="preserve">the </w:t>
      </w:r>
      <w:r w:rsidR="00E4385F" w:rsidRPr="00305251">
        <w:rPr>
          <w:rFonts w:ascii="Arial" w:hAnsi="Arial" w:cs="Arial"/>
          <w:sz w:val="24"/>
          <w:szCs w:val="24"/>
        </w:rPr>
        <w:t xml:space="preserve">small area population (SAP) demographic data to estimate the expected costs of providing health services to the </w:t>
      </w:r>
      <w:r w:rsidR="00ED1573">
        <w:rPr>
          <w:rFonts w:ascii="Arial" w:hAnsi="Arial" w:cs="Arial"/>
          <w:sz w:val="24"/>
          <w:szCs w:val="24"/>
        </w:rPr>
        <w:t xml:space="preserve">local </w:t>
      </w:r>
      <w:r w:rsidR="00E73550">
        <w:rPr>
          <w:rFonts w:ascii="Arial" w:hAnsi="Arial" w:cs="Arial"/>
          <w:sz w:val="24"/>
          <w:szCs w:val="24"/>
        </w:rPr>
        <w:t xml:space="preserve">(typically data zone) </w:t>
      </w:r>
      <w:r w:rsidR="0033155B" w:rsidRPr="00305251">
        <w:rPr>
          <w:rFonts w:ascii="Arial" w:hAnsi="Arial" w:cs="Arial"/>
          <w:sz w:val="24"/>
          <w:szCs w:val="24"/>
        </w:rPr>
        <w:t>population</w:t>
      </w:r>
      <w:r w:rsidR="00ED1573">
        <w:rPr>
          <w:rFonts w:ascii="Arial" w:hAnsi="Arial" w:cs="Arial"/>
          <w:sz w:val="24"/>
          <w:szCs w:val="24"/>
        </w:rPr>
        <w:t>s</w:t>
      </w:r>
      <w:r w:rsidR="0033155B" w:rsidRPr="00305251">
        <w:rPr>
          <w:rFonts w:ascii="Arial" w:hAnsi="Arial" w:cs="Arial"/>
          <w:sz w:val="24"/>
          <w:szCs w:val="24"/>
        </w:rPr>
        <w:t xml:space="preserve"> contingent on the AS structure of th</w:t>
      </w:r>
      <w:r w:rsidR="00ED1573">
        <w:rPr>
          <w:rFonts w:ascii="Arial" w:hAnsi="Arial" w:cs="Arial"/>
          <w:sz w:val="24"/>
          <w:szCs w:val="24"/>
        </w:rPr>
        <w:t>ose</w:t>
      </w:r>
      <w:r w:rsidR="0033155B" w:rsidRPr="00305251">
        <w:rPr>
          <w:rFonts w:ascii="Arial" w:hAnsi="Arial" w:cs="Arial"/>
          <w:sz w:val="24"/>
          <w:szCs w:val="24"/>
        </w:rPr>
        <w:t xml:space="preserve"> population</w:t>
      </w:r>
      <w:r w:rsidR="00ED1573">
        <w:rPr>
          <w:rFonts w:ascii="Arial" w:hAnsi="Arial" w:cs="Arial"/>
          <w:sz w:val="24"/>
          <w:szCs w:val="24"/>
        </w:rPr>
        <w:t>s</w:t>
      </w:r>
      <w:r w:rsidR="0033155B" w:rsidRPr="00305251">
        <w:rPr>
          <w:rFonts w:ascii="Arial" w:hAnsi="Arial" w:cs="Arial"/>
          <w:sz w:val="24"/>
          <w:szCs w:val="24"/>
        </w:rPr>
        <w:t xml:space="preserve">.  </w:t>
      </w:r>
      <w:r w:rsidR="003C062A">
        <w:rPr>
          <w:rFonts w:ascii="Arial" w:hAnsi="Arial" w:cs="Arial"/>
          <w:sz w:val="24"/>
          <w:szCs w:val="24"/>
        </w:rPr>
        <w:t>(</w:t>
      </w:r>
      <w:r w:rsidR="00ED1573">
        <w:rPr>
          <w:rFonts w:ascii="Arial" w:hAnsi="Arial" w:cs="Arial"/>
          <w:sz w:val="24"/>
          <w:szCs w:val="24"/>
        </w:rPr>
        <w:t>E</w:t>
      </w:r>
      <w:r w:rsidR="00EC4E7A" w:rsidRPr="00305251">
        <w:rPr>
          <w:rFonts w:ascii="Arial" w:hAnsi="Arial" w:cs="Arial"/>
          <w:sz w:val="24"/>
          <w:szCs w:val="24"/>
        </w:rPr>
        <w:t>ffectively these are indirectly</w:t>
      </w:r>
      <w:r w:rsidR="003B7E5A" w:rsidRPr="00305251">
        <w:rPr>
          <w:rFonts w:ascii="Arial" w:hAnsi="Arial" w:cs="Arial"/>
          <w:sz w:val="24"/>
          <w:szCs w:val="24"/>
        </w:rPr>
        <w:t xml:space="preserve"> age-sex</w:t>
      </w:r>
      <w:r w:rsidR="00EC4E7A" w:rsidRPr="00305251">
        <w:rPr>
          <w:rFonts w:ascii="Arial" w:hAnsi="Arial" w:cs="Arial"/>
          <w:sz w:val="24"/>
          <w:szCs w:val="24"/>
        </w:rPr>
        <w:t xml:space="preserve"> standardised </w:t>
      </w:r>
      <w:r w:rsidR="003B7E5A" w:rsidRPr="00305251">
        <w:rPr>
          <w:rFonts w:ascii="Arial" w:hAnsi="Arial" w:cs="Arial"/>
          <w:sz w:val="24"/>
          <w:szCs w:val="24"/>
        </w:rPr>
        <w:t>cost</w:t>
      </w:r>
      <w:r w:rsidR="00397644">
        <w:rPr>
          <w:rFonts w:ascii="Arial" w:hAnsi="Arial" w:cs="Arial"/>
          <w:sz w:val="24"/>
          <w:szCs w:val="24"/>
        </w:rPr>
        <w:t>-</w:t>
      </w:r>
      <w:r w:rsidR="003B7E5A" w:rsidRPr="00305251">
        <w:rPr>
          <w:rFonts w:ascii="Arial" w:hAnsi="Arial" w:cs="Arial"/>
          <w:sz w:val="24"/>
          <w:szCs w:val="24"/>
        </w:rPr>
        <w:t xml:space="preserve">weighted </w:t>
      </w:r>
      <w:r w:rsidR="00D03A06" w:rsidRPr="00305251">
        <w:rPr>
          <w:rFonts w:ascii="Arial" w:hAnsi="Arial" w:cs="Arial"/>
          <w:sz w:val="24"/>
          <w:szCs w:val="24"/>
        </w:rPr>
        <w:t>utilisation</w:t>
      </w:r>
      <w:r w:rsidR="00ED1573">
        <w:rPr>
          <w:rFonts w:ascii="Arial" w:hAnsi="Arial" w:cs="Arial"/>
          <w:sz w:val="24"/>
          <w:szCs w:val="24"/>
        </w:rPr>
        <w:t xml:space="preserve"> </w:t>
      </w:r>
      <w:r w:rsidR="003C062A">
        <w:rPr>
          <w:rFonts w:ascii="Arial" w:hAnsi="Arial" w:cs="Arial"/>
          <w:sz w:val="24"/>
          <w:szCs w:val="24"/>
        </w:rPr>
        <w:t>estimates for the local populations</w:t>
      </w:r>
      <w:r w:rsidR="00741831" w:rsidRPr="00305251">
        <w:rPr>
          <w:rFonts w:ascii="Arial" w:hAnsi="Arial" w:cs="Arial"/>
          <w:sz w:val="24"/>
          <w:szCs w:val="24"/>
        </w:rPr>
        <w:t>.</w:t>
      </w:r>
      <w:r w:rsidR="000102EF">
        <w:rPr>
          <w:rFonts w:ascii="Arial" w:hAnsi="Arial" w:cs="Arial"/>
          <w:sz w:val="24"/>
          <w:szCs w:val="24"/>
        </w:rPr>
        <w:t>)</w:t>
      </w:r>
      <w:r w:rsidR="00741831" w:rsidRPr="00305251">
        <w:rPr>
          <w:rFonts w:ascii="Arial" w:hAnsi="Arial" w:cs="Arial"/>
          <w:sz w:val="24"/>
          <w:szCs w:val="24"/>
        </w:rPr>
        <w:t xml:space="preserve">  </w:t>
      </w:r>
    </w:p>
    <w:p w14:paraId="582F541E" w14:textId="77777777" w:rsidR="0082126E" w:rsidRDefault="0082126E" w:rsidP="00D06989">
      <w:pPr>
        <w:pStyle w:val="ListParagraph"/>
        <w:spacing w:line="240" w:lineRule="auto"/>
        <w:ind w:left="0"/>
        <w:mirrorIndents/>
        <w:jc w:val="both"/>
        <w:rPr>
          <w:rFonts w:ascii="Arial" w:hAnsi="Arial" w:cs="Arial"/>
          <w:sz w:val="24"/>
          <w:szCs w:val="24"/>
        </w:rPr>
      </w:pPr>
    </w:p>
    <w:p w14:paraId="3A9AE41C" w14:textId="022E2100" w:rsidR="0082126E" w:rsidRPr="008B7C19" w:rsidRDefault="00F82734" w:rsidP="00D06989">
      <w:pPr>
        <w:pStyle w:val="ListParagraph"/>
        <w:numPr>
          <w:ilvl w:val="0"/>
          <w:numId w:val="8"/>
        </w:numPr>
        <w:spacing w:line="240" w:lineRule="auto"/>
        <w:ind w:left="0" w:firstLine="0"/>
        <w:mirrorIndents/>
        <w:jc w:val="both"/>
        <w:rPr>
          <w:rFonts w:ascii="Arial" w:hAnsi="Arial" w:cs="Arial"/>
          <w:sz w:val="24"/>
          <w:szCs w:val="24"/>
        </w:rPr>
      </w:pPr>
      <w:r>
        <w:rPr>
          <w:rFonts w:ascii="Arial" w:hAnsi="Arial" w:cs="Arial"/>
          <w:sz w:val="24"/>
          <w:szCs w:val="24"/>
        </w:rPr>
        <w:t>At</w:t>
      </w:r>
      <w:r w:rsidR="008460F3">
        <w:rPr>
          <w:rFonts w:ascii="Arial" w:hAnsi="Arial" w:cs="Arial"/>
          <w:sz w:val="24"/>
          <w:szCs w:val="24"/>
        </w:rPr>
        <w:t xml:space="preserve"> t</w:t>
      </w:r>
      <w:r w:rsidR="00364A3D" w:rsidRPr="0082126E">
        <w:rPr>
          <w:rFonts w:ascii="Arial" w:hAnsi="Arial" w:cs="Arial"/>
          <w:sz w:val="24"/>
          <w:szCs w:val="24"/>
        </w:rPr>
        <w:t>he second stage the</w:t>
      </w:r>
      <w:r w:rsidR="00874026" w:rsidRPr="0082126E">
        <w:rPr>
          <w:rFonts w:ascii="Arial" w:hAnsi="Arial" w:cs="Arial"/>
          <w:sz w:val="24"/>
          <w:szCs w:val="24"/>
        </w:rPr>
        <w:t xml:space="preserve"> ratio</w:t>
      </w:r>
      <w:r>
        <w:rPr>
          <w:rFonts w:ascii="Arial" w:hAnsi="Arial" w:cs="Arial"/>
          <w:sz w:val="24"/>
          <w:szCs w:val="24"/>
        </w:rPr>
        <w:t xml:space="preserve"> of</w:t>
      </w:r>
      <w:r w:rsidR="00874026" w:rsidRPr="0082126E">
        <w:rPr>
          <w:rFonts w:ascii="Arial" w:hAnsi="Arial" w:cs="Arial"/>
          <w:sz w:val="24"/>
          <w:szCs w:val="24"/>
        </w:rPr>
        <w:t xml:space="preserve"> </w:t>
      </w:r>
      <w:r w:rsidR="00423F09">
        <w:rPr>
          <w:rFonts w:ascii="Arial" w:hAnsi="Arial" w:cs="Arial"/>
          <w:sz w:val="24"/>
          <w:szCs w:val="24"/>
        </w:rPr>
        <w:t xml:space="preserve">these estimated costs to </w:t>
      </w:r>
      <w:r w:rsidR="00874026" w:rsidRPr="0082126E">
        <w:rPr>
          <w:rFonts w:ascii="Arial" w:hAnsi="Arial" w:cs="Arial"/>
          <w:sz w:val="24"/>
          <w:szCs w:val="24"/>
        </w:rPr>
        <w:t>the</w:t>
      </w:r>
      <w:r w:rsidR="00364A3D" w:rsidRPr="0082126E">
        <w:rPr>
          <w:rFonts w:ascii="Arial" w:hAnsi="Arial" w:cs="Arial"/>
          <w:sz w:val="24"/>
          <w:szCs w:val="24"/>
        </w:rPr>
        <w:t xml:space="preserve"> </w:t>
      </w:r>
      <w:r w:rsidR="004F399F" w:rsidRPr="0082126E">
        <w:rPr>
          <w:rFonts w:ascii="Arial" w:hAnsi="Arial" w:cs="Arial"/>
          <w:sz w:val="24"/>
          <w:szCs w:val="24"/>
        </w:rPr>
        <w:t xml:space="preserve">actual observed cost </w:t>
      </w:r>
      <w:r w:rsidR="00423F09">
        <w:rPr>
          <w:rFonts w:ascii="Arial" w:hAnsi="Arial" w:cs="Arial"/>
          <w:sz w:val="24"/>
          <w:szCs w:val="24"/>
        </w:rPr>
        <w:t xml:space="preserve">(for those local populations) </w:t>
      </w:r>
      <w:r w:rsidR="008460F3">
        <w:rPr>
          <w:rFonts w:ascii="Arial" w:hAnsi="Arial" w:cs="Arial"/>
          <w:sz w:val="24"/>
          <w:szCs w:val="24"/>
        </w:rPr>
        <w:t>i</w:t>
      </w:r>
      <w:r w:rsidR="001275FF" w:rsidRPr="0082126E">
        <w:rPr>
          <w:rFonts w:ascii="Arial" w:hAnsi="Arial" w:cs="Arial"/>
          <w:sz w:val="24"/>
          <w:szCs w:val="24"/>
        </w:rPr>
        <w:t>s calculated</w:t>
      </w:r>
      <w:r w:rsidR="00874026" w:rsidRPr="0082126E">
        <w:rPr>
          <w:rFonts w:ascii="Arial" w:hAnsi="Arial" w:cs="Arial"/>
          <w:sz w:val="24"/>
          <w:szCs w:val="24"/>
        </w:rPr>
        <w:t>.  This ratio</w:t>
      </w:r>
      <w:r w:rsidR="00757EF0" w:rsidRPr="0082126E">
        <w:rPr>
          <w:rFonts w:ascii="Arial" w:hAnsi="Arial" w:cs="Arial"/>
          <w:sz w:val="24"/>
          <w:szCs w:val="24"/>
        </w:rPr>
        <w:t>, which</w:t>
      </w:r>
      <w:r w:rsidR="00874026" w:rsidRPr="0082126E">
        <w:rPr>
          <w:rFonts w:ascii="Arial" w:hAnsi="Arial" w:cs="Arial"/>
          <w:sz w:val="24"/>
          <w:szCs w:val="24"/>
        </w:rPr>
        <w:t xml:space="preserve"> </w:t>
      </w:r>
      <w:r w:rsidR="001010F6" w:rsidRPr="0082126E">
        <w:rPr>
          <w:rFonts w:ascii="Arial" w:hAnsi="Arial" w:cs="Arial"/>
          <w:sz w:val="24"/>
          <w:szCs w:val="24"/>
        </w:rPr>
        <w:t>captures</w:t>
      </w:r>
      <w:r w:rsidR="00874026" w:rsidRPr="0082126E">
        <w:rPr>
          <w:rFonts w:ascii="Arial" w:hAnsi="Arial" w:cs="Arial"/>
          <w:sz w:val="24"/>
          <w:szCs w:val="24"/>
        </w:rPr>
        <w:t xml:space="preserve"> the variation of the</w:t>
      </w:r>
      <w:r w:rsidR="001A508F" w:rsidRPr="0082126E">
        <w:rPr>
          <w:rFonts w:ascii="Arial" w:hAnsi="Arial" w:cs="Arial"/>
          <w:sz w:val="24"/>
          <w:szCs w:val="24"/>
        </w:rPr>
        <w:t xml:space="preserve"> actual costs relative to the</w:t>
      </w:r>
      <w:r w:rsidR="00874026" w:rsidRPr="0082126E">
        <w:rPr>
          <w:rFonts w:ascii="Arial" w:hAnsi="Arial" w:cs="Arial"/>
          <w:sz w:val="24"/>
          <w:szCs w:val="24"/>
        </w:rPr>
        <w:t xml:space="preserve"> ex</w:t>
      </w:r>
      <w:r w:rsidR="001A508F" w:rsidRPr="0082126E">
        <w:rPr>
          <w:rFonts w:ascii="Arial" w:hAnsi="Arial" w:cs="Arial"/>
          <w:sz w:val="24"/>
          <w:szCs w:val="24"/>
        </w:rPr>
        <w:t>p</w:t>
      </w:r>
      <w:r w:rsidR="00874026" w:rsidRPr="0082126E">
        <w:rPr>
          <w:rFonts w:ascii="Arial" w:hAnsi="Arial" w:cs="Arial"/>
          <w:sz w:val="24"/>
          <w:szCs w:val="24"/>
        </w:rPr>
        <w:t xml:space="preserve">ected costs </w:t>
      </w:r>
      <w:r w:rsidR="001A508F" w:rsidRPr="0082126E">
        <w:rPr>
          <w:rFonts w:ascii="Arial" w:hAnsi="Arial" w:cs="Arial"/>
          <w:sz w:val="24"/>
          <w:szCs w:val="24"/>
        </w:rPr>
        <w:t>(</w:t>
      </w:r>
      <w:r w:rsidR="00874026" w:rsidRPr="0082126E">
        <w:rPr>
          <w:rFonts w:ascii="Arial" w:hAnsi="Arial" w:cs="Arial"/>
          <w:sz w:val="24"/>
          <w:szCs w:val="24"/>
        </w:rPr>
        <w:t>based on the AS structure of the population alone</w:t>
      </w:r>
      <w:r w:rsidR="001A508F" w:rsidRPr="0082126E">
        <w:rPr>
          <w:rFonts w:ascii="Arial" w:hAnsi="Arial" w:cs="Arial"/>
          <w:sz w:val="24"/>
          <w:szCs w:val="24"/>
        </w:rPr>
        <w:t>)</w:t>
      </w:r>
      <w:r w:rsidR="001B1D0F" w:rsidRPr="0082126E">
        <w:rPr>
          <w:rFonts w:ascii="Arial" w:hAnsi="Arial" w:cs="Arial"/>
          <w:sz w:val="24"/>
          <w:szCs w:val="24"/>
        </w:rPr>
        <w:t xml:space="preserve">, reflects the effects of </w:t>
      </w:r>
      <w:r w:rsidR="00522C76">
        <w:rPr>
          <w:rFonts w:ascii="Arial" w:hAnsi="Arial" w:cs="Arial"/>
          <w:sz w:val="24"/>
          <w:szCs w:val="24"/>
        </w:rPr>
        <w:t xml:space="preserve">the </w:t>
      </w:r>
      <w:r w:rsidR="00B2075C" w:rsidRPr="0082126E">
        <w:rPr>
          <w:rFonts w:ascii="Arial" w:hAnsi="Arial" w:cs="Arial"/>
          <w:sz w:val="24"/>
          <w:szCs w:val="24"/>
        </w:rPr>
        <w:t xml:space="preserve">different </w:t>
      </w:r>
      <w:r w:rsidR="001B1D0F" w:rsidRPr="0082126E">
        <w:rPr>
          <w:rFonts w:ascii="Arial" w:hAnsi="Arial" w:cs="Arial"/>
          <w:sz w:val="24"/>
          <w:szCs w:val="24"/>
        </w:rPr>
        <w:t xml:space="preserve">MLC </w:t>
      </w:r>
      <w:r w:rsidR="00B2075C" w:rsidRPr="0082126E">
        <w:rPr>
          <w:rFonts w:ascii="Arial" w:hAnsi="Arial" w:cs="Arial"/>
          <w:sz w:val="24"/>
          <w:szCs w:val="24"/>
        </w:rPr>
        <w:t>across the SAP</w:t>
      </w:r>
      <w:r w:rsidR="00C13B5A" w:rsidRPr="0082126E">
        <w:rPr>
          <w:rFonts w:ascii="Arial" w:hAnsi="Arial" w:cs="Arial"/>
          <w:sz w:val="24"/>
          <w:szCs w:val="24"/>
        </w:rPr>
        <w:t>.  Th</w:t>
      </w:r>
      <w:r w:rsidR="0071764F">
        <w:rPr>
          <w:rFonts w:ascii="Arial" w:hAnsi="Arial" w:cs="Arial"/>
          <w:sz w:val="24"/>
          <w:szCs w:val="24"/>
        </w:rPr>
        <w:t>e</w:t>
      </w:r>
      <w:r w:rsidR="00C13B5A" w:rsidRPr="0082126E">
        <w:rPr>
          <w:rFonts w:ascii="Arial" w:hAnsi="Arial" w:cs="Arial"/>
          <w:sz w:val="24"/>
          <w:szCs w:val="24"/>
        </w:rPr>
        <w:t xml:space="preserve"> ratio is regressed on the indicators of need</w:t>
      </w:r>
      <w:r w:rsidR="0013076F" w:rsidRPr="0082126E">
        <w:rPr>
          <w:rFonts w:ascii="Arial" w:hAnsi="Arial" w:cs="Arial"/>
          <w:sz w:val="24"/>
          <w:szCs w:val="24"/>
        </w:rPr>
        <w:t xml:space="preserve"> </w:t>
      </w:r>
      <w:r w:rsidR="007275A2">
        <w:rPr>
          <w:rFonts w:ascii="Arial" w:hAnsi="Arial" w:cs="Arial"/>
          <w:sz w:val="24"/>
          <w:szCs w:val="24"/>
        </w:rPr>
        <w:t xml:space="preserve">(representing the MLC) </w:t>
      </w:r>
      <w:r w:rsidR="00965494" w:rsidRPr="0082126E">
        <w:rPr>
          <w:rFonts w:ascii="Arial" w:hAnsi="Arial" w:cs="Arial"/>
          <w:sz w:val="24"/>
          <w:szCs w:val="24"/>
        </w:rPr>
        <w:t xml:space="preserve">to </w:t>
      </w:r>
      <w:r w:rsidR="007275A2">
        <w:rPr>
          <w:rFonts w:ascii="Arial" w:hAnsi="Arial" w:cs="Arial"/>
          <w:sz w:val="24"/>
          <w:szCs w:val="24"/>
        </w:rPr>
        <w:t>identify</w:t>
      </w:r>
      <w:r w:rsidR="00965494" w:rsidRPr="0082126E">
        <w:rPr>
          <w:rFonts w:ascii="Arial" w:hAnsi="Arial" w:cs="Arial"/>
          <w:sz w:val="24"/>
          <w:szCs w:val="24"/>
        </w:rPr>
        <w:t xml:space="preserve"> the relative </w:t>
      </w:r>
      <w:r w:rsidR="002A48D1">
        <w:rPr>
          <w:rFonts w:ascii="Arial" w:hAnsi="Arial" w:cs="Arial"/>
          <w:sz w:val="24"/>
          <w:szCs w:val="24"/>
        </w:rPr>
        <w:t xml:space="preserve">effect </w:t>
      </w:r>
      <w:r w:rsidR="007275A2">
        <w:rPr>
          <w:rFonts w:ascii="Arial" w:hAnsi="Arial" w:cs="Arial"/>
          <w:sz w:val="24"/>
          <w:szCs w:val="24"/>
        </w:rPr>
        <w:t>which they have on</w:t>
      </w:r>
      <w:r w:rsidR="00965494" w:rsidRPr="0082126E">
        <w:rPr>
          <w:rFonts w:ascii="Arial" w:hAnsi="Arial" w:cs="Arial"/>
          <w:sz w:val="24"/>
          <w:szCs w:val="24"/>
        </w:rPr>
        <w:t xml:space="preserve"> </w:t>
      </w:r>
      <w:r w:rsidR="00C943FB" w:rsidRPr="0082126E">
        <w:rPr>
          <w:rFonts w:ascii="Arial" w:hAnsi="Arial" w:cs="Arial"/>
          <w:sz w:val="24"/>
          <w:szCs w:val="24"/>
        </w:rPr>
        <w:t>need (</w:t>
      </w:r>
      <w:r w:rsidR="00D62061" w:rsidRPr="0082126E">
        <w:rPr>
          <w:rFonts w:ascii="Arial" w:hAnsi="Arial" w:cs="Arial"/>
          <w:sz w:val="24"/>
          <w:szCs w:val="24"/>
        </w:rPr>
        <w:t>having controlled for the effect of AS)</w:t>
      </w:r>
      <w:r w:rsidR="00ED06BC" w:rsidRPr="0082126E">
        <w:rPr>
          <w:rFonts w:ascii="Arial" w:hAnsi="Arial" w:cs="Arial"/>
          <w:sz w:val="24"/>
          <w:szCs w:val="24"/>
        </w:rPr>
        <w:t xml:space="preserve">.  </w:t>
      </w:r>
    </w:p>
    <w:p w14:paraId="632DDAC4" w14:textId="77777777" w:rsidR="0082126E" w:rsidRPr="0082126E" w:rsidRDefault="0082126E" w:rsidP="00D06989">
      <w:pPr>
        <w:pStyle w:val="ListParagraph"/>
        <w:spacing w:line="240" w:lineRule="auto"/>
        <w:ind w:left="0"/>
        <w:rPr>
          <w:rFonts w:ascii="Arial" w:hAnsi="Arial" w:cs="Arial"/>
          <w:sz w:val="24"/>
          <w:szCs w:val="24"/>
        </w:rPr>
      </w:pPr>
    </w:p>
    <w:p w14:paraId="18188B5C" w14:textId="305F5D7E" w:rsidR="0082126E" w:rsidRPr="00C56808" w:rsidRDefault="00733399" w:rsidP="00D06989">
      <w:pPr>
        <w:pStyle w:val="ListParagraph"/>
        <w:numPr>
          <w:ilvl w:val="0"/>
          <w:numId w:val="8"/>
        </w:numPr>
        <w:spacing w:line="240" w:lineRule="auto"/>
        <w:ind w:left="0" w:firstLine="0"/>
        <w:mirrorIndents/>
        <w:jc w:val="both"/>
        <w:rPr>
          <w:rFonts w:ascii="Arial" w:hAnsi="Arial" w:cs="Arial"/>
          <w:sz w:val="24"/>
          <w:szCs w:val="24"/>
        </w:rPr>
      </w:pPr>
      <w:r w:rsidRPr="00C56808">
        <w:rPr>
          <w:rFonts w:ascii="Arial" w:hAnsi="Arial" w:cs="Arial"/>
          <w:sz w:val="24"/>
          <w:szCs w:val="24"/>
        </w:rPr>
        <w:t>Th</w:t>
      </w:r>
      <w:r w:rsidR="009E114F" w:rsidRPr="00C56808">
        <w:rPr>
          <w:rFonts w:ascii="Arial" w:hAnsi="Arial" w:cs="Arial"/>
          <w:sz w:val="24"/>
          <w:szCs w:val="24"/>
        </w:rPr>
        <w:t>is</w:t>
      </w:r>
      <w:r w:rsidRPr="00C56808">
        <w:rPr>
          <w:rFonts w:ascii="Arial" w:hAnsi="Arial" w:cs="Arial"/>
          <w:sz w:val="24"/>
          <w:szCs w:val="24"/>
        </w:rPr>
        <w:t xml:space="preserve"> two-stage method </w:t>
      </w:r>
      <w:r w:rsidR="009E114F" w:rsidRPr="00C56808">
        <w:rPr>
          <w:rFonts w:ascii="Arial" w:hAnsi="Arial" w:cs="Arial"/>
          <w:sz w:val="24"/>
          <w:szCs w:val="24"/>
        </w:rPr>
        <w:t>produces</w:t>
      </w:r>
      <w:r w:rsidR="00DC6C7D" w:rsidRPr="00C56808">
        <w:rPr>
          <w:rFonts w:ascii="Arial" w:hAnsi="Arial" w:cs="Arial"/>
          <w:sz w:val="24"/>
          <w:szCs w:val="24"/>
        </w:rPr>
        <w:t xml:space="preserve"> </w:t>
      </w:r>
      <w:r w:rsidR="006C18B6" w:rsidRPr="00C56808">
        <w:rPr>
          <w:rFonts w:ascii="Arial" w:hAnsi="Arial" w:cs="Arial"/>
          <w:sz w:val="24"/>
          <w:szCs w:val="24"/>
        </w:rPr>
        <w:t xml:space="preserve">AS </w:t>
      </w:r>
      <w:r w:rsidR="000761AD" w:rsidRPr="00C56808">
        <w:rPr>
          <w:rFonts w:ascii="Arial" w:hAnsi="Arial" w:cs="Arial"/>
          <w:sz w:val="24"/>
          <w:szCs w:val="24"/>
        </w:rPr>
        <w:t xml:space="preserve">need </w:t>
      </w:r>
      <w:r w:rsidR="006C18B6" w:rsidRPr="00C56808">
        <w:rPr>
          <w:rFonts w:ascii="Arial" w:hAnsi="Arial" w:cs="Arial"/>
          <w:sz w:val="24"/>
          <w:szCs w:val="24"/>
        </w:rPr>
        <w:t>weights which vary by AS cohort but are the same for any</w:t>
      </w:r>
      <w:r w:rsidR="000761AD" w:rsidRPr="00C56808">
        <w:rPr>
          <w:rFonts w:ascii="Arial" w:hAnsi="Arial" w:cs="Arial"/>
          <w:sz w:val="24"/>
          <w:szCs w:val="24"/>
        </w:rPr>
        <w:t xml:space="preserve"> individual</w:t>
      </w:r>
      <w:r w:rsidR="006C18B6" w:rsidRPr="00C56808">
        <w:rPr>
          <w:rFonts w:ascii="Arial" w:hAnsi="Arial" w:cs="Arial"/>
          <w:sz w:val="24"/>
          <w:szCs w:val="24"/>
        </w:rPr>
        <w:t xml:space="preserve"> AS cohort across SAP; and MLC weights which vary across SAP but which are the same for all ages in any individual SAP.  </w:t>
      </w:r>
    </w:p>
    <w:p w14:paraId="00A6F875" w14:textId="77777777" w:rsidR="0082126E" w:rsidRDefault="0082126E" w:rsidP="00D06989">
      <w:pPr>
        <w:pStyle w:val="ListParagraph"/>
        <w:spacing w:line="240" w:lineRule="auto"/>
        <w:ind w:left="0"/>
        <w:rPr>
          <w:rFonts w:ascii="Arial" w:hAnsi="Arial" w:cs="Arial"/>
          <w:sz w:val="24"/>
          <w:szCs w:val="24"/>
        </w:rPr>
      </w:pPr>
    </w:p>
    <w:p w14:paraId="7358B9D9" w14:textId="67F645AE" w:rsidR="0082126E" w:rsidRPr="0082126E" w:rsidRDefault="0082126E" w:rsidP="00D06989">
      <w:pPr>
        <w:pStyle w:val="ListParagraph"/>
        <w:spacing w:line="240" w:lineRule="auto"/>
        <w:ind w:left="0"/>
        <w:rPr>
          <w:rFonts w:ascii="Arial" w:hAnsi="Arial" w:cs="Arial"/>
          <w:i/>
          <w:iCs/>
          <w:sz w:val="24"/>
          <w:szCs w:val="24"/>
        </w:rPr>
      </w:pPr>
      <w:r w:rsidRPr="0082126E">
        <w:rPr>
          <w:rFonts w:ascii="Arial" w:hAnsi="Arial" w:cs="Arial"/>
          <w:i/>
          <w:iCs/>
          <w:sz w:val="24"/>
          <w:szCs w:val="24"/>
        </w:rPr>
        <w:t>Alternative:</w:t>
      </w:r>
    </w:p>
    <w:p w14:paraId="398D05DD" w14:textId="3A4D9C86" w:rsidR="004B1193" w:rsidRDefault="002E6A1A" w:rsidP="00D06989">
      <w:pPr>
        <w:pStyle w:val="ListParagraph"/>
        <w:numPr>
          <w:ilvl w:val="0"/>
          <w:numId w:val="8"/>
        </w:numPr>
        <w:spacing w:line="240" w:lineRule="auto"/>
        <w:ind w:left="0" w:firstLine="0"/>
        <w:mirrorIndents/>
        <w:jc w:val="both"/>
        <w:rPr>
          <w:rFonts w:ascii="Arial" w:hAnsi="Arial" w:cs="Arial"/>
          <w:sz w:val="24"/>
          <w:szCs w:val="24"/>
        </w:rPr>
      </w:pPr>
      <w:r w:rsidRPr="0082126E">
        <w:rPr>
          <w:rFonts w:ascii="Arial" w:hAnsi="Arial" w:cs="Arial"/>
          <w:sz w:val="24"/>
          <w:szCs w:val="24"/>
        </w:rPr>
        <w:t>The alternative</w:t>
      </w:r>
      <w:r w:rsidR="00507329" w:rsidRPr="0082126E">
        <w:rPr>
          <w:rFonts w:ascii="Arial" w:hAnsi="Arial" w:cs="Arial"/>
          <w:sz w:val="24"/>
          <w:szCs w:val="24"/>
        </w:rPr>
        <w:t xml:space="preserve"> one-stage approach is used in the </w:t>
      </w:r>
      <w:r w:rsidR="00A927CE" w:rsidRPr="0082126E">
        <w:rPr>
          <w:rFonts w:ascii="Arial" w:hAnsi="Arial" w:cs="Arial"/>
          <w:sz w:val="24"/>
          <w:szCs w:val="24"/>
        </w:rPr>
        <w:t xml:space="preserve">Scottish Workload Formula (SWF), </w:t>
      </w:r>
      <w:r w:rsidR="00CF70F4" w:rsidRPr="0082126E">
        <w:rPr>
          <w:rFonts w:ascii="Arial" w:hAnsi="Arial" w:cs="Arial"/>
          <w:sz w:val="24"/>
          <w:szCs w:val="24"/>
        </w:rPr>
        <w:t>which</w:t>
      </w:r>
      <w:r w:rsidR="00A927CE" w:rsidRPr="0082126E">
        <w:rPr>
          <w:rFonts w:ascii="Arial" w:hAnsi="Arial" w:cs="Arial"/>
          <w:sz w:val="24"/>
          <w:szCs w:val="24"/>
        </w:rPr>
        <w:t xml:space="preserve"> allocate</w:t>
      </w:r>
      <w:r w:rsidR="00CF70F4" w:rsidRPr="0082126E">
        <w:rPr>
          <w:rFonts w:ascii="Arial" w:hAnsi="Arial" w:cs="Arial"/>
          <w:sz w:val="24"/>
          <w:szCs w:val="24"/>
        </w:rPr>
        <w:t>s</w:t>
      </w:r>
      <w:r w:rsidR="00A927CE" w:rsidRPr="0082126E">
        <w:rPr>
          <w:rFonts w:ascii="Arial" w:hAnsi="Arial" w:cs="Arial"/>
          <w:sz w:val="24"/>
          <w:szCs w:val="24"/>
        </w:rPr>
        <w:t xml:space="preserve"> the Global Sum to primary care practices</w:t>
      </w:r>
      <w:r w:rsidR="007A06B9" w:rsidRPr="0082126E">
        <w:rPr>
          <w:rFonts w:ascii="Arial" w:hAnsi="Arial" w:cs="Arial"/>
          <w:sz w:val="24"/>
          <w:szCs w:val="24"/>
        </w:rPr>
        <w:t xml:space="preserve">, and </w:t>
      </w:r>
      <w:r w:rsidRPr="0082126E">
        <w:rPr>
          <w:rFonts w:ascii="Arial" w:hAnsi="Arial" w:cs="Arial"/>
          <w:sz w:val="24"/>
          <w:szCs w:val="24"/>
        </w:rPr>
        <w:t xml:space="preserve">was </w:t>
      </w:r>
      <w:r w:rsidR="001F7612" w:rsidRPr="0082126E">
        <w:rPr>
          <w:rFonts w:ascii="Arial" w:hAnsi="Arial" w:cs="Arial"/>
          <w:sz w:val="24"/>
          <w:szCs w:val="24"/>
        </w:rPr>
        <w:t>developed for</w:t>
      </w:r>
      <w:r w:rsidRPr="0082126E">
        <w:rPr>
          <w:rFonts w:ascii="Arial" w:hAnsi="Arial" w:cs="Arial"/>
          <w:sz w:val="24"/>
          <w:szCs w:val="24"/>
        </w:rPr>
        <w:t xml:space="preserve"> the</w:t>
      </w:r>
      <w:r w:rsidR="007A06B9" w:rsidRPr="0082126E">
        <w:rPr>
          <w:rFonts w:ascii="Arial" w:hAnsi="Arial" w:cs="Arial"/>
          <w:sz w:val="24"/>
          <w:szCs w:val="24"/>
        </w:rPr>
        <w:t xml:space="preserve"> allocation formulae in England</w:t>
      </w:r>
      <w:r w:rsidR="00EF42DD" w:rsidRPr="0082126E">
        <w:rPr>
          <w:rFonts w:ascii="Arial" w:hAnsi="Arial" w:cs="Arial"/>
          <w:sz w:val="24"/>
          <w:szCs w:val="24"/>
        </w:rPr>
        <w:t xml:space="preserve"> with the CARAN </w:t>
      </w:r>
      <w:r w:rsidR="00480B7C" w:rsidRPr="0082126E">
        <w:rPr>
          <w:rFonts w:ascii="Arial" w:hAnsi="Arial" w:cs="Arial"/>
          <w:sz w:val="24"/>
          <w:szCs w:val="24"/>
        </w:rPr>
        <w:t>R</w:t>
      </w:r>
      <w:r w:rsidR="00EF42DD" w:rsidRPr="0082126E">
        <w:rPr>
          <w:rFonts w:ascii="Arial" w:hAnsi="Arial" w:cs="Arial"/>
          <w:sz w:val="24"/>
          <w:szCs w:val="24"/>
        </w:rPr>
        <w:t>eport</w:t>
      </w:r>
      <w:r w:rsidR="00D95762">
        <w:rPr>
          <w:rStyle w:val="FootnoteReference"/>
          <w:rFonts w:ascii="Arial" w:hAnsi="Arial" w:cs="Arial"/>
          <w:sz w:val="24"/>
          <w:szCs w:val="24"/>
        </w:rPr>
        <w:footnoteReference w:id="1"/>
      </w:r>
      <w:r w:rsidR="007A06B9" w:rsidRPr="0082126E">
        <w:rPr>
          <w:rFonts w:ascii="Arial" w:hAnsi="Arial" w:cs="Arial"/>
          <w:sz w:val="24"/>
          <w:szCs w:val="24"/>
        </w:rPr>
        <w:t xml:space="preserve">.  </w:t>
      </w:r>
      <w:r w:rsidR="002C72AC" w:rsidRPr="0082126E">
        <w:rPr>
          <w:rFonts w:ascii="Arial" w:hAnsi="Arial" w:cs="Arial"/>
          <w:sz w:val="24"/>
          <w:szCs w:val="24"/>
        </w:rPr>
        <w:t xml:space="preserve">In this method the </w:t>
      </w:r>
      <w:r w:rsidR="008D1252" w:rsidRPr="0082126E">
        <w:rPr>
          <w:rFonts w:ascii="Arial" w:hAnsi="Arial" w:cs="Arial"/>
          <w:sz w:val="24"/>
          <w:szCs w:val="24"/>
        </w:rPr>
        <w:t>costed utilisation</w:t>
      </w:r>
      <w:r w:rsidR="00CE06F0" w:rsidRPr="0082126E">
        <w:rPr>
          <w:rFonts w:ascii="Arial" w:hAnsi="Arial" w:cs="Arial"/>
          <w:sz w:val="24"/>
          <w:szCs w:val="24"/>
        </w:rPr>
        <w:t xml:space="preserve"> </w:t>
      </w:r>
      <w:r w:rsidR="006F4CEC" w:rsidRPr="0082126E">
        <w:rPr>
          <w:rFonts w:ascii="Arial" w:hAnsi="Arial" w:cs="Arial"/>
          <w:sz w:val="24"/>
          <w:szCs w:val="24"/>
        </w:rPr>
        <w:t>is regressed directly on AS and MLC variables</w:t>
      </w:r>
      <w:r w:rsidR="005A0684" w:rsidRPr="0082126E">
        <w:rPr>
          <w:rFonts w:ascii="Arial" w:hAnsi="Arial" w:cs="Arial"/>
          <w:sz w:val="24"/>
          <w:szCs w:val="24"/>
        </w:rPr>
        <w:t xml:space="preserve"> </w:t>
      </w:r>
      <w:r w:rsidR="006A06EC">
        <w:rPr>
          <w:rFonts w:ascii="Arial" w:hAnsi="Arial" w:cs="Arial"/>
          <w:sz w:val="24"/>
          <w:szCs w:val="24"/>
        </w:rPr>
        <w:t xml:space="preserve">simultaneously </w:t>
      </w:r>
      <w:r w:rsidR="005A0684" w:rsidRPr="0082126E">
        <w:rPr>
          <w:rFonts w:ascii="Arial" w:hAnsi="Arial" w:cs="Arial"/>
          <w:sz w:val="24"/>
          <w:szCs w:val="24"/>
        </w:rPr>
        <w:t>to calculate the weights.  Two ways of doing this</w:t>
      </w:r>
      <w:r w:rsidR="00101A4E" w:rsidRPr="0082126E">
        <w:rPr>
          <w:rFonts w:ascii="Arial" w:hAnsi="Arial" w:cs="Arial"/>
          <w:sz w:val="24"/>
          <w:szCs w:val="24"/>
        </w:rPr>
        <w:t xml:space="preserve"> were compared</w:t>
      </w:r>
      <w:r w:rsidR="00BC07EF">
        <w:rPr>
          <w:rFonts w:ascii="Arial" w:hAnsi="Arial" w:cs="Arial"/>
          <w:sz w:val="24"/>
          <w:szCs w:val="24"/>
        </w:rPr>
        <w:t xml:space="preserve"> in CARAN</w:t>
      </w:r>
      <w:r w:rsidR="007E619B" w:rsidRPr="0082126E">
        <w:rPr>
          <w:rFonts w:ascii="Arial" w:hAnsi="Arial" w:cs="Arial"/>
          <w:sz w:val="24"/>
          <w:szCs w:val="24"/>
        </w:rPr>
        <w:t xml:space="preserve">: </w:t>
      </w:r>
      <w:r w:rsidR="00101A4E" w:rsidRPr="0082126E">
        <w:rPr>
          <w:rFonts w:ascii="Arial" w:hAnsi="Arial" w:cs="Arial"/>
          <w:sz w:val="24"/>
          <w:szCs w:val="24"/>
        </w:rPr>
        <w:t xml:space="preserve">an </w:t>
      </w:r>
      <w:r w:rsidR="00E956D4" w:rsidRPr="0082126E">
        <w:rPr>
          <w:rFonts w:ascii="Arial" w:hAnsi="Arial" w:cs="Arial"/>
          <w:sz w:val="24"/>
          <w:szCs w:val="24"/>
        </w:rPr>
        <w:t>additive</w:t>
      </w:r>
      <w:r w:rsidR="00830338" w:rsidRPr="0082126E">
        <w:rPr>
          <w:rFonts w:ascii="Arial" w:hAnsi="Arial" w:cs="Arial"/>
          <w:sz w:val="24"/>
          <w:szCs w:val="24"/>
        </w:rPr>
        <w:t xml:space="preserve"> one</w:t>
      </w:r>
      <w:r w:rsidR="000F2125" w:rsidRPr="0082126E">
        <w:rPr>
          <w:rFonts w:ascii="Arial" w:hAnsi="Arial" w:cs="Arial"/>
          <w:sz w:val="24"/>
          <w:szCs w:val="24"/>
        </w:rPr>
        <w:t>-</w:t>
      </w:r>
      <w:r w:rsidR="00830338" w:rsidRPr="0082126E">
        <w:rPr>
          <w:rFonts w:ascii="Arial" w:hAnsi="Arial" w:cs="Arial"/>
          <w:sz w:val="24"/>
          <w:szCs w:val="24"/>
        </w:rPr>
        <w:t>stage method and a stratified one</w:t>
      </w:r>
      <w:r w:rsidR="000F2125" w:rsidRPr="0082126E">
        <w:rPr>
          <w:rFonts w:ascii="Arial" w:hAnsi="Arial" w:cs="Arial"/>
          <w:sz w:val="24"/>
          <w:szCs w:val="24"/>
        </w:rPr>
        <w:t>-</w:t>
      </w:r>
      <w:r w:rsidR="00830338" w:rsidRPr="0082126E">
        <w:rPr>
          <w:rFonts w:ascii="Arial" w:hAnsi="Arial" w:cs="Arial"/>
          <w:sz w:val="24"/>
          <w:szCs w:val="24"/>
        </w:rPr>
        <w:t>stage method</w:t>
      </w:r>
      <w:r w:rsidR="000F2125" w:rsidRPr="0082126E">
        <w:rPr>
          <w:rFonts w:ascii="Arial" w:hAnsi="Arial" w:cs="Arial"/>
          <w:sz w:val="24"/>
          <w:szCs w:val="24"/>
        </w:rPr>
        <w:t xml:space="preserve">.  The former </w:t>
      </w:r>
      <w:r w:rsidR="00593ECC" w:rsidRPr="0082126E">
        <w:rPr>
          <w:rFonts w:ascii="Arial" w:hAnsi="Arial" w:cs="Arial"/>
          <w:sz w:val="24"/>
          <w:szCs w:val="24"/>
        </w:rPr>
        <w:t xml:space="preserve">yields </w:t>
      </w:r>
      <w:r w:rsidR="00AD7F59" w:rsidRPr="0082126E">
        <w:rPr>
          <w:rFonts w:ascii="Arial" w:hAnsi="Arial" w:cs="Arial"/>
          <w:sz w:val="24"/>
          <w:szCs w:val="24"/>
        </w:rPr>
        <w:t xml:space="preserve">MLC </w:t>
      </w:r>
      <w:r w:rsidR="00593ECC" w:rsidRPr="0082126E">
        <w:rPr>
          <w:rFonts w:ascii="Arial" w:hAnsi="Arial" w:cs="Arial"/>
          <w:sz w:val="24"/>
          <w:szCs w:val="24"/>
        </w:rPr>
        <w:t>weights which do not vary across ages, whilst the latter yields</w:t>
      </w:r>
      <w:r w:rsidR="00AD7F59" w:rsidRPr="0082126E">
        <w:rPr>
          <w:rFonts w:ascii="Arial" w:hAnsi="Arial" w:cs="Arial"/>
          <w:sz w:val="24"/>
          <w:szCs w:val="24"/>
        </w:rPr>
        <w:t xml:space="preserve"> MLC</w:t>
      </w:r>
      <w:r w:rsidR="00593ECC" w:rsidRPr="0082126E">
        <w:rPr>
          <w:rFonts w:ascii="Arial" w:hAnsi="Arial" w:cs="Arial"/>
          <w:sz w:val="24"/>
          <w:szCs w:val="24"/>
        </w:rPr>
        <w:t xml:space="preserve"> weights which </w:t>
      </w:r>
      <w:r w:rsidR="00AD7F59" w:rsidRPr="0082126E">
        <w:rPr>
          <w:rFonts w:ascii="Arial" w:hAnsi="Arial" w:cs="Arial"/>
          <w:sz w:val="24"/>
          <w:szCs w:val="24"/>
        </w:rPr>
        <w:t xml:space="preserve">are specific to the stratified age cohorts. </w:t>
      </w:r>
    </w:p>
    <w:p w14:paraId="55B979E4" w14:textId="50CB0D38" w:rsidR="004B1193" w:rsidRDefault="005E33DD" w:rsidP="00D06989">
      <w:pPr>
        <w:pStyle w:val="ListParagraph"/>
        <w:spacing w:line="240" w:lineRule="auto"/>
        <w:ind w:left="0"/>
        <w:mirrorIndents/>
        <w:jc w:val="both"/>
        <w:rPr>
          <w:rFonts w:ascii="Arial" w:hAnsi="Arial" w:cs="Arial"/>
          <w:sz w:val="24"/>
          <w:szCs w:val="24"/>
        </w:rPr>
      </w:pPr>
      <w:r>
        <w:rPr>
          <w:rFonts w:ascii="Arial" w:hAnsi="Arial" w:cs="Arial"/>
          <w:sz w:val="24"/>
          <w:szCs w:val="24"/>
        </w:rPr>
        <w:t xml:space="preserve"> </w:t>
      </w:r>
    </w:p>
    <w:p w14:paraId="0210E35C" w14:textId="30678574" w:rsidR="00AD6898" w:rsidRDefault="0003210F" w:rsidP="00D06989">
      <w:pPr>
        <w:pStyle w:val="ListParagraph"/>
        <w:numPr>
          <w:ilvl w:val="0"/>
          <w:numId w:val="8"/>
        </w:numPr>
        <w:spacing w:line="240" w:lineRule="auto"/>
        <w:ind w:left="0" w:firstLine="0"/>
        <w:mirrorIndents/>
        <w:jc w:val="both"/>
        <w:rPr>
          <w:rFonts w:ascii="Arial" w:hAnsi="Arial" w:cs="Arial"/>
          <w:sz w:val="24"/>
          <w:szCs w:val="24"/>
        </w:rPr>
      </w:pPr>
      <w:r w:rsidRPr="004B1193">
        <w:rPr>
          <w:rFonts w:ascii="Arial" w:hAnsi="Arial" w:cs="Arial"/>
          <w:sz w:val="24"/>
          <w:szCs w:val="24"/>
        </w:rPr>
        <w:t xml:space="preserve">The CARAN report compares the </w:t>
      </w:r>
      <w:r w:rsidR="00F074DE" w:rsidRPr="004B1193">
        <w:rPr>
          <w:rFonts w:ascii="Arial" w:hAnsi="Arial" w:cs="Arial"/>
          <w:sz w:val="24"/>
          <w:szCs w:val="24"/>
        </w:rPr>
        <w:t xml:space="preserve">theoretical and statistical properties of the three methods: one-stage additive; one-stage stratified; and, two-stage.  They conclude that the </w:t>
      </w:r>
      <w:r w:rsidR="00D40F09" w:rsidRPr="004B1193">
        <w:rPr>
          <w:rFonts w:ascii="Arial" w:hAnsi="Arial" w:cs="Arial"/>
          <w:sz w:val="24"/>
          <w:szCs w:val="24"/>
        </w:rPr>
        <w:t xml:space="preserve">one-stage stratified approach is the most flexible </w:t>
      </w:r>
      <w:r w:rsidR="00DD4154" w:rsidRPr="004B1193">
        <w:rPr>
          <w:rFonts w:ascii="Arial" w:hAnsi="Arial" w:cs="Arial"/>
          <w:sz w:val="24"/>
          <w:szCs w:val="24"/>
        </w:rPr>
        <w:t>specification which allows the effects of additional need variables to vary with age</w:t>
      </w:r>
      <w:r w:rsidR="001B43DA" w:rsidRPr="004B1193">
        <w:rPr>
          <w:rFonts w:ascii="Arial" w:hAnsi="Arial" w:cs="Arial"/>
          <w:sz w:val="24"/>
          <w:szCs w:val="24"/>
        </w:rPr>
        <w:t xml:space="preserve">.  They </w:t>
      </w:r>
      <w:r w:rsidR="006475F6" w:rsidRPr="004B1193">
        <w:rPr>
          <w:rFonts w:ascii="Arial" w:hAnsi="Arial" w:cs="Arial"/>
          <w:sz w:val="24"/>
          <w:szCs w:val="24"/>
        </w:rPr>
        <w:t xml:space="preserve">recommended the </w:t>
      </w:r>
      <w:r w:rsidR="00FC338A" w:rsidRPr="004B1193">
        <w:rPr>
          <w:rFonts w:ascii="Arial" w:hAnsi="Arial" w:cs="Arial"/>
          <w:sz w:val="24"/>
          <w:szCs w:val="24"/>
        </w:rPr>
        <w:t xml:space="preserve">use of the one-stage stratified model.  </w:t>
      </w:r>
    </w:p>
    <w:p w14:paraId="5CEEF64B" w14:textId="77777777" w:rsidR="00AD6898" w:rsidRDefault="00AD6898" w:rsidP="00D06989">
      <w:pPr>
        <w:pStyle w:val="ListParagraph"/>
        <w:spacing w:line="240" w:lineRule="auto"/>
        <w:ind w:left="0"/>
        <w:rPr>
          <w:rFonts w:ascii="Arial" w:hAnsi="Arial" w:cs="Arial"/>
          <w:sz w:val="24"/>
          <w:szCs w:val="24"/>
        </w:rPr>
      </w:pPr>
    </w:p>
    <w:p w14:paraId="32B9E4B6" w14:textId="77777777" w:rsidR="00AD6898" w:rsidRPr="00AD6898" w:rsidRDefault="00AD6898" w:rsidP="00D06989">
      <w:pPr>
        <w:pStyle w:val="ListParagraph"/>
        <w:spacing w:line="240" w:lineRule="auto"/>
        <w:ind w:left="0"/>
        <w:mirrorIndents/>
        <w:jc w:val="both"/>
        <w:rPr>
          <w:rFonts w:ascii="Arial" w:hAnsi="Arial" w:cs="Arial"/>
          <w:i/>
          <w:iCs/>
          <w:sz w:val="24"/>
          <w:szCs w:val="24"/>
        </w:rPr>
      </w:pPr>
      <w:r w:rsidRPr="00AD6898">
        <w:rPr>
          <w:rFonts w:ascii="Arial" w:hAnsi="Arial" w:cs="Arial"/>
          <w:i/>
          <w:iCs/>
          <w:sz w:val="24"/>
          <w:szCs w:val="24"/>
        </w:rPr>
        <w:t>Discussion:</w:t>
      </w:r>
    </w:p>
    <w:p w14:paraId="192DD0E6" w14:textId="644E6385" w:rsidR="00DF7F04" w:rsidRPr="00BF0C6C" w:rsidRDefault="0030224B" w:rsidP="00D06989">
      <w:pPr>
        <w:pStyle w:val="ListParagraph"/>
        <w:numPr>
          <w:ilvl w:val="0"/>
          <w:numId w:val="8"/>
        </w:numPr>
        <w:spacing w:line="240" w:lineRule="auto"/>
        <w:ind w:left="0" w:firstLine="0"/>
        <w:mirrorIndents/>
        <w:jc w:val="both"/>
        <w:rPr>
          <w:rFonts w:ascii="Arial" w:hAnsi="Arial" w:cs="Arial"/>
          <w:sz w:val="24"/>
          <w:szCs w:val="24"/>
        </w:rPr>
      </w:pPr>
      <w:r>
        <w:rPr>
          <w:rFonts w:ascii="Arial" w:hAnsi="Arial" w:cs="Arial"/>
          <w:sz w:val="24"/>
          <w:szCs w:val="24"/>
        </w:rPr>
        <w:t xml:space="preserve">The use of the one-stage </w:t>
      </w:r>
      <w:r w:rsidR="00202466">
        <w:rPr>
          <w:rFonts w:ascii="Arial" w:hAnsi="Arial" w:cs="Arial"/>
          <w:sz w:val="24"/>
          <w:szCs w:val="24"/>
        </w:rPr>
        <w:t xml:space="preserve">stratified </w:t>
      </w:r>
      <w:r>
        <w:rPr>
          <w:rFonts w:ascii="Arial" w:hAnsi="Arial" w:cs="Arial"/>
          <w:sz w:val="24"/>
          <w:szCs w:val="24"/>
        </w:rPr>
        <w:t xml:space="preserve">method </w:t>
      </w:r>
      <w:r w:rsidR="009E2A60">
        <w:rPr>
          <w:rFonts w:ascii="Arial" w:hAnsi="Arial" w:cs="Arial"/>
          <w:sz w:val="24"/>
          <w:szCs w:val="24"/>
        </w:rPr>
        <w:t>c</w:t>
      </w:r>
      <w:r>
        <w:rPr>
          <w:rFonts w:ascii="Arial" w:hAnsi="Arial" w:cs="Arial"/>
          <w:sz w:val="24"/>
          <w:szCs w:val="24"/>
        </w:rPr>
        <w:t>ould be explored for the NRAC formula</w:t>
      </w:r>
      <w:r w:rsidR="009E2A60">
        <w:rPr>
          <w:rFonts w:ascii="Arial" w:hAnsi="Arial" w:cs="Arial"/>
          <w:sz w:val="24"/>
          <w:szCs w:val="24"/>
        </w:rPr>
        <w:t xml:space="preserve"> using the data which is already used in the formula.  It should be feasible to text the accuracy of </w:t>
      </w:r>
      <w:r w:rsidR="0087169E">
        <w:rPr>
          <w:rFonts w:ascii="Arial" w:hAnsi="Arial" w:cs="Arial"/>
          <w:sz w:val="24"/>
          <w:szCs w:val="24"/>
        </w:rPr>
        <w:t xml:space="preserve">the </w:t>
      </w:r>
      <w:r w:rsidR="009E2A60">
        <w:rPr>
          <w:rFonts w:ascii="Arial" w:hAnsi="Arial" w:cs="Arial"/>
          <w:sz w:val="24"/>
          <w:szCs w:val="24"/>
        </w:rPr>
        <w:t xml:space="preserve">predictive power of the alternative approaches </w:t>
      </w:r>
      <w:r w:rsidR="00A429D0">
        <w:rPr>
          <w:rFonts w:ascii="Arial" w:hAnsi="Arial" w:cs="Arial"/>
          <w:sz w:val="24"/>
          <w:szCs w:val="24"/>
        </w:rPr>
        <w:t>to determine whether it would be an appropriate change to introduce</w:t>
      </w:r>
      <w:r w:rsidR="00F00246">
        <w:rPr>
          <w:rFonts w:ascii="Arial" w:hAnsi="Arial" w:cs="Arial"/>
          <w:sz w:val="24"/>
          <w:szCs w:val="24"/>
        </w:rPr>
        <w:t xml:space="preserve">.  </w:t>
      </w:r>
    </w:p>
    <w:p w14:paraId="67ADFB75" w14:textId="77777777" w:rsidR="00DF7F04" w:rsidRPr="00DF7F04" w:rsidRDefault="00DF7F04" w:rsidP="00D06989">
      <w:pPr>
        <w:pStyle w:val="ListParagraph"/>
        <w:spacing w:line="240" w:lineRule="auto"/>
        <w:ind w:left="0"/>
        <w:mirrorIndents/>
        <w:jc w:val="both"/>
        <w:rPr>
          <w:rFonts w:ascii="Arial" w:hAnsi="Arial" w:cs="Arial"/>
          <w:sz w:val="24"/>
          <w:szCs w:val="24"/>
        </w:rPr>
      </w:pPr>
    </w:p>
    <w:p w14:paraId="5FEAB7DB" w14:textId="77777777" w:rsidR="00BF0C6C" w:rsidRPr="00BF0C6C" w:rsidRDefault="000E3B06" w:rsidP="00D06989">
      <w:pPr>
        <w:pStyle w:val="ListParagraph"/>
        <w:spacing w:line="240" w:lineRule="auto"/>
        <w:ind w:left="0"/>
        <w:mirrorIndents/>
        <w:jc w:val="both"/>
        <w:rPr>
          <w:rFonts w:ascii="Arial" w:hAnsi="Arial" w:cs="Arial"/>
          <w:sz w:val="24"/>
          <w:szCs w:val="24"/>
        </w:rPr>
      </w:pPr>
      <w:r w:rsidRPr="00DF7F04">
        <w:rPr>
          <w:rFonts w:ascii="Arial" w:hAnsi="Arial" w:cs="Arial"/>
          <w:b/>
          <w:bCs/>
          <w:sz w:val="24"/>
          <w:szCs w:val="24"/>
        </w:rPr>
        <w:t>4</w:t>
      </w:r>
      <w:r w:rsidR="00374D24" w:rsidRPr="00DF7F04">
        <w:rPr>
          <w:rFonts w:ascii="Arial" w:hAnsi="Arial" w:cs="Arial"/>
          <w:b/>
          <w:bCs/>
          <w:sz w:val="24"/>
          <w:szCs w:val="24"/>
        </w:rPr>
        <w:t xml:space="preserve">. </w:t>
      </w:r>
      <w:r w:rsidRPr="00DF7F04">
        <w:rPr>
          <w:rFonts w:ascii="Arial" w:hAnsi="Arial" w:cs="Arial"/>
          <w:b/>
          <w:bCs/>
          <w:sz w:val="24"/>
          <w:szCs w:val="24"/>
        </w:rPr>
        <w:t xml:space="preserve">Modelling </w:t>
      </w:r>
      <w:r w:rsidR="009177B1" w:rsidRPr="00DF7F04">
        <w:rPr>
          <w:rFonts w:ascii="Arial" w:hAnsi="Arial" w:cs="Arial"/>
          <w:b/>
          <w:bCs/>
          <w:sz w:val="24"/>
          <w:szCs w:val="24"/>
        </w:rPr>
        <w:t>N</w:t>
      </w:r>
      <w:r w:rsidRPr="00DF7F04">
        <w:rPr>
          <w:rFonts w:ascii="Arial" w:hAnsi="Arial" w:cs="Arial"/>
          <w:b/>
          <w:bCs/>
          <w:sz w:val="24"/>
          <w:szCs w:val="24"/>
        </w:rPr>
        <w:t xml:space="preserve">eed with </w:t>
      </w:r>
      <w:r w:rsidR="009177B1" w:rsidRPr="00DF7F04">
        <w:rPr>
          <w:rFonts w:ascii="Arial" w:hAnsi="Arial" w:cs="Arial"/>
          <w:b/>
          <w:bCs/>
          <w:sz w:val="24"/>
          <w:szCs w:val="24"/>
        </w:rPr>
        <w:t>P</w:t>
      </w:r>
      <w:r w:rsidRPr="00DF7F04">
        <w:rPr>
          <w:rFonts w:ascii="Arial" w:hAnsi="Arial" w:cs="Arial"/>
          <w:b/>
          <w:bCs/>
          <w:sz w:val="24"/>
          <w:szCs w:val="24"/>
        </w:rPr>
        <w:t>atient-</w:t>
      </w:r>
      <w:r w:rsidR="009177B1" w:rsidRPr="00DF7F04">
        <w:rPr>
          <w:rFonts w:ascii="Arial" w:hAnsi="Arial" w:cs="Arial"/>
          <w:b/>
          <w:bCs/>
          <w:sz w:val="24"/>
          <w:szCs w:val="24"/>
        </w:rPr>
        <w:t>L</w:t>
      </w:r>
      <w:r w:rsidRPr="00DF7F04">
        <w:rPr>
          <w:rFonts w:ascii="Arial" w:hAnsi="Arial" w:cs="Arial"/>
          <w:b/>
          <w:bCs/>
          <w:sz w:val="24"/>
          <w:szCs w:val="24"/>
        </w:rPr>
        <w:t xml:space="preserve">evel </w:t>
      </w:r>
      <w:r w:rsidR="009177B1" w:rsidRPr="00DF7F04">
        <w:rPr>
          <w:rFonts w:ascii="Arial" w:hAnsi="Arial" w:cs="Arial"/>
          <w:b/>
          <w:bCs/>
          <w:sz w:val="24"/>
          <w:szCs w:val="24"/>
        </w:rPr>
        <w:t>D</w:t>
      </w:r>
      <w:r w:rsidRPr="00DF7F04">
        <w:rPr>
          <w:rFonts w:ascii="Arial" w:hAnsi="Arial" w:cs="Arial"/>
          <w:b/>
          <w:bCs/>
          <w:sz w:val="24"/>
          <w:szCs w:val="24"/>
        </w:rPr>
        <w:t>ata</w:t>
      </w:r>
      <w:r w:rsidR="00B06467" w:rsidRPr="00DF7F04">
        <w:rPr>
          <w:rFonts w:ascii="Arial" w:hAnsi="Arial" w:cs="Arial"/>
          <w:b/>
          <w:bCs/>
          <w:sz w:val="24"/>
          <w:szCs w:val="24"/>
        </w:rPr>
        <w:t>:</w:t>
      </w:r>
    </w:p>
    <w:p w14:paraId="674698A9" w14:textId="4A9C317D" w:rsidR="002E201B" w:rsidRPr="00DF7F04" w:rsidRDefault="00B06467" w:rsidP="00D06989">
      <w:pPr>
        <w:pStyle w:val="ListParagraph"/>
        <w:spacing w:line="240" w:lineRule="auto"/>
        <w:ind w:left="0"/>
        <w:mirrorIndents/>
        <w:jc w:val="both"/>
        <w:rPr>
          <w:rFonts w:ascii="Arial" w:hAnsi="Arial" w:cs="Arial"/>
          <w:sz w:val="24"/>
          <w:szCs w:val="24"/>
        </w:rPr>
      </w:pPr>
      <w:r w:rsidRPr="00DF7F04">
        <w:rPr>
          <w:rFonts w:ascii="Arial" w:hAnsi="Arial" w:cs="Arial"/>
          <w:i/>
          <w:iCs/>
          <w:sz w:val="24"/>
          <w:szCs w:val="24"/>
        </w:rPr>
        <w:t>Area-level modelling:</w:t>
      </w:r>
    </w:p>
    <w:p w14:paraId="407DBEC3" w14:textId="6E8F6C9C" w:rsidR="00F279F4" w:rsidRPr="00AE2128" w:rsidRDefault="003E20C2" w:rsidP="00D06989">
      <w:pPr>
        <w:pStyle w:val="ListParagraph"/>
        <w:numPr>
          <w:ilvl w:val="0"/>
          <w:numId w:val="8"/>
        </w:numPr>
        <w:spacing w:line="240" w:lineRule="auto"/>
        <w:ind w:left="0" w:firstLine="0"/>
        <w:mirrorIndents/>
        <w:jc w:val="both"/>
        <w:rPr>
          <w:rFonts w:ascii="Arial" w:hAnsi="Arial" w:cs="Arial"/>
          <w:sz w:val="24"/>
          <w:szCs w:val="24"/>
        </w:rPr>
      </w:pPr>
      <w:r>
        <w:rPr>
          <w:rFonts w:ascii="Arial" w:hAnsi="Arial" w:cs="Arial"/>
          <w:sz w:val="24"/>
          <w:szCs w:val="24"/>
        </w:rPr>
        <w:t xml:space="preserve">The NRAC modelling </w:t>
      </w:r>
      <w:r w:rsidR="0002639E">
        <w:rPr>
          <w:rFonts w:ascii="Arial" w:hAnsi="Arial" w:cs="Arial"/>
          <w:sz w:val="24"/>
          <w:szCs w:val="24"/>
        </w:rPr>
        <w:t xml:space="preserve">of Morbidity and Life Circumstances (MLC) </w:t>
      </w:r>
      <w:r w:rsidR="00A83ABB">
        <w:rPr>
          <w:rFonts w:ascii="Arial" w:hAnsi="Arial" w:cs="Arial"/>
          <w:sz w:val="24"/>
          <w:szCs w:val="24"/>
        </w:rPr>
        <w:t xml:space="preserve">uses </w:t>
      </w:r>
      <w:r>
        <w:rPr>
          <w:rFonts w:ascii="Arial" w:hAnsi="Arial" w:cs="Arial"/>
          <w:sz w:val="24"/>
          <w:szCs w:val="24"/>
        </w:rPr>
        <w:t>small area</w:t>
      </w:r>
      <w:r w:rsidR="00A83ABB">
        <w:rPr>
          <w:rFonts w:ascii="Arial" w:hAnsi="Arial" w:cs="Arial"/>
          <w:sz w:val="24"/>
          <w:szCs w:val="24"/>
        </w:rPr>
        <w:t xml:space="preserve"> geographies as the basic </w:t>
      </w:r>
      <w:r w:rsidR="007534DC">
        <w:rPr>
          <w:rFonts w:ascii="Arial" w:hAnsi="Arial" w:cs="Arial"/>
          <w:sz w:val="24"/>
          <w:szCs w:val="24"/>
        </w:rPr>
        <w:t>unit of observation.  This is</w:t>
      </w:r>
      <w:r>
        <w:rPr>
          <w:rFonts w:ascii="Arial" w:hAnsi="Arial" w:cs="Arial"/>
          <w:sz w:val="24"/>
          <w:szCs w:val="24"/>
        </w:rPr>
        <w:t xml:space="preserve"> typically the </w:t>
      </w:r>
      <w:r w:rsidR="00C030DE">
        <w:rPr>
          <w:rFonts w:ascii="Arial" w:hAnsi="Arial" w:cs="Arial"/>
          <w:sz w:val="24"/>
          <w:szCs w:val="24"/>
        </w:rPr>
        <w:t>D</w:t>
      </w:r>
      <w:r w:rsidR="00E03466" w:rsidRPr="00E03466">
        <w:rPr>
          <w:rFonts w:ascii="Arial" w:hAnsi="Arial" w:cs="Arial"/>
          <w:sz w:val="24"/>
          <w:szCs w:val="24"/>
        </w:rPr>
        <w:t xml:space="preserve">ata </w:t>
      </w:r>
      <w:r w:rsidR="00C030DE">
        <w:rPr>
          <w:rFonts w:ascii="Arial" w:hAnsi="Arial" w:cs="Arial"/>
          <w:sz w:val="24"/>
          <w:szCs w:val="24"/>
        </w:rPr>
        <w:t>Z</w:t>
      </w:r>
      <w:r w:rsidR="00E03466" w:rsidRPr="00E03466">
        <w:rPr>
          <w:rFonts w:ascii="Arial" w:hAnsi="Arial" w:cs="Arial"/>
          <w:sz w:val="24"/>
          <w:szCs w:val="24"/>
        </w:rPr>
        <w:t>one</w:t>
      </w:r>
      <w:r w:rsidR="00C6146D">
        <w:rPr>
          <w:rFonts w:ascii="Arial" w:hAnsi="Arial" w:cs="Arial"/>
          <w:sz w:val="24"/>
          <w:szCs w:val="24"/>
        </w:rPr>
        <w:t xml:space="preserve"> (</w:t>
      </w:r>
      <w:proofErr w:type="spellStart"/>
      <w:r w:rsidR="00C6146D">
        <w:rPr>
          <w:rFonts w:ascii="Arial" w:hAnsi="Arial" w:cs="Arial"/>
          <w:sz w:val="24"/>
          <w:szCs w:val="24"/>
        </w:rPr>
        <w:t>DZ</w:t>
      </w:r>
      <w:proofErr w:type="spellEnd"/>
      <w:r w:rsidR="00C6146D">
        <w:rPr>
          <w:rFonts w:ascii="Arial" w:hAnsi="Arial" w:cs="Arial"/>
          <w:sz w:val="24"/>
          <w:szCs w:val="24"/>
        </w:rPr>
        <w:t xml:space="preserve">), </w:t>
      </w:r>
      <w:r w:rsidR="00E03466" w:rsidRPr="00E03466">
        <w:rPr>
          <w:rFonts w:ascii="Arial" w:hAnsi="Arial" w:cs="Arial"/>
          <w:sz w:val="24"/>
          <w:szCs w:val="24"/>
        </w:rPr>
        <w:t xml:space="preserve">of which there are </w:t>
      </w:r>
      <w:r w:rsidR="00A160D1">
        <w:rPr>
          <w:rFonts w:ascii="Arial" w:hAnsi="Arial" w:cs="Arial"/>
          <w:sz w:val="24"/>
          <w:szCs w:val="24"/>
        </w:rPr>
        <w:t>almost</w:t>
      </w:r>
      <w:r w:rsidR="00E03466" w:rsidRPr="00E03466">
        <w:rPr>
          <w:rFonts w:ascii="Arial" w:hAnsi="Arial" w:cs="Arial"/>
          <w:sz w:val="24"/>
          <w:szCs w:val="24"/>
        </w:rPr>
        <w:t xml:space="preserve"> 7,000 in Scotland</w:t>
      </w:r>
      <w:r w:rsidR="00C6146D">
        <w:rPr>
          <w:rFonts w:ascii="Arial" w:hAnsi="Arial" w:cs="Arial"/>
          <w:sz w:val="24"/>
          <w:szCs w:val="24"/>
        </w:rPr>
        <w:t>,</w:t>
      </w:r>
      <w:r w:rsidR="00E03466" w:rsidRPr="00E03466">
        <w:rPr>
          <w:rFonts w:ascii="Arial" w:hAnsi="Arial" w:cs="Arial"/>
          <w:sz w:val="24"/>
          <w:szCs w:val="24"/>
        </w:rPr>
        <w:t xml:space="preserve"> or the Intermediate Geography (</w:t>
      </w:r>
      <w:r w:rsidR="00A160D1">
        <w:rPr>
          <w:rFonts w:ascii="Arial" w:hAnsi="Arial" w:cs="Arial"/>
          <w:sz w:val="24"/>
          <w:szCs w:val="24"/>
        </w:rPr>
        <w:t>almost</w:t>
      </w:r>
      <w:r w:rsidR="00E03466" w:rsidRPr="00E03466">
        <w:rPr>
          <w:rFonts w:ascii="Arial" w:hAnsi="Arial" w:cs="Arial"/>
          <w:sz w:val="24"/>
          <w:szCs w:val="24"/>
        </w:rPr>
        <w:t xml:space="preserve"> 1,</w:t>
      </w:r>
      <w:r w:rsidR="00A160D1">
        <w:rPr>
          <w:rFonts w:ascii="Arial" w:hAnsi="Arial" w:cs="Arial"/>
          <w:sz w:val="24"/>
          <w:szCs w:val="24"/>
        </w:rPr>
        <w:t>3</w:t>
      </w:r>
      <w:r w:rsidR="00E03466" w:rsidRPr="00E03466">
        <w:rPr>
          <w:rFonts w:ascii="Arial" w:hAnsi="Arial" w:cs="Arial"/>
          <w:sz w:val="24"/>
          <w:szCs w:val="24"/>
        </w:rPr>
        <w:t>00</w:t>
      </w:r>
      <w:r w:rsidR="00A160D1">
        <w:rPr>
          <w:rFonts w:ascii="Arial" w:hAnsi="Arial" w:cs="Arial"/>
          <w:sz w:val="24"/>
          <w:szCs w:val="24"/>
        </w:rPr>
        <w:t xml:space="preserve"> in Scotland</w:t>
      </w:r>
      <w:r w:rsidR="00E03466" w:rsidRPr="00E03466">
        <w:rPr>
          <w:rFonts w:ascii="Arial" w:hAnsi="Arial" w:cs="Arial"/>
          <w:sz w:val="24"/>
          <w:szCs w:val="24"/>
        </w:rPr>
        <w:t xml:space="preserve">).  </w:t>
      </w:r>
      <w:r w:rsidR="00A160D1">
        <w:rPr>
          <w:rFonts w:ascii="Arial" w:hAnsi="Arial" w:cs="Arial"/>
          <w:sz w:val="24"/>
          <w:szCs w:val="24"/>
        </w:rPr>
        <w:t xml:space="preserve">The indicators of need for the MLC are all area-based, e.g. the Standardised Mortality Ratio for the relevant </w:t>
      </w:r>
      <w:proofErr w:type="spellStart"/>
      <w:r w:rsidR="00A160D1">
        <w:rPr>
          <w:rFonts w:ascii="Arial" w:hAnsi="Arial" w:cs="Arial"/>
          <w:sz w:val="24"/>
          <w:szCs w:val="24"/>
        </w:rPr>
        <w:t>DZ</w:t>
      </w:r>
      <w:proofErr w:type="spellEnd"/>
      <w:r w:rsidR="00A160D1">
        <w:rPr>
          <w:rFonts w:ascii="Arial" w:hAnsi="Arial" w:cs="Arial"/>
          <w:sz w:val="24"/>
          <w:szCs w:val="24"/>
        </w:rPr>
        <w:t xml:space="preserve">, or the </w:t>
      </w:r>
      <w:r w:rsidR="008F3B9B">
        <w:rPr>
          <w:rFonts w:ascii="Arial" w:hAnsi="Arial" w:cs="Arial"/>
          <w:sz w:val="24"/>
          <w:szCs w:val="24"/>
        </w:rPr>
        <w:t xml:space="preserve">rate of Limiting Long-Term Illness </w:t>
      </w:r>
      <w:r w:rsidR="00D530E8">
        <w:rPr>
          <w:rFonts w:ascii="Arial" w:hAnsi="Arial" w:cs="Arial"/>
          <w:sz w:val="24"/>
          <w:szCs w:val="24"/>
        </w:rPr>
        <w:t xml:space="preserve">for the DZ.  </w:t>
      </w:r>
      <w:r w:rsidR="00F76016">
        <w:rPr>
          <w:rFonts w:ascii="Arial" w:hAnsi="Arial" w:cs="Arial"/>
          <w:sz w:val="24"/>
          <w:szCs w:val="24"/>
        </w:rPr>
        <w:t xml:space="preserve">These </w:t>
      </w:r>
      <w:r w:rsidR="000914CF">
        <w:rPr>
          <w:rFonts w:ascii="Arial" w:hAnsi="Arial" w:cs="Arial"/>
          <w:sz w:val="24"/>
          <w:szCs w:val="24"/>
        </w:rPr>
        <w:t xml:space="preserve">indicators </w:t>
      </w:r>
      <w:r w:rsidR="00F76016">
        <w:rPr>
          <w:rFonts w:ascii="Arial" w:hAnsi="Arial" w:cs="Arial"/>
          <w:sz w:val="24"/>
          <w:szCs w:val="24"/>
        </w:rPr>
        <w:t>are therefore (</w:t>
      </w:r>
      <w:r w:rsidR="0080642E">
        <w:rPr>
          <w:rFonts w:ascii="Arial" w:hAnsi="Arial" w:cs="Arial"/>
          <w:sz w:val="24"/>
          <w:szCs w:val="24"/>
        </w:rPr>
        <w:t>age-</w:t>
      </w:r>
      <w:r w:rsidR="00F76016">
        <w:rPr>
          <w:rFonts w:ascii="Arial" w:hAnsi="Arial" w:cs="Arial"/>
          <w:sz w:val="24"/>
          <w:szCs w:val="24"/>
        </w:rPr>
        <w:t xml:space="preserve">standardised) averages across the </w:t>
      </w:r>
      <w:r w:rsidR="002831F6">
        <w:rPr>
          <w:rFonts w:ascii="Arial" w:hAnsi="Arial" w:cs="Arial"/>
          <w:sz w:val="24"/>
          <w:szCs w:val="24"/>
        </w:rPr>
        <w:t xml:space="preserve">populations in those areas.  </w:t>
      </w:r>
    </w:p>
    <w:p w14:paraId="6DC051E5" w14:textId="77777777" w:rsidR="00E506A0" w:rsidRDefault="00E506A0" w:rsidP="00D06989">
      <w:pPr>
        <w:pStyle w:val="ListParagraph"/>
        <w:spacing w:line="240" w:lineRule="auto"/>
        <w:ind w:left="0"/>
        <w:mirrorIndents/>
        <w:jc w:val="both"/>
        <w:rPr>
          <w:rFonts w:ascii="Arial" w:hAnsi="Arial" w:cs="Arial"/>
          <w:sz w:val="24"/>
          <w:szCs w:val="24"/>
        </w:rPr>
      </w:pPr>
    </w:p>
    <w:p w14:paraId="14E06E81" w14:textId="48E76D48" w:rsidR="004C3834" w:rsidRPr="00F97D53" w:rsidRDefault="00F97D53" w:rsidP="00D06989">
      <w:pPr>
        <w:pStyle w:val="ListParagraph"/>
        <w:spacing w:line="240" w:lineRule="auto"/>
        <w:ind w:left="0"/>
        <w:mirrorIndents/>
        <w:jc w:val="both"/>
        <w:rPr>
          <w:rFonts w:ascii="Arial" w:hAnsi="Arial" w:cs="Arial"/>
          <w:i/>
          <w:iCs/>
          <w:sz w:val="24"/>
          <w:szCs w:val="24"/>
        </w:rPr>
      </w:pPr>
      <w:r w:rsidRPr="00F97D53">
        <w:rPr>
          <w:rFonts w:ascii="Arial" w:hAnsi="Arial" w:cs="Arial"/>
          <w:i/>
          <w:iCs/>
          <w:sz w:val="24"/>
          <w:szCs w:val="24"/>
        </w:rPr>
        <w:t>Patient-level modelling:</w:t>
      </w:r>
    </w:p>
    <w:p w14:paraId="354A3490" w14:textId="24A95173" w:rsidR="00E2476C" w:rsidRPr="004038BC" w:rsidRDefault="00145EFD" w:rsidP="00D06989">
      <w:pPr>
        <w:pStyle w:val="ListParagraph"/>
        <w:numPr>
          <w:ilvl w:val="0"/>
          <w:numId w:val="8"/>
        </w:numPr>
        <w:spacing w:line="240" w:lineRule="auto"/>
        <w:ind w:left="0" w:firstLine="0"/>
        <w:mirrorIndents/>
        <w:jc w:val="both"/>
        <w:rPr>
          <w:rFonts w:ascii="Arial" w:hAnsi="Arial" w:cs="Arial"/>
          <w:sz w:val="24"/>
          <w:szCs w:val="24"/>
        </w:rPr>
      </w:pPr>
      <w:r w:rsidRPr="004038BC">
        <w:rPr>
          <w:rFonts w:ascii="Arial" w:hAnsi="Arial" w:cs="Arial"/>
          <w:sz w:val="24"/>
          <w:szCs w:val="24"/>
        </w:rPr>
        <w:t>An approach using patient</w:t>
      </w:r>
      <w:r w:rsidR="00907B3C" w:rsidRPr="004038BC">
        <w:rPr>
          <w:rFonts w:ascii="Arial" w:hAnsi="Arial" w:cs="Arial"/>
          <w:sz w:val="24"/>
          <w:szCs w:val="24"/>
        </w:rPr>
        <w:t>-</w:t>
      </w:r>
      <w:r w:rsidRPr="004038BC">
        <w:rPr>
          <w:rFonts w:ascii="Arial" w:hAnsi="Arial" w:cs="Arial"/>
          <w:sz w:val="24"/>
          <w:szCs w:val="24"/>
        </w:rPr>
        <w:t xml:space="preserve">level morbidity modelling was developed for the </w:t>
      </w:r>
      <w:r w:rsidR="004E061E" w:rsidRPr="004038BC">
        <w:rPr>
          <w:rFonts w:ascii="Arial" w:hAnsi="Arial" w:cs="Arial"/>
          <w:sz w:val="24"/>
          <w:szCs w:val="24"/>
        </w:rPr>
        <w:t xml:space="preserve">General and Acute </w:t>
      </w:r>
      <w:r w:rsidR="00070B81">
        <w:rPr>
          <w:rFonts w:ascii="Arial" w:hAnsi="Arial" w:cs="Arial"/>
          <w:sz w:val="24"/>
          <w:szCs w:val="24"/>
        </w:rPr>
        <w:t>component</w:t>
      </w:r>
      <w:r w:rsidR="004E061E" w:rsidRPr="004038BC">
        <w:rPr>
          <w:rFonts w:ascii="Arial" w:hAnsi="Arial" w:cs="Arial"/>
          <w:sz w:val="24"/>
          <w:szCs w:val="24"/>
        </w:rPr>
        <w:t xml:space="preserve"> </w:t>
      </w:r>
      <w:r w:rsidR="00295561">
        <w:rPr>
          <w:rFonts w:ascii="Arial" w:hAnsi="Arial" w:cs="Arial"/>
          <w:sz w:val="24"/>
          <w:szCs w:val="24"/>
        </w:rPr>
        <w:t xml:space="preserve"> </w:t>
      </w:r>
      <w:r w:rsidR="004E061E" w:rsidRPr="004038BC">
        <w:rPr>
          <w:rFonts w:ascii="Arial" w:hAnsi="Arial" w:cs="Arial"/>
          <w:sz w:val="24"/>
          <w:szCs w:val="24"/>
        </w:rPr>
        <w:t xml:space="preserve">of the </w:t>
      </w:r>
      <w:r w:rsidR="001707DC" w:rsidRPr="004038BC">
        <w:rPr>
          <w:rFonts w:ascii="Arial" w:hAnsi="Arial" w:cs="Arial"/>
          <w:sz w:val="24"/>
          <w:szCs w:val="24"/>
        </w:rPr>
        <w:t>allocations formula in England by the Nuffield Trust</w:t>
      </w:r>
      <w:r w:rsidR="00055B84">
        <w:rPr>
          <w:rStyle w:val="FootnoteReference"/>
          <w:rFonts w:ascii="Arial" w:hAnsi="Arial" w:cs="Arial"/>
          <w:sz w:val="24"/>
          <w:szCs w:val="24"/>
        </w:rPr>
        <w:footnoteReference w:id="2"/>
      </w:r>
      <w:r w:rsidR="001707DC" w:rsidRPr="004038BC">
        <w:rPr>
          <w:rFonts w:ascii="Arial" w:hAnsi="Arial" w:cs="Arial"/>
          <w:sz w:val="24"/>
          <w:szCs w:val="24"/>
        </w:rPr>
        <w:t xml:space="preserve">.  </w:t>
      </w:r>
      <w:r w:rsidR="00DA450A">
        <w:rPr>
          <w:rFonts w:ascii="Arial" w:hAnsi="Arial" w:cs="Arial"/>
          <w:sz w:val="24"/>
          <w:szCs w:val="24"/>
        </w:rPr>
        <w:t>(The England Mental Health formula now also uses patient-level modelling</w:t>
      </w:r>
      <w:r w:rsidR="00F31BD0">
        <w:rPr>
          <w:rFonts w:ascii="Arial" w:hAnsi="Arial" w:cs="Arial"/>
          <w:sz w:val="24"/>
          <w:szCs w:val="24"/>
        </w:rPr>
        <w:t>.</w:t>
      </w:r>
      <w:r w:rsidR="00DA450A">
        <w:rPr>
          <w:rFonts w:ascii="Arial" w:hAnsi="Arial" w:cs="Arial"/>
          <w:sz w:val="24"/>
          <w:szCs w:val="24"/>
        </w:rPr>
        <w:t>)</w:t>
      </w:r>
      <w:r w:rsidR="00F31BD0">
        <w:rPr>
          <w:rFonts w:ascii="Arial" w:hAnsi="Arial" w:cs="Arial"/>
          <w:sz w:val="24"/>
          <w:szCs w:val="24"/>
        </w:rPr>
        <w:t xml:space="preserve">  </w:t>
      </w:r>
      <w:r w:rsidR="00B524F4">
        <w:rPr>
          <w:rFonts w:ascii="Arial" w:hAnsi="Arial" w:cs="Arial"/>
          <w:sz w:val="24"/>
          <w:szCs w:val="24"/>
        </w:rPr>
        <w:t xml:space="preserve">The </w:t>
      </w:r>
      <w:r w:rsidR="001F3925">
        <w:rPr>
          <w:rFonts w:ascii="Arial" w:hAnsi="Arial" w:cs="Arial"/>
          <w:sz w:val="24"/>
          <w:szCs w:val="24"/>
        </w:rPr>
        <w:t>underlying assumption</w:t>
      </w:r>
      <w:r w:rsidR="00772114">
        <w:rPr>
          <w:rFonts w:ascii="Arial" w:hAnsi="Arial" w:cs="Arial"/>
          <w:sz w:val="24"/>
          <w:szCs w:val="24"/>
        </w:rPr>
        <w:t xml:space="preserve"> is that</w:t>
      </w:r>
      <w:r w:rsidR="006346C3">
        <w:rPr>
          <w:rFonts w:ascii="Arial" w:hAnsi="Arial" w:cs="Arial"/>
          <w:sz w:val="24"/>
          <w:szCs w:val="24"/>
        </w:rPr>
        <w:t xml:space="preserve"> morbidities recorded from previous hospital </w:t>
      </w:r>
      <w:r w:rsidR="002B188C">
        <w:rPr>
          <w:rFonts w:ascii="Arial" w:hAnsi="Arial" w:cs="Arial"/>
          <w:sz w:val="24"/>
          <w:szCs w:val="24"/>
        </w:rPr>
        <w:t>care are indicative of future need for care.</w:t>
      </w:r>
      <w:r w:rsidR="00996D7B">
        <w:rPr>
          <w:rFonts w:ascii="Arial" w:hAnsi="Arial" w:cs="Arial"/>
          <w:sz w:val="24"/>
          <w:szCs w:val="24"/>
        </w:rPr>
        <w:t xml:space="preserve"> </w:t>
      </w:r>
      <w:r w:rsidR="00772114">
        <w:rPr>
          <w:rFonts w:ascii="Arial" w:hAnsi="Arial" w:cs="Arial"/>
          <w:sz w:val="24"/>
          <w:szCs w:val="24"/>
        </w:rPr>
        <w:t xml:space="preserve"> </w:t>
      </w:r>
      <w:r w:rsidR="00700B30" w:rsidRPr="004038BC">
        <w:rPr>
          <w:rFonts w:ascii="Arial" w:hAnsi="Arial" w:cs="Arial"/>
          <w:sz w:val="24"/>
          <w:szCs w:val="24"/>
        </w:rPr>
        <w:t>T</w:t>
      </w:r>
      <w:r w:rsidR="004C3834" w:rsidRPr="004038BC">
        <w:rPr>
          <w:rFonts w:ascii="Arial" w:hAnsi="Arial" w:cs="Arial"/>
          <w:sz w:val="24"/>
          <w:szCs w:val="24"/>
        </w:rPr>
        <w:t xml:space="preserve">he basic starting </w:t>
      </w:r>
      <w:r w:rsidR="00E93229" w:rsidRPr="004038BC">
        <w:rPr>
          <w:rFonts w:ascii="Arial" w:hAnsi="Arial" w:cs="Arial"/>
          <w:sz w:val="24"/>
          <w:szCs w:val="24"/>
        </w:rPr>
        <w:t>population</w:t>
      </w:r>
      <w:r w:rsidR="004C3834" w:rsidRPr="004038BC">
        <w:rPr>
          <w:rFonts w:ascii="Arial" w:hAnsi="Arial" w:cs="Arial"/>
          <w:sz w:val="24"/>
          <w:szCs w:val="24"/>
        </w:rPr>
        <w:t xml:space="preserve"> is</w:t>
      </w:r>
      <w:r w:rsidR="00232759" w:rsidRPr="004038BC">
        <w:rPr>
          <w:rFonts w:ascii="Arial" w:hAnsi="Arial" w:cs="Arial"/>
          <w:sz w:val="24"/>
          <w:szCs w:val="24"/>
        </w:rPr>
        <w:t xml:space="preserve"> the general practice</w:t>
      </w:r>
      <w:r w:rsidR="004C3834" w:rsidRPr="004038BC">
        <w:rPr>
          <w:rFonts w:ascii="Arial" w:hAnsi="Arial" w:cs="Arial"/>
          <w:sz w:val="24"/>
          <w:szCs w:val="24"/>
        </w:rPr>
        <w:t xml:space="preserve"> registered</w:t>
      </w:r>
      <w:r w:rsidR="00232759" w:rsidRPr="004038BC">
        <w:rPr>
          <w:rFonts w:ascii="Arial" w:hAnsi="Arial" w:cs="Arial"/>
          <w:sz w:val="24"/>
          <w:szCs w:val="24"/>
        </w:rPr>
        <w:t xml:space="preserve"> patient list</w:t>
      </w:r>
      <w:r w:rsidR="00700B30" w:rsidRPr="004038BC">
        <w:rPr>
          <w:rFonts w:ascii="Arial" w:hAnsi="Arial" w:cs="Arial"/>
          <w:sz w:val="24"/>
          <w:szCs w:val="24"/>
        </w:rPr>
        <w:t xml:space="preserve">.  This </w:t>
      </w:r>
      <w:r w:rsidR="00DF2ABC" w:rsidRPr="004038BC">
        <w:rPr>
          <w:rFonts w:ascii="Arial" w:hAnsi="Arial" w:cs="Arial"/>
          <w:sz w:val="24"/>
          <w:szCs w:val="24"/>
        </w:rPr>
        <w:t>provides</w:t>
      </w:r>
      <w:r w:rsidR="00700B30" w:rsidRPr="004038BC">
        <w:rPr>
          <w:rFonts w:ascii="Arial" w:hAnsi="Arial" w:cs="Arial"/>
          <w:sz w:val="24"/>
          <w:szCs w:val="24"/>
        </w:rPr>
        <w:t xml:space="preserve"> a set of </w:t>
      </w:r>
      <w:r w:rsidR="002C7DDA" w:rsidRPr="004038BC">
        <w:rPr>
          <w:rFonts w:ascii="Arial" w:hAnsi="Arial" w:cs="Arial"/>
          <w:sz w:val="24"/>
          <w:szCs w:val="24"/>
        </w:rPr>
        <w:t xml:space="preserve">patient-level </w:t>
      </w:r>
      <w:r w:rsidR="00700B30" w:rsidRPr="004038BC">
        <w:rPr>
          <w:rFonts w:ascii="Arial" w:hAnsi="Arial" w:cs="Arial"/>
          <w:sz w:val="24"/>
          <w:szCs w:val="24"/>
        </w:rPr>
        <w:t xml:space="preserve">observations </w:t>
      </w:r>
      <w:r w:rsidR="002C7DDA" w:rsidRPr="004038BC">
        <w:rPr>
          <w:rFonts w:ascii="Arial" w:hAnsi="Arial" w:cs="Arial"/>
          <w:sz w:val="24"/>
          <w:szCs w:val="24"/>
        </w:rPr>
        <w:t>including</w:t>
      </w:r>
      <w:r w:rsidR="00700B30" w:rsidRPr="004038BC">
        <w:rPr>
          <w:rFonts w:ascii="Arial" w:hAnsi="Arial" w:cs="Arial"/>
          <w:sz w:val="24"/>
          <w:szCs w:val="24"/>
        </w:rPr>
        <w:t xml:space="preserve"> the age, sex and location of </w:t>
      </w:r>
      <w:r w:rsidR="002C7DDA" w:rsidRPr="004038BC">
        <w:rPr>
          <w:rFonts w:ascii="Arial" w:hAnsi="Arial" w:cs="Arial"/>
          <w:sz w:val="24"/>
          <w:szCs w:val="24"/>
        </w:rPr>
        <w:t>each</w:t>
      </w:r>
      <w:r w:rsidR="00700B30" w:rsidRPr="004038BC">
        <w:rPr>
          <w:rFonts w:ascii="Arial" w:hAnsi="Arial" w:cs="Arial"/>
          <w:sz w:val="24"/>
          <w:szCs w:val="24"/>
        </w:rPr>
        <w:t xml:space="preserve"> person</w:t>
      </w:r>
      <w:r w:rsidR="002C7DDA" w:rsidRPr="004038BC">
        <w:rPr>
          <w:rFonts w:ascii="Arial" w:hAnsi="Arial" w:cs="Arial"/>
          <w:sz w:val="24"/>
          <w:szCs w:val="24"/>
        </w:rPr>
        <w:t xml:space="preserve"> whether they used secondary care or not</w:t>
      </w:r>
      <w:r w:rsidR="00700B30" w:rsidRPr="004038BC">
        <w:rPr>
          <w:rFonts w:ascii="Arial" w:hAnsi="Arial" w:cs="Arial"/>
          <w:sz w:val="24"/>
          <w:szCs w:val="24"/>
        </w:rPr>
        <w:t>.  Th</w:t>
      </w:r>
      <w:r w:rsidR="00B17C5B" w:rsidRPr="004038BC">
        <w:rPr>
          <w:rFonts w:ascii="Arial" w:hAnsi="Arial" w:cs="Arial"/>
          <w:sz w:val="24"/>
          <w:szCs w:val="24"/>
        </w:rPr>
        <w:t>e registered</w:t>
      </w:r>
      <w:r w:rsidR="009A30CF" w:rsidRPr="004038BC">
        <w:rPr>
          <w:rFonts w:ascii="Arial" w:hAnsi="Arial" w:cs="Arial"/>
          <w:sz w:val="24"/>
          <w:szCs w:val="24"/>
        </w:rPr>
        <w:t xml:space="preserve"> list</w:t>
      </w:r>
      <w:r w:rsidR="00232759" w:rsidRPr="004038BC">
        <w:rPr>
          <w:rFonts w:ascii="Arial" w:hAnsi="Arial" w:cs="Arial"/>
          <w:sz w:val="24"/>
          <w:szCs w:val="24"/>
        </w:rPr>
        <w:t xml:space="preserve"> is</w:t>
      </w:r>
      <w:r w:rsidR="00700B30" w:rsidRPr="004038BC">
        <w:rPr>
          <w:rFonts w:ascii="Arial" w:hAnsi="Arial" w:cs="Arial"/>
          <w:sz w:val="24"/>
          <w:szCs w:val="24"/>
        </w:rPr>
        <w:t xml:space="preserve"> linked with secondary care data (either the Hospital Episode Statistics (</w:t>
      </w:r>
      <w:proofErr w:type="spellStart"/>
      <w:r w:rsidR="00700B30" w:rsidRPr="004038BC">
        <w:rPr>
          <w:rFonts w:ascii="Arial" w:hAnsi="Arial" w:cs="Arial"/>
          <w:sz w:val="24"/>
          <w:szCs w:val="24"/>
        </w:rPr>
        <w:t>HES</w:t>
      </w:r>
      <w:proofErr w:type="spellEnd"/>
      <w:r w:rsidR="00700B30" w:rsidRPr="004038BC">
        <w:rPr>
          <w:rFonts w:ascii="Arial" w:hAnsi="Arial" w:cs="Arial"/>
          <w:sz w:val="24"/>
          <w:szCs w:val="24"/>
        </w:rPr>
        <w:t>) or the Secondary Users Service (SUS) Payment by Results</w:t>
      </w:r>
      <w:r w:rsidR="00E30F06" w:rsidRPr="004038BC">
        <w:rPr>
          <w:rFonts w:ascii="Arial" w:hAnsi="Arial" w:cs="Arial"/>
          <w:sz w:val="24"/>
          <w:szCs w:val="24"/>
        </w:rPr>
        <w:t xml:space="preserve"> (</w:t>
      </w:r>
      <w:proofErr w:type="spellStart"/>
      <w:r w:rsidR="00E30F06" w:rsidRPr="004038BC">
        <w:rPr>
          <w:rFonts w:ascii="Arial" w:hAnsi="Arial" w:cs="Arial"/>
          <w:sz w:val="24"/>
          <w:szCs w:val="24"/>
        </w:rPr>
        <w:t>PbR</w:t>
      </w:r>
      <w:proofErr w:type="spellEnd"/>
      <w:r w:rsidR="00E30F06" w:rsidRPr="004038BC">
        <w:rPr>
          <w:rFonts w:ascii="Arial" w:hAnsi="Arial" w:cs="Arial"/>
          <w:sz w:val="24"/>
          <w:szCs w:val="24"/>
        </w:rPr>
        <w:t>)</w:t>
      </w:r>
      <w:r w:rsidR="00700B30" w:rsidRPr="004038BC">
        <w:rPr>
          <w:rFonts w:ascii="Arial" w:hAnsi="Arial" w:cs="Arial"/>
          <w:sz w:val="24"/>
          <w:szCs w:val="24"/>
        </w:rPr>
        <w:t xml:space="preserve"> dataset).  Both datasets and the linkage are anonymised by NHS digital to protect patient confidentiality.  The </w:t>
      </w:r>
      <w:proofErr w:type="spellStart"/>
      <w:r w:rsidR="00700B30" w:rsidRPr="004038BC">
        <w:rPr>
          <w:rFonts w:ascii="Arial" w:hAnsi="Arial" w:cs="Arial"/>
          <w:sz w:val="24"/>
          <w:szCs w:val="24"/>
        </w:rPr>
        <w:t>HES</w:t>
      </w:r>
      <w:proofErr w:type="spellEnd"/>
      <w:r w:rsidR="00700B30" w:rsidRPr="004038BC">
        <w:rPr>
          <w:rFonts w:ascii="Arial" w:hAnsi="Arial" w:cs="Arial"/>
          <w:sz w:val="24"/>
          <w:szCs w:val="24"/>
        </w:rPr>
        <w:t>/SUS datasets have information on the episodes of care, diagnoses, procedures, tariff cost, etc</w:t>
      </w:r>
      <w:r w:rsidR="000A13AA">
        <w:rPr>
          <w:rFonts w:ascii="Arial" w:hAnsi="Arial" w:cs="Arial"/>
          <w:sz w:val="24"/>
          <w:szCs w:val="24"/>
        </w:rPr>
        <w:t>.</w:t>
      </w:r>
      <w:r w:rsidR="00700B30" w:rsidRPr="004038BC">
        <w:rPr>
          <w:rFonts w:ascii="Arial" w:hAnsi="Arial" w:cs="Arial"/>
          <w:sz w:val="24"/>
          <w:szCs w:val="24"/>
        </w:rPr>
        <w:t xml:space="preserve"> which relate to patients who have had admitted patient care, outpatient or A&amp;E episodes of care.  </w:t>
      </w:r>
    </w:p>
    <w:p w14:paraId="7ACF4DBA" w14:textId="77777777" w:rsidR="00E2476C" w:rsidRPr="00E2476C" w:rsidRDefault="00E2476C" w:rsidP="00D06989">
      <w:pPr>
        <w:pStyle w:val="ListParagraph"/>
        <w:spacing w:line="240" w:lineRule="auto"/>
        <w:ind w:left="0"/>
        <w:rPr>
          <w:rFonts w:ascii="Arial" w:hAnsi="Arial" w:cs="Arial"/>
          <w:sz w:val="24"/>
          <w:szCs w:val="24"/>
        </w:rPr>
      </w:pPr>
    </w:p>
    <w:p w14:paraId="4E66994E" w14:textId="631FBDEC" w:rsidR="00AE4FE4" w:rsidRPr="00A327C3" w:rsidRDefault="00700B30" w:rsidP="00D06989">
      <w:pPr>
        <w:pStyle w:val="ListParagraph"/>
        <w:numPr>
          <w:ilvl w:val="0"/>
          <w:numId w:val="8"/>
        </w:numPr>
        <w:spacing w:line="240" w:lineRule="auto"/>
        <w:ind w:left="0" w:firstLine="0"/>
        <w:mirrorIndents/>
        <w:jc w:val="both"/>
        <w:rPr>
          <w:rFonts w:ascii="Arial" w:hAnsi="Arial" w:cs="Arial"/>
          <w:sz w:val="24"/>
          <w:szCs w:val="24"/>
        </w:rPr>
      </w:pPr>
      <w:r w:rsidRPr="00537F7D">
        <w:rPr>
          <w:rFonts w:ascii="Arial" w:hAnsi="Arial" w:cs="Arial"/>
          <w:sz w:val="24"/>
          <w:szCs w:val="24"/>
        </w:rPr>
        <w:t xml:space="preserve">The dependant variable </w:t>
      </w:r>
      <w:r w:rsidR="00DA0112">
        <w:rPr>
          <w:rFonts w:ascii="Arial" w:hAnsi="Arial" w:cs="Arial"/>
          <w:sz w:val="24"/>
          <w:szCs w:val="24"/>
        </w:rPr>
        <w:t>for</w:t>
      </w:r>
      <w:r w:rsidR="00537F7D">
        <w:rPr>
          <w:rFonts w:ascii="Arial" w:hAnsi="Arial" w:cs="Arial"/>
          <w:sz w:val="24"/>
          <w:szCs w:val="24"/>
        </w:rPr>
        <w:t xml:space="preserve"> this (regression)</w:t>
      </w:r>
      <w:r w:rsidRPr="00537F7D">
        <w:rPr>
          <w:rFonts w:ascii="Arial" w:hAnsi="Arial" w:cs="Arial"/>
          <w:sz w:val="24"/>
          <w:szCs w:val="24"/>
        </w:rPr>
        <w:t xml:space="preserve"> model is the </w:t>
      </w:r>
      <w:r w:rsidR="0044675D">
        <w:rPr>
          <w:rFonts w:ascii="Arial" w:hAnsi="Arial" w:cs="Arial"/>
          <w:sz w:val="24"/>
          <w:szCs w:val="24"/>
        </w:rPr>
        <w:t xml:space="preserve">total </w:t>
      </w:r>
      <w:r w:rsidRPr="00537F7D">
        <w:rPr>
          <w:rFonts w:ascii="Arial" w:hAnsi="Arial" w:cs="Arial"/>
          <w:sz w:val="24"/>
          <w:szCs w:val="24"/>
        </w:rPr>
        <w:t xml:space="preserve">cost of providing the </w:t>
      </w:r>
      <w:r w:rsidR="00034428">
        <w:rPr>
          <w:rFonts w:ascii="Arial" w:hAnsi="Arial" w:cs="Arial"/>
          <w:sz w:val="24"/>
          <w:szCs w:val="24"/>
        </w:rPr>
        <w:t>acute</w:t>
      </w:r>
      <w:r w:rsidR="00A76077">
        <w:rPr>
          <w:rFonts w:ascii="Arial" w:hAnsi="Arial" w:cs="Arial"/>
          <w:sz w:val="24"/>
          <w:szCs w:val="24"/>
        </w:rPr>
        <w:t xml:space="preserve"> hospital</w:t>
      </w:r>
      <w:r w:rsidRPr="00A327C3">
        <w:rPr>
          <w:rFonts w:ascii="Arial" w:hAnsi="Arial" w:cs="Arial"/>
          <w:sz w:val="24"/>
          <w:szCs w:val="24"/>
        </w:rPr>
        <w:t xml:space="preserve"> care </w:t>
      </w:r>
      <w:r w:rsidR="00F4452E" w:rsidRPr="00A327C3">
        <w:rPr>
          <w:rFonts w:ascii="Arial" w:hAnsi="Arial" w:cs="Arial"/>
          <w:sz w:val="24"/>
          <w:szCs w:val="24"/>
        </w:rPr>
        <w:t xml:space="preserve">for an individual in a specific year.  </w:t>
      </w:r>
      <w:r w:rsidRPr="00A327C3">
        <w:rPr>
          <w:rFonts w:ascii="Arial" w:hAnsi="Arial" w:cs="Arial"/>
          <w:sz w:val="24"/>
          <w:szCs w:val="24"/>
        </w:rPr>
        <w:t xml:space="preserve">The cost is provided </w:t>
      </w:r>
      <w:r w:rsidR="00F4452E" w:rsidRPr="00A327C3">
        <w:rPr>
          <w:rFonts w:ascii="Arial" w:hAnsi="Arial" w:cs="Arial"/>
          <w:sz w:val="24"/>
          <w:szCs w:val="24"/>
        </w:rPr>
        <w:t>by</w:t>
      </w:r>
      <w:r w:rsidRPr="00A327C3">
        <w:rPr>
          <w:rFonts w:ascii="Arial" w:hAnsi="Arial" w:cs="Arial"/>
          <w:sz w:val="24"/>
          <w:szCs w:val="24"/>
        </w:rPr>
        <w:t xml:space="preserve"> the SUS dataset, mostly using the </w:t>
      </w:r>
      <w:proofErr w:type="spellStart"/>
      <w:r w:rsidRPr="00A327C3">
        <w:rPr>
          <w:rFonts w:ascii="Arial" w:hAnsi="Arial" w:cs="Arial"/>
          <w:sz w:val="24"/>
          <w:szCs w:val="24"/>
        </w:rPr>
        <w:t>PbR</w:t>
      </w:r>
      <w:proofErr w:type="spellEnd"/>
      <w:r w:rsidRPr="00A327C3">
        <w:rPr>
          <w:rFonts w:ascii="Arial" w:hAnsi="Arial" w:cs="Arial"/>
          <w:sz w:val="24"/>
          <w:szCs w:val="24"/>
        </w:rPr>
        <w:t xml:space="preserve"> tariff but</w:t>
      </w:r>
      <w:r w:rsidR="00EC4D01" w:rsidRPr="00A327C3">
        <w:rPr>
          <w:rFonts w:ascii="Arial" w:hAnsi="Arial" w:cs="Arial"/>
          <w:sz w:val="24"/>
          <w:szCs w:val="24"/>
        </w:rPr>
        <w:t>,</w:t>
      </w:r>
      <w:r w:rsidRPr="00A327C3">
        <w:rPr>
          <w:rFonts w:ascii="Arial" w:hAnsi="Arial" w:cs="Arial"/>
          <w:sz w:val="24"/>
          <w:szCs w:val="24"/>
        </w:rPr>
        <w:t xml:space="preserve"> </w:t>
      </w:r>
      <w:r w:rsidR="00EC4D01" w:rsidRPr="00A327C3">
        <w:rPr>
          <w:rFonts w:ascii="Arial" w:hAnsi="Arial" w:cs="Arial"/>
          <w:sz w:val="24"/>
          <w:szCs w:val="24"/>
        </w:rPr>
        <w:t>if that is not available,</w:t>
      </w:r>
      <w:r w:rsidRPr="00A327C3">
        <w:rPr>
          <w:rFonts w:ascii="Arial" w:hAnsi="Arial" w:cs="Arial"/>
          <w:sz w:val="24"/>
          <w:szCs w:val="24"/>
        </w:rPr>
        <w:t xml:space="preserve"> using the reference costs.  In some cases</w:t>
      </w:r>
      <w:r w:rsidR="00AE4FE4" w:rsidRPr="00A327C3">
        <w:rPr>
          <w:rFonts w:ascii="Arial" w:hAnsi="Arial" w:cs="Arial"/>
          <w:sz w:val="24"/>
          <w:szCs w:val="24"/>
        </w:rPr>
        <w:t>,</w:t>
      </w:r>
      <w:r w:rsidR="00EC4D01" w:rsidRPr="00A327C3">
        <w:rPr>
          <w:rFonts w:ascii="Arial" w:hAnsi="Arial" w:cs="Arial"/>
          <w:sz w:val="24"/>
          <w:szCs w:val="24"/>
        </w:rPr>
        <w:t xml:space="preserve"> where</w:t>
      </w:r>
      <w:r w:rsidR="00AE4FE4" w:rsidRPr="00A327C3">
        <w:rPr>
          <w:rFonts w:ascii="Arial" w:hAnsi="Arial" w:cs="Arial"/>
          <w:sz w:val="24"/>
          <w:szCs w:val="24"/>
        </w:rPr>
        <w:t xml:space="preserve"> </w:t>
      </w:r>
      <w:r w:rsidR="00CA20BF" w:rsidRPr="00A327C3">
        <w:rPr>
          <w:rFonts w:ascii="Arial" w:hAnsi="Arial" w:cs="Arial"/>
          <w:sz w:val="24"/>
          <w:szCs w:val="24"/>
        </w:rPr>
        <w:t>n</w:t>
      </w:r>
      <w:r w:rsidR="00AE4FE4" w:rsidRPr="00A327C3">
        <w:rPr>
          <w:rFonts w:ascii="Arial" w:hAnsi="Arial" w:cs="Arial"/>
          <w:sz w:val="24"/>
          <w:szCs w:val="24"/>
        </w:rPr>
        <w:t>either of these is available,</w:t>
      </w:r>
      <w:r w:rsidRPr="00A327C3">
        <w:rPr>
          <w:rFonts w:ascii="Arial" w:hAnsi="Arial" w:cs="Arial"/>
          <w:sz w:val="24"/>
          <w:szCs w:val="24"/>
        </w:rPr>
        <w:t xml:space="preserve"> the average speciality costs are used.  </w:t>
      </w:r>
    </w:p>
    <w:p w14:paraId="51142BB0" w14:textId="77777777" w:rsidR="00AE4FE4" w:rsidRPr="00AE4FE4" w:rsidRDefault="00AE4FE4" w:rsidP="00D06989">
      <w:pPr>
        <w:pStyle w:val="ListParagraph"/>
        <w:spacing w:line="240" w:lineRule="auto"/>
        <w:ind w:left="0"/>
        <w:rPr>
          <w:rFonts w:ascii="Arial" w:hAnsi="Arial" w:cs="Arial"/>
          <w:sz w:val="24"/>
          <w:szCs w:val="24"/>
        </w:rPr>
      </w:pPr>
    </w:p>
    <w:p w14:paraId="0A00E3CF" w14:textId="3EF30ED9" w:rsidR="00334FED" w:rsidRDefault="00700B30" w:rsidP="00D06989">
      <w:pPr>
        <w:pStyle w:val="ListParagraph"/>
        <w:numPr>
          <w:ilvl w:val="0"/>
          <w:numId w:val="8"/>
        </w:numPr>
        <w:spacing w:line="240" w:lineRule="auto"/>
        <w:ind w:left="0" w:firstLine="0"/>
        <w:mirrorIndents/>
        <w:jc w:val="both"/>
        <w:rPr>
          <w:rFonts w:ascii="Arial" w:hAnsi="Arial" w:cs="Arial"/>
          <w:sz w:val="24"/>
          <w:szCs w:val="24"/>
        </w:rPr>
      </w:pPr>
      <w:r w:rsidRPr="00AE4FE4">
        <w:rPr>
          <w:rFonts w:ascii="Arial" w:hAnsi="Arial" w:cs="Arial"/>
          <w:sz w:val="24"/>
          <w:szCs w:val="24"/>
        </w:rPr>
        <w:t>The individual</w:t>
      </w:r>
      <w:r w:rsidR="004540D5">
        <w:rPr>
          <w:rFonts w:ascii="Arial" w:hAnsi="Arial" w:cs="Arial"/>
          <w:sz w:val="24"/>
          <w:szCs w:val="24"/>
        </w:rPr>
        <w:t>-level</w:t>
      </w:r>
      <w:r w:rsidRPr="00AE4FE4">
        <w:rPr>
          <w:rFonts w:ascii="Arial" w:hAnsi="Arial" w:cs="Arial"/>
          <w:sz w:val="24"/>
          <w:szCs w:val="24"/>
        </w:rPr>
        <w:t xml:space="preserve"> morbidity component of the model is constructed using variables which reflect the diagnoses recorded in SUS for the patient</w:t>
      </w:r>
      <w:r w:rsidR="00AB309A">
        <w:rPr>
          <w:rFonts w:ascii="Arial" w:hAnsi="Arial" w:cs="Arial"/>
          <w:sz w:val="24"/>
          <w:szCs w:val="24"/>
        </w:rPr>
        <w:t>s who had received secondary care</w:t>
      </w:r>
      <w:r w:rsidR="0031768E">
        <w:rPr>
          <w:rFonts w:ascii="Arial" w:hAnsi="Arial" w:cs="Arial"/>
          <w:sz w:val="24"/>
          <w:szCs w:val="24"/>
        </w:rPr>
        <w:t xml:space="preserve">.  The period </w:t>
      </w:r>
      <w:r w:rsidR="00C86CBB">
        <w:rPr>
          <w:rFonts w:ascii="Arial" w:hAnsi="Arial" w:cs="Arial"/>
          <w:sz w:val="24"/>
          <w:szCs w:val="24"/>
        </w:rPr>
        <w:t>from which the diagnoses data are taken is</w:t>
      </w:r>
      <w:r w:rsidR="00AB309A">
        <w:rPr>
          <w:rFonts w:ascii="Arial" w:hAnsi="Arial" w:cs="Arial"/>
          <w:sz w:val="24"/>
          <w:szCs w:val="24"/>
        </w:rPr>
        <w:t xml:space="preserve"> th</w:t>
      </w:r>
      <w:r w:rsidR="00E30F06">
        <w:rPr>
          <w:rFonts w:ascii="Arial" w:hAnsi="Arial" w:cs="Arial"/>
          <w:sz w:val="24"/>
          <w:szCs w:val="24"/>
        </w:rPr>
        <w:t>e two years</w:t>
      </w:r>
      <w:r w:rsidR="00114E5A">
        <w:rPr>
          <w:rFonts w:ascii="Arial" w:hAnsi="Arial" w:cs="Arial"/>
          <w:sz w:val="24"/>
          <w:szCs w:val="24"/>
        </w:rPr>
        <w:t xml:space="preserve"> prior</w:t>
      </w:r>
      <w:r w:rsidR="00EC4D01">
        <w:rPr>
          <w:rFonts w:ascii="Arial" w:hAnsi="Arial" w:cs="Arial"/>
          <w:sz w:val="24"/>
          <w:szCs w:val="24"/>
        </w:rPr>
        <w:t xml:space="preserve"> to the </w:t>
      </w:r>
      <w:r w:rsidR="003032DC">
        <w:rPr>
          <w:rFonts w:ascii="Arial" w:hAnsi="Arial" w:cs="Arial"/>
          <w:sz w:val="24"/>
          <w:szCs w:val="24"/>
        </w:rPr>
        <w:t xml:space="preserve">year </w:t>
      </w:r>
      <w:r w:rsidR="000141A7">
        <w:rPr>
          <w:rFonts w:ascii="Arial" w:hAnsi="Arial" w:cs="Arial"/>
          <w:sz w:val="24"/>
          <w:szCs w:val="24"/>
        </w:rPr>
        <w:t>of</w:t>
      </w:r>
      <w:r w:rsidR="003032DC">
        <w:rPr>
          <w:rFonts w:ascii="Arial" w:hAnsi="Arial" w:cs="Arial"/>
          <w:sz w:val="24"/>
          <w:szCs w:val="24"/>
        </w:rPr>
        <w:t xml:space="preserve"> the costed </w:t>
      </w:r>
      <w:r w:rsidR="0031768E">
        <w:rPr>
          <w:rFonts w:ascii="Arial" w:hAnsi="Arial" w:cs="Arial"/>
          <w:sz w:val="24"/>
          <w:szCs w:val="24"/>
        </w:rPr>
        <w:t>dependent variable</w:t>
      </w:r>
      <w:r w:rsidR="00114E5A">
        <w:rPr>
          <w:rFonts w:ascii="Arial" w:hAnsi="Arial" w:cs="Arial"/>
          <w:sz w:val="24"/>
          <w:szCs w:val="24"/>
        </w:rPr>
        <w:t xml:space="preserve">.  </w:t>
      </w:r>
      <w:r w:rsidR="003032DC">
        <w:rPr>
          <w:rFonts w:ascii="Arial" w:hAnsi="Arial" w:cs="Arial"/>
          <w:sz w:val="24"/>
          <w:szCs w:val="24"/>
        </w:rPr>
        <w:t xml:space="preserve">That is the cost of providing </w:t>
      </w:r>
      <w:r w:rsidR="002305C6">
        <w:rPr>
          <w:rFonts w:ascii="Arial" w:hAnsi="Arial" w:cs="Arial"/>
          <w:sz w:val="24"/>
          <w:szCs w:val="24"/>
        </w:rPr>
        <w:t xml:space="preserve">a patient with secondary care is explained by the diagnoses recorded (the morbidity) </w:t>
      </w:r>
      <w:r w:rsidR="00DA0112">
        <w:rPr>
          <w:rFonts w:ascii="Arial" w:hAnsi="Arial" w:cs="Arial"/>
          <w:sz w:val="24"/>
          <w:szCs w:val="24"/>
        </w:rPr>
        <w:t>during the previous two years</w:t>
      </w:r>
      <w:r w:rsidR="00E30F06">
        <w:rPr>
          <w:rFonts w:ascii="Arial" w:hAnsi="Arial" w:cs="Arial"/>
          <w:sz w:val="24"/>
          <w:szCs w:val="24"/>
        </w:rPr>
        <w:t xml:space="preserve">.  </w:t>
      </w:r>
    </w:p>
    <w:p w14:paraId="5F304002" w14:textId="77777777" w:rsidR="00334FED" w:rsidRPr="00334FED" w:rsidRDefault="00334FED" w:rsidP="00D06989">
      <w:pPr>
        <w:pStyle w:val="ListParagraph"/>
        <w:spacing w:line="240" w:lineRule="auto"/>
        <w:ind w:left="0"/>
        <w:rPr>
          <w:rFonts w:ascii="Arial" w:hAnsi="Arial" w:cs="Arial"/>
          <w:sz w:val="24"/>
          <w:szCs w:val="24"/>
        </w:rPr>
      </w:pPr>
    </w:p>
    <w:p w14:paraId="3117BAD5" w14:textId="3522C3D8" w:rsidR="00700B30" w:rsidRPr="00AE4FE4" w:rsidRDefault="007850A3" w:rsidP="00D06989">
      <w:pPr>
        <w:pStyle w:val="ListParagraph"/>
        <w:numPr>
          <w:ilvl w:val="0"/>
          <w:numId w:val="8"/>
        </w:numPr>
        <w:spacing w:line="240" w:lineRule="auto"/>
        <w:ind w:left="0" w:firstLine="0"/>
        <w:mirrorIndents/>
        <w:jc w:val="both"/>
        <w:rPr>
          <w:rFonts w:ascii="Arial" w:hAnsi="Arial" w:cs="Arial"/>
          <w:sz w:val="24"/>
          <w:szCs w:val="24"/>
        </w:rPr>
      </w:pPr>
      <w:r>
        <w:rPr>
          <w:rFonts w:ascii="Arial" w:hAnsi="Arial" w:cs="Arial"/>
          <w:sz w:val="24"/>
          <w:szCs w:val="24"/>
        </w:rPr>
        <w:t xml:space="preserve">The patient-level diagnoses data are </w:t>
      </w:r>
      <w:r w:rsidR="00700B30" w:rsidRPr="00AE4FE4">
        <w:rPr>
          <w:rFonts w:ascii="Arial" w:hAnsi="Arial" w:cs="Arial"/>
          <w:sz w:val="24"/>
          <w:szCs w:val="24"/>
        </w:rPr>
        <w:t>grouped according to the sub-chapters of the International Classification of Disease (ICD)</w:t>
      </w:r>
      <w:r w:rsidR="00767D45">
        <w:rPr>
          <w:rFonts w:ascii="Arial" w:hAnsi="Arial" w:cs="Arial"/>
          <w:sz w:val="24"/>
          <w:szCs w:val="24"/>
        </w:rPr>
        <w:t xml:space="preserve"> giving 152 groups</w:t>
      </w:r>
      <w:r w:rsidR="00700B30" w:rsidRPr="00AE4FE4">
        <w:rPr>
          <w:rFonts w:ascii="Arial" w:hAnsi="Arial" w:cs="Arial"/>
          <w:sz w:val="24"/>
          <w:szCs w:val="24"/>
        </w:rPr>
        <w:t xml:space="preserve">.  </w:t>
      </w:r>
      <w:proofErr w:type="spellStart"/>
      <w:r w:rsidR="00700B30" w:rsidRPr="00AE4FE4">
        <w:rPr>
          <w:rFonts w:ascii="Arial" w:hAnsi="Arial" w:cs="Arial"/>
          <w:sz w:val="24"/>
          <w:szCs w:val="24"/>
        </w:rPr>
        <w:t>ICD10</w:t>
      </w:r>
      <w:proofErr w:type="spellEnd"/>
      <w:r w:rsidR="00700B30" w:rsidRPr="00AE4FE4">
        <w:rPr>
          <w:rFonts w:ascii="Arial" w:hAnsi="Arial" w:cs="Arial"/>
          <w:sz w:val="24"/>
          <w:szCs w:val="24"/>
        </w:rPr>
        <w:t xml:space="preserve"> sub-</w:t>
      </w:r>
      <w:r w:rsidR="00700B30" w:rsidRPr="00AE4FE4">
        <w:rPr>
          <w:rFonts w:ascii="Arial" w:hAnsi="Arial" w:cs="Arial"/>
          <w:sz w:val="24"/>
          <w:szCs w:val="24"/>
        </w:rPr>
        <w:lastRenderedPageBreak/>
        <w:t xml:space="preserve">chapters were used as individual codes were considered to give rise to volatility in the model.  The morbidity is included in three ways: </w:t>
      </w:r>
    </w:p>
    <w:p w14:paraId="7667423C" w14:textId="55ABEC28" w:rsidR="00700B30" w:rsidRDefault="00700B30" w:rsidP="00D06989">
      <w:pPr>
        <w:pStyle w:val="ListParagraph"/>
        <w:numPr>
          <w:ilvl w:val="0"/>
          <w:numId w:val="7"/>
        </w:numPr>
        <w:spacing w:line="240" w:lineRule="auto"/>
        <w:mirrorIndents/>
        <w:jc w:val="both"/>
        <w:rPr>
          <w:rFonts w:ascii="Arial" w:hAnsi="Arial" w:cs="Arial"/>
          <w:sz w:val="24"/>
          <w:szCs w:val="24"/>
        </w:rPr>
      </w:pPr>
      <w:r w:rsidRPr="00CB7B10">
        <w:rPr>
          <w:rFonts w:ascii="Arial" w:hAnsi="Arial" w:cs="Arial"/>
          <w:sz w:val="24"/>
          <w:szCs w:val="24"/>
        </w:rPr>
        <w:t>the morbidity diagnosis recorded</w:t>
      </w:r>
      <w:r>
        <w:rPr>
          <w:rFonts w:ascii="Arial" w:hAnsi="Arial" w:cs="Arial"/>
          <w:sz w:val="24"/>
          <w:szCs w:val="24"/>
        </w:rPr>
        <w:t xml:space="preserve"> (the data</w:t>
      </w:r>
      <w:r w:rsidR="00A47C44">
        <w:rPr>
          <w:rFonts w:ascii="Arial" w:hAnsi="Arial" w:cs="Arial"/>
          <w:sz w:val="24"/>
          <w:szCs w:val="24"/>
        </w:rPr>
        <w:t>set includes</w:t>
      </w:r>
      <w:r>
        <w:rPr>
          <w:rFonts w:ascii="Arial" w:hAnsi="Arial" w:cs="Arial"/>
          <w:sz w:val="24"/>
          <w:szCs w:val="24"/>
        </w:rPr>
        <w:t xml:space="preserve"> up to 13 diagnostic codes per episode: analysis determine</w:t>
      </w:r>
      <w:r w:rsidR="005D7216">
        <w:rPr>
          <w:rFonts w:ascii="Arial" w:hAnsi="Arial" w:cs="Arial"/>
          <w:sz w:val="24"/>
          <w:szCs w:val="24"/>
        </w:rPr>
        <w:t>d</w:t>
      </w:r>
      <w:r>
        <w:rPr>
          <w:rFonts w:ascii="Arial" w:hAnsi="Arial" w:cs="Arial"/>
          <w:sz w:val="24"/>
          <w:szCs w:val="24"/>
        </w:rPr>
        <w:t xml:space="preserve"> that </w:t>
      </w:r>
      <w:r w:rsidR="005D7216">
        <w:rPr>
          <w:rFonts w:ascii="Arial" w:hAnsi="Arial" w:cs="Arial"/>
          <w:sz w:val="24"/>
          <w:szCs w:val="24"/>
        </w:rPr>
        <w:t xml:space="preserve">the </w:t>
      </w:r>
      <w:r w:rsidR="00DF4BB8">
        <w:rPr>
          <w:rFonts w:ascii="Arial" w:hAnsi="Arial" w:cs="Arial"/>
          <w:sz w:val="24"/>
          <w:szCs w:val="24"/>
        </w:rPr>
        <w:t>optimum number of diagnostic codes to be included</w:t>
      </w:r>
      <w:r>
        <w:rPr>
          <w:rFonts w:ascii="Arial" w:hAnsi="Arial" w:cs="Arial"/>
          <w:sz w:val="24"/>
          <w:szCs w:val="24"/>
        </w:rPr>
        <w:t xml:space="preserve"> </w:t>
      </w:r>
      <w:r w:rsidR="00DF4BB8">
        <w:rPr>
          <w:rFonts w:ascii="Arial" w:hAnsi="Arial" w:cs="Arial"/>
          <w:sz w:val="24"/>
          <w:szCs w:val="24"/>
        </w:rPr>
        <w:t>was</w:t>
      </w:r>
      <w:r>
        <w:rPr>
          <w:rFonts w:ascii="Arial" w:hAnsi="Arial" w:cs="Arial"/>
          <w:sz w:val="24"/>
          <w:szCs w:val="24"/>
        </w:rPr>
        <w:t xml:space="preserve"> 9);</w:t>
      </w:r>
    </w:p>
    <w:p w14:paraId="7264F539" w14:textId="2DEEB137" w:rsidR="00700B30" w:rsidRDefault="00BD0132" w:rsidP="00D06989">
      <w:pPr>
        <w:pStyle w:val="ListParagraph"/>
        <w:numPr>
          <w:ilvl w:val="0"/>
          <w:numId w:val="7"/>
        </w:numPr>
        <w:spacing w:line="240" w:lineRule="auto"/>
        <w:mirrorIndents/>
        <w:jc w:val="both"/>
        <w:rPr>
          <w:rFonts w:ascii="Arial" w:hAnsi="Arial" w:cs="Arial"/>
          <w:sz w:val="24"/>
          <w:szCs w:val="24"/>
        </w:rPr>
      </w:pPr>
      <w:r>
        <w:rPr>
          <w:rFonts w:ascii="Arial" w:hAnsi="Arial" w:cs="Arial"/>
          <w:sz w:val="24"/>
          <w:szCs w:val="24"/>
        </w:rPr>
        <w:t>morb</w:t>
      </w:r>
      <w:r w:rsidR="00CF00D5">
        <w:rPr>
          <w:rFonts w:ascii="Arial" w:hAnsi="Arial" w:cs="Arial"/>
          <w:sz w:val="24"/>
          <w:szCs w:val="24"/>
        </w:rPr>
        <w:t>id</w:t>
      </w:r>
      <w:r>
        <w:rPr>
          <w:rFonts w:ascii="Arial" w:hAnsi="Arial" w:cs="Arial"/>
          <w:sz w:val="24"/>
          <w:szCs w:val="24"/>
        </w:rPr>
        <w:t>ity</w:t>
      </w:r>
      <w:r w:rsidR="00700B30">
        <w:rPr>
          <w:rFonts w:ascii="Arial" w:hAnsi="Arial" w:cs="Arial"/>
          <w:sz w:val="24"/>
          <w:szCs w:val="24"/>
        </w:rPr>
        <w:t xml:space="preserve"> interactions (as co-morbidities are expected to affect the cost of treatment);</w:t>
      </w:r>
    </w:p>
    <w:p w14:paraId="26208E9C" w14:textId="77777777" w:rsidR="00700B30" w:rsidRDefault="00700B30" w:rsidP="00D06989">
      <w:pPr>
        <w:pStyle w:val="ListParagraph"/>
        <w:numPr>
          <w:ilvl w:val="0"/>
          <w:numId w:val="7"/>
        </w:numPr>
        <w:spacing w:line="240" w:lineRule="auto"/>
        <w:mirrorIndents/>
        <w:jc w:val="both"/>
        <w:rPr>
          <w:rFonts w:ascii="Arial" w:hAnsi="Arial" w:cs="Arial"/>
          <w:sz w:val="24"/>
          <w:szCs w:val="24"/>
        </w:rPr>
      </w:pPr>
      <w:r>
        <w:rPr>
          <w:rFonts w:ascii="Arial" w:hAnsi="Arial" w:cs="Arial"/>
          <w:sz w:val="24"/>
          <w:szCs w:val="24"/>
        </w:rPr>
        <w:t>a count of the number of morbidities (because more than one condition can be treated in a single hospital spell);</w:t>
      </w:r>
    </w:p>
    <w:p w14:paraId="0691DCCF" w14:textId="77777777" w:rsidR="00075ACA" w:rsidRDefault="00075ACA" w:rsidP="00D06989">
      <w:pPr>
        <w:pStyle w:val="ListParagraph"/>
        <w:spacing w:line="240" w:lineRule="auto"/>
        <w:ind w:left="0"/>
        <w:mirrorIndents/>
        <w:jc w:val="both"/>
        <w:rPr>
          <w:rFonts w:ascii="Arial" w:hAnsi="Arial" w:cs="Arial"/>
          <w:sz w:val="24"/>
          <w:szCs w:val="24"/>
        </w:rPr>
      </w:pPr>
    </w:p>
    <w:p w14:paraId="7B77E3BF" w14:textId="21653244" w:rsidR="00606B74" w:rsidRPr="00E1472E" w:rsidRDefault="00861AE2" w:rsidP="00D06989">
      <w:pPr>
        <w:pStyle w:val="ListParagraph"/>
        <w:numPr>
          <w:ilvl w:val="0"/>
          <w:numId w:val="8"/>
        </w:numPr>
        <w:spacing w:line="240" w:lineRule="auto"/>
        <w:ind w:left="0" w:firstLine="0"/>
        <w:mirrorIndents/>
        <w:jc w:val="both"/>
        <w:rPr>
          <w:rFonts w:ascii="Arial" w:hAnsi="Arial" w:cs="Arial"/>
          <w:sz w:val="24"/>
          <w:szCs w:val="24"/>
        </w:rPr>
      </w:pPr>
      <w:r>
        <w:rPr>
          <w:rFonts w:ascii="Arial" w:hAnsi="Arial" w:cs="Arial"/>
          <w:sz w:val="24"/>
          <w:szCs w:val="24"/>
        </w:rPr>
        <w:t>As with the NRAC model t</w:t>
      </w:r>
      <w:r w:rsidR="00700B30">
        <w:rPr>
          <w:rFonts w:ascii="Arial" w:hAnsi="Arial" w:cs="Arial"/>
          <w:sz w:val="24"/>
          <w:szCs w:val="24"/>
        </w:rPr>
        <w:t>he dependant variable set also includes area variables representing the demographic and socio-economic characteristics of the area of residence of the</w:t>
      </w:r>
      <w:r w:rsidR="00D378CC">
        <w:rPr>
          <w:rFonts w:ascii="Arial" w:hAnsi="Arial" w:cs="Arial"/>
          <w:sz w:val="24"/>
          <w:szCs w:val="24"/>
        </w:rPr>
        <w:t>se</w:t>
      </w:r>
      <w:r w:rsidR="00700B30">
        <w:rPr>
          <w:rFonts w:ascii="Arial" w:hAnsi="Arial" w:cs="Arial"/>
          <w:sz w:val="24"/>
          <w:szCs w:val="24"/>
        </w:rPr>
        <w:t xml:space="preserve"> individual patients.  </w:t>
      </w:r>
      <w:r w:rsidR="00E1472E">
        <w:rPr>
          <w:rFonts w:ascii="Arial" w:hAnsi="Arial" w:cs="Arial"/>
          <w:sz w:val="24"/>
          <w:szCs w:val="24"/>
        </w:rPr>
        <w:t>However, the findings of the research were that, after</w:t>
      </w:r>
      <w:r w:rsidR="00606B74" w:rsidRPr="00E1472E">
        <w:rPr>
          <w:rFonts w:ascii="Arial" w:hAnsi="Arial" w:cs="Arial"/>
          <w:sz w:val="24"/>
          <w:szCs w:val="24"/>
        </w:rPr>
        <w:t xml:space="preserve"> age</w:t>
      </w:r>
      <w:r w:rsidR="00E1472E">
        <w:rPr>
          <w:rFonts w:ascii="Arial" w:hAnsi="Arial" w:cs="Arial"/>
          <w:sz w:val="24"/>
          <w:szCs w:val="24"/>
        </w:rPr>
        <w:t>,</w:t>
      </w:r>
      <w:r w:rsidR="00606B74" w:rsidRPr="00E1472E">
        <w:rPr>
          <w:rFonts w:ascii="Arial" w:hAnsi="Arial" w:cs="Arial"/>
          <w:sz w:val="24"/>
          <w:szCs w:val="24"/>
        </w:rPr>
        <w:t xml:space="preserve"> the most powerful predictors of costs were the diagnostic groups that described individual-level morbidity</w:t>
      </w:r>
      <w:r w:rsidR="00E1472E">
        <w:rPr>
          <w:rFonts w:ascii="Arial" w:hAnsi="Arial" w:cs="Arial"/>
          <w:sz w:val="24"/>
          <w:szCs w:val="24"/>
        </w:rPr>
        <w:t xml:space="preserve">.  </w:t>
      </w:r>
    </w:p>
    <w:p w14:paraId="41690834" w14:textId="77777777" w:rsidR="00606B74" w:rsidRDefault="00606B74" w:rsidP="00D06989">
      <w:pPr>
        <w:pStyle w:val="ListParagraph"/>
        <w:spacing w:line="240" w:lineRule="auto"/>
        <w:ind w:left="0"/>
        <w:mirrorIndents/>
        <w:jc w:val="both"/>
        <w:rPr>
          <w:rFonts w:ascii="Arial" w:hAnsi="Arial" w:cs="Arial"/>
          <w:sz w:val="24"/>
          <w:szCs w:val="24"/>
        </w:rPr>
      </w:pPr>
    </w:p>
    <w:p w14:paraId="6FB122E2" w14:textId="062A9FC6" w:rsidR="00D84F14" w:rsidRPr="00E73F62" w:rsidRDefault="00D84F14" w:rsidP="00D06989">
      <w:pPr>
        <w:pStyle w:val="ListParagraph"/>
        <w:spacing w:line="240" w:lineRule="auto"/>
        <w:ind w:left="0"/>
        <w:mirrorIndents/>
        <w:jc w:val="both"/>
        <w:rPr>
          <w:rFonts w:ascii="Arial" w:hAnsi="Arial" w:cs="Arial"/>
          <w:i/>
          <w:iCs/>
          <w:sz w:val="24"/>
          <w:szCs w:val="24"/>
        </w:rPr>
      </w:pPr>
      <w:r w:rsidRPr="00E73F62">
        <w:rPr>
          <w:rFonts w:ascii="Arial" w:hAnsi="Arial" w:cs="Arial"/>
          <w:i/>
          <w:iCs/>
          <w:sz w:val="24"/>
          <w:szCs w:val="24"/>
        </w:rPr>
        <w:t>Discuss</w:t>
      </w:r>
      <w:r w:rsidR="00E73F62" w:rsidRPr="00E73F62">
        <w:rPr>
          <w:rFonts w:ascii="Arial" w:hAnsi="Arial" w:cs="Arial"/>
          <w:i/>
          <w:iCs/>
          <w:sz w:val="24"/>
          <w:szCs w:val="24"/>
        </w:rPr>
        <w:t>ion:</w:t>
      </w:r>
    </w:p>
    <w:p w14:paraId="35D95A29" w14:textId="77777777" w:rsidR="006D704F" w:rsidRDefault="00C804CB" w:rsidP="00D06989">
      <w:pPr>
        <w:pStyle w:val="ListParagraph"/>
        <w:numPr>
          <w:ilvl w:val="0"/>
          <w:numId w:val="8"/>
        </w:numPr>
        <w:spacing w:line="240" w:lineRule="auto"/>
        <w:ind w:left="0" w:firstLine="0"/>
        <w:mirrorIndents/>
        <w:jc w:val="both"/>
        <w:rPr>
          <w:rFonts w:ascii="Arial" w:hAnsi="Arial" w:cs="Arial"/>
          <w:sz w:val="24"/>
          <w:szCs w:val="24"/>
        </w:rPr>
      </w:pPr>
      <w:r>
        <w:rPr>
          <w:rFonts w:ascii="Arial" w:hAnsi="Arial" w:cs="Arial"/>
          <w:sz w:val="24"/>
          <w:szCs w:val="24"/>
        </w:rPr>
        <w:t>S</w:t>
      </w:r>
      <w:r w:rsidR="005D29B4">
        <w:rPr>
          <w:rFonts w:ascii="Arial" w:hAnsi="Arial" w:cs="Arial"/>
          <w:sz w:val="24"/>
          <w:szCs w:val="24"/>
        </w:rPr>
        <w:t>imilar</w:t>
      </w:r>
      <w:r w:rsidR="00AC170E">
        <w:rPr>
          <w:rFonts w:ascii="Arial" w:hAnsi="Arial" w:cs="Arial"/>
          <w:sz w:val="24"/>
          <w:szCs w:val="24"/>
        </w:rPr>
        <w:t xml:space="preserve"> individual-level</w:t>
      </w:r>
      <w:r w:rsidR="005D29B4">
        <w:rPr>
          <w:rFonts w:ascii="Arial" w:hAnsi="Arial" w:cs="Arial"/>
          <w:sz w:val="24"/>
          <w:szCs w:val="24"/>
        </w:rPr>
        <w:t xml:space="preserve"> data </w:t>
      </w:r>
      <w:r>
        <w:rPr>
          <w:rFonts w:ascii="Arial" w:hAnsi="Arial" w:cs="Arial"/>
          <w:sz w:val="24"/>
          <w:szCs w:val="24"/>
        </w:rPr>
        <w:t>are collected in</w:t>
      </w:r>
      <w:r w:rsidR="005D29B4">
        <w:rPr>
          <w:rFonts w:ascii="Arial" w:hAnsi="Arial" w:cs="Arial"/>
          <w:sz w:val="24"/>
          <w:szCs w:val="24"/>
        </w:rPr>
        <w:t xml:space="preserve"> Scotland</w:t>
      </w:r>
      <w:r w:rsidR="005253F8">
        <w:rPr>
          <w:rFonts w:ascii="Arial" w:hAnsi="Arial" w:cs="Arial"/>
          <w:sz w:val="24"/>
          <w:szCs w:val="24"/>
        </w:rPr>
        <w:t>: the practice list</w:t>
      </w:r>
      <w:r w:rsidR="00BA34D3">
        <w:rPr>
          <w:rFonts w:ascii="Arial" w:hAnsi="Arial" w:cs="Arial"/>
          <w:sz w:val="24"/>
          <w:szCs w:val="24"/>
        </w:rPr>
        <w:t xml:space="preserve"> </w:t>
      </w:r>
      <w:r w:rsidR="00A909B1">
        <w:rPr>
          <w:rFonts w:ascii="Arial" w:hAnsi="Arial" w:cs="Arial"/>
          <w:sz w:val="24"/>
          <w:szCs w:val="24"/>
        </w:rPr>
        <w:t xml:space="preserve">is available via </w:t>
      </w:r>
      <w:r w:rsidR="00BA34D3">
        <w:rPr>
          <w:rFonts w:ascii="Arial" w:hAnsi="Arial" w:cs="Arial"/>
          <w:sz w:val="24"/>
          <w:szCs w:val="24"/>
        </w:rPr>
        <w:t xml:space="preserve">the Community Health Index (CHI) </w:t>
      </w:r>
      <w:r w:rsidR="005253F8">
        <w:rPr>
          <w:rFonts w:ascii="Arial" w:hAnsi="Arial" w:cs="Arial"/>
          <w:sz w:val="24"/>
          <w:szCs w:val="24"/>
        </w:rPr>
        <w:t>and the Scottish Morbidity Record (</w:t>
      </w:r>
      <w:proofErr w:type="spellStart"/>
      <w:r w:rsidR="005253F8">
        <w:rPr>
          <w:rFonts w:ascii="Arial" w:hAnsi="Arial" w:cs="Arial"/>
          <w:sz w:val="24"/>
          <w:szCs w:val="24"/>
        </w:rPr>
        <w:t>SMR</w:t>
      </w:r>
      <w:proofErr w:type="spellEnd"/>
      <w:r w:rsidR="005253F8">
        <w:rPr>
          <w:rFonts w:ascii="Arial" w:hAnsi="Arial" w:cs="Arial"/>
          <w:sz w:val="24"/>
          <w:szCs w:val="24"/>
        </w:rPr>
        <w:t xml:space="preserve">) </w:t>
      </w:r>
      <w:r w:rsidR="00A909B1">
        <w:rPr>
          <w:rFonts w:ascii="Arial" w:hAnsi="Arial" w:cs="Arial"/>
          <w:sz w:val="24"/>
          <w:szCs w:val="24"/>
        </w:rPr>
        <w:t xml:space="preserve">is completed for </w:t>
      </w:r>
      <w:r w:rsidR="00E71E2B">
        <w:rPr>
          <w:rFonts w:ascii="Arial" w:hAnsi="Arial" w:cs="Arial"/>
          <w:sz w:val="24"/>
          <w:szCs w:val="24"/>
        </w:rPr>
        <w:t>admitted patient care</w:t>
      </w:r>
      <w:r w:rsidR="005D29B4">
        <w:rPr>
          <w:rFonts w:ascii="Arial" w:hAnsi="Arial" w:cs="Arial"/>
          <w:sz w:val="24"/>
          <w:szCs w:val="24"/>
        </w:rPr>
        <w:t xml:space="preserve">. </w:t>
      </w:r>
      <w:r w:rsidR="007118D6">
        <w:rPr>
          <w:rFonts w:ascii="Arial" w:hAnsi="Arial" w:cs="Arial"/>
          <w:sz w:val="24"/>
          <w:szCs w:val="24"/>
        </w:rPr>
        <w:t xml:space="preserve"> </w:t>
      </w:r>
      <w:r w:rsidR="000F2BB2">
        <w:rPr>
          <w:rFonts w:ascii="Arial" w:hAnsi="Arial" w:cs="Arial"/>
          <w:sz w:val="24"/>
          <w:szCs w:val="24"/>
        </w:rPr>
        <w:t xml:space="preserve">Subject to </w:t>
      </w:r>
      <w:r w:rsidR="00CD19BB">
        <w:rPr>
          <w:rFonts w:ascii="Arial" w:hAnsi="Arial" w:cs="Arial"/>
          <w:sz w:val="24"/>
          <w:szCs w:val="24"/>
        </w:rPr>
        <w:t>satisfying information governance requirements it may be possible to link these datasets in order to undertake a feasibility study</w:t>
      </w:r>
      <w:r w:rsidR="006D704F">
        <w:rPr>
          <w:rFonts w:ascii="Arial" w:hAnsi="Arial" w:cs="Arial"/>
          <w:sz w:val="24"/>
          <w:szCs w:val="24"/>
        </w:rPr>
        <w:t xml:space="preserve">.  </w:t>
      </w:r>
    </w:p>
    <w:p w14:paraId="26E898F7" w14:textId="77777777" w:rsidR="006D704F" w:rsidRPr="005A1D36" w:rsidRDefault="006D704F" w:rsidP="00D06989">
      <w:pPr>
        <w:pStyle w:val="ListParagraph"/>
        <w:spacing w:line="240" w:lineRule="auto"/>
        <w:ind w:left="0"/>
        <w:mirrorIndents/>
        <w:jc w:val="both"/>
        <w:rPr>
          <w:rFonts w:ascii="Arial" w:hAnsi="Arial" w:cs="Arial"/>
          <w:sz w:val="24"/>
          <w:szCs w:val="24"/>
        </w:rPr>
      </w:pPr>
    </w:p>
    <w:p w14:paraId="1CA05A11" w14:textId="2FFFB7A4" w:rsidR="0035743B" w:rsidRPr="0035743B" w:rsidRDefault="005D29B4" w:rsidP="00D06989">
      <w:pPr>
        <w:pStyle w:val="ListParagraph"/>
        <w:numPr>
          <w:ilvl w:val="0"/>
          <w:numId w:val="8"/>
        </w:numPr>
        <w:spacing w:line="240" w:lineRule="auto"/>
        <w:ind w:left="0" w:firstLine="0"/>
        <w:mirrorIndents/>
        <w:jc w:val="both"/>
        <w:rPr>
          <w:rFonts w:ascii="Arial" w:hAnsi="Arial" w:cs="Arial"/>
          <w:b/>
          <w:bCs/>
          <w:sz w:val="24"/>
          <w:szCs w:val="24"/>
        </w:rPr>
      </w:pPr>
      <w:r w:rsidRPr="005A1D36">
        <w:rPr>
          <w:rFonts w:ascii="Arial" w:hAnsi="Arial" w:cs="Arial"/>
          <w:sz w:val="24"/>
          <w:szCs w:val="24"/>
        </w:rPr>
        <w:t>However</w:t>
      </w:r>
      <w:r w:rsidR="005A63F5" w:rsidRPr="005A1D36">
        <w:rPr>
          <w:rFonts w:ascii="Arial" w:hAnsi="Arial" w:cs="Arial"/>
          <w:sz w:val="24"/>
          <w:szCs w:val="24"/>
        </w:rPr>
        <w:t xml:space="preserve">, </w:t>
      </w:r>
      <w:r w:rsidR="006D704F" w:rsidRPr="005A1D36">
        <w:rPr>
          <w:rFonts w:ascii="Arial" w:hAnsi="Arial" w:cs="Arial"/>
          <w:sz w:val="24"/>
          <w:szCs w:val="24"/>
        </w:rPr>
        <w:t>on</w:t>
      </w:r>
      <w:r w:rsidR="000C3058" w:rsidRPr="005A1D36">
        <w:rPr>
          <w:rFonts w:ascii="Arial" w:hAnsi="Arial" w:cs="Arial"/>
          <w:sz w:val="24"/>
          <w:szCs w:val="24"/>
        </w:rPr>
        <w:t>e</w:t>
      </w:r>
      <w:r w:rsidR="006D704F" w:rsidRPr="005A1D36">
        <w:rPr>
          <w:rFonts w:ascii="Arial" w:hAnsi="Arial" w:cs="Arial"/>
          <w:sz w:val="24"/>
          <w:szCs w:val="24"/>
        </w:rPr>
        <w:t xml:space="preserve"> potential challenge is that </w:t>
      </w:r>
      <w:r w:rsidR="005A63F5" w:rsidRPr="005A1D36">
        <w:rPr>
          <w:rFonts w:ascii="Arial" w:hAnsi="Arial" w:cs="Arial"/>
          <w:sz w:val="24"/>
          <w:szCs w:val="24"/>
        </w:rPr>
        <w:t xml:space="preserve">the </w:t>
      </w:r>
      <w:r w:rsidR="000269CD" w:rsidRPr="005A1D36">
        <w:rPr>
          <w:rFonts w:ascii="Arial" w:hAnsi="Arial" w:cs="Arial"/>
          <w:sz w:val="24"/>
          <w:szCs w:val="24"/>
        </w:rPr>
        <w:t xml:space="preserve">extent of </w:t>
      </w:r>
      <w:r w:rsidR="005A63F5" w:rsidRPr="005A1D36">
        <w:rPr>
          <w:rFonts w:ascii="Arial" w:hAnsi="Arial" w:cs="Arial"/>
          <w:sz w:val="24"/>
          <w:szCs w:val="24"/>
        </w:rPr>
        <w:t>list inflation is much higher in Scotland than is the case in England</w:t>
      </w:r>
      <w:r w:rsidR="006A460D" w:rsidRPr="005A1D36">
        <w:rPr>
          <w:rFonts w:ascii="Arial" w:hAnsi="Arial" w:cs="Arial"/>
          <w:sz w:val="24"/>
          <w:szCs w:val="24"/>
        </w:rPr>
        <w:t xml:space="preserve">. </w:t>
      </w:r>
      <w:r w:rsidR="003C5E56" w:rsidRPr="005A1D36">
        <w:rPr>
          <w:rFonts w:ascii="Arial" w:hAnsi="Arial" w:cs="Arial"/>
          <w:sz w:val="24"/>
          <w:szCs w:val="24"/>
        </w:rPr>
        <w:t xml:space="preserve"> The difference between the NRS population and the practice patient list was 6.4% in the 2021/22 Costs Book, </w:t>
      </w:r>
      <w:r w:rsidR="00FE7880" w:rsidRPr="005A1D36">
        <w:rPr>
          <w:rFonts w:ascii="Arial" w:hAnsi="Arial" w:cs="Arial"/>
          <w:sz w:val="24"/>
          <w:szCs w:val="24"/>
        </w:rPr>
        <w:t>whereas the gap between the registered list and the ONS population in England</w:t>
      </w:r>
      <w:r w:rsidR="00244148" w:rsidRPr="005A1D36">
        <w:rPr>
          <w:rFonts w:ascii="Arial" w:hAnsi="Arial" w:cs="Arial"/>
          <w:sz w:val="24"/>
          <w:szCs w:val="24"/>
        </w:rPr>
        <w:t xml:space="preserve"> </w:t>
      </w:r>
      <w:r w:rsidR="00FE7880" w:rsidRPr="005A1D36">
        <w:rPr>
          <w:rFonts w:ascii="Arial" w:hAnsi="Arial" w:cs="Arial"/>
          <w:sz w:val="24"/>
          <w:szCs w:val="24"/>
        </w:rPr>
        <w:t>is claimed to be 2%</w:t>
      </w:r>
      <w:r w:rsidR="00244148" w:rsidRPr="005A1D36">
        <w:rPr>
          <w:rFonts w:ascii="Arial" w:hAnsi="Arial" w:cs="Arial"/>
          <w:sz w:val="24"/>
          <w:szCs w:val="24"/>
        </w:rPr>
        <w:t xml:space="preserve">.  </w:t>
      </w:r>
      <w:r w:rsidR="009C673A">
        <w:rPr>
          <w:rFonts w:ascii="Arial" w:hAnsi="Arial" w:cs="Arial"/>
          <w:sz w:val="24"/>
          <w:szCs w:val="24"/>
        </w:rPr>
        <w:t>I</w:t>
      </w:r>
      <w:r w:rsidR="00C81D8F" w:rsidRPr="005A1D36">
        <w:rPr>
          <w:rFonts w:ascii="Arial" w:hAnsi="Arial" w:cs="Arial"/>
          <w:sz w:val="24"/>
          <w:szCs w:val="24"/>
        </w:rPr>
        <w:t xml:space="preserve">t </w:t>
      </w:r>
      <w:r w:rsidR="00244148" w:rsidRPr="005A1D36">
        <w:rPr>
          <w:rFonts w:ascii="Arial" w:hAnsi="Arial" w:cs="Arial"/>
          <w:sz w:val="24"/>
          <w:szCs w:val="24"/>
        </w:rPr>
        <w:t>may</w:t>
      </w:r>
      <w:r w:rsidR="00C81D8F" w:rsidRPr="005A1D36">
        <w:rPr>
          <w:rFonts w:ascii="Arial" w:hAnsi="Arial" w:cs="Arial"/>
          <w:sz w:val="24"/>
          <w:szCs w:val="24"/>
        </w:rPr>
        <w:t xml:space="preserve"> be necessary to clean the patient list before attempting such an analysis</w:t>
      </w:r>
      <w:r w:rsidR="00F86A30" w:rsidRPr="005A1D36">
        <w:rPr>
          <w:rFonts w:ascii="Arial" w:hAnsi="Arial" w:cs="Arial"/>
          <w:sz w:val="24"/>
          <w:szCs w:val="24"/>
        </w:rPr>
        <w:t xml:space="preserve"> or find an alternative means of reconciling the list population to the NRS data which is used in NRAC</w:t>
      </w:r>
      <w:r w:rsidR="00C81D8F" w:rsidRPr="005A1D36">
        <w:rPr>
          <w:rFonts w:ascii="Arial" w:hAnsi="Arial" w:cs="Arial"/>
          <w:sz w:val="24"/>
          <w:szCs w:val="24"/>
        </w:rPr>
        <w:t xml:space="preserve">. </w:t>
      </w:r>
      <w:r w:rsidR="00C81D8F" w:rsidRPr="0035743B">
        <w:rPr>
          <w:rFonts w:ascii="Arial" w:hAnsi="Arial" w:cs="Arial"/>
          <w:sz w:val="24"/>
          <w:szCs w:val="24"/>
        </w:rPr>
        <w:t xml:space="preserve"> </w:t>
      </w:r>
    </w:p>
    <w:p w14:paraId="4EAC0A4D" w14:textId="77777777" w:rsidR="0035743B" w:rsidRPr="0035743B" w:rsidRDefault="0035743B" w:rsidP="00D06989">
      <w:pPr>
        <w:pStyle w:val="ListParagraph"/>
        <w:spacing w:line="240" w:lineRule="auto"/>
        <w:ind w:left="0"/>
        <w:rPr>
          <w:rFonts w:ascii="Arial" w:hAnsi="Arial" w:cs="Arial"/>
          <w:sz w:val="24"/>
          <w:szCs w:val="24"/>
        </w:rPr>
      </w:pPr>
    </w:p>
    <w:p w14:paraId="51DDA98F" w14:textId="2EB6246E" w:rsidR="000C2F10" w:rsidRPr="0035743B" w:rsidRDefault="005B4710" w:rsidP="00D06989">
      <w:pPr>
        <w:pStyle w:val="ListParagraph"/>
        <w:spacing w:line="240" w:lineRule="auto"/>
        <w:ind w:left="0"/>
        <w:mirrorIndents/>
        <w:jc w:val="both"/>
        <w:rPr>
          <w:rFonts w:ascii="Arial" w:hAnsi="Arial" w:cs="Arial"/>
          <w:b/>
          <w:bCs/>
          <w:sz w:val="24"/>
          <w:szCs w:val="24"/>
        </w:rPr>
      </w:pPr>
      <w:r w:rsidRPr="0035743B">
        <w:rPr>
          <w:rFonts w:ascii="Arial" w:hAnsi="Arial" w:cs="Arial"/>
          <w:b/>
          <w:bCs/>
          <w:sz w:val="24"/>
          <w:szCs w:val="24"/>
        </w:rPr>
        <w:t>5. Other potential areas of difference:</w:t>
      </w:r>
    </w:p>
    <w:p w14:paraId="321A8DE2" w14:textId="57A06CF6" w:rsidR="00ED41C7" w:rsidRDefault="0035743B" w:rsidP="00D06989">
      <w:pPr>
        <w:pStyle w:val="ListParagraph"/>
        <w:numPr>
          <w:ilvl w:val="0"/>
          <w:numId w:val="8"/>
        </w:numPr>
        <w:spacing w:line="240" w:lineRule="auto"/>
        <w:ind w:left="0" w:firstLine="0"/>
        <w:mirrorIndents/>
        <w:jc w:val="both"/>
        <w:rPr>
          <w:rFonts w:ascii="Arial" w:hAnsi="Arial" w:cs="Arial"/>
          <w:sz w:val="24"/>
          <w:szCs w:val="24"/>
        </w:rPr>
      </w:pPr>
      <w:r>
        <w:rPr>
          <w:rFonts w:ascii="Arial" w:hAnsi="Arial" w:cs="Arial"/>
          <w:sz w:val="24"/>
          <w:szCs w:val="24"/>
        </w:rPr>
        <w:t xml:space="preserve">The three areas cited above are </w:t>
      </w:r>
      <w:r w:rsidR="00854111">
        <w:rPr>
          <w:rFonts w:ascii="Arial" w:hAnsi="Arial" w:cs="Arial"/>
          <w:sz w:val="24"/>
          <w:szCs w:val="24"/>
        </w:rPr>
        <w:t xml:space="preserve">instances of methodological development </w:t>
      </w:r>
      <w:r w:rsidR="00400A39">
        <w:rPr>
          <w:rFonts w:ascii="Arial" w:hAnsi="Arial" w:cs="Arial"/>
          <w:sz w:val="24"/>
          <w:szCs w:val="24"/>
        </w:rPr>
        <w:t xml:space="preserve">which could be considered for adoption in the NRAC formula.  In addition there are a number of differences between </w:t>
      </w:r>
      <w:r w:rsidR="00210AD0">
        <w:rPr>
          <w:rFonts w:ascii="Arial" w:hAnsi="Arial" w:cs="Arial"/>
          <w:sz w:val="24"/>
          <w:szCs w:val="24"/>
        </w:rPr>
        <w:t>the approach taken in NRAC and in other UK formulae. A (non</w:t>
      </w:r>
      <w:r w:rsidR="00ED41C7">
        <w:rPr>
          <w:rFonts w:ascii="Arial" w:hAnsi="Arial" w:cs="Arial"/>
          <w:sz w:val="24"/>
          <w:szCs w:val="24"/>
        </w:rPr>
        <w:t xml:space="preserve">-exhaustive) number of these </w:t>
      </w:r>
      <w:r w:rsidR="00210AD0">
        <w:rPr>
          <w:rFonts w:ascii="Arial" w:hAnsi="Arial" w:cs="Arial"/>
          <w:sz w:val="24"/>
          <w:szCs w:val="24"/>
        </w:rPr>
        <w:t>are listed here for i</w:t>
      </w:r>
      <w:r w:rsidR="007A5CBE">
        <w:rPr>
          <w:rFonts w:ascii="Arial" w:hAnsi="Arial" w:cs="Arial"/>
          <w:sz w:val="24"/>
          <w:szCs w:val="24"/>
        </w:rPr>
        <w:t>nformation</w:t>
      </w:r>
      <w:r w:rsidR="00210AD0">
        <w:rPr>
          <w:rFonts w:ascii="Arial" w:hAnsi="Arial" w:cs="Arial"/>
          <w:sz w:val="24"/>
          <w:szCs w:val="24"/>
        </w:rPr>
        <w:t xml:space="preserve">.  </w:t>
      </w:r>
    </w:p>
    <w:p w14:paraId="38F39F7B" w14:textId="77777777" w:rsidR="005B4710" w:rsidRDefault="005B4710" w:rsidP="00D06989">
      <w:pPr>
        <w:pStyle w:val="ListParagraph"/>
        <w:spacing w:line="240" w:lineRule="auto"/>
        <w:ind w:left="0"/>
        <w:mirrorIndents/>
        <w:jc w:val="both"/>
        <w:rPr>
          <w:rFonts w:ascii="Arial" w:hAnsi="Arial" w:cs="Arial"/>
          <w:sz w:val="24"/>
          <w:szCs w:val="24"/>
        </w:rPr>
      </w:pPr>
    </w:p>
    <w:p w14:paraId="57285CBB" w14:textId="4872FCF9" w:rsidR="00F96297" w:rsidRDefault="00C77514" w:rsidP="00D06989">
      <w:pPr>
        <w:pStyle w:val="ListParagraph"/>
        <w:numPr>
          <w:ilvl w:val="0"/>
          <w:numId w:val="12"/>
        </w:numPr>
        <w:spacing w:line="240" w:lineRule="auto"/>
        <w:mirrorIndents/>
        <w:jc w:val="both"/>
        <w:rPr>
          <w:rFonts w:ascii="Arial" w:hAnsi="Arial" w:cs="Arial"/>
          <w:sz w:val="24"/>
          <w:szCs w:val="24"/>
        </w:rPr>
      </w:pPr>
      <w:r>
        <w:rPr>
          <w:rFonts w:ascii="Arial" w:hAnsi="Arial" w:cs="Arial"/>
          <w:sz w:val="24"/>
          <w:szCs w:val="24"/>
        </w:rPr>
        <w:t>Geographical v</w:t>
      </w:r>
      <w:r w:rsidR="003E4E18">
        <w:rPr>
          <w:rFonts w:ascii="Arial" w:hAnsi="Arial" w:cs="Arial"/>
          <w:sz w:val="24"/>
          <w:szCs w:val="24"/>
        </w:rPr>
        <w:t xml:space="preserve">ariation in the unit cost of providing services is represented by </w:t>
      </w:r>
      <w:r w:rsidR="00F96297">
        <w:rPr>
          <w:rFonts w:ascii="Arial" w:hAnsi="Arial" w:cs="Arial"/>
          <w:sz w:val="24"/>
          <w:szCs w:val="24"/>
        </w:rPr>
        <w:t>a Market Forces Factor</w:t>
      </w:r>
      <w:r w:rsidR="006528F3">
        <w:rPr>
          <w:rFonts w:ascii="Arial" w:hAnsi="Arial" w:cs="Arial"/>
          <w:sz w:val="24"/>
          <w:szCs w:val="24"/>
        </w:rPr>
        <w:t xml:space="preserve"> </w:t>
      </w:r>
      <w:r w:rsidR="009C673A">
        <w:rPr>
          <w:rFonts w:ascii="Arial" w:hAnsi="Arial" w:cs="Arial"/>
          <w:sz w:val="24"/>
          <w:szCs w:val="24"/>
        </w:rPr>
        <w:t>(</w:t>
      </w:r>
      <w:r w:rsidR="00303C47">
        <w:rPr>
          <w:rFonts w:ascii="Arial" w:hAnsi="Arial" w:cs="Arial"/>
          <w:sz w:val="24"/>
          <w:szCs w:val="24"/>
        </w:rPr>
        <w:t xml:space="preserve">and other specific </w:t>
      </w:r>
      <w:r w:rsidR="00A761C0">
        <w:rPr>
          <w:rFonts w:ascii="Arial" w:hAnsi="Arial" w:cs="Arial"/>
          <w:sz w:val="24"/>
          <w:szCs w:val="24"/>
        </w:rPr>
        <w:t>adjustments) in</w:t>
      </w:r>
      <w:r w:rsidR="00F96297">
        <w:rPr>
          <w:rFonts w:ascii="Arial" w:hAnsi="Arial" w:cs="Arial"/>
          <w:sz w:val="24"/>
          <w:szCs w:val="24"/>
        </w:rPr>
        <w:t xml:space="preserve"> </w:t>
      </w:r>
      <w:r w:rsidR="009F6039">
        <w:rPr>
          <w:rFonts w:ascii="Arial" w:hAnsi="Arial" w:cs="Arial"/>
          <w:sz w:val="24"/>
          <w:szCs w:val="24"/>
        </w:rPr>
        <w:t>England formulae</w:t>
      </w:r>
      <w:r w:rsidR="00F96297">
        <w:rPr>
          <w:rFonts w:ascii="Arial" w:hAnsi="Arial" w:cs="Arial"/>
          <w:sz w:val="24"/>
          <w:szCs w:val="24"/>
        </w:rPr>
        <w:t xml:space="preserve">; whereas the NRAC formula uses the revealed </w:t>
      </w:r>
      <w:r w:rsidR="003C4243">
        <w:rPr>
          <w:rFonts w:ascii="Arial" w:hAnsi="Arial" w:cs="Arial"/>
          <w:sz w:val="24"/>
          <w:szCs w:val="24"/>
        </w:rPr>
        <w:t xml:space="preserve">average </w:t>
      </w:r>
      <w:r w:rsidR="00F96297">
        <w:rPr>
          <w:rFonts w:ascii="Arial" w:hAnsi="Arial" w:cs="Arial"/>
          <w:sz w:val="24"/>
          <w:szCs w:val="24"/>
        </w:rPr>
        <w:t>ratio of local to national unit costs</w:t>
      </w:r>
      <w:r w:rsidR="003C4243">
        <w:rPr>
          <w:rFonts w:ascii="Arial" w:hAnsi="Arial" w:cs="Arial"/>
          <w:sz w:val="24"/>
          <w:szCs w:val="24"/>
        </w:rPr>
        <w:t xml:space="preserve"> by Urban-Rural category</w:t>
      </w:r>
      <w:r w:rsidR="00F96297">
        <w:rPr>
          <w:rFonts w:ascii="Arial" w:hAnsi="Arial" w:cs="Arial"/>
          <w:sz w:val="24"/>
          <w:szCs w:val="24"/>
        </w:rPr>
        <w:t>;</w:t>
      </w:r>
    </w:p>
    <w:p w14:paraId="2B34B3D8" w14:textId="77777777" w:rsidR="006528F3" w:rsidRDefault="00415148" w:rsidP="00D06989">
      <w:pPr>
        <w:pStyle w:val="ListParagraph"/>
        <w:numPr>
          <w:ilvl w:val="0"/>
          <w:numId w:val="12"/>
        </w:numPr>
        <w:spacing w:line="240" w:lineRule="auto"/>
        <w:mirrorIndents/>
        <w:jc w:val="both"/>
        <w:rPr>
          <w:rFonts w:ascii="Arial" w:hAnsi="Arial" w:cs="Arial"/>
          <w:sz w:val="24"/>
          <w:szCs w:val="24"/>
        </w:rPr>
      </w:pPr>
      <w:r>
        <w:rPr>
          <w:rFonts w:ascii="Arial" w:hAnsi="Arial" w:cs="Arial"/>
          <w:sz w:val="24"/>
          <w:szCs w:val="24"/>
        </w:rPr>
        <w:t>Elective and non-elective admitted patient care is modelled separately in the Northern Ireland formula</w:t>
      </w:r>
      <w:r w:rsidR="00E603D2">
        <w:rPr>
          <w:rFonts w:ascii="Arial" w:hAnsi="Arial" w:cs="Arial"/>
          <w:sz w:val="24"/>
          <w:szCs w:val="24"/>
        </w:rPr>
        <w:t xml:space="preserve"> but </w:t>
      </w:r>
      <w:r w:rsidR="006528F3">
        <w:rPr>
          <w:rFonts w:ascii="Arial" w:hAnsi="Arial" w:cs="Arial"/>
          <w:sz w:val="24"/>
          <w:szCs w:val="24"/>
        </w:rPr>
        <w:t>not in the England formula nor in NRAC;</w:t>
      </w:r>
    </w:p>
    <w:p w14:paraId="055F26F1" w14:textId="3DAB7BCF" w:rsidR="006C3C9A" w:rsidRDefault="00A06060" w:rsidP="00D06989">
      <w:pPr>
        <w:pStyle w:val="ListParagraph"/>
        <w:numPr>
          <w:ilvl w:val="0"/>
          <w:numId w:val="12"/>
        </w:numPr>
        <w:spacing w:line="240" w:lineRule="auto"/>
        <w:mirrorIndents/>
        <w:jc w:val="both"/>
        <w:rPr>
          <w:rFonts w:ascii="Arial" w:hAnsi="Arial" w:cs="Arial"/>
          <w:sz w:val="24"/>
          <w:szCs w:val="24"/>
        </w:rPr>
      </w:pPr>
      <w:r>
        <w:rPr>
          <w:rFonts w:ascii="Arial" w:hAnsi="Arial" w:cs="Arial"/>
          <w:sz w:val="24"/>
          <w:szCs w:val="24"/>
        </w:rPr>
        <w:t>The progression to parity is managed through a</w:t>
      </w:r>
      <w:r w:rsidR="00453F56">
        <w:rPr>
          <w:rFonts w:ascii="Arial" w:hAnsi="Arial" w:cs="Arial"/>
          <w:sz w:val="24"/>
          <w:szCs w:val="24"/>
        </w:rPr>
        <w:t>n explicit</w:t>
      </w:r>
      <w:r>
        <w:rPr>
          <w:rFonts w:ascii="Arial" w:hAnsi="Arial" w:cs="Arial"/>
          <w:sz w:val="24"/>
          <w:szCs w:val="24"/>
        </w:rPr>
        <w:t xml:space="preserve"> </w:t>
      </w:r>
      <w:r w:rsidR="00453F56">
        <w:rPr>
          <w:rFonts w:ascii="Arial" w:hAnsi="Arial" w:cs="Arial"/>
          <w:sz w:val="24"/>
          <w:szCs w:val="24"/>
        </w:rPr>
        <w:t xml:space="preserve">‘Pace of Change’ policy in England </w:t>
      </w:r>
      <w:r w:rsidR="00247A89">
        <w:rPr>
          <w:rFonts w:ascii="Arial" w:hAnsi="Arial" w:cs="Arial"/>
          <w:sz w:val="24"/>
          <w:szCs w:val="24"/>
        </w:rPr>
        <w:t>whereas Scotland has explicit targets for the parity gap;</w:t>
      </w:r>
    </w:p>
    <w:p w14:paraId="252AD226" w14:textId="306842F2" w:rsidR="00F30C14" w:rsidRDefault="00286706" w:rsidP="00D06989">
      <w:pPr>
        <w:pStyle w:val="ListParagraph"/>
        <w:numPr>
          <w:ilvl w:val="0"/>
          <w:numId w:val="12"/>
        </w:numPr>
        <w:spacing w:line="240" w:lineRule="auto"/>
        <w:mirrorIndents/>
        <w:jc w:val="both"/>
        <w:rPr>
          <w:rFonts w:ascii="Arial" w:hAnsi="Arial" w:cs="Arial"/>
          <w:sz w:val="24"/>
          <w:szCs w:val="24"/>
        </w:rPr>
      </w:pPr>
      <w:r>
        <w:rPr>
          <w:rFonts w:ascii="Arial" w:hAnsi="Arial" w:cs="Arial"/>
          <w:sz w:val="24"/>
          <w:szCs w:val="24"/>
        </w:rPr>
        <w:t xml:space="preserve">England have recently </w:t>
      </w:r>
      <w:r w:rsidR="00A839CD">
        <w:rPr>
          <w:rFonts w:ascii="Arial" w:hAnsi="Arial" w:cs="Arial"/>
          <w:sz w:val="24"/>
          <w:szCs w:val="24"/>
        </w:rPr>
        <w:t>utilised new</w:t>
      </w:r>
      <w:r>
        <w:rPr>
          <w:rFonts w:ascii="Arial" w:hAnsi="Arial" w:cs="Arial"/>
          <w:sz w:val="24"/>
          <w:szCs w:val="24"/>
        </w:rPr>
        <w:t xml:space="preserve"> community care</w:t>
      </w:r>
      <w:r w:rsidR="00A839CD">
        <w:rPr>
          <w:rFonts w:ascii="Arial" w:hAnsi="Arial" w:cs="Arial"/>
          <w:sz w:val="24"/>
          <w:szCs w:val="24"/>
        </w:rPr>
        <w:t xml:space="preserve"> activity</w:t>
      </w:r>
      <w:r>
        <w:rPr>
          <w:rFonts w:ascii="Arial" w:hAnsi="Arial" w:cs="Arial"/>
          <w:sz w:val="24"/>
          <w:szCs w:val="24"/>
        </w:rPr>
        <w:t xml:space="preserve"> data, whereas the NRAC formula </w:t>
      </w:r>
      <w:r w:rsidR="00A839CD">
        <w:rPr>
          <w:rFonts w:ascii="Arial" w:hAnsi="Arial" w:cs="Arial"/>
          <w:sz w:val="24"/>
          <w:szCs w:val="24"/>
        </w:rPr>
        <w:t xml:space="preserve">still mostly relies </w:t>
      </w:r>
      <w:r w:rsidR="000E2FCF">
        <w:rPr>
          <w:rFonts w:ascii="Arial" w:hAnsi="Arial" w:cs="Arial"/>
          <w:sz w:val="24"/>
          <w:szCs w:val="24"/>
        </w:rPr>
        <w:t xml:space="preserve">proxies from </w:t>
      </w:r>
      <w:r w:rsidR="00E6614F">
        <w:rPr>
          <w:rFonts w:ascii="Arial" w:hAnsi="Arial" w:cs="Arial"/>
          <w:sz w:val="24"/>
          <w:szCs w:val="24"/>
        </w:rPr>
        <w:t>other</w:t>
      </w:r>
      <w:r w:rsidR="000E2FCF">
        <w:rPr>
          <w:rFonts w:ascii="Arial" w:hAnsi="Arial" w:cs="Arial"/>
          <w:sz w:val="24"/>
          <w:szCs w:val="24"/>
        </w:rPr>
        <w:t xml:space="preserve"> activity</w:t>
      </w:r>
      <w:r>
        <w:rPr>
          <w:rFonts w:ascii="Arial" w:hAnsi="Arial" w:cs="Arial"/>
          <w:sz w:val="24"/>
          <w:szCs w:val="24"/>
        </w:rPr>
        <w:t>;</w:t>
      </w:r>
    </w:p>
    <w:p w14:paraId="7D291E5F" w14:textId="2E853E3E" w:rsidR="00286706" w:rsidRDefault="004C2CDD" w:rsidP="00D06989">
      <w:pPr>
        <w:pStyle w:val="ListParagraph"/>
        <w:numPr>
          <w:ilvl w:val="0"/>
          <w:numId w:val="12"/>
        </w:numPr>
        <w:spacing w:line="240" w:lineRule="auto"/>
        <w:mirrorIndents/>
        <w:jc w:val="both"/>
        <w:rPr>
          <w:rFonts w:ascii="Arial" w:hAnsi="Arial" w:cs="Arial"/>
          <w:sz w:val="24"/>
          <w:szCs w:val="24"/>
        </w:rPr>
      </w:pPr>
      <w:r>
        <w:rPr>
          <w:rFonts w:ascii="Arial" w:hAnsi="Arial" w:cs="Arial"/>
          <w:sz w:val="24"/>
          <w:szCs w:val="24"/>
        </w:rPr>
        <w:t xml:space="preserve">The formula in England </w:t>
      </w:r>
      <w:r w:rsidR="00D92070">
        <w:rPr>
          <w:rFonts w:ascii="Arial" w:hAnsi="Arial" w:cs="Arial"/>
          <w:sz w:val="24"/>
          <w:szCs w:val="24"/>
        </w:rPr>
        <w:t>h</w:t>
      </w:r>
      <w:r>
        <w:rPr>
          <w:rFonts w:ascii="Arial" w:hAnsi="Arial" w:cs="Arial"/>
          <w:sz w:val="24"/>
          <w:szCs w:val="24"/>
        </w:rPr>
        <w:t>as a separate component on inequalities and unmet need</w:t>
      </w:r>
      <w:r w:rsidR="002249AA">
        <w:rPr>
          <w:rFonts w:ascii="Arial" w:hAnsi="Arial" w:cs="Arial"/>
          <w:sz w:val="24"/>
          <w:szCs w:val="24"/>
        </w:rPr>
        <w:t xml:space="preserve">, based on </w:t>
      </w:r>
      <w:r>
        <w:rPr>
          <w:rFonts w:ascii="Arial" w:hAnsi="Arial" w:cs="Arial"/>
          <w:sz w:val="24"/>
          <w:szCs w:val="24"/>
        </w:rPr>
        <w:t xml:space="preserve">variation in the Standardised Mortality Ratio, whereas NRAC </w:t>
      </w:r>
      <w:r>
        <w:rPr>
          <w:rFonts w:ascii="Arial" w:hAnsi="Arial" w:cs="Arial"/>
          <w:sz w:val="24"/>
          <w:szCs w:val="24"/>
        </w:rPr>
        <w:lastRenderedPageBreak/>
        <w:t>has adjustments in the</w:t>
      </w:r>
      <w:r w:rsidR="00BE64B5">
        <w:rPr>
          <w:rFonts w:ascii="Arial" w:hAnsi="Arial" w:cs="Arial"/>
          <w:sz w:val="24"/>
          <w:szCs w:val="24"/>
        </w:rPr>
        <w:t xml:space="preserve"> </w:t>
      </w:r>
      <w:r w:rsidR="00D06989">
        <w:rPr>
          <w:rFonts w:ascii="Arial" w:hAnsi="Arial" w:cs="Arial"/>
          <w:sz w:val="24"/>
          <w:szCs w:val="24"/>
        </w:rPr>
        <w:t>Circulatory and Other diagnostic groups</w:t>
      </w:r>
      <w:r w:rsidR="007A5CBE">
        <w:rPr>
          <w:rFonts w:ascii="Arial" w:hAnsi="Arial" w:cs="Arial"/>
          <w:sz w:val="24"/>
          <w:szCs w:val="24"/>
        </w:rPr>
        <w:t xml:space="preserve"> using the shortfall method;</w:t>
      </w:r>
    </w:p>
    <w:p w14:paraId="25BDA09F" w14:textId="365FE1EE" w:rsidR="007A5CBE" w:rsidRDefault="00007FFD" w:rsidP="00D06989">
      <w:pPr>
        <w:pStyle w:val="ListParagraph"/>
        <w:numPr>
          <w:ilvl w:val="0"/>
          <w:numId w:val="12"/>
        </w:numPr>
        <w:spacing w:line="240" w:lineRule="auto"/>
        <w:mirrorIndents/>
        <w:jc w:val="both"/>
        <w:rPr>
          <w:rFonts w:ascii="Arial" w:hAnsi="Arial" w:cs="Arial"/>
          <w:sz w:val="24"/>
          <w:szCs w:val="24"/>
        </w:rPr>
      </w:pPr>
      <w:r>
        <w:rPr>
          <w:rFonts w:ascii="Arial" w:hAnsi="Arial" w:cs="Arial"/>
          <w:sz w:val="24"/>
          <w:szCs w:val="24"/>
        </w:rPr>
        <w:t>For the England formula refresh two samples</w:t>
      </w:r>
      <w:r w:rsidR="00051176">
        <w:rPr>
          <w:rFonts w:ascii="Arial" w:hAnsi="Arial" w:cs="Arial"/>
          <w:sz w:val="24"/>
          <w:szCs w:val="24"/>
        </w:rPr>
        <w:t xml:space="preserve"> (of circa 15%</w:t>
      </w:r>
      <w:r w:rsidR="00BC5A67">
        <w:rPr>
          <w:rFonts w:ascii="Arial" w:hAnsi="Arial" w:cs="Arial"/>
          <w:sz w:val="24"/>
          <w:szCs w:val="24"/>
        </w:rPr>
        <w:t xml:space="preserve"> each</w:t>
      </w:r>
      <w:r w:rsidR="00051176">
        <w:rPr>
          <w:rFonts w:ascii="Arial" w:hAnsi="Arial" w:cs="Arial"/>
          <w:sz w:val="24"/>
          <w:szCs w:val="24"/>
        </w:rPr>
        <w:t>)</w:t>
      </w:r>
      <w:r>
        <w:rPr>
          <w:rFonts w:ascii="Arial" w:hAnsi="Arial" w:cs="Arial"/>
          <w:sz w:val="24"/>
          <w:szCs w:val="24"/>
        </w:rPr>
        <w:t xml:space="preserve"> were drawn from the available datasets</w:t>
      </w:r>
      <w:r w:rsidR="00EE76EC">
        <w:rPr>
          <w:rFonts w:ascii="Arial" w:hAnsi="Arial" w:cs="Arial"/>
          <w:sz w:val="24"/>
          <w:szCs w:val="24"/>
        </w:rPr>
        <w:t>.  This a</w:t>
      </w:r>
      <w:r>
        <w:rPr>
          <w:rFonts w:ascii="Arial" w:hAnsi="Arial" w:cs="Arial"/>
          <w:sz w:val="24"/>
          <w:szCs w:val="24"/>
        </w:rPr>
        <w:t xml:space="preserve">llowed the weights to be </w:t>
      </w:r>
      <w:r w:rsidR="00051176">
        <w:rPr>
          <w:rFonts w:ascii="Arial" w:hAnsi="Arial" w:cs="Arial"/>
          <w:sz w:val="24"/>
          <w:szCs w:val="24"/>
        </w:rPr>
        <w:t>estimated on one</w:t>
      </w:r>
      <w:r w:rsidR="000F1BB7">
        <w:rPr>
          <w:rFonts w:ascii="Arial" w:hAnsi="Arial" w:cs="Arial"/>
          <w:sz w:val="24"/>
          <w:szCs w:val="24"/>
        </w:rPr>
        <w:t xml:space="preserve"> (estimation)</w:t>
      </w:r>
      <w:r w:rsidR="00051176">
        <w:rPr>
          <w:rFonts w:ascii="Arial" w:hAnsi="Arial" w:cs="Arial"/>
          <w:sz w:val="24"/>
          <w:szCs w:val="24"/>
        </w:rPr>
        <w:t xml:space="preserve"> sample and then applied on the second</w:t>
      </w:r>
      <w:r w:rsidR="000F1BB7">
        <w:rPr>
          <w:rFonts w:ascii="Arial" w:hAnsi="Arial" w:cs="Arial"/>
          <w:sz w:val="24"/>
          <w:szCs w:val="24"/>
        </w:rPr>
        <w:t xml:space="preserve"> (validation)</w:t>
      </w:r>
      <w:r w:rsidR="00051176">
        <w:rPr>
          <w:rFonts w:ascii="Arial" w:hAnsi="Arial" w:cs="Arial"/>
          <w:sz w:val="24"/>
          <w:szCs w:val="24"/>
        </w:rPr>
        <w:t xml:space="preserve"> sample</w:t>
      </w:r>
      <w:r w:rsidR="007A7DB3">
        <w:rPr>
          <w:rFonts w:ascii="Arial" w:hAnsi="Arial" w:cs="Arial"/>
          <w:sz w:val="24"/>
          <w:szCs w:val="24"/>
        </w:rPr>
        <w:t>, with the results of the predicted need on the second</w:t>
      </w:r>
      <w:r w:rsidR="000F1BB7">
        <w:rPr>
          <w:rFonts w:ascii="Arial" w:hAnsi="Arial" w:cs="Arial"/>
          <w:sz w:val="24"/>
          <w:szCs w:val="24"/>
        </w:rPr>
        <w:t xml:space="preserve"> </w:t>
      </w:r>
      <w:r w:rsidR="007A7DB3">
        <w:rPr>
          <w:rFonts w:ascii="Arial" w:hAnsi="Arial" w:cs="Arial"/>
          <w:sz w:val="24"/>
          <w:szCs w:val="24"/>
        </w:rPr>
        <w:t xml:space="preserve">sample compared to actual need to </w:t>
      </w:r>
      <w:r w:rsidR="00E55234">
        <w:rPr>
          <w:rFonts w:ascii="Arial" w:hAnsi="Arial" w:cs="Arial"/>
          <w:sz w:val="24"/>
          <w:szCs w:val="24"/>
        </w:rPr>
        <w:t>test</w:t>
      </w:r>
      <w:r w:rsidR="007A7DB3">
        <w:rPr>
          <w:rFonts w:ascii="Arial" w:hAnsi="Arial" w:cs="Arial"/>
          <w:sz w:val="24"/>
          <w:szCs w:val="24"/>
        </w:rPr>
        <w:t xml:space="preserve"> the </w:t>
      </w:r>
      <w:r w:rsidR="00E55234">
        <w:rPr>
          <w:rFonts w:ascii="Arial" w:hAnsi="Arial" w:cs="Arial"/>
          <w:sz w:val="24"/>
          <w:szCs w:val="24"/>
        </w:rPr>
        <w:t>performance</w:t>
      </w:r>
      <w:r w:rsidR="007A7DB3">
        <w:rPr>
          <w:rFonts w:ascii="Arial" w:hAnsi="Arial" w:cs="Arial"/>
          <w:sz w:val="24"/>
          <w:szCs w:val="24"/>
        </w:rPr>
        <w:t xml:space="preserve"> of the </w:t>
      </w:r>
      <w:r w:rsidR="00E55234">
        <w:rPr>
          <w:rFonts w:ascii="Arial" w:hAnsi="Arial" w:cs="Arial"/>
          <w:sz w:val="24"/>
          <w:szCs w:val="24"/>
        </w:rPr>
        <w:t>model</w:t>
      </w:r>
      <w:r w:rsidR="007A7DB3">
        <w:rPr>
          <w:rFonts w:ascii="Arial" w:hAnsi="Arial" w:cs="Arial"/>
          <w:sz w:val="24"/>
          <w:szCs w:val="24"/>
        </w:rPr>
        <w:t xml:space="preserve">. </w:t>
      </w:r>
    </w:p>
    <w:p w14:paraId="01D5944B" w14:textId="77777777" w:rsidR="00BC7D01" w:rsidRDefault="00BC7D01" w:rsidP="00D06989">
      <w:pPr>
        <w:spacing w:line="240" w:lineRule="auto"/>
        <w:contextualSpacing/>
        <w:mirrorIndents/>
        <w:jc w:val="both"/>
        <w:rPr>
          <w:rFonts w:ascii="Arial" w:hAnsi="Arial" w:cs="Arial"/>
          <w:sz w:val="24"/>
          <w:szCs w:val="24"/>
        </w:rPr>
      </w:pPr>
    </w:p>
    <w:p w14:paraId="4E288B58" w14:textId="77777777" w:rsidR="001750B1" w:rsidRDefault="001750B1" w:rsidP="00D06989">
      <w:pPr>
        <w:spacing w:line="240" w:lineRule="auto"/>
        <w:contextualSpacing/>
        <w:mirrorIndents/>
        <w:jc w:val="both"/>
        <w:rPr>
          <w:rFonts w:ascii="Arial" w:hAnsi="Arial" w:cs="Arial"/>
          <w:sz w:val="24"/>
          <w:szCs w:val="24"/>
        </w:rPr>
      </w:pPr>
    </w:p>
    <w:p w14:paraId="36C00A44" w14:textId="616EF56B" w:rsidR="001750B1" w:rsidRDefault="001750B1" w:rsidP="00D06989">
      <w:pPr>
        <w:spacing w:line="240" w:lineRule="auto"/>
        <w:rPr>
          <w:rFonts w:ascii="Arial" w:hAnsi="Arial" w:cs="Arial"/>
          <w:sz w:val="24"/>
          <w:szCs w:val="24"/>
        </w:rPr>
      </w:pPr>
      <w:r>
        <w:rPr>
          <w:rFonts w:ascii="Arial" w:hAnsi="Arial" w:cs="Arial"/>
          <w:sz w:val="24"/>
          <w:szCs w:val="24"/>
        </w:rPr>
        <w:br w:type="page"/>
      </w:r>
    </w:p>
    <w:p w14:paraId="1C1739FD" w14:textId="2FA17FE5" w:rsidR="00BF511A" w:rsidRPr="008D734C" w:rsidRDefault="00BF511A" w:rsidP="00D06989">
      <w:pPr>
        <w:spacing w:line="240" w:lineRule="auto"/>
        <w:contextualSpacing/>
        <w:mirrorIndents/>
        <w:jc w:val="both"/>
        <w:rPr>
          <w:rFonts w:ascii="Arial" w:hAnsi="Arial" w:cs="Arial"/>
          <w:b/>
          <w:bCs/>
          <w:sz w:val="24"/>
          <w:szCs w:val="24"/>
        </w:rPr>
      </w:pPr>
      <w:r w:rsidRPr="008D734C">
        <w:rPr>
          <w:rFonts w:ascii="Arial" w:hAnsi="Arial" w:cs="Arial"/>
          <w:b/>
          <w:bCs/>
          <w:sz w:val="24"/>
          <w:szCs w:val="24"/>
        </w:rPr>
        <w:lastRenderedPageBreak/>
        <w:t xml:space="preserve">Annex: </w:t>
      </w:r>
      <w:r w:rsidR="00E072A6" w:rsidRPr="008D734C">
        <w:rPr>
          <w:rFonts w:ascii="Arial" w:hAnsi="Arial" w:cs="Arial"/>
          <w:b/>
          <w:bCs/>
          <w:sz w:val="24"/>
          <w:szCs w:val="24"/>
        </w:rPr>
        <w:t xml:space="preserve">List of </w:t>
      </w:r>
      <w:proofErr w:type="spellStart"/>
      <w:r w:rsidR="00E072A6" w:rsidRPr="008D734C">
        <w:rPr>
          <w:rFonts w:ascii="Arial" w:hAnsi="Arial" w:cs="Arial"/>
          <w:b/>
          <w:bCs/>
          <w:sz w:val="24"/>
          <w:szCs w:val="24"/>
        </w:rPr>
        <w:t>HRG</w:t>
      </w:r>
      <w:proofErr w:type="spellEnd"/>
      <w:r w:rsidR="00E072A6" w:rsidRPr="008D734C">
        <w:rPr>
          <w:rFonts w:ascii="Arial" w:hAnsi="Arial" w:cs="Arial"/>
          <w:b/>
          <w:bCs/>
          <w:sz w:val="24"/>
          <w:szCs w:val="24"/>
        </w:rPr>
        <w:t xml:space="preserve"> relating to Hip procedures</w:t>
      </w:r>
      <w:r w:rsidR="009F5688" w:rsidRPr="008D734C">
        <w:rPr>
          <w:rFonts w:ascii="Arial" w:hAnsi="Arial" w:cs="Arial"/>
          <w:b/>
          <w:bCs/>
          <w:sz w:val="24"/>
          <w:szCs w:val="24"/>
        </w:rPr>
        <w:t>, trauma and non</w:t>
      </w:r>
      <w:r w:rsidR="004D2033" w:rsidRPr="008D734C">
        <w:rPr>
          <w:rFonts w:ascii="Arial" w:hAnsi="Arial" w:cs="Arial"/>
          <w:b/>
          <w:bCs/>
          <w:sz w:val="24"/>
          <w:szCs w:val="24"/>
        </w:rPr>
        <w:t>-trauma</w:t>
      </w:r>
    </w:p>
    <w:p w14:paraId="097883AE" w14:textId="77777777" w:rsidR="00BF511A" w:rsidRDefault="00BF511A" w:rsidP="00D06989">
      <w:pPr>
        <w:spacing w:line="240" w:lineRule="auto"/>
        <w:contextualSpacing/>
        <w:mirrorIndents/>
        <w:jc w:val="both"/>
        <w:rPr>
          <w:rFonts w:ascii="Arial" w:hAnsi="Arial" w:cs="Arial"/>
          <w:sz w:val="24"/>
          <w:szCs w:val="24"/>
        </w:rPr>
      </w:pPr>
    </w:p>
    <w:tbl>
      <w:tblPr>
        <w:tblStyle w:val="TableGrid"/>
        <w:tblW w:w="9634" w:type="dxa"/>
        <w:tblLook w:val="04A0" w:firstRow="1" w:lastRow="0" w:firstColumn="1" w:lastColumn="0" w:noHBand="0" w:noVBand="1"/>
      </w:tblPr>
      <w:tblGrid>
        <w:gridCol w:w="1017"/>
        <w:gridCol w:w="8617"/>
      </w:tblGrid>
      <w:tr w:rsidR="009F5688" w:rsidRPr="008D734C" w14:paraId="104B2066" w14:textId="77777777" w:rsidTr="008D734C">
        <w:trPr>
          <w:trHeight w:val="225"/>
        </w:trPr>
        <w:tc>
          <w:tcPr>
            <w:tcW w:w="1017" w:type="dxa"/>
            <w:noWrap/>
            <w:hideMark/>
          </w:tcPr>
          <w:p w14:paraId="29A75DB6" w14:textId="77777777" w:rsidR="009F5688" w:rsidRPr="008D734C" w:rsidRDefault="009F5688" w:rsidP="00D06989">
            <w:pPr>
              <w:contextualSpacing/>
              <w:mirrorIndents/>
              <w:jc w:val="both"/>
              <w:rPr>
                <w:rFonts w:cstheme="minorHAnsi"/>
              </w:rPr>
            </w:pPr>
            <w:proofErr w:type="spellStart"/>
            <w:r w:rsidRPr="008D734C">
              <w:rPr>
                <w:rFonts w:cstheme="minorHAnsi"/>
              </w:rPr>
              <w:t>HN12A</w:t>
            </w:r>
            <w:proofErr w:type="spellEnd"/>
          </w:p>
        </w:tc>
        <w:tc>
          <w:tcPr>
            <w:tcW w:w="8617" w:type="dxa"/>
            <w:noWrap/>
            <w:hideMark/>
          </w:tcPr>
          <w:p w14:paraId="14C2CD50" w14:textId="77777777" w:rsidR="009F5688" w:rsidRPr="008D734C" w:rsidRDefault="009F5688" w:rsidP="00D06989">
            <w:pPr>
              <w:contextualSpacing/>
              <w:mirrorIndents/>
              <w:jc w:val="both"/>
              <w:rPr>
                <w:rFonts w:cstheme="minorHAnsi"/>
              </w:rPr>
            </w:pPr>
            <w:r w:rsidRPr="008D734C">
              <w:rPr>
                <w:rFonts w:cstheme="minorHAnsi"/>
              </w:rPr>
              <w:t>Very Major Hip Procedures for Non-Trauma with CC Score 10+</w:t>
            </w:r>
          </w:p>
        </w:tc>
      </w:tr>
      <w:tr w:rsidR="009F5688" w:rsidRPr="008D734C" w14:paraId="0278A290" w14:textId="77777777" w:rsidTr="008D734C">
        <w:trPr>
          <w:trHeight w:val="225"/>
        </w:trPr>
        <w:tc>
          <w:tcPr>
            <w:tcW w:w="1017" w:type="dxa"/>
            <w:noWrap/>
            <w:hideMark/>
          </w:tcPr>
          <w:p w14:paraId="2D26B495" w14:textId="77777777" w:rsidR="009F5688" w:rsidRPr="008D734C" w:rsidRDefault="009F5688" w:rsidP="00D06989">
            <w:pPr>
              <w:contextualSpacing/>
              <w:mirrorIndents/>
              <w:jc w:val="both"/>
              <w:rPr>
                <w:rFonts w:cstheme="minorHAnsi"/>
              </w:rPr>
            </w:pPr>
            <w:proofErr w:type="spellStart"/>
            <w:r w:rsidRPr="008D734C">
              <w:rPr>
                <w:rFonts w:cstheme="minorHAnsi"/>
              </w:rPr>
              <w:t>HN12B</w:t>
            </w:r>
            <w:proofErr w:type="spellEnd"/>
          </w:p>
        </w:tc>
        <w:tc>
          <w:tcPr>
            <w:tcW w:w="8617" w:type="dxa"/>
            <w:noWrap/>
            <w:hideMark/>
          </w:tcPr>
          <w:p w14:paraId="40EA9591" w14:textId="77777777" w:rsidR="009F5688" w:rsidRPr="008D734C" w:rsidRDefault="009F5688" w:rsidP="00D06989">
            <w:pPr>
              <w:contextualSpacing/>
              <w:mirrorIndents/>
              <w:jc w:val="both"/>
              <w:rPr>
                <w:rFonts w:cstheme="minorHAnsi"/>
              </w:rPr>
            </w:pPr>
            <w:r w:rsidRPr="008D734C">
              <w:rPr>
                <w:rFonts w:cstheme="minorHAnsi"/>
              </w:rPr>
              <w:t>Very Major Hip Procedures for Non-Trauma with CC Score 8-9</w:t>
            </w:r>
          </w:p>
        </w:tc>
      </w:tr>
      <w:tr w:rsidR="009F5688" w:rsidRPr="008D734C" w14:paraId="39B8BAE2" w14:textId="77777777" w:rsidTr="008D734C">
        <w:trPr>
          <w:trHeight w:val="225"/>
        </w:trPr>
        <w:tc>
          <w:tcPr>
            <w:tcW w:w="1017" w:type="dxa"/>
            <w:noWrap/>
            <w:hideMark/>
          </w:tcPr>
          <w:p w14:paraId="69011B58" w14:textId="77777777" w:rsidR="009F5688" w:rsidRPr="008D734C" w:rsidRDefault="009F5688" w:rsidP="00D06989">
            <w:pPr>
              <w:contextualSpacing/>
              <w:mirrorIndents/>
              <w:jc w:val="both"/>
              <w:rPr>
                <w:rFonts w:cstheme="minorHAnsi"/>
              </w:rPr>
            </w:pPr>
            <w:proofErr w:type="spellStart"/>
            <w:r w:rsidRPr="008D734C">
              <w:rPr>
                <w:rFonts w:cstheme="minorHAnsi"/>
              </w:rPr>
              <w:t>HN12C</w:t>
            </w:r>
            <w:proofErr w:type="spellEnd"/>
          </w:p>
        </w:tc>
        <w:tc>
          <w:tcPr>
            <w:tcW w:w="8617" w:type="dxa"/>
            <w:noWrap/>
            <w:hideMark/>
          </w:tcPr>
          <w:p w14:paraId="6A82DF2D" w14:textId="77777777" w:rsidR="009F5688" w:rsidRPr="008D734C" w:rsidRDefault="009F5688" w:rsidP="00D06989">
            <w:pPr>
              <w:contextualSpacing/>
              <w:mirrorIndents/>
              <w:jc w:val="both"/>
              <w:rPr>
                <w:rFonts w:cstheme="minorHAnsi"/>
              </w:rPr>
            </w:pPr>
            <w:r w:rsidRPr="008D734C">
              <w:rPr>
                <w:rFonts w:cstheme="minorHAnsi"/>
              </w:rPr>
              <w:t>Very Major Hip Procedures for Non-Trauma with CC Score 6-7</w:t>
            </w:r>
          </w:p>
        </w:tc>
      </w:tr>
      <w:tr w:rsidR="009F5688" w:rsidRPr="008D734C" w14:paraId="4BAE494F" w14:textId="77777777" w:rsidTr="008D734C">
        <w:trPr>
          <w:trHeight w:val="225"/>
        </w:trPr>
        <w:tc>
          <w:tcPr>
            <w:tcW w:w="1017" w:type="dxa"/>
            <w:noWrap/>
            <w:hideMark/>
          </w:tcPr>
          <w:p w14:paraId="7EE63B67" w14:textId="77777777" w:rsidR="009F5688" w:rsidRPr="008D734C" w:rsidRDefault="009F5688" w:rsidP="00D06989">
            <w:pPr>
              <w:contextualSpacing/>
              <w:mirrorIndents/>
              <w:jc w:val="both"/>
              <w:rPr>
                <w:rFonts w:cstheme="minorHAnsi"/>
              </w:rPr>
            </w:pPr>
            <w:proofErr w:type="spellStart"/>
            <w:r w:rsidRPr="008D734C">
              <w:rPr>
                <w:rFonts w:cstheme="minorHAnsi"/>
              </w:rPr>
              <w:t>HN12D</w:t>
            </w:r>
            <w:proofErr w:type="spellEnd"/>
          </w:p>
        </w:tc>
        <w:tc>
          <w:tcPr>
            <w:tcW w:w="8617" w:type="dxa"/>
            <w:noWrap/>
            <w:hideMark/>
          </w:tcPr>
          <w:p w14:paraId="6181CD4F" w14:textId="77777777" w:rsidR="009F5688" w:rsidRPr="008D734C" w:rsidRDefault="009F5688" w:rsidP="00D06989">
            <w:pPr>
              <w:contextualSpacing/>
              <w:mirrorIndents/>
              <w:jc w:val="both"/>
              <w:rPr>
                <w:rFonts w:cstheme="minorHAnsi"/>
              </w:rPr>
            </w:pPr>
            <w:r w:rsidRPr="008D734C">
              <w:rPr>
                <w:rFonts w:cstheme="minorHAnsi"/>
              </w:rPr>
              <w:t>Very Major Hip Procedures for Non-Trauma with CC Score 4-5</w:t>
            </w:r>
          </w:p>
        </w:tc>
      </w:tr>
      <w:tr w:rsidR="009F5688" w:rsidRPr="008D734C" w14:paraId="0C2AB159" w14:textId="77777777" w:rsidTr="008D734C">
        <w:trPr>
          <w:trHeight w:val="225"/>
        </w:trPr>
        <w:tc>
          <w:tcPr>
            <w:tcW w:w="1017" w:type="dxa"/>
            <w:noWrap/>
            <w:hideMark/>
          </w:tcPr>
          <w:p w14:paraId="783F2DF8" w14:textId="77777777" w:rsidR="009F5688" w:rsidRPr="008D734C" w:rsidRDefault="009F5688" w:rsidP="00D06989">
            <w:pPr>
              <w:contextualSpacing/>
              <w:mirrorIndents/>
              <w:jc w:val="both"/>
              <w:rPr>
                <w:rFonts w:cstheme="minorHAnsi"/>
              </w:rPr>
            </w:pPr>
            <w:proofErr w:type="spellStart"/>
            <w:r w:rsidRPr="008D734C">
              <w:rPr>
                <w:rFonts w:cstheme="minorHAnsi"/>
              </w:rPr>
              <w:t>HN12E</w:t>
            </w:r>
            <w:proofErr w:type="spellEnd"/>
          </w:p>
        </w:tc>
        <w:tc>
          <w:tcPr>
            <w:tcW w:w="8617" w:type="dxa"/>
            <w:noWrap/>
            <w:hideMark/>
          </w:tcPr>
          <w:p w14:paraId="2AD36DDE" w14:textId="77777777" w:rsidR="009F5688" w:rsidRPr="008D734C" w:rsidRDefault="009F5688" w:rsidP="00D06989">
            <w:pPr>
              <w:contextualSpacing/>
              <w:mirrorIndents/>
              <w:jc w:val="both"/>
              <w:rPr>
                <w:rFonts w:cstheme="minorHAnsi"/>
              </w:rPr>
            </w:pPr>
            <w:r w:rsidRPr="008D734C">
              <w:rPr>
                <w:rFonts w:cstheme="minorHAnsi"/>
              </w:rPr>
              <w:t>Very Major Hip Procedures for Non-Trauma with CC Score 2-3</w:t>
            </w:r>
          </w:p>
        </w:tc>
      </w:tr>
      <w:tr w:rsidR="009F5688" w:rsidRPr="008D734C" w14:paraId="7BF1C869" w14:textId="77777777" w:rsidTr="008D734C">
        <w:trPr>
          <w:trHeight w:val="225"/>
        </w:trPr>
        <w:tc>
          <w:tcPr>
            <w:tcW w:w="1017" w:type="dxa"/>
            <w:noWrap/>
            <w:hideMark/>
          </w:tcPr>
          <w:p w14:paraId="5CE252AF" w14:textId="77777777" w:rsidR="009F5688" w:rsidRPr="008D734C" w:rsidRDefault="009F5688" w:rsidP="00D06989">
            <w:pPr>
              <w:contextualSpacing/>
              <w:mirrorIndents/>
              <w:jc w:val="both"/>
              <w:rPr>
                <w:rFonts w:cstheme="minorHAnsi"/>
              </w:rPr>
            </w:pPr>
            <w:proofErr w:type="spellStart"/>
            <w:r w:rsidRPr="008D734C">
              <w:rPr>
                <w:rFonts w:cstheme="minorHAnsi"/>
              </w:rPr>
              <w:t>HN12F</w:t>
            </w:r>
            <w:proofErr w:type="spellEnd"/>
          </w:p>
        </w:tc>
        <w:tc>
          <w:tcPr>
            <w:tcW w:w="8617" w:type="dxa"/>
            <w:noWrap/>
            <w:hideMark/>
          </w:tcPr>
          <w:p w14:paraId="718AFBFB" w14:textId="77777777" w:rsidR="009F5688" w:rsidRPr="008D734C" w:rsidRDefault="009F5688" w:rsidP="00D06989">
            <w:pPr>
              <w:contextualSpacing/>
              <w:mirrorIndents/>
              <w:jc w:val="both"/>
              <w:rPr>
                <w:rFonts w:cstheme="minorHAnsi"/>
              </w:rPr>
            </w:pPr>
            <w:r w:rsidRPr="008D734C">
              <w:rPr>
                <w:rFonts w:cstheme="minorHAnsi"/>
              </w:rPr>
              <w:t>Very Major Hip Procedures for Non-Trauma with CC Score 0-1</w:t>
            </w:r>
          </w:p>
        </w:tc>
      </w:tr>
      <w:tr w:rsidR="009F5688" w:rsidRPr="008D734C" w14:paraId="70EFAA70" w14:textId="77777777" w:rsidTr="008D734C">
        <w:trPr>
          <w:trHeight w:val="225"/>
        </w:trPr>
        <w:tc>
          <w:tcPr>
            <w:tcW w:w="1017" w:type="dxa"/>
            <w:noWrap/>
            <w:hideMark/>
          </w:tcPr>
          <w:p w14:paraId="05A26AA5" w14:textId="77777777" w:rsidR="009F5688" w:rsidRPr="008D734C" w:rsidRDefault="009F5688" w:rsidP="00D06989">
            <w:pPr>
              <w:contextualSpacing/>
              <w:mirrorIndents/>
              <w:jc w:val="both"/>
              <w:rPr>
                <w:rFonts w:cstheme="minorHAnsi"/>
              </w:rPr>
            </w:pPr>
            <w:proofErr w:type="spellStart"/>
            <w:r w:rsidRPr="008D734C">
              <w:rPr>
                <w:rFonts w:cstheme="minorHAnsi"/>
              </w:rPr>
              <w:t>HN13A</w:t>
            </w:r>
            <w:proofErr w:type="spellEnd"/>
          </w:p>
        </w:tc>
        <w:tc>
          <w:tcPr>
            <w:tcW w:w="8617" w:type="dxa"/>
            <w:noWrap/>
            <w:hideMark/>
          </w:tcPr>
          <w:p w14:paraId="42E1F137" w14:textId="77777777" w:rsidR="009F5688" w:rsidRPr="008D734C" w:rsidRDefault="009F5688" w:rsidP="00D06989">
            <w:pPr>
              <w:contextualSpacing/>
              <w:mirrorIndents/>
              <w:jc w:val="both"/>
              <w:rPr>
                <w:rFonts w:cstheme="minorHAnsi"/>
              </w:rPr>
            </w:pPr>
            <w:r w:rsidRPr="008D734C">
              <w:rPr>
                <w:rFonts w:cstheme="minorHAnsi"/>
              </w:rPr>
              <w:t>Major Hip Procedures for Non-Trauma, 19 years and over, with CC Score 10+</w:t>
            </w:r>
          </w:p>
        </w:tc>
      </w:tr>
      <w:tr w:rsidR="009F5688" w:rsidRPr="008D734C" w14:paraId="6C13E2C7" w14:textId="77777777" w:rsidTr="008D734C">
        <w:trPr>
          <w:trHeight w:val="225"/>
        </w:trPr>
        <w:tc>
          <w:tcPr>
            <w:tcW w:w="1017" w:type="dxa"/>
            <w:noWrap/>
            <w:hideMark/>
          </w:tcPr>
          <w:p w14:paraId="356A7443" w14:textId="77777777" w:rsidR="009F5688" w:rsidRPr="008D734C" w:rsidRDefault="009F5688" w:rsidP="00D06989">
            <w:pPr>
              <w:contextualSpacing/>
              <w:mirrorIndents/>
              <w:jc w:val="both"/>
              <w:rPr>
                <w:rFonts w:cstheme="minorHAnsi"/>
              </w:rPr>
            </w:pPr>
            <w:proofErr w:type="spellStart"/>
            <w:r w:rsidRPr="008D734C">
              <w:rPr>
                <w:rFonts w:cstheme="minorHAnsi"/>
              </w:rPr>
              <w:t>HN13B</w:t>
            </w:r>
            <w:proofErr w:type="spellEnd"/>
          </w:p>
        </w:tc>
        <w:tc>
          <w:tcPr>
            <w:tcW w:w="8617" w:type="dxa"/>
            <w:noWrap/>
            <w:hideMark/>
          </w:tcPr>
          <w:p w14:paraId="4FFB05A1" w14:textId="77777777" w:rsidR="009F5688" w:rsidRPr="008D734C" w:rsidRDefault="009F5688" w:rsidP="00D06989">
            <w:pPr>
              <w:contextualSpacing/>
              <w:mirrorIndents/>
              <w:jc w:val="both"/>
              <w:rPr>
                <w:rFonts w:cstheme="minorHAnsi"/>
              </w:rPr>
            </w:pPr>
            <w:r w:rsidRPr="008D734C">
              <w:rPr>
                <w:rFonts w:cstheme="minorHAnsi"/>
              </w:rPr>
              <w:t>Major Hip Procedures for Non-Trauma, 19 years and over, with CC Score 6-9</w:t>
            </w:r>
          </w:p>
        </w:tc>
      </w:tr>
      <w:tr w:rsidR="009F5688" w:rsidRPr="008D734C" w14:paraId="77F6C393" w14:textId="77777777" w:rsidTr="008D734C">
        <w:trPr>
          <w:trHeight w:val="225"/>
        </w:trPr>
        <w:tc>
          <w:tcPr>
            <w:tcW w:w="1017" w:type="dxa"/>
            <w:noWrap/>
            <w:hideMark/>
          </w:tcPr>
          <w:p w14:paraId="51EFDEB5" w14:textId="77777777" w:rsidR="009F5688" w:rsidRPr="008D734C" w:rsidRDefault="009F5688" w:rsidP="00D06989">
            <w:pPr>
              <w:contextualSpacing/>
              <w:mirrorIndents/>
              <w:jc w:val="both"/>
              <w:rPr>
                <w:rFonts w:cstheme="minorHAnsi"/>
              </w:rPr>
            </w:pPr>
            <w:proofErr w:type="spellStart"/>
            <w:r w:rsidRPr="008D734C">
              <w:rPr>
                <w:rFonts w:cstheme="minorHAnsi"/>
              </w:rPr>
              <w:t>HN13C</w:t>
            </w:r>
            <w:proofErr w:type="spellEnd"/>
          </w:p>
        </w:tc>
        <w:tc>
          <w:tcPr>
            <w:tcW w:w="8617" w:type="dxa"/>
            <w:noWrap/>
            <w:hideMark/>
          </w:tcPr>
          <w:p w14:paraId="7A3FADAD" w14:textId="77777777" w:rsidR="009F5688" w:rsidRPr="008D734C" w:rsidRDefault="009F5688" w:rsidP="00D06989">
            <w:pPr>
              <w:contextualSpacing/>
              <w:mirrorIndents/>
              <w:jc w:val="both"/>
              <w:rPr>
                <w:rFonts w:cstheme="minorHAnsi"/>
              </w:rPr>
            </w:pPr>
            <w:r w:rsidRPr="008D734C">
              <w:rPr>
                <w:rFonts w:cstheme="minorHAnsi"/>
              </w:rPr>
              <w:t>Major Hip Procedures for Non-Trauma, 19 years and over, with CC Score 4-5</w:t>
            </w:r>
          </w:p>
        </w:tc>
      </w:tr>
      <w:tr w:rsidR="009F5688" w:rsidRPr="008D734C" w14:paraId="41299ED1" w14:textId="77777777" w:rsidTr="008D734C">
        <w:trPr>
          <w:trHeight w:val="225"/>
        </w:trPr>
        <w:tc>
          <w:tcPr>
            <w:tcW w:w="1017" w:type="dxa"/>
            <w:noWrap/>
            <w:hideMark/>
          </w:tcPr>
          <w:p w14:paraId="50B9D6D0" w14:textId="77777777" w:rsidR="009F5688" w:rsidRPr="008D734C" w:rsidRDefault="009F5688" w:rsidP="00D06989">
            <w:pPr>
              <w:contextualSpacing/>
              <w:mirrorIndents/>
              <w:jc w:val="both"/>
              <w:rPr>
                <w:rFonts w:cstheme="minorHAnsi"/>
              </w:rPr>
            </w:pPr>
            <w:proofErr w:type="spellStart"/>
            <w:r w:rsidRPr="008D734C">
              <w:rPr>
                <w:rFonts w:cstheme="minorHAnsi"/>
              </w:rPr>
              <w:t>HN13D</w:t>
            </w:r>
            <w:proofErr w:type="spellEnd"/>
          </w:p>
        </w:tc>
        <w:tc>
          <w:tcPr>
            <w:tcW w:w="8617" w:type="dxa"/>
            <w:noWrap/>
            <w:hideMark/>
          </w:tcPr>
          <w:p w14:paraId="0472BF82" w14:textId="77777777" w:rsidR="009F5688" w:rsidRPr="008D734C" w:rsidRDefault="009F5688" w:rsidP="00D06989">
            <w:pPr>
              <w:contextualSpacing/>
              <w:mirrorIndents/>
              <w:jc w:val="both"/>
              <w:rPr>
                <w:rFonts w:cstheme="minorHAnsi"/>
              </w:rPr>
            </w:pPr>
            <w:r w:rsidRPr="008D734C">
              <w:rPr>
                <w:rFonts w:cstheme="minorHAnsi"/>
              </w:rPr>
              <w:t>Major Hip Procedures for Non-Trauma, 19 years and over, with CC Score 2-3</w:t>
            </w:r>
          </w:p>
        </w:tc>
      </w:tr>
      <w:tr w:rsidR="009F5688" w:rsidRPr="008D734C" w14:paraId="5E588799" w14:textId="77777777" w:rsidTr="008D734C">
        <w:trPr>
          <w:trHeight w:val="225"/>
        </w:trPr>
        <w:tc>
          <w:tcPr>
            <w:tcW w:w="1017" w:type="dxa"/>
            <w:noWrap/>
            <w:hideMark/>
          </w:tcPr>
          <w:p w14:paraId="74BE816D" w14:textId="77777777" w:rsidR="009F5688" w:rsidRPr="008D734C" w:rsidRDefault="009F5688" w:rsidP="00D06989">
            <w:pPr>
              <w:contextualSpacing/>
              <w:mirrorIndents/>
              <w:jc w:val="both"/>
              <w:rPr>
                <w:rFonts w:cstheme="minorHAnsi"/>
              </w:rPr>
            </w:pPr>
            <w:proofErr w:type="spellStart"/>
            <w:r w:rsidRPr="008D734C">
              <w:rPr>
                <w:rFonts w:cstheme="minorHAnsi"/>
              </w:rPr>
              <w:t>HN13E</w:t>
            </w:r>
            <w:proofErr w:type="spellEnd"/>
          </w:p>
        </w:tc>
        <w:tc>
          <w:tcPr>
            <w:tcW w:w="8617" w:type="dxa"/>
            <w:noWrap/>
            <w:hideMark/>
          </w:tcPr>
          <w:p w14:paraId="4B783A11" w14:textId="77777777" w:rsidR="009F5688" w:rsidRPr="008D734C" w:rsidRDefault="009F5688" w:rsidP="00D06989">
            <w:pPr>
              <w:contextualSpacing/>
              <w:mirrorIndents/>
              <w:jc w:val="both"/>
              <w:rPr>
                <w:rFonts w:cstheme="minorHAnsi"/>
              </w:rPr>
            </w:pPr>
            <w:r w:rsidRPr="008D734C">
              <w:rPr>
                <w:rFonts w:cstheme="minorHAnsi"/>
              </w:rPr>
              <w:t>Major Hip Procedures for Non-Trauma, 19 years and over, with CC Score 1</w:t>
            </w:r>
          </w:p>
        </w:tc>
      </w:tr>
      <w:tr w:rsidR="009F5688" w:rsidRPr="008D734C" w14:paraId="14F7DDDB" w14:textId="77777777" w:rsidTr="008D734C">
        <w:trPr>
          <w:trHeight w:val="225"/>
        </w:trPr>
        <w:tc>
          <w:tcPr>
            <w:tcW w:w="1017" w:type="dxa"/>
            <w:noWrap/>
            <w:hideMark/>
          </w:tcPr>
          <w:p w14:paraId="0556E83B" w14:textId="77777777" w:rsidR="009F5688" w:rsidRPr="008D734C" w:rsidRDefault="009F5688" w:rsidP="00D06989">
            <w:pPr>
              <w:contextualSpacing/>
              <w:mirrorIndents/>
              <w:jc w:val="both"/>
              <w:rPr>
                <w:rFonts w:cstheme="minorHAnsi"/>
              </w:rPr>
            </w:pPr>
            <w:proofErr w:type="spellStart"/>
            <w:r w:rsidRPr="008D734C">
              <w:rPr>
                <w:rFonts w:cstheme="minorHAnsi"/>
              </w:rPr>
              <w:t>HN13F</w:t>
            </w:r>
            <w:proofErr w:type="spellEnd"/>
          </w:p>
        </w:tc>
        <w:tc>
          <w:tcPr>
            <w:tcW w:w="8617" w:type="dxa"/>
            <w:noWrap/>
            <w:hideMark/>
          </w:tcPr>
          <w:p w14:paraId="7217C545" w14:textId="77777777" w:rsidR="009F5688" w:rsidRPr="008D734C" w:rsidRDefault="009F5688" w:rsidP="00D06989">
            <w:pPr>
              <w:contextualSpacing/>
              <w:mirrorIndents/>
              <w:jc w:val="both"/>
              <w:rPr>
                <w:rFonts w:cstheme="minorHAnsi"/>
              </w:rPr>
            </w:pPr>
            <w:r w:rsidRPr="008D734C">
              <w:rPr>
                <w:rFonts w:cstheme="minorHAnsi"/>
              </w:rPr>
              <w:t>Major Hip Procedures for Non-Trauma, 19 years and over, with CC Score 0</w:t>
            </w:r>
          </w:p>
        </w:tc>
      </w:tr>
      <w:tr w:rsidR="009F5688" w:rsidRPr="008D734C" w14:paraId="4EEA20C3" w14:textId="77777777" w:rsidTr="008D734C">
        <w:trPr>
          <w:trHeight w:val="225"/>
        </w:trPr>
        <w:tc>
          <w:tcPr>
            <w:tcW w:w="1017" w:type="dxa"/>
            <w:noWrap/>
            <w:hideMark/>
          </w:tcPr>
          <w:p w14:paraId="0406E2B8" w14:textId="77777777" w:rsidR="009F5688" w:rsidRPr="008D734C" w:rsidRDefault="009F5688" w:rsidP="00D06989">
            <w:pPr>
              <w:contextualSpacing/>
              <w:mirrorIndents/>
              <w:jc w:val="both"/>
              <w:rPr>
                <w:rFonts w:cstheme="minorHAnsi"/>
              </w:rPr>
            </w:pPr>
            <w:proofErr w:type="spellStart"/>
            <w:r w:rsidRPr="008D734C">
              <w:rPr>
                <w:rFonts w:cstheme="minorHAnsi"/>
              </w:rPr>
              <w:t>HN13G</w:t>
            </w:r>
            <w:proofErr w:type="spellEnd"/>
          </w:p>
        </w:tc>
        <w:tc>
          <w:tcPr>
            <w:tcW w:w="8617" w:type="dxa"/>
            <w:noWrap/>
            <w:hideMark/>
          </w:tcPr>
          <w:p w14:paraId="17345D40" w14:textId="77777777" w:rsidR="009F5688" w:rsidRPr="008D734C" w:rsidRDefault="009F5688" w:rsidP="00D06989">
            <w:pPr>
              <w:contextualSpacing/>
              <w:mirrorIndents/>
              <w:jc w:val="both"/>
              <w:rPr>
                <w:rFonts w:cstheme="minorHAnsi"/>
              </w:rPr>
            </w:pPr>
            <w:r w:rsidRPr="008D734C">
              <w:rPr>
                <w:rFonts w:cstheme="minorHAnsi"/>
              </w:rPr>
              <w:t>Major Hip Procedures for Non-Trauma, 18 years and under, with CC Score 1+</w:t>
            </w:r>
          </w:p>
        </w:tc>
      </w:tr>
      <w:tr w:rsidR="009F5688" w:rsidRPr="008D734C" w14:paraId="78557183" w14:textId="77777777" w:rsidTr="008D734C">
        <w:trPr>
          <w:trHeight w:val="225"/>
        </w:trPr>
        <w:tc>
          <w:tcPr>
            <w:tcW w:w="1017" w:type="dxa"/>
            <w:noWrap/>
            <w:hideMark/>
          </w:tcPr>
          <w:p w14:paraId="06F7C1BE" w14:textId="77777777" w:rsidR="009F5688" w:rsidRPr="008D734C" w:rsidRDefault="009F5688" w:rsidP="00D06989">
            <w:pPr>
              <w:contextualSpacing/>
              <w:mirrorIndents/>
              <w:jc w:val="both"/>
              <w:rPr>
                <w:rFonts w:cstheme="minorHAnsi"/>
              </w:rPr>
            </w:pPr>
            <w:proofErr w:type="spellStart"/>
            <w:r w:rsidRPr="008D734C">
              <w:rPr>
                <w:rFonts w:cstheme="minorHAnsi"/>
              </w:rPr>
              <w:t>HN13H</w:t>
            </w:r>
            <w:proofErr w:type="spellEnd"/>
          </w:p>
        </w:tc>
        <w:tc>
          <w:tcPr>
            <w:tcW w:w="8617" w:type="dxa"/>
            <w:noWrap/>
            <w:hideMark/>
          </w:tcPr>
          <w:p w14:paraId="69D054E3" w14:textId="77777777" w:rsidR="009F5688" w:rsidRPr="008D734C" w:rsidRDefault="009F5688" w:rsidP="00D06989">
            <w:pPr>
              <w:contextualSpacing/>
              <w:mirrorIndents/>
              <w:jc w:val="both"/>
              <w:rPr>
                <w:rFonts w:cstheme="minorHAnsi"/>
              </w:rPr>
            </w:pPr>
            <w:r w:rsidRPr="008D734C">
              <w:rPr>
                <w:rFonts w:cstheme="minorHAnsi"/>
              </w:rPr>
              <w:t>Major Hip Procedures for Non-Trauma, 18 years and under, with CC Score 0</w:t>
            </w:r>
          </w:p>
        </w:tc>
      </w:tr>
      <w:tr w:rsidR="009F5688" w:rsidRPr="008D734C" w14:paraId="30759029" w14:textId="77777777" w:rsidTr="008D734C">
        <w:trPr>
          <w:trHeight w:val="225"/>
        </w:trPr>
        <w:tc>
          <w:tcPr>
            <w:tcW w:w="1017" w:type="dxa"/>
            <w:noWrap/>
            <w:hideMark/>
          </w:tcPr>
          <w:p w14:paraId="00F0A1C2" w14:textId="77777777" w:rsidR="009F5688" w:rsidRPr="008D734C" w:rsidRDefault="009F5688" w:rsidP="00D06989">
            <w:pPr>
              <w:contextualSpacing/>
              <w:mirrorIndents/>
              <w:jc w:val="both"/>
              <w:rPr>
                <w:rFonts w:cstheme="minorHAnsi"/>
              </w:rPr>
            </w:pPr>
            <w:proofErr w:type="spellStart"/>
            <w:r w:rsidRPr="008D734C">
              <w:rPr>
                <w:rFonts w:cstheme="minorHAnsi"/>
              </w:rPr>
              <w:t>HN14A</w:t>
            </w:r>
            <w:proofErr w:type="spellEnd"/>
          </w:p>
        </w:tc>
        <w:tc>
          <w:tcPr>
            <w:tcW w:w="8617" w:type="dxa"/>
            <w:noWrap/>
            <w:hideMark/>
          </w:tcPr>
          <w:p w14:paraId="2A7A49FF" w14:textId="77777777" w:rsidR="009F5688" w:rsidRPr="008D734C" w:rsidRDefault="009F5688" w:rsidP="00D06989">
            <w:pPr>
              <w:contextualSpacing/>
              <w:mirrorIndents/>
              <w:jc w:val="both"/>
              <w:rPr>
                <w:rFonts w:cstheme="minorHAnsi"/>
              </w:rPr>
            </w:pPr>
            <w:r w:rsidRPr="008D734C">
              <w:rPr>
                <w:rFonts w:cstheme="minorHAnsi"/>
              </w:rPr>
              <w:t>Intermediate Hip Procedures for Non-Trauma, 19 years and over, with CC Score 6+</w:t>
            </w:r>
          </w:p>
        </w:tc>
      </w:tr>
      <w:tr w:rsidR="009F5688" w:rsidRPr="008D734C" w14:paraId="45DCB6CE" w14:textId="77777777" w:rsidTr="008D734C">
        <w:trPr>
          <w:trHeight w:val="225"/>
        </w:trPr>
        <w:tc>
          <w:tcPr>
            <w:tcW w:w="1017" w:type="dxa"/>
            <w:noWrap/>
            <w:hideMark/>
          </w:tcPr>
          <w:p w14:paraId="29282FAD" w14:textId="77777777" w:rsidR="009F5688" w:rsidRPr="008D734C" w:rsidRDefault="009F5688" w:rsidP="00D06989">
            <w:pPr>
              <w:contextualSpacing/>
              <w:mirrorIndents/>
              <w:jc w:val="both"/>
              <w:rPr>
                <w:rFonts w:cstheme="minorHAnsi"/>
              </w:rPr>
            </w:pPr>
            <w:proofErr w:type="spellStart"/>
            <w:r w:rsidRPr="008D734C">
              <w:rPr>
                <w:rFonts w:cstheme="minorHAnsi"/>
              </w:rPr>
              <w:t>HN14B</w:t>
            </w:r>
            <w:proofErr w:type="spellEnd"/>
          </w:p>
        </w:tc>
        <w:tc>
          <w:tcPr>
            <w:tcW w:w="8617" w:type="dxa"/>
            <w:noWrap/>
            <w:hideMark/>
          </w:tcPr>
          <w:p w14:paraId="05B9D994" w14:textId="77777777" w:rsidR="009F5688" w:rsidRPr="008D734C" w:rsidRDefault="009F5688" w:rsidP="00D06989">
            <w:pPr>
              <w:contextualSpacing/>
              <w:mirrorIndents/>
              <w:jc w:val="both"/>
              <w:rPr>
                <w:rFonts w:cstheme="minorHAnsi"/>
              </w:rPr>
            </w:pPr>
            <w:r w:rsidRPr="008D734C">
              <w:rPr>
                <w:rFonts w:cstheme="minorHAnsi"/>
              </w:rPr>
              <w:t>Intermediate Hip Procedures for Non-Trauma, 19 years and over, with CC Score 4-5</w:t>
            </w:r>
          </w:p>
        </w:tc>
      </w:tr>
      <w:tr w:rsidR="009F5688" w:rsidRPr="008D734C" w14:paraId="17B22466" w14:textId="77777777" w:rsidTr="008D734C">
        <w:trPr>
          <w:trHeight w:val="225"/>
        </w:trPr>
        <w:tc>
          <w:tcPr>
            <w:tcW w:w="1017" w:type="dxa"/>
            <w:noWrap/>
            <w:hideMark/>
          </w:tcPr>
          <w:p w14:paraId="3F5DC93A" w14:textId="77777777" w:rsidR="009F5688" w:rsidRPr="008D734C" w:rsidRDefault="009F5688" w:rsidP="00D06989">
            <w:pPr>
              <w:contextualSpacing/>
              <w:mirrorIndents/>
              <w:jc w:val="both"/>
              <w:rPr>
                <w:rFonts w:cstheme="minorHAnsi"/>
              </w:rPr>
            </w:pPr>
            <w:proofErr w:type="spellStart"/>
            <w:r w:rsidRPr="008D734C">
              <w:rPr>
                <w:rFonts w:cstheme="minorHAnsi"/>
              </w:rPr>
              <w:t>HN14C</w:t>
            </w:r>
            <w:proofErr w:type="spellEnd"/>
          </w:p>
        </w:tc>
        <w:tc>
          <w:tcPr>
            <w:tcW w:w="8617" w:type="dxa"/>
            <w:noWrap/>
            <w:hideMark/>
          </w:tcPr>
          <w:p w14:paraId="0BFD83B3" w14:textId="77777777" w:rsidR="009F5688" w:rsidRPr="008D734C" w:rsidRDefault="009F5688" w:rsidP="00D06989">
            <w:pPr>
              <w:contextualSpacing/>
              <w:mirrorIndents/>
              <w:jc w:val="both"/>
              <w:rPr>
                <w:rFonts w:cstheme="minorHAnsi"/>
              </w:rPr>
            </w:pPr>
            <w:r w:rsidRPr="008D734C">
              <w:rPr>
                <w:rFonts w:cstheme="minorHAnsi"/>
              </w:rPr>
              <w:t>Intermediate Hip Procedures for Non-Trauma, 19 years and over, with CC Score 2-3</w:t>
            </w:r>
          </w:p>
        </w:tc>
      </w:tr>
      <w:tr w:rsidR="009F5688" w:rsidRPr="008D734C" w14:paraId="007469C7" w14:textId="77777777" w:rsidTr="008D734C">
        <w:trPr>
          <w:trHeight w:val="225"/>
        </w:trPr>
        <w:tc>
          <w:tcPr>
            <w:tcW w:w="1017" w:type="dxa"/>
            <w:noWrap/>
            <w:hideMark/>
          </w:tcPr>
          <w:p w14:paraId="282B23A4" w14:textId="77777777" w:rsidR="009F5688" w:rsidRPr="008D734C" w:rsidRDefault="009F5688" w:rsidP="00D06989">
            <w:pPr>
              <w:contextualSpacing/>
              <w:mirrorIndents/>
              <w:jc w:val="both"/>
              <w:rPr>
                <w:rFonts w:cstheme="minorHAnsi"/>
              </w:rPr>
            </w:pPr>
            <w:proofErr w:type="spellStart"/>
            <w:r w:rsidRPr="008D734C">
              <w:rPr>
                <w:rFonts w:cstheme="minorHAnsi"/>
              </w:rPr>
              <w:t>HN14D</w:t>
            </w:r>
            <w:proofErr w:type="spellEnd"/>
          </w:p>
        </w:tc>
        <w:tc>
          <w:tcPr>
            <w:tcW w:w="8617" w:type="dxa"/>
            <w:noWrap/>
            <w:hideMark/>
          </w:tcPr>
          <w:p w14:paraId="1A03021A" w14:textId="77777777" w:rsidR="009F5688" w:rsidRPr="008D734C" w:rsidRDefault="009F5688" w:rsidP="00D06989">
            <w:pPr>
              <w:contextualSpacing/>
              <w:mirrorIndents/>
              <w:jc w:val="both"/>
              <w:rPr>
                <w:rFonts w:cstheme="minorHAnsi"/>
              </w:rPr>
            </w:pPr>
            <w:r w:rsidRPr="008D734C">
              <w:rPr>
                <w:rFonts w:cstheme="minorHAnsi"/>
              </w:rPr>
              <w:t>Intermediate Hip Procedures for Non-Trauma, 19 years and over, with CC Score 1</w:t>
            </w:r>
          </w:p>
        </w:tc>
      </w:tr>
      <w:tr w:rsidR="009F5688" w:rsidRPr="008D734C" w14:paraId="0FAAD38F" w14:textId="77777777" w:rsidTr="008D734C">
        <w:trPr>
          <w:trHeight w:val="225"/>
        </w:trPr>
        <w:tc>
          <w:tcPr>
            <w:tcW w:w="1017" w:type="dxa"/>
            <w:noWrap/>
            <w:hideMark/>
          </w:tcPr>
          <w:p w14:paraId="0D0AB1F7" w14:textId="77777777" w:rsidR="009F5688" w:rsidRPr="008D734C" w:rsidRDefault="009F5688" w:rsidP="00D06989">
            <w:pPr>
              <w:contextualSpacing/>
              <w:mirrorIndents/>
              <w:jc w:val="both"/>
              <w:rPr>
                <w:rFonts w:cstheme="minorHAnsi"/>
              </w:rPr>
            </w:pPr>
            <w:proofErr w:type="spellStart"/>
            <w:r w:rsidRPr="008D734C">
              <w:rPr>
                <w:rFonts w:cstheme="minorHAnsi"/>
              </w:rPr>
              <w:t>HN14E</w:t>
            </w:r>
            <w:proofErr w:type="spellEnd"/>
          </w:p>
        </w:tc>
        <w:tc>
          <w:tcPr>
            <w:tcW w:w="8617" w:type="dxa"/>
            <w:noWrap/>
            <w:hideMark/>
          </w:tcPr>
          <w:p w14:paraId="6E5A0CD2" w14:textId="77777777" w:rsidR="009F5688" w:rsidRPr="008D734C" w:rsidRDefault="009F5688" w:rsidP="00D06989">
            <w:pPr>
              <w:contextualSpacing/>
              <w:mirrorIndents/>
              <w:jc w:val="both"/>
              <w:rPr>
                <w:rFonts w:cstheme="minorHAnsi"/>
              </w:rPr>
            </w:pPr>
            <w:r w:rsidRPr="008D734C">
              <w:rPr>
                <w:rFonts w:cstheme="minorHAnsi"/>
              </w:rPr>
              <w:t>Intermediate Hip Procedures for Non-Trauma, 19 years and over, with CC Score 0</w:t>
            </w:r>
          </w:p>
        </w:tc>
      </w:tr>
      <w:tr w:rsidR="009F5688" w:rsidRPr="008D734C" w14:paraId="628F865C" w14:textId="77777777" w:rsidTr="008D734C">
        <w:trPr>
          <w:trHeight w:val="225"/>
        </w:trPr>
        <w:tc>
          <w:tcPr>
            <w:tcW w:w="1017" w:type="dxa"/>
            <w:noWrap/>
            <w:hideMark/>
          </w:tcPr>
          <w:p w14:paraId="2782C92D" w14:textId="77777777" w:rsidR="009F5688" w:rsidRPr="008D734C" w:rsidRDefault="009F5688" w:rsidP="00D06989">
            <w:pPr>
              <w:contextualSpacing/>
              <w:mirrorIndents/>
              <w:jc w:val="both"/>
              <w:rPr>
                <w:rFonts w:cstheme="minorHAnsi"/>
              </w:rPr>
            </w:pPr>
            <w:proofErr w:type="spellStart"/>
            <w:r w:rsidRPr="008D734C">
              <w:rPr>
                <w:rFonts w:cstheme="minorHAnsi"/>
              </w:rPr>
              <w:t>HN14F</w:t>
            </w:r>
            <w:proofErr w:type="spellEnd"/>
          </w:p>
        </w:tc>
        <w:tc>
          <w:tcPr>
            <w:tcW w:w="8617" w:type="dxa"/>
            <w:noWrap/>
            <w:hideMark/>
          </w:tcPr>
          <w:p w14:paraId="5F6C8DFA" w14:textId="77777777" w:rsidR="009F5688" w:rsidRPr="008D734C" w:rsidRDefault="009F5688" w:rsidP="00D06989">
            <w:pPr>
              <w:contextualSpacing/>
              <w:mirrorIndents/>
              <w:jc w:val="both"/>
              <w:rPr>
                <w:rFonts w:cstheme="minorHAnsi"/>
              </w:rPr>
            </w:pPr>
            <w:r w:rsidRPr="008D734C">
              <w:rPr>
                <w:rFonts w:cstheme="minorHAnsi"/>
              </w:rPr>
              <w:t>Intermediate Hip Procedures for Non-Trauma, between 6 and 18 years, with CC Score 1+</w:t>
            </w:r>
          </w:p>
        </w:tc>
      </w:tr>
      <w:tr w:rsidR="009F5688" w:rsidRPr="008D734C" w14:paraId="37B42AFB" w14:textId="77777777" w:rsidTr="008D734C">
        <w:trPr>
          <w:trHeight w:val="225"/>
        </w:trPr>
        <w:tc>
          <w:tcPr>
            <w:tcW w:w="1017" w:type="dxa"/>
            <w:noWrap/>
            <w:hideMark/>
          </w:tcPr>
          <w:p w14:paraId="37226FC2" w14:textId="77777777" w:rsidR="009F5688" w:rsidRPr="008D734C" w:rsidRDefault="009F5688" w:rsidP="00D06989">
            <w:pPr>
              <w:contextualSpacing/>
              <w:mirrorIndents/>
              <w:jc w:val="both"/>
              <w:rPr>
                <w:rFonts w:cstheme="minorHAnsi"/>
              </w:rPr>
            </w:pPr>
            <w:proofErr w:type="spellStart"/>
            <w:r w:rsidRPr="008D734C">
              <w:rPr>
                <w:rFonts w:cstheme="minorHAnsi"/>
              </w:rPr>
              <w:t>HN14G</w:t>
            </w:r>
            <w:proofErr w:type="spellEnd"/>
          </w:p>
        </w:tc>
        <w:tc>
          <w:tcPr>
            <w:tcW w:w="8617" w:type="dxa"/>
            <w:noWrap/>
            <w:hideMark/>
          </w:tcPr>
          <w:p w14:paraId="3F263460" w14:textId="77777777" w:rsidR="009F5688" w:rsidRPr="008D734C" w:rsidRDefault="009F5688" w:rsidP="00D06989">
            <w:pPr>
              <w:contextualSpacing/>
              <w:mirrorIndents/>
              <w:jc w:val="both"/>
              <w:rPr>
                <w:rFonts w:cstheme="minorHAnsi"/>
              </w:rPr>
            </w:pPr>
            <w:r w:rsidRPr="008D734C">
              <w:rPr>
                <w:rFonts w:cstheme="minorHAnsi"/>
              </w:rPr>
              <w:t>Intermediate Hip Procedures for Non-Trauma, between 6 and 18 years, with CC Score 0</w:t>
            </w:r>
          </w:p>
        </w:tc>
      </w:tr>
      <w:tr w:rsidR="009F5688" w:rsidRPr="008D734C" w14:paraId="74ECC2F3" w14:textId="77777777" w:rsidTr="008D734C">
        <w:trPr>
          <w:trHeight w:val="225"/>
        </w:trPr>
        <w:tc>
          <w:tcPr>
            <w:tcW w:w="1017" w:type="dxa"/>
            <w:noWrap/>
            <w:hideMark/>
          </w:tcPr>
          <w:p w14:paraId="15E1AC70" w14:textId="77777777" w:rsidR="009F5688" w:rsidRPr="008D734C" w:rsidRDefault="009F5688" w:rsidP="00D06989">
            <w:pPr>
              <w:contextualSpacing/>
              <w:mirrorIndents/>
              <w:jc w:val="both"/>
              <w:rPr>
                <w:rFonts w:cstheme="minorHAnsi"/>
              </w:rPr>
            </w:pPr>
            <w:proofErr w:type="spellStart"/>
            <w:r w:rsidRPr="008D734C">
              <w:rPr>
                <w:rFonts w:cstheme="minorHAnsi"/>
              </w:rPr>
              <w:t>HN14H</w:t>
            </w:r>
            <w:proofErr w:type="spellEnd"/>
          </w:p>
        </w:tc>
        <w:tc>
          <w:tcPr>
            <w:tcW w:w="8617" w:type="dxa"/>
            <w:noWrap/>
            <w:hideMark/>
          </w:tcPr>
          <w:p w14:paraId="0DA10295" w14:textId="77777777" w:rsidR="009F5688" w:rsidRPr="008D734C" w:rsidRDefault="009F5688" w:rsidP="00D06989">
            <w:pPr>
              <w:contextualSpacing/>
              <w:mirrorIndents/>
              <w:jc w:val="both"/>
              <w:rPr>
                <w:rFonts w:cstheme="minorHAnsi"/>
              </w:rPr>
            </w:pPr>
            <w:r w:rsidRPr="008D734C">
              <w:rPr>
                <w:rFonts w:cstheme="minorHAnsi"/>
              </w:rPr>
              <w:t>Intermediate Hip Procedures for Non-Trauma, 5 years and under</w:t>
            </w:r>
          </w:p>
        </w:tc>
      </w:tr>
      <w:tr w:rsidR="009F5688" w:rsidRPr="008D734C" w14:paraId="282CBF47" w14:textId="77777777" w:rsidTr="008D734C">
        <w:trPr>
          <w:trHeight w:val="225"/>
        </w:trPr>
        <w:tc>
          <w:tcPr>
            <w:tcW w:w="1017" w:type="dxa"/>
            <w:noWrap/>
            <w:hideMark/>
          </w:tcPr>
          <w:p w14:paraId="39FFE6A7" w14:textId="77777777" w:rsidR="009F5688" w:rsidRPr="008D734C" w:rsidRDefault="009F5688" w:rsidP="00D06989">
            <w:pPr>
              <w:contextualSpacing/>
              <w:mirrorIndents/>
              <w:jc w:val="both"/>
              <w:rPr>
                <w:rFonts w:cstheme="minorHAnsi"/>
              </w:rPr>
            </w:pPr>
            <w:proofErr w:type="spellStart"/>
            <w:r w:rsidRPr="008D734C">
              <w:rPr>
                <w:rFonts w:cstheme="minorHAnsi"/>
              </w:rPr>
              <w:t>HN15A</w:t>
            </w:r>
            <w:proofErr w:type="spellEnd"/>
          </w:p>
        </w:tc>
        <w:tc>
          <w:tcPr>
            <w:tcW w:w="8617" w:type="dxa"/>
            <w:noWrap/>
            <w:hideMark/>
          </w:tcPr>
          <w:p w14:paraId="2940709B" w14:textId="77777777" w:rsidR="009F5688" w:rsidRPr="008D734C" w:rsidRDefault="009F5688" w:rsidP="00D06989">
            <w:pPr>
              <w:contextualSpacing/>
              <w:mirrorIndents/>
              <w:jc w:val="both"/>
              <w:rPr>
                <w:rFonts w:cstheme="minorHAnsi"/>
              </w:rPr>
            </w:pPr>
            <w:r w:rsidRPr="008D734C">
              <w:rPr>
                <w:rFonts w:cstheme="minorHAnsi"/>
              </w:rPr>
              <w:t>Minor Hip Procedures for Non-Trauma, 19 years and over</w:t>
            </w:r>
          </w:p>
        </w:tc>
      </w:tr>
      <w:tr w:rsidR="009F5688" w:rsidRPr="008D734C" w14:paraId="353C632A" w14:textId="77777777" w:rsidTr="008D734C">
        <w:trPr>
          <w:trHeight w:val="225"/>
        </w:trPr>
        <w:tc>
          <w:tcPr>
            <w:tcW w:w="1017" w:type="dxa"/>
            <w:noWrap/>
            <w:hideMark/>
          </w:tcPr>
          <w:p w14:paraId="57B2DFE2" w14:textId="77777777" w:rsidR="009F5688" w:rsidRPr="008D734C" w:rsidRDefault="009F5688" w:rsidP="00D06989">
            <w:pPr>
              <w:contextualSpacing/>
              <w:mirrorIndents/>
              <w:jc w:val="both"/>
              <w:rPr>
                <w:rFonts w:cstheme="minorHAnsi"/>
              </w:rPr>
            </w:pPr>
            <w:proofErr w:type="spellStart"/>
            <w:r w:rsidRPr="008D734C">
              <w:rPr>
                <w:rFonts w:cstheme="minorHAnsi"/>
              </w:rPr>
              <w:t>HN15B</w:t>
            </w:r>
            <w:proofErr w:type="spellEnd"/>
          </w:p>
        </w:tc>
        <w:tc>
          <w:tcPr>
            <w:tcW w:w="8617" w:type="dxa"/>
            <w:noWrap/>
            <w:hideMark/>
          </w:tcPr>
          <w:p w14:paraId="0443B9D2" w14:textId="77777777" w:rsidR="009F5688" w:rsidRPr="008D734C" w:rsidRDefault="009F5688" w:rsidP="00D06989">
            <w:pPr>
              <w:contextualSpacing/>
              <w:mirrorIndents/>
              <w:jc w:val="both"/>
              <w:rPr>
                <w:rFonts w:cstheme="minorHAnsi"/>
              </w:rPr>
            </w:pPr>
            <w:r w:rsidRPr="008D734C">
              <w:rPr>
                <w:rFonts w:cstheme="minorHAnsi"/>
              </w:rPr>
              <w:t>Minor Hip Procedures for Non-Trauma, 18 years and under</w:t>
            </w:r>
          </w:p>
        </w:tc>
      </w:tr>
      <w:tr w:rsidR="009F5688" w:rsidRPr="008D734C" w14:paraId="670A45EA" w14:textId="77777777" w:rsidTr="008D734C">
        <w:trPr>
          <w:trHeight w:val="225"/>
        </w:trPr>
        <w:tc>
          <w:tcPr>
            <w:tcW w:w="1017" w:type="dxa"/>
            <w:noWrap/>
            <w:hideMark/>
          </w:tcPr>
          <w:p w14:paraId="68B50CBC" w14:textId="77777777" w:rsidR="009F5688" w:rsidRPr="008D734C" w:rsidRDefault="009F5688" w:rsidP="00D06989">
            <w:pPr>
              <w:contextualSpacing/>
              <w:mirrorIndents/>
              <w:jc w:val="both"/>
              <w:rPr>
                <w:rFonts w:cstheme="minorHAnsi"/>
              </w:rPr>
            </w:pPr>
            <w:proofErr w:type="spellStart"/>
            <w:r w:rsidRPr="008D734C">
              <w:rPr>
                <w:rFonts w:cstheme="minorHAnsi"/>
              </w:rPr>
              <w:t>HN16A</w:t>
            </w:r>
            <w:proofErr w:type="spellEnd"/>
          </w:p>
        </w:tc>
        <w:tc>
          <w:tcPr>
            <w:tcW w:w="8617" w:type="dxa"/>
            <w:noWrap/>
            <w:hideMark/>
          </w:tcPr>
          <w:p w14:paraId="04B67745" w14:textId="77777777" w:rsidR="009F5688" w:rsidRPr="008D734C" w:rsidRDefault="009F5688" w:rsidP="00D06989">
            <w:pPr>
              <w:contextualSpacing/>
              <w:mirrorIndents/>
              <w:jc w:val="both"/>
              <w:rPr>
                <w:rFonts w:cstheme="minorHAnsi"/>
              </w:rPr>
            </w:pPr>
            <w:r w:rsidRPr="008D734C">
              <w:rPr>
                <w:rFonts w:cstheme="minorHAnsi"/>
              </w:rPr>
              <w:t>Minimal Hip Procedures, 19 years and over</w:t>
            </w:r>
          </w:p>
        </w:tc>
      </w:tr>
      <w:tr w:rsidR="009F5688" w:rsidRPr="008D734C" w14:paraId="45C3C054" w14:textId="77777777" w:rsidTr="008D734C">
        <w:trPr>
          <w:trHeight w:val="225"/>
        </w:trPr>
        <w:tc>
          <w:tcPr>
            <w:tcW w:w="1017" w:type="dxa"/>
            <w:noWrap/>
            <w:hideMark/>
          </w:tcPr>
          <w:p w14:paraId="10291686" w14:textId="77777777" w:rsidR="009F5688" w:rsidRPr="008D734C" w:rsidRDefault="009F5688" w:rsidP="00D06989">
            <w:pPr>
              <w:contextualSpacing/>
              <w:mirrorIndents/>
              <w:jc w:val="both"/>
              <w:rPr>
                <w:rFonts w:cstheme="minorHAnsi"/>
              </w:rPr>
            </w:pPr>
            <w:proofErr w:type="spellStart"/>
            <w:r w:rsidRPr="008D734C">
              <w:rPr>
                <w:rFonts w:cstheme="minorHAnsi"/>
              </w:rPr>
              <w:t>HN16B</w:t>
            </w:r>
            <w:proofErr w:type="spellEnd"/>
          </w:p>
        </w:tc>
        <w:tc>
          <w:tcPr>
            <w:tcW w:w="8617" w:type="dxa"/>
            <w:noWrap/>
            <w:hideMark/>
          </w:tcPr>
          <w:p w14:paraId="1351D778" w14:textId="77777777" w:rsidR="009F5688" w:rsidRPr="008D734C" w:rsidRDefault="009F5688" w:rsidP="00D06989">
            <w:pPr>
              <w:contextualSpacing/>
              <w:mirrorIndents/>
              <w:jc w:val="both"/>
              <w:rPr>
                <w:rFonts w:cstheme="minorHAnsi"/>
              </w:rPr>
            </w:pPr>
            <w:r w:rsidRPr="008D734C">
              <w:rPr>
                <w:rFonts w:cstheme="minorHAnsi"/>
              </w:rPr>
              <w:t>Minimal Hip Procedures, between 6 and 18 years</w:t>
            </w:r>
          </w:p>
        </w:tc>
      </w:tr>
      <w:tr w:rsidR="009F5688" w:rsidRPr="008D734C" w14:paraId="60F38398" w14:textId="77777777" w:rsidTr="008D734C">
        <w:trPr>
          <w:trHeight w:val="225"/>
        </w:trPr>
        <w:tc>
          <w:tcPr>
            <w:tcW w:w="1017" w:type="dxa"/>
            <w:noWrap/>
            <w:hideMark/>
          </w:tcPr>
          <w:p w14:paraId="01B63707" w14:textId="77777777" w:rsidR="009F5688" w:rsidRPr="008D734C" w:rsidRDefault="009F5688" w:rsidP="00D06989">
            <w:pPr>
              <w:contextualSpacing/>
              <w:mirrorIndents/>
              <w:jc w:val="both"/>
              <w:rPr>
                <w:rFonts w:cstheme="minorHAnsi"/>
              </w:rPr>
            </w:pPr>
            <w:proofErr w:type="spellStart"/>
            <w:r w:rsidRPr="008D734C">
              <w:rPr>
                <w:rFonts w:cstheme="minorHAnsi"/>
              </w:rPr>
              <w:t>HN16C</w:t>
            </w:r>
            <w:proofErr w:type="spellEnd"/>
          </w:p>
        </w:tc>
        <w:tc>
          <w:tcPr>
            <w:tcW w:w="8617" w:type="dxa"/>
            <w:noWrap/>
            <w:hideMark/>
          </w:tcPr>
          <w:p w14:paraId="4669B938" w14:textId="77777777" w:rsidR="009F5688" w:rsidRPr="008D734C" w:rsidRDefault="009F5688" w:rsidP="00D06989">
            <w:pPr>
              <w:contextualSpacing/>
              <w:mirrorIndents/>
              <w:jc w:val="both"/>
              <w:rPr>
                <w:rFonts w:cstheme="minorHAnsi"/>
              </w:rPr>
            </w:pPr>
            <w:r w:rsidRPr="008D734C">
              <w:rPr>
                <w:rFonts w:cstheme="minorHAnsi"/>
              </w:rPr>
              <w:t>Minimal Hip Procedures, 5 years and under</w:t>
            </w:r>
          </w:p>
        </w:tc>
      </w:tr>
      <w:tr w:rsidR="009F5688" w:rsidRPr="008D734C" w14:paraId="2161CC6F" w14:textId="77777777" w:rsidTr="008D734C">
        <w:trPr>
          <w:trHeight w:val="225"/>
        </w:trPr>
        <w:tc>
          <w:tcPr>
            <w:tcW w:w="1017" w:type="dxa"/>
            <w:noWrap/>
            <w:hideMark/>
          </w:tcPr>
          <w:p w14:paraId="790C3E6C" w14:textId="77777777" w:rsidR="009F5688" w:rsidRPr="008D734C" w:rsidRDefault="009F5688" w:rsidP="00D06989">
            <w:pPr>
              <w:contextualSpacing/>
              <w:mirrorIndents/>
              <w:jc w:val="both"/>
              <w:rPr>
                <w:rFonts w:cstheme="minorHAnsi"/>
              </w:rPr>
            </w:pPr>
            <w:r w:rsidRPr="008D734C">
              <w:rPr>
                <w:rFonts w:cstheme="minorHAnsi"/>
              </w:rPr>
              <w:t>…</w:t>
            </w:r>
          </w:p>
        </w:tc>
        <w:tc>
          <w:tcPr>
            <w:tcW w:w="8617" w:type="dxa"/>
            <w:noWrap/>
            <w:hideMark/>
          </w:tcPr>
          <w:p w14:paraId="65C3BE20" w14:textId="77777777" w:rsidR="009F5688" w:rsidRPr="008D734C" w:rsidRDefault="009F5688" w:rsidP="00D06989">
            <w:pPr>
              <w:contextualSpacing/>
              <w:mirrorIndents/>
              <w:jc w:val="both"/>
              <w:rPr>
                <w:rFonts w:cstheme="minorHAnsi"/>
              </w:rPr>
            </w:pPr>
          </w:p>
        </w:tc>
      </w:tr>
      <w:tr w:rsidR="009F5688" w:rsidRPr="008D734C" w14:paraId="5D496624" w14:textId="77777777" w:rsidTr="008D734C">
        <w:trPr>
          <w:trHeight w:val="225"/>
        </w:trPr>
        <w:tc>
          <w:tcPr>
            <w:tcW w:w="1017" w:type="dxa"/>
            <w:noWrap/>
            <w:hideMark/>
          </w:tcPr>
          <w:p w14:paraId="3FEC8D00" w14:textId="77777777" w:rsidR="009F5688" w:rsidRPr="008D734C" w:rsidRDefault="009F5688" w:rsidP="00D06989">
            <w:pPr>
              <w:contextualSpacing/>
              <w:mirrorIndents/>
              <w:jc w:val="both"/>
              <w:rPr>
                <w:rFonts w:cstheme="minorHAnsi"/>
              </w:rPr>
            </w:pPr>
            <w:proofErr w:type="spellStart"/>
            <w:r w:rsidRPr="008D734C">
              <w:rPr>
                <w:rFonts w:cstheme="minorHAnsi"/>
              </w:rPr>
              <w:t>HT12A</w:t>
            </w:r>
            <w:proofErr w:type="spellEnd"/>
          </w:p>
        </w:tc>
        <w:tc>
          <w:tcPr>
            <w:tcW w:w="8617" w:type="dxa"/>
            <w:noWrap/>
            <w:hideMark/>
          </w:tcPr>
          <w:p w14:paraId="70EA0832" w14:textId="77777777" w:rsidR="009F5688" w:rsidRPr="008D734C" w:rsidRDefault="009F5688" w:rsidP="00D06989">
            <w:pPr>
              <w:contextualSpacing/>
              <w:mirrorIndents/>
              <w:jc w:val="both"/>
              <w:rPr>
                <w:rFonts w:cstheme="minorHAnsi"/>
              </w:rPr>
            </w:pPr>
            <w:r w:rsidRPr="008D734C">
              <w:rPr>
                <w:rFonts w:cstheme="minorHAnsi"/>
              </w:rPr>
              <w:t>Very Major Hip Procedures for Trauma with CC Score 12+</w:t>
            </w:r>
          </w:p>
        </w:tc>
      </w:tr>
      <w:tr w:rsidR="009F5688" w:rsidRPr="008D734C" w14:paraId="3E2ABAD4" w14:textId="77777777" w:rsidTr="008D734C">
        <w:trPr>
          <w:trHeight w:val="225"/>
        </w:trPr>
        <w:tc>
          <w:tcPr>
            <w:tcW w:w="1017" w:type="dxa"/>
            <w:noWrap/>
            <w:hideMark/>
          </w:tcPr>
          <w:p w14:paraId="63E05635" w14:textId="77777777" w:rsidR="009F5688" w:rsidRPr="008D734C" w:rsidRDefault="009F5688" w:rsidP="00D06989">
            <w:pPr>
              <w:contextualSpacing/>
              <w:mirrorIndents/>
              <w:jc w:val="both"/>
              <w:rPr>
                <w:rFonts w:cstheme="minorHAnsi"/>
              </w:rPr>
            </w:pPr>
            <w:proofErr w:type="spellStart"/>
            <w:r w:rsidRPr="008D734C">
              <w:rPr>
                <w:rFonts w:cstheme="minorHAnsi"/>
              </w:rPr>
              <w:t>HT12B</w:t>
            </w:r>
            <w:proofErr w:type="spellEnd"/>
          </w:p>
        </w:tc>
        <w:tc>
          <w:tcPr>
            <w:tcW w:w="8617" w:type="dxa"/>
            <w:noWrap/>
            <w:hideMark/>
          </w:tcPr>
          <w:p w14:paraId="30581502" w14:textId="77777777" w:rsidR="009F5688" w:rsidRPr="008D734C" w:rsidRDefault="009F5688" w:rsidP="00D06989">
            <w:pPr>
              <w:contextualSpacing/>
              <w:mirrorIndents/>
              <w:jc w:val="both"/>
              <w:rPr>
                <w:rFonts w:cstheme="minorHAnsi"/>
              </w:rPr>
            </w:pPr>
            <w:r w:rsidRPr="008D734C">
              <w:rPr>
                <w:rFonts w:cstheme="minorHAnsi"/>
              </w:rPr>
              <w:t>Very Major Hip Procedures for Trauma with CC Score 9-11</w:t>
            </w:r>
          </w:p>
        </w:tc>
      </w:tr>
      <w:tr w:rsidR="009F5688" w:rsidRPr="008D734C" w14:paraId="10C226F7" w14:textId="77777777" w:rsidTr="008D734C">
        <w:trPr>
          <w:trHeight w:val="225"/>
        </w:trPr>
        <w:tc>
          <w:tcPr>
            <w:tcW w:w="1017" w:type="dxa"/>
            <w:noWrap/>
            <w:hideMark/>
          </w:tcPr>
          <w:p w14:paraId="084E2D56" w14:textId="77777777" w:rsidR="009F5688" w:rsidRPr="008D734C" w:rsidRDefault="009F5688" w:rsidP="00D06989">
            <w:pPr>
              <w:contextualSpacing/>
              <w:mirrorIndents/>
              <w:jc w:val="both"/>
              <w:rPr>
                <w:rFonts w:cstheme="minorHAnsi"/>
              </w:rPr>
            </w:pPr>
            <w:proofErr w:type="spellStart"/>
            <w:r w:rsidRPr="008D734C">
              <w:rPr>
                <w:rFonts w:cstheme="minorHAnsi"/>
              </w:rPr>
              <w:t>HT12C</w:t>
            </w:r>
            <w:proofErr w:type="spellEnd"/>
          </w:p>
        </w:tc>
        <w:tc>
          <w:tcPr>
            <w:tcW w:w="8617" w:type="dxa"/>
            <w:noWrap/>
            <w:hideMark/>
          </w:tcPr>
          <w:p w14:paraId="3A2DF94F" w14:textId="77777777" w:rsidR="009F5688" w:rsidRPr="008D734C" w:rsidRDefault="009F5688" w:rsidP="00D06989">
            <w:pPr>
              <w:contextualSpacing/>
              <w:mirrorIndents/>
              <w:jc w:val="both"/>
              <w:rPr>
                <w:rFonts w:cstheme="minorHAnsi"/>
              </w:rPr>
            </w:pPr>
            <w:r w:rsidRPr="008D734C">
              <w:rPr>
                <w:rFonts w:cstheme="minorHAnsi"/>
              </w:rPr>
              <w:t>Very Major Hip Procedures for Trauma with CC Score 6-8</w:t>
            </w:r>
          </w:p>
        </w:tc>
      </w:tr>
      <w:tr w:rsidR="009F5688" w:rsidRPr="008D734C" w14:paraId="7EB3BB25" w14:textId="77777777" w:rsidTr="008D734C">
        <w:trPr>
          <w:trHeight w:val="225"/>
        </w:trPr>
        <w:tc>
          <w:tcPr>
            <w:tcW w:w="1017" w:type="dxa"/>
            <w:noWrap/>
            <w:hideMark/>
          </w:tcPr>
          <w:p w14:paraId="035D8E5A" w14:textId="77777777" w:rsidR="009F5688" w:rsidRPr="008D734C" w:rsidRDefault="009F5688" w:rsidP="00D06989">
            <w:pPr>
              <w:contextualSpacing/>
              <w:mirrorIndents/>
              <w:jc w:val="both"/>
              <w:rPr>
                <w:rFonts w:cstheme="minorHAnsi"/>
              </w:rPr>
            </w:pPr>
            <w:proofErr w:type="spellStart"/>
            <w:r w:rsidRPr="008D734C">
              <w:rPr>
                <w:rFonts w:cstheme="minorHAnsi"/>
              </w:rPr>
              <w:t>HT12D</w:t>
            </w:r>
            <w:proofErr w:type="spellEnd"/>
          </w:p>
        </w:tc>
        <w:tc>
          <w:tcPr>
            <w:tcW w:w="8617" w:type="dxa"/>
            <w:noWrap/>
            <w:hideMark/>
          </w:tcPr>
          <w:p w14:paraId="372AC426" w14:textId="77777777" w:rsidR="009F5688" w:rsidRPr="008D734C" w:rsidRDefault="009F5688" w:rsidP="00D06989">
            <w:pPr>
              <w:contextualSpacing/>
              <w:mirrorIndents/>
              <w:jc w:val="both"/>
              <w:rPr>
                <w:rFonts w:cstheme="minorHAnsi"/>
              </w:rPr>
            </w:pPr>
            <w:r w:rsidRPr="008D734C">
              <w:rPr>
                <w:rFonts w:cstheme="minorHAnsi"/>
              </w:rPr>
              <w:t>Very Major Hip Procedures for Trauma with CC Score 3-5</w:t>
            </w:r>
          </w:p>
        </w:tc>
      </w:tr>
      <w:tr w:rsidR="009F5688" w:rsidRPr="008D734C" w14:paraId="288AD566" w14:textId="77777777" w:rsidTr="008D734C">
        <w:trPr>
          <w:trHeight w:val="225"/>
        </w:trPr>
        <w:tc>
          <w:tcPr>
            <w:tcW w:w="1017" w:type="dxa"/>
            <w:noWrap/>
            <w:hideMark/>
          </w:tcPr>
          <w:p w14:paraId="501F765F" w14:textId="77777777" w:rsidR="009F5688" w:rsidRPr="008D734C" w:rsidRDefault="009F5688" w:rsidP="00D06989">
            <w:pPr>
              <w:contextualSpacing/>
              <w:mirrorIndents/>
              <w:jc w:val="both"/>
              <w:rPr>
                <w:rFonts w:cstheme="minorHAnsi"/>
              </w:rPr>
            </w:pPr>
            <w:r w:rsidRPr="008D734C">
              <w:rPr>
                <w:rFonts w:cstheme="minorHAnsi"/>
              </w:rPr>
              <w:t>HT12E</w:t>
            </w:r>
          </w:p>
        </w:tc>
        <w:tc>
          <w:tcPr>
            <w:tcW w:w="8617" w:type="dxa"/>
            <w:noWrap/>
            <w:hideMark/>
          </w:tcPr>
          <w:p w14:paraId="620D0522" w14:textId="77777777" w:rsidR="009F5688" w:rsidRPr="008D734C" w:rsidRDefault="009F5688" w:rsidP="00D06989">
            <w:pPr>
              <w:contextualSpacing/>
              <w:mirrorIndents/>
              <w:jc w:val="both"/>
              <w:rPr>
                <w:rFonts w:cstheme="minorHAnsi"/>
              </w:rPr>
            </w:pPr>
            <w:r w:rsidRPr="008D734C">
              <w:rPr>
                <w:rFonts w:cstheme="minorHAnsi"/>
              </w:rPr>
              <w:t>Very Major Hip Procedures for Trauma with CC Score 0-2</w:t>
            </w:r>
          </w:p>
        </w:tc>
      </w:tr>
      <w:tr w:rsidR="009F5688" w:rsidRPr="008D734C" w14:paraId="583474D4" w14:textId="77777777" w:rsidTr="008D734C">
        <w:trPr>
          <w:trHeight w:val="225"/>
        </w:trPr>
        <w:tc>
          <w:tcPr>
            <w:tcW w:w="1017" w:type="dxa"/>
            <w:noWrap/>
            <w:hideMark/>
          </w:tcPr>
          <w:p w14:paraId="7129810B" w14:textId="77777777" w:rsidR="009F5688" w:rsidRPr="008D734C" w:rsidRDefault="009F5688" w:rsidP="00D06989">
            <w:pPr>
              <w:contextualSpacing/>
              <w:mirrorIndents/>
              <w:jc w:val="both"/>
              <w:rPr>
                <w:rFonts w:cstheme="minorHAnsi"/>
              </w:rPr>
            </w:pPr>
            <w:proofErr w:type="spellStart"/>
            <w:r w:rsidRPr="008D734C">
              <w:rPr>
                <w:rFonts w:cstheme="minorHAnsi"/>
              </w:rPr>
              <w:t>HT13A</w:t>
            </w:r>
            <w:proofErr w:type="spellEnd"/>
          </w:p>
        </w:tc>
        <w:tc>
          <w:tcPr>
            <w:tcW w:w="8617" w:type="dxa"/>
            <w:noWrap/>
            <w:hideMark/>
          </w:tcPr>
          <w:p w14:paraId="60487EC7" w14:textId="77777777" w:rsidR="009F5688" w:rsidRPr="008D734C" w:rsidRDefault="009F5688" w:rsidP="00D06989">
            <w:pPr>
              <w:contextualSpacing/>
              <w:mirrorIndents/>
              <w:jc w:val="both"/>
              <w:rPr>
                <w:rFonts w:cstheme="minorHAnsi"/>
              </w:rPr>
            </w:pPr>
            <w:r w:rsidRPr="008D734C">
              <w:rPr>
                <w:rFonts w:cstheme="minorHAnsi"/>
              </w:rPr>
              <w:t>Major Hip Procedures for Trauma with CC Score 12+</w:t>
            </w:r>
          </w:p>
        </w:tc>
      </w:tr>
      <w:tr w:rsidR="009F5688" w:rsidRPr="008D734C" w14:paraId="291F4DA4" w14:textId="77777777" w:rsidTr="008D734C">
        <w:trPr>
          <w:trHeight w:val="225"/>
        </w:trPr>
        <w:tc>
          <w:tcPr>
            <w:tcW w:w="1017" w:type="dxa"/>
            <w:noWrap/>
            <w:hideMark/>
          </w:tcPr>
          <w:p w14:paraId="6F72CF5D" w14:textId="77777777" w:rsidR="009F5688" w:rsidRPr="008D734C" w:rsidRDefault="009F5688" w:rsidP="00D06989">
            <w:pPr>
              <w:contextualSpacing/>
              <w:mirrorIndents/>
              <w:jc w:val="both"/>
              <w:rPr>
                <w:rFonts w:cstheme="minorHAnsi"/>
              </w:rPr>
            </w:pPr>
            <w:proofErr w:type="spellStart"/>
            <w:r w:rsidRPr="008D734C">
              <w:rPr>
                <w:rFonts w:cstheme="minorHAnsi"/>
              </w:rPr>
              <w:t>HT13B</w:t>
            </w:r>
            <w:proofErr w:type="spellEnd"/>
          </w:p>
        </w:tc>
        <w:tc>
          <w:tcPr>
            <w:tcW w:w="8617" w:type="dxa"/>
            <w:noWrap/>
            <w:hideMark/>
          </w:tcPr>
          <w:p w14:paraId="228A27A3" w14:textId="77777777" w:rsidR="009F5688" w:rsidRPr="008D734C" w:rsidRDefault="009F5688" w:rsidP="00D06989">
            <w:pPr>
              <w:contextualSpacing/>
              <w:mirrorIndents/>
              <w:jc w:val="both"/>
              <w:rPr>
                <w:rFonts w:cstheme="minorHAnsi"/>
              </w:rPr>
            </w:pPr>
            <w:r w:rsidRPr="008D734C">
              <w:rPr>
                <w:rFonts w:cstheme="minorHAnsi"/>
              </w:rPr>
              <w:t>Major Hip Procedures for Trauma with CC Score 9-11</w:t>
            </w:r>
          </w:p>
        </w:tc>
      </w:tr>
      <w:tr w:rsidR="009F5688" w:rsidRPr="008D734C" w14:paraId="1B8F2355" w14:textId="77777777" w:rsidTr="008D734C">
        <w:trPr>
          <w:trHeight w:val="225"/>
        </w:trPr>
        <w:tc>
          <w:tcPr>
            <w:tcW w:w="1017" w:type="dxa"/>
            <w:noWrap/>
            <w:hideMark/>
          </w:tcPr>
          <w:p w14:paraId="30F2539D" w14:textId="77777777" w:rsidR="009F5688" w:rsidRPr="008D734C" w:rsidRDefault="009F5688" w:rsidP="00D06989">
            <w:pPr>
              <w:contextualSpacing/>
              <w:mirrorIndents/>
              <w:jc w:val="both"/>
              <w:rPr>
                <w:rFonts w:cstheme="minorHAnsi"/>
              </w:rPr>
            </w:pPr>
            <w:proofErr w:type="spellStart"/>
            <w:r w:rsidRPr="008D734C">
              <w:rPr>
                <w:rFonts w:cstheme="minorHAnsi"/>
              </w:rPr>
              <w:t>HT13C</w:t>
            </w:r>
            <w:proofErr w:type="spellEnd"/>
          </w:p>
        </w:tc>
        <w:tc>
          <w:tcPr>
            <w:tcW w:w="8617" w:type="dxa"/>
            <w:noWrap/>
            <w:hideMark/>
          </w:tcPr>
          <w:p w14:paraId="5B7E6901" w14:textId="77777777" w:rsidR="009F5688" w:rsidRPr="008D734C" w:rsidRDefault="009F5688" w:rsidP="00D06989">
            <w:pPr>
              <w:contextualSpacing/>
              <w:mirrorIndents/>
              <w:jc w:val="both"/>
              <w:rPr>
                <w:rFonts w:cstheme="minorHAnsi"/>
              </w:rPr>
            </w:pPr>
            <w:r w:rsidRPr="008D734C">
              <w:rPr>
                <w:rFonts w:cstheme="minorHAnsi"/>
              </w:rPr>
              <w:t>Major Hip Procedures for Trauma with CC Score 6-8</w:t>
            </w:r>
          </w:p>
        </w:tc>
      </w:tr>
      <w:tr w:rsidR="009F5688" w:rsidRPr="008D734C" w14:paraId="7C71C08B" w14:textId="77777777" w:rsidTr="008D734C">
        <w:trPr>
          <w:trHeight w:val="225"/>
        </w:trPr>
        <w:tc>
          <w:tcPr>
            <w:tcW w:w="1017" w:type="dxa"/>
            <w:noWrap/>
            <w:hideMark/>
          </w:tcPr>
          <w:p w14:paraId="5D4B30CB" w14:textId="77777777" w:rsidR="009F5688" w:rsidRPr="008D734C" w:rsidRDefault="009F5688" w:rsidP="00D06989">
            <w:pPr>
              <w:contextualSpacing/>
              <w:mirrorIndents/>
              <w:jc w:val="both"/>
              <w:rPr>
                <w:rFonts w:cstheme="minorHAnsi"/>
              </w:rPr>
            </w:pPr>
            <w:proofErr w:type="spellStart"/>
            <w:r w:rsidRPr="008D734C">
              <w:rPr>
                <w:rFonts w:cstheme="minorHAnsi"/>
              </w:rPr>
              <w:t>HT13D</w:t>
            </w:r>
            <w:proofErr w:type="spellEnd"/>
          </w:p>
        </w:tc>
        <w:tc>
          <w:tcPr>
            <w:tcW w:w="8617" w:type="dxa"/>
            <w:noWrap/>
            <w:hideMark/>
          </w:tcPr>
          <w:p w14:paraId="289BCF70" w14:textId="77777777" w:rsidR="009F5688" w:rsidRPr="008D734C" w:rsidRDefault="009F5688" w:rsidP="00D06989">
            <w:pPr>
              <w:contextualSpacing/>
              <w:mirrorIndents/>
              <w:jc w:val="both"/>
              <w:rPr>
                <w:rFonts w:cstheme="minorHAnsi"/>
              </w:rPr>
            </w:pPr>
            <w:r w:rsidRPr="008D734C">
              <w:rPr>
                <w:rFonts w:cstheme="minorHAnsi"/>
              </w:rPr>
              <w:t>Major Hip Procedures for Trauma with CC Score 3-5</w:t>
            </w:r>
          </w:p>
        </w:tc>
      </w:tr>
      <w:tr w:rsidR="009F5688" w:rsidRPr="008D734C" w14:paraId="6A0AE634" w14:textId="77777777" w:rsidTr="008D734C">
        <w:trPr>
          <w:trHeight w:val="225"/>
        </w:trPr>
        <w:tc>
          <w:tcPr>
            <w:tcW w:w="1017" w:type="dxa"/>
            <w:noWrap/>
            <w:hideMark/>
          </w:tcPr>
          <w:p w14:paraId="32F491ED" w14:textId="77777777" w:rsidR="009F5688" w:rsidRPr="008D734C" w:rsidRDefault="009F5688" w:rsidP="00D06989">
            <w:pPr>
              <w:contextualSpacing/>
              <w:mirrorIndents/>
              <w:jc w:val="both"/>
              <w:rPr>
                <w:rFonts w:cstheme="minorHAnsi"/>
              </w:rPr>
            </w:pPr>
            <w:proofErr w:type="spellStart"/>
            <w:r w:rsidRPr="008D734C">
              <w:rPr>
                <w:rFonts w:cstheme="minorHAnsi"/>
              </w:rPr>
              <w:t>HT13E</w:t>
            </w:r>
            <w:proofErr w:type="spellEnd"/>
          </w:p>
        </w:tc>
        <w:tc>
          <w:tcPr>
            <w:tcW w:w="8617" w:type="dxa"/>
            <w:noWrap/>
            <w:hideMark/>
          </w:tcPr>
          <w:p w14:paraId="6B8F0DA2" w14:textId="77777777" w:rsidR="009F5688" w:rsidRPr="008D734C" w:rsidRDefault="009F5688" w:rsidP="00D06989">
            <w:pPr>
              <w:contextualSpacing/>
              <w:mirrorIndents/>
              <w:jc w:val="both"/>
              <w:rPr>
                <w:rFonts w:cstheme="minorHAnsi"/>
              </w:rPr>
            </w:pPr>
            <w:r w:rsidRPr="008D734C">
              <w:rPr>
                <w:rFonts w:cstheme="minorHAnsi"/>
              </w:rPr>
              <w:t>Major Hip Procedures for Trauma with CC Score 0-2</w:t>
            </w:r>
          </w:p>
        </w:tc>
      </w:tr>
      <w:tr w:rsidR="009F5688" w:rsidRPr="008D734C" w14:paraId="1EADE9B4" w14:textId="77777777" w:rsidTr="008D734C">
        <w:trPr>
          <w:trHeight w:val="225"/>
        </w:trPr>
        <w:tc>
          <w:tcPr>
            <w:tcW w:w="1017" w:type="dxa"/>
            <w:noWrap/>
            <w:hideMark/>
          </w:tcPr>
          <w:p w14:paraId="3F2E3787" w14:textId="77777777" w:rsidR="009F5688" w:rsidRPr="008D734C" w:rsidRDefault="009F5688" w:rsidP="00D06989">
            <w:pPr>
              <w:contextualSpacing/>
              <w:mirrorIndents/>
              <w:jc w:val="both"/>
              <w:rPr>
                <w:rFonts w:cstheme="minorHAnsi"/>
              </w:rPr>
            </w:pPr>
            <w:proofErr w:type="spellStart"/>
            <w:r w:rsidRPr="008D734C">
              <w:rPr>
                <w:rFonts w:cstheme="minorHAnsi"/>
              </w:rPr>
              <w:t>HT14A</w:t>
            </w:r>
            <w:proofErr w:type="spellEnd"/>
          </w:p>
        </w:tc>
        <w:tc>
          <w:tcPr>
            <w:tcW w:w="8617" w:type="dxa"/>
            <w:noWrap/>
            <w:hideMark/>
          </w:tcPr>
          <w:p w14:paraId="6B14F954" w14:textId="77777777" w:rsidR="009F5688" w:rsidRPr="008D734C" w:rsidRDefault="009F5688" w:rsidP="00D06989">
            <w:pPr>
              <w:contextualSpacing/>
              <w:mirrorIndents/>
              <w:jc w:val="both"/>
              <w:rPr>
                <w:rFonts w:cstheme="minorHAnsi"/>
              </w:rPr>
            </w:pPr>
            <w:r w:rsidRPr="008D734C">
              <w:rPr>
                <w:rFonts w:cstheme="minorHAnsi"/>
              </w:rPr>
              <w:t>Intermediate Hip Procedures for Trauma with CC Score 4+</w:t>
            </w:r>
          </w:p>
        </w:tc>
      </w:tr>
      <w:tr w:rsidR="009F5688" w:rsidRPr="008D734C" w14:paraId="46536407" w14:textId="77777777" w:rsidTr="008D734C">
        <w:trPr>
          <w:trHeight w:val="225"/>
        </w:trPr>
        <w:tc>
          <w:tcPr>
            <w:tcW w:w="1017" w:type="dxa"/>
            <w:noWrap/>
            <w:hideMark/>
          </w:tcPr>
          <w:p w14:paraId="10EB5E4F" w14:textId="77777777" w:rsidR="009F5688" w:rsidRPr="008D734C" w:rsidRDefault="009F5688" w:rsidP="00D06989">
            <w:pPr>
              <w:contextualSpacing/>
              <w:mirrorIndents/>
              <w:jc w:val="both"/>
              <w:rPr>
                <w:rFonts w:cstheme="minorHAnsi"/>
              </w:rPr>
            </w:pPr>
            <w:proofErr w:type="spellStart"/>
            <w:r w:rsidRPr="008D734C">
              <w:rPr>
                <w:rFonts w:cstheme="minorHAnsi"/>
              </w:rPr>
              <w:t>HT14B</w:t>
            </w:r>
            <w:proofErr w:type="spellEnd"/>
          </w:p>
        </w:tc>
        <w:tc>
          <w:tcPr>
            <w:tcW w:w="8617" w:type="dxa"/>
            <w:noWrap/>
            <w:hideMark/>
          </w:tcPr>
          <w:p w14:paraId="308DADDA" w14:textId="77777777" w:rsidR="009F5688" w:rsidRPr="008D734C" w:rsidRDefault="009F5688" w:rsidP="00D06989">
            <w:pPr>
              <w:contextualSpacing/>
              <w:mirrorIndents/>
              <w:jc w:val="both"/>
              <w:rPr>
                <w:rFonts w:cstheme="minorHAnsi"/>
              </w:rPr>
            </w:pPr>
            <w:r w:rsidRPr="008D734C">
              <w:rPr>
                <w:rFonts w:cstheme="minorHAnsi"/>
              </w:rPr>
              <w:t>Intermediate Hip Procedures for Trauma with CC Score 2-3</w:t>
            </w:r>
          </w:p>
        </w:tc>
      </w:tr>
      <w:tr w:rsidR="009F5688" w:rsidRPr="008D734C" w14:paraId="4C8929FF" w14:textId="77777777" w:rsidTr="008D734C">
        <w:trPr>
          <w:trHeight w:val="225"/>
        </w:trPr>
        <w:tc>
          <w:tcPr>
            <w:tcW w:w="1017" w:type="dxa"/>
            <w:noWrap/>
            <w:hideMark/>
          </w:tcPr>
          <w:p w14:paraId="08314699" w14:textId="77777777" w:rsidR="009F5688" w:rsidRPr="008D734C" w:rsidRDefault="009F5688" w:rsidP="00D06989">
            <w:pPr>
              <w:contextualSpacing/>
              <w:mirrorIndents/>
              <w:jc w:val="both"/>
              <w:rPr>
                <w:rFonts w:cstheme="minorHAnsi"/>
              </w:rPr>
            </w:pPr>
            <w:proofErr w:type="spellStart"/>
            <w:r w:rsidRPr="008D734C">
              <w:rPr>
                <w:rFonts w:cstheme="minorHAnsi"/>
              </w:rPr>
              <w:t>HT14C</w:t>
            </w:r>
            <w:proofErr w:type="spellEnd"/>
          </w:p>
        </w:tc>
        <w:tc>
          <w:tcPr>
            <w:tcW w:w="8617" w:type="dxa"/>
            <w:noWrap/>
            <w:hideMark/>
          </w:tcPr>
          <w:p w14:paraId="656E1E31" w14:textId="77777777" w:rsidR="009F5688" w:rsidRPr="008D734C" w:rsidRDefault="009F5688" w:rsidP="00D06989">
            <w:pPr>
              <w:contextualSpacing/>
              <w:mirrorIndents/>
              <w:jc w:val="both"/>
              <w:rPr>
                <w:rFonts w:cstheme="minorHAnsi"/>
              </w:rPr>
            </w:pPr>
            <w:r w:rsidRPr="008D734C">
              <w:rPr>
                <w:rFonts w:cstheme="minorHAnsi"/>
              </w:rPr>
              <w:t>Intermediate Hip Procedures for Trauma with CC Score 0-1</w:t>
            </w:r>
          </w:p>
        </w:tc>
      </w:tr>
      <w:tr w:rsidR="009F5688" w:rsidRPr="008D734C" w14:paraId="4387937B" w14:textId="77777777" w:rsidTr="008D734C">
        <w:trPr>
          <w:trHeight w:val="225"/>
        </w:trPr>
        <w:tc>
          <w:tcPr>
            <w:tcW w:w="1017" w:type="dxa"/>
            <w:noWrap/>
            <w:hideMark/>
          </w:tcPr>
          <w:p w14:paraId="451D0091" w14:textId="77777777" w:rsidR="009F5688" w:rsidRPr="008D734C" w:rsidRDefault="009F5688" w:rsidP="00D06989">
            <w:pPr>
              <w:contextualSpacing/>
              <w:mirrorIndents/>
              <w:jc w:val="both"/>
              <w:rPr>
                <w:rFonts w:cstheme="minorHAnsi"/>
              </w:rPr>
            </w:pPr>
            <w:proofErr w:type="spellStart"/>
            <w:r w:rsidRPr="008D734C">
              <w:rPr>
                <w:rFonts w:cstheme="minorHAnsi"/>
              </w:rPr>
              <w:t>HT15Z</w:t>
            </w:r>
            <w:proofErr w:type="spellEnd"/>
          </w:p>
        </w:tc>
        <w:tc>
          <w:tcPr>
            <w:tcW w:w="8617" w:type="dxa"/>
            <w:noWrap/>
            <w:hideMark/>
          </w:tcPr>
          <w:p w14:paraId="04AB87DB" w14:textId="77777777" w:rsidR="009F5688" w:rsidRPr="008D734C" w:rsidRDefault="009F5688" w:rsidP="00D06989">
            <w:pPr>
              <w:contextualSpacing/>
              <w:mirrorIndents/>
              <w:jc w:val="both"/>
              <w:rPr>
                <w:rFonts w:cstheme="minorHAnsi"/>
              </w:rPr>
            </w:pPr>
            <w:r w:rsidRPr="008D734C">
              <w:rPr>
                <w:rFonts w:cstheme="minorHAnsi"/>
              </w:rPr>
              <w:t>Minor Hip Procedures for Trauma</w:t>
            </w:r>
          </w:p>
        </w:tc>
      </w:tr>
    </w:tbl>
    <w:p w14:paraId="2D7BDCAA" w14:textId="096881AB" w:rsidR="008575CF" w:rsidRPr="00D06989" w:rsidRDefault="00C25FA2" w:rsidP="00D06989">
      <w:pPr>
        <w:spacing w:line="240" w:lineRule="auto"/>
        <w:contextualSpacing/>
        <w:mirrorIndents/>
        <w:jc w:val="both"/>
        <w:rPr>
          <w:rFonts w:ascii="Arial" w:hAnsi="Arial" w:cs="Arial"/>
        </w:rPr>
      </w:pPr>
      <w:r w:rsidRPr="00D06989">
        <w:rPr>
          <w:rFonts w:ascii="Arial" w:hAnsi="Arial" w:cs="Arial"/>
        </w:rPr>
        <w:t>Note: CC refers to complications and co-morbidities</w:t>
      </w:r>
    </w:p>
    <w:p w14:paraId="62DD657D" w14:textId="77777777" w:rsidR="008575CF" w:rsidRPr="00D06989" w:rsidRDefault="008575CF" w:rsidP="00D06989">
      <w:pPr>
        <w:spacing w:line="240" w:lineRule="auto"/>
        <w:rPr>
          <w:rFonts w:ascii="Arial" w:hAnsi="Arial" w:cs="Arial"/>
        </w:rPr>
      </w:pPr>
      <w:r w:rsidRPr="00D06989">
        <w:rPr>
          <w:rFonts w:ascii="Arial" w:hAnsi="Arial" w:cs="Arial"/>
        </w:rPr>
        <w:br w:type="page"/>
      </w:r>
    </w:p>
    <w:p w14:paraId="78C9F8E9" w14:textId="12946B19" w:rsidR="001750B1" w:rsidRPr="00D06989" w:rsidRDefault="0079401D" w:rsidP="00D06989">
      <w:pPr>
        <w:spacing w:line="240" w:lineRule="auto"/>
        <w:contextualSpacing/>
        <w:mirrorIndents/>
        <w:jc w:val="both"/>
        <w:rPr>
          <w:rFonts w:ascii="Arial" w:hAnsi="Arial" w:cs="Arial"/>
          <w:b/>
          <w:bCs/>
          <w:sz w:val="24"/>
          <w:szCs w:val="24"/>
        </w:rPr>
      </w:pPr>
      <w:r w:rsidRPr="00D06989">
        <w:rPr>
          <w:rFonts w:ascii="Arial" w:hAnsi="Arial" w:cs="Arial"/>
          <w:b/>
          <w:bCs/>
          <w:sz w:val="24"/>
          <w:szCs w:val="24"/>
        </w:rPr>
        <w:lastRenderedPageBreak/>
        <w:t>References:</w:t>
      </w:r>
    </w:p>
    <w:p w14:paraId="40169536" w14:textId="77777777" w:rsidR="0079401D" w:rsidRDefault="0079401D" w:rsidP="00D06989">
      <w:pPr>
        <w:spacing w:line="240" w:lineRule="auto"/>
        <w:contextualSpacing/>
        <w:mirrorIndents/>
        <w:jc w:val="both"/>
        <w:rPr>
          <w:rFonts w:ascii="Arial" w:hAnsi="Arial" w:cs="Arial"/>
          <w:sz w:val="24"/>
          <w:szCs w:val="24"/>
        </w:rPr>
      </w:pPr>
    </w:p>
    <w:p w14:paraId="48C0A20D" w14:textId="55666DF1" w:rsidR="00F22902" w:rsidRDefault="00F22902" w:rsidP="006A1520">
      <w:pPr>
        <w:spacing w:line="240" w:lineRule="auto"/>
        <w:contextualSpacing/>
        <w:mirrorIndents/>
        <w:jc w:val="both"/>
        <w:rPr>
          <w:rFonts w:ascii="Arial" w:hAnsi="Arial" w:cs="Arial"/>
          <w:sz w:val="24"/>
          <w:szCs w:val="24"/>
        </w:rPr>
      </w:pPr>
      <w:r>
        <w:rPr>
          <w:rFonts w:ascii="Arial" w:hAnsi="Arial" w:cs="Arial"/>
          <w:sz w:val="24"/>
          <w:szCs w:val="24"/>
        </w:rPr>
        <w:t>Brace, A. and Elliot, S. (</w:t>
      </w:r>
      <w:r w:rsidR="006A1520">
        <w:rPr>
          <w:rFonts w:ascii="Arial" w:hAnsi="Arial" w:cs="Arial"/>
          <w:sz w:val="24"/>
          <w:szCs w:val="24"/>
        </w:rPr>
        <w:t xml:space="preserve">2019), </w:t>
      </w:r>
      <w:r w:rsidR="006A1520" w:rsidRPr="006A1520">
        <w:rPr>
          <w:rFonts w:ascii="Arial" w:hAnsi="Arial" w:cs="Arial"/>
          <w:i/>
          <w:iCs/>
          <w:sz w:val="24"/>
          <w:szCs w:val="24"/>
        </w:rPr>
        <w:t>Resource Allocation Formula Update</w:t>
      </w:r>
    </w:p>
    <w:p w14:paraId="41F2414A" w14:textId="77777777" w:rsidR="006A1520" w:rsidRDefault="006A1520" w:rsidP="006A1520">
      <w:pPr>
        <w:spacing w:line="240" w:lineRule="auto"/>
        <w:contextualSpacing/>
        <w:mirrorIndents/>
        <w:jc w:val="both"/>
        <w:rPr>
          <w:rFonts w:ascii="Arial" w:hAnsi="Arial" w:cs="Arial"/>
          <w:sz w:val="24"/>
          <w:szCs w:val="24"/>
        </w:rPr>
      </w:pPr>
    </w:p>
    <w:p w14:paraId="649B6117" w14:textId="2CF62F58" w:rsidR="0003323F" w:rsidRDefault="0003323F" w:rsidP="0003323F">
      <w:pPr>
        <w:spacing w:line="240" w:lineRule="auto"/>
        <w:contextualSpacing/>
        <w:mirrorIndents/>
        <w:jc w:val="both"/>
        <w:rPr>
          <w:rFonts w:ascii="Arial" w:hAnsi="Arial" w:cs="Arial"/>
          <w:sz w:val="24"/>
          <w:szCs w:val="24"/>
        </w:rPr>
      </w:pPr>
      <w:r>
        <w:rPr>
          <w:rFonts w:ascii="Arial" w:hAnsi="Arial" w:cs="Arial"/>
          <w:sz w:val="24"/>
          <w:szCs w:val="24"/>
        </w:rPr>
        <w:t xml:space="preserve">Buck, D. and Dixon, A. (2013), </w:t>
      </w:r>
      <w:r w:rsidRPr="0003323F">
        <w:rPr>
          <w:rFonts w:ascii="Arial" w:hAnsi="Arial" w:cs="Arial"/>
          <w:i/>
          <w:iCs/>
          <w:sz w:val="24"/>
          <w:szCs w:val="24"/>
        </w:rPr>
        <w:t>Improving the allocation of health resources in England: How to decide who gets what</w:t>
      </w:r>
    </w:p>
    <w:p w14:paraId="72596D00" w14:textId="77777777" w:rsidR="0003323F" w:rsidRDefault="0003323F" w:rsidP="00D06989">
      <w:pPr>
        <w:spacing w:line="240" w:lineRule="auto"/>
        <w:contextualSpacing/>
        <w:mirrorIndents/>
        <w:jc w:val="both"/>
        <w:rPr>
          <w:rFonts w:ascii="Arial" w:hAnsi="Arial" w:cs="Arial"/>
          <w:sz w:val="24"/>
          <w:szCs w:val="24"/>
        </w:rPr>
      </w:pPr>
    </w:p>
    <w:p w14:paraId="6073690B" w14:textId="2C1B9CFA" w:rsidR="00070806" w:rsidRDefault="00070806" w:rsidP="004C3204">
      <w:pPr>
        <w:spacing w:line="240" w:lineRule="auto"/>
        <w:contextualSpacing/>
        <w:mirrorIndents/>
        <w:jc w:val="both"/>
        <w:rPr>
          <w:rFonts w:ascii="Arial" w:hAnsi="Arial" w:cs="Arial"/>
          <w:sz w:val="24"/>
          <w:szCs w:val="24"/>
        </w:rPr>
      </w:pPr>
      <w:r>
        <w:rPr>
          <w:rFonts w:ascii="Arial" w:hAnsi="Arial" w:cs="Arial"/>
          <w:sz w:val="24"/>
          <w:szCs w:val="24"/>
        </w:rPr>
        <w:t>Capitation Formula Review Group</w:t>
      </w:r>
      <w:r w:rsidR="004C3204">
        <w:rPr>
          <w:rFonts w:ascii="Arial" w:hAnsi="Arial" w:cs="Arial"/>
          <w:sz w:val="24"/>
          <w:szCs w:val="24"/>
        </w:rPr>
        <w:t>,</w:t>
      </w:r>
      <w:r>
        <w:rPr>
          <w:rFonts w:ascii="Arial" w:hAnsi="Arial" w:cs="Arial"/>
          <w:sz w:val="24"/>
          <w:szCs w:val="24"/>
        </w:rPr>
        <w:t xml:space="preserve"> (</w:t>
      </w:r>
      <w:r w:rsidR="004C3204">
        <w:rPr>
          <w:rFonts w:ascii="Arial" w:hAnsi="Arial" w:cs="Arial"/>
          <w:sz w:val="24"/>
          <w:szCs w:val="24"/>
        </w:rPr>
        <w:t xml:space="preserve">2008), </w:t>
      </w:r>
      <w:r w:rsidRPr="004C3204">
        <w:rPr>
          <w:rFonts w:ascii="Arial" w:hAnsi="Arial" w:cs="Arial"/>
          <w:i/>
          <w:iCs/>
          <w:sz w:val="24"/>
          <w:szCs w:val="24"/>
        </w:rPr>
        <w:t>Allocating resources to the health and social care commissioners: proposed changes to the weighted capitation formula</w:t>
      </w:r>
      <w:r w:rsidR="004C3204">
        <w:rPr>
          <w:rFonts w:ascii="Arial" w:hAnsi="Arial" w:cs="Arial"/>
          <w:sz w:val="24"/>
          <w:szCs w:val="24"/>
        </w:rPr>
        <w:t>.</w:t>
      </w:r>
    </w:p>
    <w:p w14:paraId="5FBA9164" w14:textId="77777777" w:rsidR="00070806" w:rsidRDefault="00070806" w:rsidP="00D06989">
      <w:pPr>
        <w:spacing w:line="240" w:lineRule="auto"/>
        <w:contextualSpacing/>
        <w:mirrorIndents/>
        <w:jc w:val="both"/>
        <w:rPr>
          <w:rFonts w:ascii="Arial" w:hAnsi="Arial" w:cs="Arial"/>
          <w:sz w:val="24"/>
          <w:szCs w:val="24"/>
        </w:rPr>
      </w:pPr>
    </w:p>
    <w:p w14:paraId="514A4E92" w14:textId="2EBB35C6" w:rsidR="00161293" w:rsidRDefault="00161293" w:rsidP="00161293">
      <w:pPr>
        <w:spacing w:line="240" w:lineRule="auto"/>
        <w:contextualSpacing/>
        <w:mirrorIndents/>
        <w:jc w:val="both"/>
        <w:rPr>
          <w:rFonts w:ascii="Arial" w:hAnsi="Arial" w:cs="Arial"/>
          <w:sz w:val="24"/>
          <w:szCs w:val="24"/>
        </w:rPr>
      </w:pPr>
      <w:r>
        <w:rPr>
          <w:rFonts w:ascii="Arial" w:hAnsi="Arial" w:cs="Arial"/>
          <w:sz w:val="24"/>
          <w:szCs w:val="24"/>
        </w:rPr>
        <w:t xml:space="preserve">Dixon, J. et al (2011), </w:t>
      </w:r>
      <w:r w:rsidRPr="00F35C4A">
        <w:rPr>
          <w:rFonts w:ascii="Arial" w:hAnsi="Arial" w:cs="Arial"/>
          <w:i/>
          <w:iCs/>
          <w:sz w:val="24"/>
          <w:szCs w:val="24"/>
        </w:rPr>
        <w:t>A person based formula for allocating commissioning funds to general practices in England: development of a statistical model</w:t>
      </w:r>
      <w:r w:rsidR="006923D7">
        <w:rPr>
          <w:rFonts w:ascii="Arial" w:hAnsi="Arial" w:cs="Arial"/>
          <w:sz w:val="24"/>
          <w:szCs w:val="24"/>
        </w:rPr>
        <w:t xml:space="preserve">, </w:t>
      </w:r>
      <w:proofErr w:type="spellStart"/>
      <w:r w:rsidR="006923D7">
        <w:rPr>
          <w:rFonts w:ascii="Arial" w:hAnsi="Arial" w:cs="Arial"/>
          <w:sz w:val="24"/>
          <w:szCs w:val="24"/>
        </w:rPr>
        <w:t>BMJ</w:t>
      </w:r>
      <w:proofErr w:type="spellEnd"/>
      <w:r w:rsidR="006923D7">
        <w:rPr>
          <w:rFonts w:ascii="Arial" w:hAnsi="Arial" w:cs="Arial"/>
          <w:sz w:val="24"/>
          <w:szCs w:val="24"/>
        </w:rPr>
        <w:t xml:space="preserve">, </w:t>
      </w:r>
    </w:p>
    <w:p w14:paraId="7EBA2064" w14:textId="77777777" w:rsidR="00161293" w:rsidRDefault="00161293" w:rsidP="00D06989">
      <w:pPr>
        <w:spacing w:line="240" w:lineRule="auto"/>
        <w:contextualSpacing/>
        <w:mirrorIndents/>
        <w:jc w:val="both"/>
        <w:rPr>
          <w:rFonts w:ascii="Arial" w:hAnsi="Arial" w:cs="Arial"/>
          <w:sz w:val="24"/>
          <w:szCs w:val="24"/>
        </w:rPr>
      </w:pPr>
    </w:p>
    <w:p w14:paraId="7EF33769" w14:textId="1DE058BC" w:rsidR="0079401D" w:rsidRDefault="004A7995" w:rsidP="00D06989">
      <w:pPr>
        <w:spacing w:line="240" w:lineRule="auto"/>
        <w:contextualSpacing/>
        <w:mirrorIndents/>
        <w:jc w:val="both"/>
        <w:rPr>
          <w:rFonts w:ascii="Arial" w:hAnsi="Arial" w:cs="Arial"/>
          <w:sz w:val="24"/>
          <w:szCs w:val="24"/>
        </w:rPr>
      </w:pPr>
      <w:r>
        <w:rPr>
          <w:rFonts w:ascii="Arial" w:hAnsi="Arial" w:cs="Arial"/>
          <w:sz w:val="24"/>
          <w:szCs w:val="24"/>
        </w:rPr>
        <w:t xml:space="preserve">Health and Social Care Information Centre (2014), </w:t>
      </w:r>
      <w:proofErr w:type="spellStart"/>
      <w:r w:rsidRPr="00F35C4A">
        <w:rPr>
          <w:rFonts w:ascii="Arial" w:hAnsi="Arial" w:cs="Arial"/>
          <w:i/>
          <w:iCs/>
          <w:sz w:val="24"/>
          <w:szCs w:val="24"/>
        </w:rPr>
        <w:t>Casemix</w:t>
      </w:r>
      <w:proofErr w:type="spellEnd"/>
      <w:r w:rsidRPr="00F35C4A">
        <w:rPr>
          <w:rFonts w:ascii="Arial" w:hAnsi="Arial" w:cs="Arial"/>
          <w:i/>
          <w:iCs/>
          <w:sz w:val="24"/>
          <w:szCs w:val="24"/>
        </w:rPr>
        <w:t xml:space="preserve"> Companion</w:t>
      </w:r>
    </w:p>
    <w:p w14:paraId="5F1AF3A0" w14:textId="77777777" w:rsidR="00F8378C" w:rsidRDefault="00F8378C" w:rsidP="00D06989">
      <w:pPr>
        <w:spacing w:line="240" w:lineRule="auto"/>
        <w:contextualSpacing/>
        <w:mirrorIndents/>
        <w:jc w:val="both"/>
        <w:rPr>
          <w:rFonts w:ascii="Arial" w:hAnsi="Arial" w:cs="Arial"/>
          <w:sz w:val="24"/>
          <w:szCs w:val="24"/>
        </w:rPr>
      </w:pPr>
    </w:p>
    <w:p w14:paraId="2E110E45" w14:textId="51F37B46" w:rsidR="000F3B8B" w:rsidRDefault="002539D1" w:rsidP="00D06989">
      <w:pPr>
        <w:spacing w:line="240" w:lineRule="auto"/>
        <w:contextualSpacing/>
        <w:mirrorIndents/>
        <w:jc w:val="both"/>
        <w:rPr>
          <w:rFonts w:ascii="Arial" w:hAnsi="Arial" w:cs="Arial"/>
          <w:sz w:val="24"/>
          <w:szCs w:val="24"/>
        </w:rPr>
      </w:pPr>
      <w:r>
        <w:rPr>
          <w:rFonts w:ascii="Arial" w:hAnsi="Arial" w:cs="Arial"/>
          <w:sz w:val="24"/>
          <w:szCs w:val="24"/>
        </w:rPr>
        <w:t xml:space="preserve">Morris, S. et al (2007), </w:t>
      </w:r>
      <w:r w:rsidRPr="002539D1">
        <w:rPr>
          <w:rFonts w:ascii="Arial" w:hAnsi="Arial" w:cs="Arial"/>
          <w:i/>
          <w:iCs/>
          <w:sz w:val="24"/>
          <w:szCs w:val="24"/>
        </w:rPr>
        <w:t>Combining Age Related and Additional Needs Report: review of the needs formulae for hospital services and prescribing activity in England</w:t>
      </w:r>
      <w:r w:rsidRPr="002539D1">
        <w:rPr>
          <w:rFonts w:ascii="Arial" w:hAnsi="Arial" w:cs="Arial"/>
          <w:sz w:val="24"/>
          <w:szCs w:val="24"/>
        </w:rPr>
        <w:t xml:space="preserve">, </w:t>
      </w:r>
    </w:p>
    <w:p w14:paraId="187BC3B2" w14:textId="77777777" w:rsidR="000F3B8B" w:rsidRDefault="000F3B8B" w:rsidP="00D06989">
      <w:pPr>
        <w:spacing w:line="240" w:lineRule="auto"/>
        <w:contextualSpacing/>
        <w:mirrorIndents/>
        <w:jc w:val="both"/>
        <w:rPr>
          <w:rFonts w:ascii="Arial" w:hAnsi="Arial" w:cs="Arial"/>
          <w:sz w:val="24"/>
          <w:szCs w:val="24"/>
        </w:rPr>
      </w:pPr>
    </w:p>
    <w:p w14:paraId="4EB0792D" w14:textId="7D7A501C" w:rsidR="00F8378C" w:rsidRPr="00F8378C" w:rsidRDefault="00F8378C" w:rsidP="00F8378C">
      <w:pPr>
        <w:spacing w:line="240" w:lineRule="auto"/>
        <w:contextualSpacing/>
        <w:mirrorIndents/>
        <w:jc w:val="both"/>
        <w:rPr>
          <w:rFonts w:ascii="Arial" w:hAnsi="Arial" w:cs="Arial"/>
          <w:sz w:val="24"/>
          <w:szCs w:val="24"/>
        </w:rPr>
      </w:pPr>
      <w:r>
        <w:rPr>
          <w:rFonts w:ascii="Arial" w:hAnsi="Arial" w:cs="Arial"/>
          <w:sz w:val="24"/>
          <w:szCs w:val="24"/>
        </w:rPr>
        <w:t>NHS England (2015),</w:t>
      </w:r>
      <w:r w:rsidRPr="00F8378C">
        <w:rPr>
          <w:rFonts w:ascii="Arial" w:hAnsi="Arial" w:cs="Arial"/>
          <w:sz w:val="24"/>
          <w:szCs w:val="24"/>
        </w:rPr>
        <w:t xml:space="preserve"> </w:t>
      </w:r>
      <w:r w:rsidRPr="00C564C0">
        <w:rPr>
          <w:rFonts w:ascii="Arial" w:hAnsi="Arial" w:cs="Arial"/>
          <w:i/>
          <w:iCs/>
          <w:sz w:val="24"/>
          <w:szCs w:val="24"/>
        </w:rPr>
        <w:t>Refreshing the Formulae for CCG Allocations For allocations to Clinical Commissioning Groups from 2016-17</w:t>
      </w:r>
      <w:r w:rsidR="00C564C0" w:rsidRPr="00C564C0">
        <w:rPr>
          <w:rFonts w:ascii="Arial" w:hAnsi="Arial" w:cs="Arial"/>
          <w:i/>
          <w:iCs/>
          <w:sz w:val="24"/>
          <w:szCs w:val="24"/>
        </w:rPr>
        <w:t xml:space="preserve">: </w:t>
      </w:r>
      <w:r w:rsidRPr="00C564C0">
        <w:rPr>
          <w:rFonts w:ascii="Arial" w:hAnsi="Arial" w:cs="Arial"/>
          <w:i/>
          <w:iCs/>
          <w:sz w:val="24"/>
          <w:szCs w:val="24"/>
        </w:rPr>
        <w:t>Report on the methods and modelling</w:t>
      </w:r>
    </w:p>
    <w:p w14:paraId="4855D4EC" w14:textId="77777777" w:rsidR="00845B59" w:rsidRDefault="00845B59" w:rsidP="00D06989">
      <w:pPr>
        <w:spacing w:line="240" w:lineRule="auto"/>
        <w:contextualSpacing/>
        <w:mirrorIndents/>
        <w:jc w:val="both"/>
        <w:rPr>
          <w:rFonts w:ascii="Arial" w:hAnsi="Arial" w:cs="Arial"/>
          <w:sz w:val="24"/>
          <w:szCs w:val="24"/>
        </w:rPr>
      </w:pPr>
    </w:p>
    <w:p w14:paraId="30B809B5" w14:textId="0ADAEB5A" w:rsidR="00845B59" w:rsidRDefault="004F5FF5" w:rsidP="004F5FF5">
      <w:pPr>
        <w:spacing w:line="240" w:lineRule="auto"/>
        <w:contextualSpacing/>
        <w:mirrorIndents/>
        <w:jc w:val="both"/>
        <w:rPr>
          <w:rFonts w:ascii="Arial" w:hAnsi="Arial" w:cs="Arial"/>
          <w:sz w:val="24"/>
          <w:szCs w:val="24"/>
        </w:rPr>
      </w:pPr>
      <w:r>
        <w:rPr>
          <w:rFonts w:ascii="Arial" w:hAnsi="Arial" w:cs="Arial"/>
          <w:sz w:val="24"/>
          <w:szCs w:val="24"/>
        </w:rPr>
        <w:t xml:space="preserve">NHS England (2023), </w:t>
      </w:r>
      <w:r w:rsidRPr="00F35C4A">
        <w:rPr>
          <w:rFonts w:ascii="Arial" w:hAnsi="Arial" w:cs="Arial"/>
          <w:i/>
          <w:iCs/>
          <w:sz w:val="24"/>
          <w:szCs w:val="24"/>
        </w:rPr>
        <w:t>Technical guide to allocation formulae and convergence: For 2023/24 and 2024/25 allocations</w:t>
      </w:r>
    </w:p>
    <w:p w14:paraId="272FFD7C" w14:textId="77777777" w:rsidR="00A730ED" w:rsidRDefault="00A730ED" w:rsidP="004F5FF5">
      <w:pPr>
        <w:spacing w:line="240" w:lineRule="auto"/>
        <w:contextualSpacing/>
        <w:mirrorIndents/>
        <w:jc w:val="both"/>
        <w:rPr>
          <w:rFonts w:ascii="Arial" w:hAnsi="Arial" w:cs="Arial"/>
          <w:sz w:val="24"/>
          <w:szCs w:val="24"/>
        </w:rPr>
      </w:pPr>
    </w:p>
    <w:p w14:paraId="0E28CE3F" w14:textId="56889E2A" w:rsidR="00A730ED" w:rsidRPr="00A730ED" w:rsidRDefault="00A730ED" w:rsidP="004F5FF5">
      <w:pPr>
        <w:spacing w:line="240" w:lineRule="auto"/>
        <w:contextualSpacing/>
        <w:mirrorIndents/>
        <w:jc w:val="both"/>
        <w:rPr>
          <w:rFonts w:ascii="Arial" w:hAnsi="Arial" w:cs="Arial"/>
          <w:sz w:val="24"/>
          <w:szCs w:val="24"/>
        </w:rPr>
      </w:pPr>
      <w:r>
        <w:rPr>
          <w:rFonts w:ascii="Arial" w:hAnsi="Arial" w:cs="Arial"/>
          <w:sz w:val="24"/>
          <w:szCs w:val="24"/>
        </w:rPr>
        <w:t xml:space="preserve">NHS England (2023), </w:t>
      </w:r>
      <w:r w:rsidRPr="00756180">
        <w:rPr>
          <w:rFonts w:ascii="Arial" w:hAnsi="Arial" w:cs="Arial"/>
          <w:i/>
          <w:iCs/>
          <w:sz w:val="24"/>
          <w:szCs w:val="24"/>
        </w:rPr>
        <w:t>Update of the formula for general and acute hospital services for 2022/23 allocations</w:t>
      </w:r>
    </w:p>
    <w:sectPr w:rsidR="00A730ED" w:rsidRPr="00A730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1F45" w14:textId="77777777" w:rsidR="005E6B02" w:rsidRDefault="005E6B02" w:rsidP="00D95762">
      <w:pPr>
        <w:spacing w:after="0" w:line="240" w:lineRule="auto"/>
      </w:pPr>
      <w:r>
        <w:separator/>
      </w:r>
    </w:p>
  </w:endnote>
  <w:endnote w:type="continuationSeparator" w:id="0">
    <w:p w14:paraId="61447B20" w14:textId="77777777" w:rsidR="005E6B02" w:rsidRDefault="005E6B02" w:rsidP="00D9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2AC10" w14:textId="77777777" w:rsidR="005E6B02" w:rsidRDefault="005E6B02" w:rsidP="00D95762">
      <w:pPr>
        <w:spacing w:after="0" w:line="240" w:lineRule="auto"/>
      </w:pPr>
      <w:r>
        <w:separator/>
      </w:r>
    </w:p>
  </w:footnote>
  <w:footnote w:type="continuationSeparator" w:id="0">
    <w:p w14:paraId="2AFC386A" w14:textId="77777777" w:rsidR="005E6B02" w:rsidRDefault="005E6B02" w:rsidP="00D95762">
      <w:pPr>
        <w:spacing w:after="0" w:line="240" w:lineRule="auto"/>
      </w:pPr>
      <w:r>
        <w:continuationSeparator/>
      </w:r>
    </w:p>
  </w:footnote>
  <w:footnote w:id="1">
    <w:p w14:paraId="6AA503C3" w14:textId="1217778F" w:rsidR="00D95762" w:rsidRDefault="00D95762">
      <w:pPr>
        <w:pStyle w:val="FootnoteText"/>
      </w:pPr>
      <w:r>
        <w:rPr>
          <w:rStyle w:val="FootnoteReference"/>
        </w:rPr>
        <w:footnoteRef/>
      </w:r>
      <w:r>
        <w:t xml:space="preserve"> </w:t>
      </w:r>
      <w:r w:rsidR="00182A35" w:rsidRPr="00D95762">
        <w:t>Combining Age Related and Additional Needs</w:t>
      </w:r>
      <w:r w:rsidR="00182A35">
        <w:t xml:space="preserve"> Report</w:t>
      </w:r>
      <w:r>
        <w:t xml:space="preserve">: </w:t>
      </w:r>
      <w:r w:rsidR="009E241B">
        <w:t>review of the needs formulae for hospital services and prescribing activity in England, November 2007</w:t>
      </w:r>
      <w:r w:rsidR="001A62D4">
        <w:t>.</w:t>
      </w:r>
    </w:p>
  </w:footnote>
  <w:footnote w:id="2">
    <w:p w14:paraId="4BB64629" w14:textId="693CE5D3" w:rsidR="00055B84" w:rsidRDefault="00055B84">
      <w:pPr>
        <w:pStyle w:val="FootnoteText"/>
      </w:pPr>
      <w:r>
        <w:rPr>
          <w:rStyle w:val="FootnoteReference"/>
        </w:rPr>
        <w:footnoteRef/>
      </w:r>
      <w:r>
        <w:t xml:space="preserve"> </w:t>
      </w:r>
      <w:r w:rsidR="00986F2B">
        <w:t>See for example</w:t>
      </w:r>
      <w:r w:rsidR="007B5610">
        <w:t xml:space="preserve">: Bardsley and Dixon, </w:t>
      </w:r>
      <w:r w:rsidR="00D4266E">
        <w:t>(D</w:t>
      </w:r>
      <w:r w:rsidR="00986F2B">
        <w:t xml:space="preserve">ecember 2011), Person-based Resource Allocation: New approaches to estimating commissioning budgets for GP practices.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205"/>
    <w:multiLevelType w:val="hybridMultilevel"/>
    <w:tmpl w:val="EC8A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53BC"/>
    <w:multiLevelType w:val="hybridMultilevel"/>
    <w:tmpl w:val="EDEAB7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7E14CE"/>
    <w:multiLevelType w:val="hybridMultilevel"/>
    <w:tmpl w:val="CC48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4C2492"/>
    <w:multiLevelType w:val="hybridMultilevel"/>
    <w:tmpl w:val="3FB6A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91471"/>
    <w:multiLevelType w:val="hybridMultilevel"/>
    <w:tmpl w:val="C7C8D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B6EEA"/>
    <w:multiLevelType w:val="hybridMultilevel"/>
    <w:tmpl w:val="9A764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2144A"/>
    <w:multiLevelType w:val="hybridMultilevel"/>
    <w:tmpl w:val="2C60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B77BC"/>
    <w:multiLevelType w:val="hybridMultilevel"/>
    <w:tmpl w:val="6F86C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A93152"/>
    <w:multiLevelType w:val="hybridMultilevel"/>
    <w:tmpl w:val="C644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3E6052"/>
    <w:multiLevelType w:val="hybridMultilevel"/>
    <w:tmpl w:val="DB24A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E72D69"/>
    <w:multiLevelType w:val="hybridMultilevel"/>
    <w:tmpl w:val="A67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B10343"/>
    <w:multiLevelType w:val="hybridMultilevel"/>
    <w:tmpl w:val="C3B4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727582">
    <w:abstractNumId w:val="3"/>
  </w:num>
  <w:num w:numId="2" w16cid:durableId="1172337169">
    <w:abstractNumId w:val="6"/>
  </w:num>
  <w:num w:numId="3" w16cid:durableId="1651329533">
    <w:abstractNumId w:val="4"/>
  </w:num>
  <w:num w:numId="4" w16cid:durableId="1581796109">
    <w:abstractNumId w:val="11"/>
  </w:num>
  <w:num w:numId="5" w16cid:durableId="1727026286">
    <w:abstractNumId w:val="2"/>
  </w:num>
  <w:num w:numId="6" w16cid:durableId="1698698963">
    <w:abstractNumId w:val="8"/>
  </w:num>
  <w:num w:numId="7" w16cid:durableId="186411684">
    <w:abstractNumId w:val="10"/>
  </w:num>
  <w:num w:numId="8" w16cid:durableId="395978497">
    <w:abstractNumId w:val="1"/>
  </w:num>
  <w:num w:numId="9" w16cid:durableId="98108633">
    <w:abstractNumId w:val="5"/>
  </w:num>
  <w:num w:numId="10" w16cid:durableId="1119837079">
    <w:abstractNumId w:val="0"/>
  </w:num>
  <w:num w:numId="11" w16cid:durableId="982777941">
    <w:abstractNumId w:val="9"/>
  </w:num>
  <w:num w:numId="12" w16cid:durableId="1668484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69"/>
    <w:rsid w:val="00001D4F"/>
    <w:rsid w:val="00002CC4"/>
    <w:rsid w:val="00005522"/>
    <w:rsid w:val="00007FFD"/>
    <w:rsid w:val="000102EF"/>
    <w:rsid w:val="00011AFB"/>
    <w:rsid w:val="00013B2F"/>
    <w:rsid w:val="000141A7"/>
    <w:rsid w:val="00015576"/>
    <w:rsid w:val="00017ED0"/>
    <w:rsid w:val="00023869"/>
    <w:rsid w:val="0002639E"/>
    <w:rsid w:val="000269CD"/>
    <w:rsid w:val="00026A81"/>
    <w:rsid w:val="0002774D"/>
    <w:rsid w:val="0003210F"/>
    <w:rsid w:val="00032D15"/>
    <w:rsid w:val="0003323F"/>
    <w:rsid w:val="00033432"/>
    <w:rsid w:val="00034428"/>
    <w:rsid w:val="00034A71"/>
    <w:rsid w:val="00035C69"/>
    <w:rsid w:val="00037A3E"/>
    <w:rsid w:val="0005073D"/>
    <w:rsid w:val="00051176"/>
    <w:rsid w:val="00051554"/>
    <w:rsid w:val="000532A1"/>
    <w:rsid w:val="00054189"/>
    <w:rsid w:val="00055919"/>
    <w:rsid w:val="00055B84"/>
    <w:rsid w:val="00057CE2"/>
    <w:rsid w:val="000672B2"/>
    <w:rsid w:val="0006799E"/>
    <w:rsid w:val="00070806"/>
    <w:rsid w:val="00070B81"/>
    <w:rsid w:val="0007195D"/>
    <w:rsid w:val="00072B80"/>
    <w:rsid w:val="00075ACA"/>
    <w:rsid w:val="000761AD"/>
    <w:rsid w:val="000763C2"/>
    <w:rsid w:val="000769B7"/>
    <w:rsid w:val="00082964"/>
    <w:rsid w:val="000914CF"/>
    <w:rsid w:val="00092B68"/>
    <w:rsid w:val="00092F89"/>
    <w:rsid w:val="00093C32"/>
    <w:rsid w:val="00094795"/>
    <w:rsid w:val="00094BA3"/>
    <w:rsid w:val="000A0781"/>
    <w:rsid w:val="000A0E90"/>
    <w:rsid w:val="000A13AA"/>
    <w:rsid w:val="000A769B"/>
    <w:rsid w:val="000B4A20"/>
    <w:rsid w:val="000B506D"/>
    <w:rsid w:val="000B5CF6"/>
    <w:rsid w:val="000C2F10"/>
    <w:rsid w:val="000C3058"/>
    <w:rsid w:val="000C7FB3"/>
    <w:rsid w:val="000D02E8"/>
    <w:rsid w:val="000D0E7C"/>
    <w:rsid w:val="000D243D"/>
    <w:rsid w:val="000D3338"/>
    <w:rsid w:val="000D7AFA"/>
    <w:rsid w:val="000D7F62"/>
    <w:rsid w:val="000E2AA8"/>
    <w:rsid w:val="000E2FCF"/>
    <w:rsid w:val="000E3B06"/>
    <w:rsid w:val="000E52E7"/>
    <w:rsid w:val="000F1BB7"/>
    <w:rsid w:val="000F2125"/>
    <w:rsid w:val="000F2BB2"/>
    <w:rsid w:val="000F3B8B"/>
    <w:rsid w:val="000F48B8"/>
    <w:rsid w:val="000F54E6"/>
    <w:rsid w:val="000F7211"/>
    <w:rsid w:val="001010F6"/>
    <w:rsid w:val="00101A4E"/>
    <w:rsid w:val="00106920"/>
    <w:rsid w:val="001105F0"/>
    <w:rsid w:val="00113DF8"/>
    <w:rsid w:val="00114E5A"/>
    <w:rsid w:val="00117349"/>
    <w:rsid w:val="001208CF"/>
    <w:rsid w:val="00125C32"/>
    <w:rsid w:val="001275FF"/>
    <w:rsid w:val="0013076F"/>
    <w:rsid w:val="0013138C"/>
    <w:rsid w:val="00131A56"/>
    <w:rsid w:val="00136535"/>
    <w:rsid w:val="00140D01"/>
    <w:rsid w:val="00140FC4"/>
    <w:rsid w:val="001412BE"/>
    <w:rsid w:val="0014186D"/>
    <w:rsid w:val="00143FE6"/>
    <w:rsid w:val="00145EFD"/>
    <w:rsid w:val="0015171C"/>
    <w:rsid w:val="00153249"/>
    <w:rsid w:val="00161293"/>
    <w:rsid w:val="001663FF"/>
    <w:rsid w:val="0016749A"/>
    <w:rsid w:val="00167A69"/>
    <w:rsid w:val="00170308"/>
    <w:rsid w:val="001707DC"/>
    <w:rsid w:val="00172A64"/>
    <w:rsid w:val="001750B1"/>
    <w:rsid w:val="001765B1"/>
    <w:rsid w:val="001809E0"/>
    <w:rsid w:val="00182A35"/>
    <w:rsid w:val="00182D14"/>
    <w:rsid w:val="00183F2D"/>
    <w:rsid w:val="00185EFD"/>
    <w:rsid w:val="00186F22"/>
    <w:rsid w:val="00187ABC"/>
    <w:rsid w:val="00187F78"/>
    <w:rsid w:val="00192036"/>
    <w:rsid w:val="00192CAF"/>
    <w:rsid w:val="001931BA"/>
    <w:rsid w:val="001A508F"/>
    <w:rsid w:val="001A5F6C"/>
    <w:rsid w:val="001A62D4"/>
    <w:rsid w:val="001B03BE"/>
    <w:rsid w:val="001B054D"/>
    <w:rsid w:val="001B1D0F"/>
    <w:rsid w:val="001B1EB9"/>
    <w:rsid w:val="001B43DA"/>
    <w:rsid w:val="001B45FE"/>
    <w:rsid w:val="001C3EC9"/>
    <w:rsid w:val="001C451E"/>
    <w:rsid w:val="001C677A"/>
    <w:rsid w:val="001D3526"/>
    <w:rsid w:val="001E0FC4"/>
    <w:rsid w:val="001E132E"/>
    <w:rsid w:val="001E16AB"/>
    <w:rsid w:val="001E1991"/>
    <w:rsid w:val="001E30A1"/>
    <w:rsid w:val="001E4EF3"/>
    <w:rsid w:val="001E4F62"/>
    <w:rsid w:val="001E7EFB"/>
    <w:rsid w:val="001F38D1"/>
    <w:rsid w:val="001F3925"/>
    <w:rsid w:val="001F3FAF"/>
    <w:rsid w:val="001F5363"/>
    <w:rsid w:val="001F56D7"/>
    <w:rsid w:val="001F7612"/>
    <w:rsid w:val="0020170F"/>
    <w:rsid w:val="00202466"/>
    <w:rsid w:val="002034CC"/>
    <w:rsid w:val="002100BB"/>
    <w:rsid w:val="00210AD0"/>
    <w:rsid w:val="00214483"/>
    <w:rsid w:val="0021529F"/>
    <w:rsid w:val="002249AA"/>
    <w:rsid w:val="00226E66"/>
    <w:rsid w:val="002305C6"/>
    <w:rsid w:val="00232759"/>
    <w:rsid w:val="0023449E"/>
    <w:rsid w:val="00237B0A"/>
    <w:rsid w:val="002434D9"/>
    <w:rsid w:val="00244148"/>
    <w:rsid w:val="00246028"/>
    <w:rsid w:val="00247A89"/>
    <w:rsid w:val="002539D1"/>
    <w:rsid w:val="002553C1"/>
    <w:rsid w:val="00262B4F"/>
    <w:rsid w:val="00264896"/>
    <w:rsid w:val="002650B2"/>
    <w:rsid w:val="00267CBC"/>
    <w:rsid w:val="002701D8"/>
    <w:rsid w:val="0027032F"/>
    <w:rsid w:val="00273D69"/>
    <w:rsid w:val="0027551C"/>
    <w:rsid w:val="002777BB"/>
    <w:rsid w:val="00277AB4"/>
    <w:rsid w:val="002804E0"/>
    <w:rsid w:val="0028128E"/>
    <w:rsid w:val="002831F6"/>
    <w:rsid w:val="0028409F"/>
    <w:rsid w:val="00284363"/>
    <w:rsid w:val="00286706"/>
    <w:rsid w:val="00286E0C"/>
    <w:rsid w:val="002870A6"/>
    <w:rsid w:val="00287356"/>
    <w:rsid w:val="00292A38"/>
    <w:rsid w:val="00295561"/>
    <w:rsid w:val="002A4038"/>
    <w:rsid w:val="002A421A"/>
    <w:rsid w:val="002A48D1"/>
    <w:rsid w:val="002B0AD8"/>
    <w:rsid w:val="002B188C"/>
    <w:rsid w:val="002B2DD0"/>
    <w:rsid w:val="002B2E2E"/>
    <w:rsid w:val="002B5525"/>
    <w:rsid w:val="002B7405"/>
    <w:rsid w:val="002C05C6"/>
    <w:rsid w:val="002C0F35"/>
    <w:rsid w:val="002C33ED"/>
    <w:rsid w:val="002C4B7E"/>
    <w:rsid w:val="002C72AC"/>
    <w:rsid w:val="002C7DDA"/>
    <w:rsid w:val="002D037E"/>
    <w:rsid w:val="002D0B92"/>
    <w:rsid w:val="002D6FE9"/>
    <w:rsid w:val="002E014B"/>
    <w:rsid w:val="002E201B"/>
    <w:rsid w:val="002E22FC"/>
    <w:rsid w:val="002E2738"/>
    <w:rsid w:val="002E404D"/>
    <w:rsid w:val="002E5447"/>
    <w:rsid w:val="002E61E4"/>
    <w:rsid w:val="002E6A1A"/>
    <w:rsid w:val="002F12D1"/>
    <w:rsid w:val="002F2B16"/>
    <w:rsid w:val="002F4208"/>
    <w:rsid w:val="002F59EC"/>
    <w:rsid w:val="00300F13"/>
    <w:rsid w:val="0030224B"/>
    <w:rsid w:val="003032DC"/>
    <w:rsid w:val="00303C47"/>
    <w:rsid w:val="00304E5C"/>
    <w:rsid w:val="00305251"/>
    <w:rsid w:val="00305327"/>
    <w:rsid w:val="00305C89"/>
    <w:rsid w:val="00307B94"/>
    <w:rsid w:val="00307EC5"/>
    <w:rsid w:val="00310E03"/>
    <w:rsid w:val="0031374F"/>
    <w:rsid w:val="00314BE1"/>
    <w:rsid w:val="0031768E"/>
    <w:rsid w:val="00320A17"/>
    <w:rsid w:val="0032533A"/>
    <w:rsid w:val="00326A61"/>
    <w:rsid w:val="00327043"/>
    <w:rsid w:val="003303ED"/>
    <w:rsid w:val="0033155B"/>
    <w:rsid w:val="00333A62"/>
    <w:rsid w:val="00333D3E"/>
    <w:rsid w:val="0033408A"/>
    <w:rsid w:val="00334E4C"/>
    <w:rsid w:val="00334FED"/>
    <w:rsid w:val="00340192"/>
    <w:rsid w:val="003431AC"/>
    <w:rsid w:val="00343C53"/>
    <w:rsid w:val="003502BB"/>
    <w:rsid w:val="00353010"/>
    <w:rsid w:val="0035422E"/>
    <w:rsid w:val="0035459D"/>
    <w:rsid w:val="00355818"/>
    <w:rsid w:val="00356C36"/>
    <w:rsid w:val="0035743B"/>
    <w:rsid w:val="003634C4"/>
    <w:rsid w:val="00363EC2"/>
    <w:rsid w:val="00364A3D"/>
    <w:rsid w:val="003658DE"/>
    <w:rsid w:val="00366003"/>
    <w:rsid w:val="00366371"/>
    <w:rsid w:val="0036652F"/>
    <w:rsid w:val="0037085C"/>
    <w:rsid w:val="00371675"/>
    <w:rsid w:val="0037232E"/>
    <w:rsid w:val="00374D24"/>
    <w:rsid w:val="00374EFC"/>
    <w:rsid w:val="00375F25"/>
    <w:rsid w:val="00376262"/>
    <w:rsid w:val="003774C1"/>
    <w:rsid w:val="003821C4"/>
    <w:rsid w:val="00382A58"/>
    <w:rsid w:val="00385B4C"/>
    <w:rsid w:val="00390341"/>
    <w:rsid w:val="00391A3A"/>
    <w:rsid w:val="00392DBC"/>
    <w:rsid w:val="00397644"/>
    <w:rsid w:val="003A06BC"/>
    <w:rsid w:val="003A1828"/>
    <w:rsid w:val="003A2DC1"/>
    <w:rsid w:val="003A42B6"/>
    <w:rsid w:val="003A4671"/>
    <w:rsid w:val="003A6831"/>
    <w:rsid w:val="003A6FDD"/>
    <w:rsid w:val="003A7580"/>
    <w:rsid w:val="003B0181"/>
    <w:rsid w:val="003B2FCA"/>
    <w:rsid w:val="003B41D2"/>
    <w:rsid w:val="003B58F8"/>
    <w:rsid w:val="003B7E5A"/>
    <w:rsid w:val="003C062A"/>
    <w:rsid w:val="003C4243"/>
    <w:rsid w:val="003C5E56"/>
    <w:rsid w:val="003C671E"/>
    <w:rsid w:val="003D0859"/>
    <w:rsid w:val="003D0B06"/>
    <w:rsid w:val="003D2849"/>
    <w:rsid w:val="003D46B3"/>
    <w:rsid w:val="003D7871"/>
    <w:rsid w:val="003E20C2"/>
    <w:rsid w:val="003E2E40"/>
    <w:rsid w:val="003E4662"/>
    <w:rsid w:val="003E4E18"/>
    <w:rsid w:val="003E7A8E"/>
    <w:rsid w:val="003F1487"/>
    <w:rsid w:val="003F1EC7"/>
    <w:rsid w:val="003F2A7B"/>
    <w:rsid w:val="003F562F"/>
    <w:rsid w:val="003F7934"/>
    <w:rsid w:val="00400A39"/>
    <w:rsid w:val="004017C6"/>
    <w:rsid w:val="004038BC"/>
    <w:rsid w:val="00415148"/>
    <w:rsid w:val="00420112"/>
    <w:rsid w:val="0042055E"/>
    <w:rsid w:val="00423A03"/>
    <w:rsid w:val="00423EA3"/>
    <w:rsid w:val="00423F09"/>
    <w:rsid w:val="0042521D"/>
    <w:rsid w:val="00430545"/>
    <w:rsid w:val="00431363"/>
    <w:rsid w:val="004350F1"/>
    <w:rsid w:val="00446663"/>
    <w:rsid w:val="0044675D"/>
    <w:rsid w:val="00453F56"/>
    <w:rsid w:val="004540D5"/>
    <w:rsid w:val="004551FA"/>
    <w:rsid w:val="00473EA2"/>
    <w:rsid w:val="00480B7C"/>
    <w:rsid w:val="00482ED0"/>
    <w:rsid w:val="00485140"/>
    <w:rsid w:val="004861F0"/>
    <w:rsid w:val="00486A3C"/>
    <w:rsid w:val="00490193"/>
    <w:rsid w:val="0049194B"/>
    <w:rsid w:val="004924C2"/>
    <w:rsid w:val="00492B42"/>
    <w:rsid w:val="004947B4"/>
    <w:rsid w:val="00494B1F"/>
    <w:rsid w:val="00497535"/>
    <w:rsid w:val="004A7536"/>
    <w:rsid w:val="004A7995"/>
    <w:rsid w:val="004B1193"/>
    <w:rsid w:val="004B63BD"/>
    <w:rsid w:val="004C123F"/>
    <w:rsid w:val="004C2CDD"/>
    <w:rsid w:val="004C3204"/>
    <w:rsid w:val="004C3834"/>
    <w:rsid w:val="004D02AB"/>
    <w:rsid w:val="004D0559"/>
    <w:rsid w:val="004D193E"/>
    <w:rsid w:val="004D1A66"/>
    <w:rsid w:val="004D1D82"/>
    <w:rsid w:val="004D2033"/>
    <w:rsid w:val="004D306F"/>
    <w:rsid w:val="004D5732"/>
    <w:rsid w:val="004D5E23"/>
    <w:rsid w:val="004E061E"/>
    <w:rsid w:val="004E403E"/>
    <w:rsid w:val="004E47D7"/>
    <w:rsid w:val="004E61FA"/>
    <w:rsid w:val="004E65DE"/>
    <w:rsid w:val="004F103A"/>
    <w:rsid w:val="004F14D4"/>
    <w:rsid w:val="004F2CEF"/>
    <w:rsid w:val="004F399F"/>
    <w:rsid w:val="004F3E51"/>
    <w:rsid w:val="004F485C"/>
    <w:rsid w:val="004F5FF5"/>
    <w:rsid w:val="0050089D"/>
    <w:rsid w:val="00502CE0"/>
    <w:rsid w:val="00504621"/>
    <w:rsid w:val="005064B4"/>
    <w:rsid w:val="00506822"/>
    <w:rsid w:val="00507058"/>
    <w:rsid w:val="00507329"/>
    <w:rsid w:val="005111AB"/>
    <w:rsid w:val="00511B46"/>
    <w:rsid w:val="00513454"/>
    <w:rsid w:val="00517BCA"/>
    <w:rsid w:val="00522C76"/>
    <w:rsid w:val="0052320C"/>
    <w:rsid w:val="005253F8"/>
    <w:rsid w:val="005261D5"/>
    <w:rsid w:val="00526CD8"/>
    <w:rsid w:val="00532F79"/>
    <w:rsid w:val="0053400C"/>
    <w:rsid w:val="00534E88"/>
    <w:rsid w:val="00534FFB"/>
    <w:rsid w:val="00535DB5"/>
    <w:rsid w:val="00537606"/>
    <w:rsid w:val="00537F7D"/>
    <w:rsid w:val="0055019B"/>
    <w:rsid w:val="00551D9B"/>
    <w:rsid w:val="00556C52"/>
    <w:rsid w:val="005570DD"/>
    <w:rsid w:val="00557561"/>
    <w:rsid w:val="00564481"/>
    <w:rsid w:val="00564AB6"/>
    <w:rsid w:val="00566447"/>
    <w:rsid w:val="005707F0"/>
    <w:rsid w:val="005722DE"/>
    <w:rsid w:val="005723F6"/>
    <w:rsid w:val="0057347F"/>
    <w:rsid w:val="005734AF"/>
    <w:rsid w:val="00580DFD"/>
    <w:rsid w:val="00584CDB"/>
    <w:rsid w:val="00587807"/>
    <w:rsid w:val="00593ECC"/>
    <w:rsid w:val="00595E9D"/>
    <w:rsid w:val="00596ECF"/>
    <w:rsid w:val="00597E5A"/>
    <w:rsid w:val="005A043B"/>
    <w:rsid w:val="005A0684"/>
    <w:rsid w:val="005A1D36"/>
    <w:rsid w:val="005A307E"/>
    <w:rsid w:val="005A3919"/>
    <w:rsid w:val="005A614C"/>
    <w:rsid w:val="005A63F5"/>
    <w:rsid w:val="005B1763"/>
    <w:rsid w:val="005B4710"/>
    <w:rsid w:val="005B60EC"/>
    <w:rsid w:val="005B74E9"/>
    <w:rsid w:val="005B75B3"/>
    <w:rsid w:val="005C3E2B"/>
    <w:rsid w:val="005D11F5"/>
    <w:rsid w:val="005D1829"/>
    <w:rsid w:val="005D28C3"/>
    <w:rsid w:val="005D29B4"/>
    <w:rsid w:val="005D4632"/>
    <w:rsid w:val="005D5371"/>
    <w:rsid w:val="005D7216"/>
    <w:rsid w:val="005E33DD"/>
    <w:rsid w:val="005E5012"/>
    <w:rsid w:val="005E52D4"/>
    <w:rsid w:val="005E6B02"/>
    <w:rsid w:val="005E7004"/>
    <w:rsid w:val="005F371A"/>
    <w:rsid w:val="005F5268"/>
    <w:rsid w:val="005F52C3"/>
    <w:rsid w:val="006000B2"/>
    <w:rsid w:val="0060147F"/>
    <w:rsid w:val="0060230B"/>
    <w:rsid w:val="00606763"/>
    <w:rsid w:val="00606B74"/>
    <w:rsid w:val="006070F7"/>
    <w:rsid w:val="006073A0"/>
    <w:rsid w:val="00607A99"/>
    <w:rsid w:val="00611099"/>
    <w:rsid w:val="00614661"/>
    <w:rsid w:val="00614AA3"/>
    <w:rsid w:val="0062326B"/>
    <w:rsid w:val="006233EC"/>
    <w:rsid w:val="00630165"/>
    <w:rsid w:val="0063020C"/>
    <w:rsid w:val="0063130C"/>
    <w:rsid w:val="006329F2"/>
    <w:rsid w:val="006346C3"/>
    <w:rsid w:val="00634CDA"/>
    <w:rsid w:val="00637CEB"/>
    <w:rsid w:val="00642639"/>
    <w:rsid w:val="00644511"/>
    <w:rsid w:val="00644EB4"/>
    <w:rsid w:val="006475F6"/>
    <w:rsid w:val="006517E7"/>
    <w:rsid w:val="00651B44"/>
    <w:rsid w:val="006528F3"/>
    <w:rsid w:val="00654949"/>
    <w:rsid w:val="006562D0"/>
    <w:rsid w:val="00660113"/>
    <w:rsid w:val="0066233F"/>
    <w:rsid w:val="006633D0"/>
    <w:rsid w:val="00663DE4"/>
    <w:rsid w:val="0066606A"/>
    <w:rsid w:val="0066723F"/>
    <w:rsid w:val="00667B81"/>
    <w:rsid w:val="00670F50"/>
    <w:rsid w:val="006772D5"/>
    <w:rsid w:val="00682066"/>
    <w:rsid w:val="00686C45"/>
    <w:rsid w:val="00687932"/>
    <w:rsid w:val="00690251"/>
    <w:rsid w:val="006923D7"/>
    <w:rsid w:val="006957FC"/>
    <w:rsid w:val="00695BB1"/>
    <w:rsid w:val="006962BC"/>
    <w:rsid w:val="006A06EC"/>
    <w:rsid w:val="006A1520"/>
    <w:rsid w:val="006A460D"/>
    <w:rsid w:val="006A4A51"/>
    <w:rsid w:val="006A5D61"/>
    <w:rsid w:val="006B2645"/>
    <w:rsid w:val="006B6740"/>
    <w:rsid w:val="006B7815"/>
    <w:rsid w:val="006B7AA3"/>
    <w:rsid w:val="006B7C16"/>
    <w:rsid w:val="006C18B6"/>
    <w:rsid w:val="006C366F"/>
    <w:rsid w:val="006C3C9A"/>
    <w:rsid w:val="006C4527"/>
    <w:rsid w:val="006C4873"/>
    <w:rsid w:val="006C54D5"/>
    <w:rsid w:val="006D0AAE"/>
    <w:rsid w:val="006D0BE1"/>
    <w:rsid w:val="006D14ED"/>
    <w:rsid w:val="006D1CE8"/>
    <w:rsid w:val="006D2F7D"/>
    <w:rsid w:val="006D4111"/>
    <w:rsid w:val="006D6235"/>
    <w:rsid w:val="006D704F"/>
    <w:rsid w:val="006D71AB"/>
    <w:rsid w:val="006E22C4"/>
    <w:rsid w:val="006E4C2A"/>
    <w:rsid w:val="006E5C39"/>
    <w:rsid w:val="006E668E"/>
    <w:rsid w:val="006E7C42"/>
    <w:rsid w:val="006F4049"/>
    <w:rsid w:val="006F4A38"/>
    <w:rsid w:val="006F4B94"/>
    <w:rsid w:val="006F4CEC"/>
    <w:rsid w:val="00700B30"/>
    <w:rsid w:val="00700F70"/>
    <w:rsid w:val="007012ED"/>
    <w:rsid w:val="007037B7"/>
    <w:rsid w:val="00704909"/>
    <w:rsid w:val="00706C4F"/>
    <w:rsid w:val="007118D6"/>
    <w:rsid w:val="00713BB5"/>
    <w:rsid w:val="007163B5"/>
    <w:rsid w:val="0071764F"/>
    <w:rsid w:val="007213FC"/>
    <w:rsid w:val="00725D79"/>
    <w:rsid w:val="00726602"/>
    <w:rsid w:val="007275A2"/>
    <w:rsid w:val="007277F3"/>
    <w:rsid w:val="00727DB6"/>
    <w:rsid w:val="007311ED"/>
    <w:rsid w:val="00732486"/>
    <w:rsid w:val="00732761"/>
    <w:rsid w:val="00733399"/>
    <w:rsid w:val="007348FF"/>
    <w:rsid w:val="007351B7"/>
    <w:rsid w:val="00735EE7"/>
    <w:rsid w:val="00741831"/>
    <w:rsid w:val="00751DC4"/>
    <w:rsid w:val="007534DC"/>
    <w:rsid w:val="007534EB"/>
    <w:rsid w:val="00753771"/>
    <w:rsid w:val="007557C4"/>
    <w:rsid w:val="00756180"/>
    <w:rsid w:val="007577DA"/>
    <w:rsid w:val="007578A2"/>
    <w:rsid w:val="00757EF0"/>
    <w:rsid w:val="00760F2F"/>
    <w:rsid w:val="00763227"/>
    <w:rsid w:val="007649A1"/>
    <w:rsid w:val="00767D45"/>
    <w:rsid w:val="00770DDC"/>
    <w:rsid w:val="00772114"/>
    <w:rsid w:val="00775BD1"/>
    <w:rsid w:val="007777DD"/>
    <w:rsid w:val="007850A3"/>
    <w:rsid w:val="007864BD"/>
    <w:rsid w:val="007867B3"/>
    <w:rsid w:val="0079095C"/>
    <w:rsid w:val="00790CBB"/>
    <w:rsid w:val="00791748"/>
    <w:rsid w:val="0079245D"/>
    <w:rsid w:val="0079351F"/>
    <w:rsid w:val="0079401D"/>
    <w:rsid w:val="00794DCD"/>
    <w:rsid w:val="007A06B9"/>
    <w:rsid w:val="007A2ABF"/>
    <w:rsid w:val="007A5CBE"/>
    <w:rsid w:val="007A5D25"/>
    <w:rsid w:val="007A7DB3"/>
    <w:rsid w:val="007A7F27"/>
    <w:rsid w:val="007B191D"/>
    <w:rsid w:val="007B5610"/>
    <w:rsid w:val="007B5718"/>
    <w:rsid w:val="007C0627"/>
    <w:rsid w:val="007C34E7"/>
    <w:rsid w:val="007C7F02"/>
    <w:rsid w:val="007D6007"/>
    <w:rsid w:val="007E2FEA"/>
    <w:rsid w:val="007E619B"/>
    <w:rsid w:val="007F1489"/>
    <w:rsid w:val="00805755"/>
    <w:rsid w:val="008057D5"/>
    <w:rsid w:val="0080642E"/>
    <w:rsid w:val="008067EA"/>
    <w:rsid w:val="0081005C"/>
    <w:rsid w:val="00810BCC"/>
    <w:rsid w:val="008114F9"/>
    <w:rsid w:val="008119AC"/>
    <w:rsid w:val="00811C9F"/>
    <w:rsid w:val="0081302F"/>
    <w:rsid w:val="00813A03"/>
    <w:rsid w:val="00815938"/>
    <w:rsid w:val="0081718D"/>
    <w:rsid w:val="00817373"/>
    <w:rsid w:val="00820065"/>
    <w:rsid w:val="00820CCD"/>
    <w:rsid w:val="0082126E"/>
    <w:rsid w:val="008218EF"/>
    <w:rsid w:val="00823D77"/>
    <w:rsid w:val="00825A2E"/>
    <w:rsid w:val="00825D77"/>
    <w:rsid w:val="00830338"/>
    <w:rsid w:val="00830667"/>
    <w:rsid w:val="00830686"/>
    <w:rsid w:val="0083144C"/>
    <w:rsid w:val="00832DEC"/>
    <w:rsid w:val="008340D3"/>
    <w:rsid w:val="008432D0"/>
    <w:rsid w:val="00844CB6"/>
    <w:rsid w:val="00845B59"/>
    <w:rsid w:val="008460F3"/>
    <w:rsid w:val="0084786E"/>
    <w:rsid w:val="00847A61"/>
    <w:rsid w:val="00850281"/>
    <w:rsid w:val="00852016"/>
    <w:rsid w:val="00853ABC"/>
    <w:rsid w:val="00854111"/>
    <w:rsid w:val="00854EB3"/>
    <w:rsid w:val="008575CF"/>
    <w:rsid w:val="00857B3C"/>
    <w:rsid w:val="00861AE2"/>
    <w:rsid w:val="0086200F"/>
    <w:rsid w:val="008659E0"/>
    <w:rsid w:val="008672B6"/>
    <w:rsid w:val="00871663"/>
    <w:rsid w:val="0087169E"/>
    <w:rsid w:val="008724FA"/>
    <w:rsid w:val="00872FD4"/>
    <w:rsid w:val="00874026"/>
    <w:rsid w:val="008807FD"/>
    <w:rsid w:val="00883C3A"/>
    <w:rsid w:val="008847C7"/>
    <w:rsid w:val="00887871"/>
    <w:rsid w:val="008A3730"/>
    <w:rsid w:val="008B2160"/>
    <w:rsid w:val="008B275A"/>
    <w:rsid w:val="008B3EA0"/>
    <w:rsid w:val="008B3FDD"/>
    <w:rsid w:val="008B7C19"/>
    <w:rsid w:val="008C74CC"/>
    <w:rsid w:val="008D0077"/>
    <w:rsid w:val="008D0150"/>
    <w:rsid w:val="008D0804"/>
    <w:rsid w:val="008D0EA6"/>
    <w:rsid w:val="008D1252"/>
    <w:rsid w:val="008D734C"/>
    <w:rsid w:val="008D7D8F"/>
    <w:rsid w:val="008D7FAF"/>
    <w:rsid w:val="008E01C9"/>
    <w:rsid w:val="008E1A8B"/>
    <w:rsid w:val="008E5584"/>
    <w:rsid w:val="008E580B"/>
    <w:rsid w:val="008E789D"/>
    <w:rsid w:val="008F3B9B"/>
    <w:rsid w:val="00900ED2"/>
    <w:rsid w:val="00903487"/>
    <w:rsid w:val="00903C21"/>
    <w:rsid w:val="009043FD"/>
    <w:rsid w:val="0090576A"/>
    <w:rsid w:val="00907B3C"/>
    <w:rsid w:val="00907BBF"/>
    <w:rsid w:val="009170CD"/>
    <w:rsid w:val="009177B1"/>
    <w:rsid w:val="0092232B"/>
    <w:rsid w:val="009223B2"/>
    <w:rsid w:val="00925A7D"/>
    <w:rsid w:val="00926B17"/>
    <w:rsid w:val="009301B3"/>
    <w:rsid w:val="00930B19"/>
    <w:rsid w:val="0093152C"/>
    <w:rsid w:val="00934203"/>
    <w:rsid w:val="00935C16"/>
    <w:rsid w:val="0093629E"/>
    <w:rsid w:val="00942E90"/>
    <w:rsid w:val="00943264"/>
    <w:rsid w:val="00944428"/>
    <w:rsid w:val="00944745"/>
    <w:rsid w:val="00946AFA"/>
    <w:rsid w:val="009518E4"/>
    <w:rsid w:val="00951FAB"/>
    <w:rsid w:val="00954C1A"/>
    <w:rsid w:val="00965494"/>
    <w:rsid w:val="00972249"/>
    <w:rsid w:val="00973C86"/>
    <w:rsid w:val="00973D86"/>
    <w:rsid w:val="009757C1"/>
    <w:rsid w:val="009778DB"/>
    <w:rsid w:val="00980873"/>
    <w:rsid w:val="00981786"/>
    <w:rsid w:val="0098419B"/>
    <w:rsid w:val="00984D8F"/>
    <w:rsid w:val="00985A33"/>
    <w:rsid w:val="0098607C"/>
    <w:rsid w:val="00986714"/>
    <w:rsid w:val="00986F2B"/>
    <w:rsid w:val="00991882"/>
    <w:rsid w:val="0099390A"/>
    <w:rsid w:val="00996D7B"/>
    <w:rsid w:val="0099722A"/>
    <w:rsid w:val="00997931"/>
    <w:rsid w:val="009A30CF"/>
    <w:rsid w:val="009A41A2"/>
    <w:rsid w:val="009A5421"/>
    <w:rsid w:val="009B2B06"/>
    <w:rsid w:val="009B52F5"/>
    <w:rsid w:val="009C043E"/>
    <w:rsid w:val="009C0DD4"/>
    <w:rsid w:val="009C2BE5"/>
    <w:rsid w:val="009C3722"/>
    <w:rsid w:val="009C396B"/>
    <w:rsid w:val="009C673A"/>
    <w:rsid w:val="009C69CF"/>
    <w:rsid w:val="009D0923"/>
    <w:rsid w:val="009D1363"/>
    <w:rsid w:val="009D4C0E"/>
    <w:rsid w:val="009D7D31"/>
    <w:rsid w:val="009E0B7F"/>
    <w:rsid w:val="009E114F"/>
    <w:rsid w:val="009E1990"/>
    <w:rsid w:val="009E241B"/>
    <w:rsid w:val="009E26E5"/>
    <w:rsid w:val="009E2A60"/>
    <w:rsid w:val="009E2AE4"/>
    <w:rsid w:val="009E67B5"/>
    <w:rsid w:val="009E77E4"/>
    <w:rsid w:val="009F1B7C"/>
    <w:rsid w:val="009F5688"/>
    <w:rsid w:val="009F6039"/>
    <w:rsid w:val="009F7A25"/>
    <w:rsid w:val="00A00139"/>
    <w:rsid w:val="00A06060"/>
    <w:rsid w:val="00A13E57"/>
    <w:rsid w:val="00A14066"/>
    <w:rsid w:val="00A143BE"/>
    <w:rsid w:val="00A14C21"/>
    <w:rsid w:val="00A15ACF"/>
    <w:rsid w:val="00A160D1"/>
    <w:rsid w:val="00A21FD3"/>
    <w:rsid w:val="00A22DD9"/>
    <w:rsid w:val="00A25494"/>
    <w:rsid w:val="00A327C3"/>
    <w:rsid w:val="00A37542"/>
    <w:rsid w:val="00A429D0"/>
    <w:rsid w:val="00A47876"/>
    <w:rsid w:val="00A47C44"/>
    <w:rsid w:val="00A501BE"/>
    <w:rsid w:val="00A51450"/>
    <w:rsid w:val="00A57579"/>
    <w:rsid w:val="00A62458"/>
    <w:rsid w:val="00A72A42"/>
    <w:rsid w:val="00A730ED"/>
    <w:rsid w:val="00A7346D"/>
    <w:rsid w:val="00A73B25"/>
    <w:rsid w:val="00A76077"/>
    <w:rsid w:val="00A761C0"/>
    <w:rsid w:val="00A76E63"/>
    <w:rsid w:val="00A804E2"/>
    <w:rsid w:val="00A8062B"/>
    <w:rsid w:val="00A839CD"/>
    <w:rsid w:val="00A83ABB"/>
    <w:rsid w:val="00A84777"/>
    <w:rsid w:val="00A85C60"/>
    <w:rsid w:val="00A871F9"/>
    <w:rsid w:val="00A87AA4"/>
    <w:rsid w:val="00A87D77"/>
    <w:rsid w:val="00A909B1"/>
    <w:rsid w:val="00A90FFA"/>
    <w:rsid w:val="00A927CE"/>
    <w:rsid w:val="00A929E0"/>
    <w:rsid w:val="00A9550F"/>
    <w:rsid w:val="00AA3B96"/>
    <w:rsid w:val="00AA6200"/>
    <w:rsid w:val="00AA7231"/>
    <w:rsid w:val="00AB268F"/>
    <w:rsid w:val="00AB2717"/>
    <w:rsid w:val="00AB2FA0"/>
    <w:rsid w:val="00AB309A"/>
    <w:rsid w:val="00AB4612"/>
    <w:rsid w:val="00AB5A1B"/>
    <w:rsid w:val="00AC1278"/>
    <w:rsid w:val="00AC170E"/>
    <w:rsid w:val="00AC4626"/>
    <w:rsid w:val="00AC6154"/>
    <w:rsid w:val="00AD063E"/>
    <w:rsid w:val="00AD3CD6"/>
    <w:rsid w:val="00AD44BF"/>
    <w:rsid w:val="00AD6898"/>
    <w:rsid w:val="00AD6A36"/>
    <w:rsid w:val="00AD70D0"/>
    <w:rsid w:val="00AD7F59"/>
    <w:rsid w:val="00AE0A40"/>
    <w:rsid w:val="00AE2128"/>
    <w:rsid w:val="00AE39F1"/>
    <w:rsid w:val="00AE3A1D"/>
    <w:rsid w:val="00AE4F15"/>
    <w:rsid w:val="00AE4FE4"/>
    <w:rsid w:val="00AF0D6D"/>
    <w:rsid w:val="00AF0E42"/>
    <w:rsid w:val="00AF1CAA"/>
    <w:rsid w:val="00AF3EFA"/>
    <w:rsid w:val="00AF465F"/>
    <w:rsid w:val="00AF79FB"/>
    <w:rsid w:val="00AF7C7E"/>
    <w:rsid w:val="00B015EF"/>
    <w:rsid w:val="00B042B4"/>
    <w:rsid w:val="00B04C8E"/>
    <w:rsid w:val="00B05263"/>
    <w:rsid w:val="00B05ECB"/>
    <w:rsid w:val="00B0637B"/>
    <w:rsid w:val="00B06467"/>
    <w:rsid w:val="00B06D02"/>
    <w:rsid w:val="00B06D75"/>
    <w:rsid w:val="00B07304"/>
    <w:rsid w:val="00B11DE0"/>
    <w:rsid w:val="00B1367B"/>
    <w:rsid w:val="00B13871"/>
    <w:rsid w:val="00B14DA7"/>
    <w:rsid w:val="00B17C5B"/>
    <w:rsid w:val="00B2075C"/>
    <w:rsid w:val="00B2336D"/>
    <w:rsid w:val="00B234A0"/>
    <w:rsid w:val="00B23B4C"/>
    <w:rsid w:val="00B24E35"/>
    <w:rsid w:val="00B257F2"/>
    <w:rsid w:val="00B25B2A"/>
    <w:rsid w:val="00B2747F"/>
    <w:rsid w:val="00B3194E"/>
    <w:rsid w:val="00B331B4"/>
    <w:rsid w:val="00B369CE"/>
    <w:rsid w:val="00B47BA0"/>
    <w:rsid w:val="00B504AD"/>
    <w:rsid w:val="00B524F4"/>
    <w:rsid w:val="00B52755"/>
    <w:rsid w:val="00B54C96"/>
    <w:rsid w:val="00B62BA4"/>
    <w:rsid w:val="00B673C2"/>
    <w:rsid w:val="00B77BDD"/>
    <w:rsid w:val="00B82787"/>
    <w:rsid w:val="00B8722A"/>
    <w:rsid w:val="00B92FC7"/>
    <w:rsid w:val="00B95E8D"/>
    <w:rsid w:val="00BA34D3"/>
    <w:rsid w:val="00BB3AB1"/>
    <w:rsid w:val="00BC0675"/>
    <w:rsid w:val="00BC07EF"/>
    <w:rsid w:val="00BC0F0A"/>
    <w:rsid w:val="00BC3F6B"/>
    <w:rsid w:val="00BC5A67"/>
    <w:rsid w:val="00BC7D01"/>
    <w:rsid w:val="00BD0132"/>
    <w:rsid w:val="00BD62B0"/>
    <w:rsid w:val="00BD66BF"/>
    <w:rsid w:val="00BD6ADF"/>
    <w:rsid w:val="00BE64B5"/>
    <w:rsid w:val="00BE70D1"/>
    <w:rsid w:val="00BF0C6C"/>
    <w:rsid w:val="00BF1980"/>
    <w:rsid w:val="00BF238B"/>
    <w:rsid w:val="00BF511A"/>
    <w:rsid w:val="00BF56EE"/>
    <w:rsid w:val="00BF6753"/>
    <w:rsid w:val="00C0068C"/>
    <w:rsid w:val="00C030DE"/>
    <w:rsid w:val="00C036C1"/>
    <w:rsid w:val="00C12249"/>
    <w:rsid w:val="00C12449"/>
    <w:rsid w:val="00C13046"/>
    <w:rsid w:val="00C13B5A"/>
    <w:rsid w:val="00C14DA1"/>
    <w:rsid w:val="00C16153"/>
    <w:rsid w:val="00C205FA"/>
    <w:rsid w:val="00C22514"/>
    <w:rsid w:val="00C25E60"/>
    <w:rsid w:val="00C25FA2"/>
    <w:rsid w:val="00C3000E"/>
    <w:rsid w:val="00C33147"/>
    <w:rsid w:val="00C33846"/>
    <w:rsid w:val="00C34086"/>
    <w:rsid w:val="00C36156"/>
    <w:rsid w:val="00C37A01"/>
    <w:rsid w:val="00C409CE"/>
    <w:rsid w:val="00C41143"/>
    <w:rsid w:val="00C41177"/>
    <w:rsid w:val="00C44D4D"/>
    <w:rsid w:val="00C53AE0"/>
    <w:rsid w:val="00C55EFB"/>
    <w:rsid w:val="00C564C0"/>
    <w:rsid w:val="00C56808"/>
    <w:rsid w:val="00C60638"/>
    <w:rsid w:val="00C6146D"/>
    <w:rsid w:val="00C6176E"/>
    <w:rsid w:val="00C63551"/>
    <w:rsid w:val="00C63A82"/>
    <w:rsid w:val="00C63FF8"/>
    <w:rsid w:val="00C65A98"/>
    <w:rsid w:val="00C7054B"/>
    <w:rsid w:val="00C7162B"/>
    <w:rsid w:val="00C72BFF"/>
    <w:rsid w:val="00C75307"/>
    <w:rsid w:val="00C7607A"/>
    <w:rsid w:val="00C76675"/>
    <w:rsid w:val="00C77514"/>
    <w:rsid w:val="00C804CB"/>
    <w:rsid w:val="00C81D8F"/>
    <w:rsid w:val="00C81E42"/>
    <w:rsid w:val="00C84BE5"/>
    <w:rsid w:val="00C84C90"/>
    <w:rsid w:val="00C861D5"/>
    <w:rsid w:val="00C86CBB"/>
    <w:rsid w:val="00C943FB"/>
    <w:rsid w:val="00CA0CC8"/>
    <w:rsid w:val="00CA1DD0"/>
    <w:rsid w:val="00CA20BF"/>
    <w:rsid w:val="00CA3C11"/>
    <w:rsid w:val="00CA6533"/>
    <w:rsid w:val="00CB29A7"/>
    <w:rsid w:val="00CB2F0A"/>
    <w:rsid w:val="00CB52BC"/>
    <w:rsid w:val="00CB5EB1"/>
    <w:rsid w:val="00CB6154"/>
    <w:rsid w:val="00CB6CC8"/>
    <w:rsid w:val="00CB7B10"/>
    <w:rsid w:val="00CB7EFC"/>
    <w:rsid w:val="00CC005E"/>
    <w:rsid w:val="00CC295D"/>
    <w:rsid w:val="00CC3D37"/>
    <w:rsid w:val="00CC5B63"/>
    <w:rsid w:val="00CD19BB"/>
    <w:rsid w:val="00CD2A47"/>
    <w:rsid w:val="00CE06F0"/>
    <w:rsid w:val="00CE0B5C"/>
    <w:rsid w:val="00CE2009"/>
    <w:rsid w:val="00CE37E3"/>
    <w:rsid w:val="00CF00D5"/>
    <w:rsid w:val="00CF25D6"/>
    <w:rsid w:val="00CF70F4"/>
    <w:rsid w:val="00D000C0"/>
    <w:rsid w:val="00D03A06"/>
    <w:rsid w:val="00D06989"/>
    <w:rsid w:val="00D12327"/>
    <w:rsid w:val="00D131B3"/>
    <w:rsid w:val="00D13D9A"/>
    <w:rsid w:val="00D14C61"/>
    <w:rsid w:val="00D1548C"/>
    <w:rsid w:val="00D224C4"/>
    <w:rsid w:val="00D26F9E"/>
    <w:rsid w:val="00D31031"/>
    <w:rsid w:val="00D33C25"/>
    <w:rsid w:val="00D378CC"/>
    <w:rsid w:val="00D40F09"/>
    <w:rsid w:val="00D41940"/>
    <w:rsid w:val="00D4218C"/>
    <w:rsid w:val="00D4266E"/>
    <w:rsid w:val="00D501DC"/>
    <w:rsid w:val="00D52AB3"/>
    <w:rsid w:val="00D52BAE"/>
    <w:rsid w:val="00D530E8"/>
    <w:rsid w:val="00D53246"/>
    <w:rsid w:val="00D54ECE"/>
    <w:rsid w:val="00D57583"/>
    <w:rsid w:val="00D57B59"/>
    <w:rsid w:val="00D60030"/>
    <w:rsid w:val="00D61091"/>
    <w:rsid w:val="00D614CE"/>
    <w:rsid w:val="00D62061"/>
    <w:rsid w:val="00D6715F"/>
    <w:rsid w:val="00D70E22"/>
    <w:rsid w:val="00D71C20"/>
    <w:rsid w:val="00D71D37"/>
    <w:rsid w:val="00D74F13"/>
    <w:rsid w:val="00D754E2"/>
    <w:rsid w:val="00D756DC"/>
    <w:rsid w:val="00D81611"/>
    <w:rsid w:val="00D817F9"/>
    <w:rsid w:val="00D824A9"/>
    <w:rsid w:val="00D84F14"/>
    <w:rsid w:val="00D8618D"/>
    <w:rsid w:val="00D869C2"/>
    <w:rsid w:val="00D86B78"/>
    <w:rsid w:val="00D86FCB"/>
    <w:rsid w:val="00D92031"/>
    <w:rsid w:val="00D92070"/>
    <w:rsid w:val="00D94434"/>
    <w:rsid w:val="00D95762"/>
    <w:rsid w:val="00DA0112"/>
    <w:rsid w:val="00DA32D7"/>
    <w:rsid w:val="00DA450A"/>
    <w:rsid w:val="00DB09F4"/>
    <w:rsid w:val="00DB0A64"/>
    <w:rsid w:val="00DB1981"/>
    <w:rsid w:val="00DB7978"/>
    <w:rsid w:val="00DC1C00"/>
    <w:rsid w:val="00DC3628"/>
    <w:rsid w:val="00DC4845"/>
    <w:rsid w:val="00DC6C7D"/>
    <w:rsid w:val="00DD1EA1"/>
    <w:rsid w:val="00DD34AB"/>
    <w:rsid w:val="00DD384A"/>
    <w:rsid w:val="00DD4154"/>
    <w:rsid w:val="00DD6437"/>
    <w:rsid w:val="00DE00DA"/>
    <w:rsid w:val="00DE038B"/>
    <w:rsid w:val="00DE3BB1"/>
    <w:rsid w:val="00DE3F41"/>
    <w:rsid w:val="00DE69FD"/>
    <w:rsid w:val="00DF2ABC"/>
    <w:rsid w:val="00DF4BB8"/>
    <w:rsid w:val="00DF5DEB"/>
    <w:rsid w:val="00DF7F04"/>
    <w:rsid w:val="00E02CDA"/>
    <w:rsid w:val="00E03466"/>
    <w:rsid w:val="00E040CC"/>
    <w:rsid w:val="00E072A6"/>
    <w:rsid w:val="00E11032"/>
    <w:rsid w:val="00E11B80"/>
    <w:rsid w:val="00E12A9C"/>
    <w:rsid w:val="00E12BC1"/>
    <w:rsid w:val="00E13A51"/>
    <w:rsid w:val="00E1472E"/>
    <w:rsid w:val="00E15DB0"/>
    <w:rsid w:val="00E17442"/>
    <w:rsid w:val="00E20DEC"/>
    <w:rsid w:val="00E235B3"/>
    <w:rsid w:val="00E2444F"/>
    <w:rsid w:val="00E2476C"/>
    <w:rsid w:val="00E25572"/>
    <w:rsid w:val="00E30097"/>
    <w:rsid w:val="00E30F06"/>
    <w:rsid w:val="00E3141D"/>
    <w:rsid w:val="00E4385F"/>
    <w:rsid w:val="00E44EB1"/>
    <w:rsid w:val="00E47DAC"/>
    <w:rsid w:val="00E506A0"/>
    <w:rsid w:val="00E55234"/>
    <w:rsid w:val="00E603D2"/>
    <w:rsid w:val="00E648B0"/>
    <w:rsid w:val="00E6614F"/>
    <w:rsid w:val="00E670FA"/>
    <w:rsid w:val="00E71A96"/>
    <w:rsid w:val="00E71E2B"/>
    <w:rsid w:val="00E722DB"/>
    <w:rsid w:val="00E73550"/>
    <w:rsid w:val="00E73F62"/>
    <w:rsid w:val="00E7638C"/>
    <w:rsid w:val="00E76D4C"/>
    <w:rsid w:val="00E80AAA"/>
    <w:rsid w:val="00E84E7A"/>
    <w:rsid w:val="00E9167F"/>
    <w:rsid w:val="00E91BD0"/>
    <w:rsid w:val="00E9285B"/>
    <w:rsid w:val="00E93229"/>
    <w:rsid w:val="00E952D7"/>
    <w:rsid w:val="00E956D4"/>
    <w:rsid w:val="00E97642"/>
    <w:rsid w:val="00EA30C9"/>
    <w:rsid w:val="00EA4648"/>
    <w:rsid w:val="00EB269F"/>
    <w:rsid w:val="00EB2946"/>
    <w:rsid w:val="00EB449B"/>
    <w:rsid w:val="00EB5BE0"/>
    <w:rsid w:val="00EB734E"/>
    <w:rsid w:val="00EC4D01"/>
    <w:rsid w:val="00EC4E7A"/>
    <w:rsid w:val="00EC4F8F"/>
    <w:rsid w:val="00EC71CE"/>
    <w:rsid w:val="00ED06BC"/>
    <w:rsid w:val="00ED1573"/>
    <w:rsid w:val="00ED3C3E"/>
    <w:rsid w:val="00ED41C7"/>
    <w:rsid w:val="00ED4B00"/>
    <w:rsid w:val="00ED675F"/>
    <w:rsid w:val="00ED7EE4"/>
    <w:rsid w:val="00EE072F"/>
    <w:rsid w:val="00EE2E70"/>
    <w:rsid w:val="00EE60EC"/>
    <w:rsid w:val="00EE6A0A"/>
    <w:rsid w:val="00EE76EC"/>
    <w:rsid w:val="00EF42DD"/>
    <w:rsid w:val="00EF4927"/>
    <w:rsid w:val="00F00246"/>
    <w:rsid w:val="00F00E02"/>
    <w:rsid w:val="00F05A99"/>
    <w:rsid w:val="00F068D4"/>
    <w:rsid w:val="00F074DE"/>
    <w:rsid w:val="00F14721"/>
    <w:rsid w:val="00F22902"/>
    <w:rsid w:val="00F24C90"/>
    <w:rsid w:val="00F24E72"/>
    <w:rsid w:val="00F268B1"/>
    <w:rsid w:val="00F279F4"/>
    <w:rsid w:val="00F3051D"/>
    <w:rsid w:val="00F30C14"/>
    <w:rsid w:val="00F31BD0"/>
    <w:rsid w:val="00F337FF"/>
    <w:rsid w:val="00F35C4A"/>
    <w:rsid w:val="00F3655D"/>
    <w:rsid w:val="00F37282"/>
    <w:rsid w:val="00F40056"/>
    <w:rsid w:val="00F41088"/>
    <w:rsid w:val="00F4452E"/>
    <w:rsid w:val="00F46105"/>
    <w:rsid w:val="00F475C3"/>
    <w:rsid w:val="00F47848"/>
    <w:rsid w:val="00F478EF"/>
    <w:rsid w:val="00F519CC"/>
    <w:rsid w:val="00F52E01"/>
    <w:rsid w:val="00F560A4"/>
    <w:rsid w:val="00F6216D"/>
    <w:rsid w:val="00F64994"/>
    <w:rsid w:val="00F64FE2"/>
    <w:rsid w:val="00F66598"/>
    <w:rsid w:val="00F71685"/>
    <w:rsid w:val="00F73F72"/>
    <w:rsid w:val="00F76016"/>
    <w:rsid w:val="00F76324"/>
    <w:rsid w:val="00F8064F"/>
    <w:rsid w:val="00F80CFB"/>
    <w:rsid w:val="00F82095"/>
    <w:rsid w:val="00F82734"/>
    <w:rsid w:val="00F82AF8"/>
    <w:rsid w:val="00F8378C"/>
    <w:rsid w:val="00F8473C"/>
    <w:rsid w:val="00F86A30"/>
    <w:rsid w:val="00F90A69"/>
    <w:rsid w:val="00F918E1"/>
    <w:rsid w:val="00F91DB7"/>
    <w:rsid w:val="00F9209D"/>
    <w:rsid w:val="00F92426"/>
    <w:rsid w:val="00F95F30"/>
    <w:rsid w:val="00F96297"/>
    <w:rsid w:val="00F97D53"/>
    <w:rsid w:val="00FA00C2"/>
    <w:rsid w:val="00FA6C51"/>
    <w:rsid w:val="00FB0062"/>
    <w:rsid w:val="00FB27F4"/>
    <w:rsid w:val="00FB7FDA"/>
    <w:rsid w:val="00FC201A"/>
    <w:rsid w:val="00FC2D36"/>
    <w:rsid w:val="00FC338A"/>
    <w:rsid w:val="00FC72A9"/>
    <w:rsid w:val="00FC7A72"/>
    <w:rsid w:val="00FD01A3"/>
    <w:rsid w:val="00FE7880"/>
    <w:rsid w:val="00FF04BA"/>
    <w:rsid w:val="00FF3979"/>
    <w:rsid w:val="00FF682A"/>
    <w:rsid w:val="00FF7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974A"/>
  <w15:chartTrackingRefBased/>
  <w15:docId w15:val="{BD9012E7-C02D-4582-B278-F0D6ABE9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69"/>
    <w:pPr>
      <w:ind w:left="720"/>
      <w:contextualSpacing/>
    </w:pPr>
  </w:style>
  <w:style w:type="paragraph" w:styleId="FootnoteText">
    <w:name w:val="footnote text"/>
    <w:basedOn w:val="Normal"/>
    <w:link w:val="FootnoteTextChar"/>
    <w:uiPriority w:val="99"/>
    <w:semiHidden/>
    <w:unhideWhenUsed/>
    <w:rsid w:val="00D957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762"/>
    <w:rPr>
      <w:sz w:val="20"/>
      <w:szCs w:val="20"/>
    </w:rPr>
  </w:style>
  <w:style w:type="character" w:styleId="FootnoteReference">
    <w:name w:val="footnote reference"/>
    <w:basedOn w:val="DefaultParagraphFont"/>
    <w:uiPriority w:val="99"/>
    <w:semiHidden/>
    <w:unhideWhenUsed/>
    <w:rsid w:val="00D95762"/>
    <w:rPr>
      <w:vertAlign w:val="superscript"/>
    </w:rPr>
  </w:style>
  <w:style w:type="paragraph" w:styleId="Revision">
    <w:name w:val="Revision"/>
    <w:hidden/>
    <w:uiPriority w:val="99"/>
    <w:semiHidden/>
    <w:rsid w:val="000D243D"/>
    <w:pPr>
      <w:spacing w:after="0" w:line="240" w:lineRule="auto"/>
    </w:pPr>
  </w:style>
  <w:style w:type="table" w:styleId="TableGrid">
    <w:name w:val="Table Grid"/>
    <w:basedOn w:val="TableNormal"/>
    <w:uiPriority w:val="39"/>
    <w:rsid w:val="00F47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37680">
      <w:bodyDiv w:val="1"/>
      <w:marLeft w:val="0"/>
      <w:marRight w:val="0"/>
      <w:marTop w:val="0"/>
      <w:marBottom w:val="0"/>
      <w:divBdr>
        <w:top w:val="none" w:sz="0" w:space="0" w:color="auto"/>
        <w:left w:val="none" w:sz="0" w:space="0" w:color="auto"/>
        <w:bottom w:val="none" w:sz="0" w:space="0" w:color="auto"/>
        <w:right w:val="none" w:sz="0" w:space="0" w:color="auto"/>
      </w:divBdr>
    </w:div>
    <w:div w:id="87021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97F2-9C9D-4548-A8F8-183C7130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3361</Words>
  <Characters>19163</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Paudric Osborne</dc:creator>
  <cp:keywords/>
  <dc:description/>
  <cp:lastModifiedBy>Iona Mayhew</cp:lastModifiedBy>
  <cp:revision>2</cp:revision>
  <cp:lastPrinted>2023-11-06T15:12:00Z</cp:lastPrinted>
  <dcterms:created xsi:type="dcterms:W3CDTF">2023-11-08T09:41:00Z</dcterms:created>
  <dcterms:modified xsi:type="dcterms:W3CDTF">2023-11-08T09:41:00Z</dcterms:modified>
</cp:coreProperties>
</file>