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153D" w14:textId="24D249AA" w:rsidR="00D541EC" w:rsidRPr="00C41068" w:rsidRDefault="00B72EE2" w:rsidP="00B50390">
      <w:pPr>
        <w:pStyle w:val="PublicationTitle"/>
      </w:pPr>
      <w:sdt>
        <w:sdtPr>
          <w:alias w:val="Title"/>
          <w:tag w:val=""/>
          <w:id w:val="1541702955"/>
          <w:placeholder>
            <w:docPart w:val="40BFCA39A43E48BD8CEE867EFD5E0556"/>
          </w:placeholder>
          <w:dataBinding w:prefixMappings="xmlns:ns0='http://purl.org/dc/elements/1.1/' xmlns:ns1='http://schemas.openxmlformats.org/package/2006/metadata/core-properties' " w:xpath="/ns1:coreProperties[1]/ns0:title[1]" w:storeItemID="{6C3C8BC8-F283-45AE-878A-BAB7291924A1}"/>
          <w:text/>
        </w:sdtPr>
        <w:sdtEndPr/>
        <w:sdtContent>
          <w:r w:rsidR="00EB48D2">
            <w:t xml:space="preserve">NRAC GP </w:t>
          </w:r>
          <w:r w:rsidR="00631FE9">
            <w:t>o</w:t>
          </w:r>
          <w:r w:rsidR="00EB48D2">
            <w:t xml:space="preserve">ut of </w:t>
          </w:r>
          <w:r w:rsidR="00631FE9">
            <w:t>h</w:t>
          </w:r>
          <w:r w:rsidR="00EB48D2">
            <w:t xml:space="preserve">ours </w:t>
          </w:r>
          <w:r w:rsidR="00631FE9">
            <w:t>a</w:t>
          </w:r>
          <w:r w:rsidR="00EB48D2">
            <w:t>djustment</w:t>
          </w:r>
          <w:r w:rsidR="00631FE9">
            <w:t xml:space="preserve"> - update</w:t>
          </w:r>
        </w:sdtContent>
      </w:sdt>
    </w:p>
    <w:p w14:paraId="4E299BB4" w14:textId="3A6AEE1A" w:rsidR="0042012F" w:rsidRPr="00AD3C9A" w:rsidRDefault="00296B94" w:rsidP="00AD3C9A">
      <w:pPr>
        <w:pStyle w:val="Heading1"/>
        <w:rPr>
          <w:rStyle w:val="Bold"/>
          <w:rFonts w:cstheme="majorBidi"/>
          <w:b/>
          <w:color w:val="43358B"/>
        </w:rPr>
      </w:pPr>
      <w:bookmarkStart w:id="0" w:name="_Toc73509423"/>
      <w:bookmarkStart w:id="1" w:name="_Toc86067435"/>
      <w:bookmarkStart w:id="2" w:name="_Hlk105070119"/>
      <w:r>
        <w:t>For attention of TAGRA</w:t>
      </w:r>
      <w:r w:rsidR="00090B83">
        <w:t xml:space="preserve"> (</w:t>
      </w:r>
      <w:r w:rsidR="0042182B">
        <w:t>November</w:t>
      </w:r>
      <w:r w:rsidR="00090B83">
        <w:t xml:space="preserve"> 2023)</w:t>
      </w:r>
    </w:p>
    <w:bookmarkEnd w:id="0"/>
    <w:bookmarkEnd w:id="1"/>
    <w:p w14:paraId="2D471A5D" w14:textId="158062BF" w:rsidR="00C11602" w:rsidRPr="00780900" w:rsidRDefault="00113708" w:rsidP="00C11602">
      <w:pPr>
        <w:pStyle w:val="Heading1"/>
      </w:pPr>
      <w:r>
        <w:t>Purpose</w:t>
      </w:r>
    </w:p>
    <w:p w14:paraId="29D1B4AF" w14:textId="1DCE8CA4" w:rsidR="00B81175" w:rsidRDefault="00631FE9" w:rsidP="00090B83">
      <w:r>
        <w:t>The main purpose of this paper is to</w:t>
      </w:r>
      <w:r w:rsidR="00B81175">
        <w:t xml:space="preserve"> provide a </w:t>
      </w:r>
      <w:r w:rsidR="00101C4F">
        <w:t>summary</w:t>
      </w:r>
      <w:r w:rsidR="00B81175">
        <w:t xml:space="preserve"> of how the GP out of hours (OoH) adjustment is</w:t>
      </w:r>
      <w:r w:rsidR="00C90670">
        <w:t xml:space="preserve"> currently</w:t>
      </w:r>
      <w:r w:rsidR="00B81175">
        <w:t xml:space="preserve"> </w:t>
      </w:r>
      <w:r w:rsidR="007869FB">
        <w:t xml:space="preserve">calculated and </w:t>
      </w:r>
      <w:r w:rsidR="002D042A">
        <w:t>incorporated into</w:t>
      </w:r>
      <w:r w:rsidR="00B81175">
        <w:t xml:space="preserve"> the NRAC Formula and</w:t>
      </w:r>
      <w:r w:rsidR="005D005B">
        <w:t xml:space="preserve"> to</w:t>
      </w:r>
      <w:r w:rsidR="00B81175">
        <w:t xml:space="preserve"> subsequently raise two points of discussion for the consideration of TAGRA:</w:t>
      </w:r>
    </w:p>
    <w:p w14:paraId="25BCBCC3" w14:textId="5C5BD25C" w:rsidR="00631FE9" w:rsidRDefault="00B81175" w:rsidP="00090B83">
      <w:pPr>
        <w:pStyle w:val="Bulletnumbered1123"/>
      </w:pPr>
      <w:r>
        <w:t>The Scottish Allocation Formula (SAF) data used to calculate the GP</w:t>
      </w:r>
      <w:r w:rsidR="00F3295F">
        <w:t>-</w:t>
      </w:r>
      <w:r>
        <w:t>O</w:t>
      </w:r>
      <w:r w:rsidR="005D005B">
        <w:t>oH adjustment cannot be updated beyond 2017/18</w:t>
      </w:r>
      <w:r w:rsidR="00C42229">
        <w:t>. T</w:t>
      </w:r>
      <w:r w:rsidR="00435D7D">
        <w:t xml:space="preserve">he SAF was replaced by the Scottish Workload Formula (SWF) which does </w:t>
      </w:r>
      <w:r w:rsidR="00B50390">
        <w:t xml:space="preserve">not </w:t>
      </w:r>
      <w:r w:rsidR="00C42229">
        <w:t>include the</w:t>
      </w:r>
      <w:r w:rsidR="00435D7D">
        <w:t xml:space="preserve"> remote and rurality </w:t>
      </w:r>
      <w:r w:rsidR="00C42229">
        <w:t>component which is required for the GP-OoH adjustment in the NRAC Formula</w:t>
      </w:r>
      <w:r w:rsidR="00435D7D">
        <w:t xml:space="preserve">. </w:t>
      </w:r>
      <w:r w:rsidR="005D005B" w:rsidRPr="00530D31">
        <w:t>Th</w:t>
      </w:r>
      <w:r w:rsidR="005D005B">
        <w:t>is presents a risk</w:t>
      </w:r>
      <w:r w:rsidR="005D005B" w:rsidRPr="00530D31">
        <w:t xml:space="preserve"> that using out-of-date SAF data </w:t>
      </w:r>
      <w:r w:rsidR="005D005B">
        <w:t>will</w:t>
      </w:r>
      <w:r w:rsidR="005D005B" w:rsidRPr="00530D31">
        <w:t xml:space="preserve"> not reflect changes </w:t>
      </w:r>
      <w:r w:rsidR="005D005B">
        <w:t xml:space="preserve">that may have occurred in the intervening years in terms of the geographical </w:t>
      </w:r>
      <w:r w:rsidR="005D005B" w:rsidRPr="00530D31">
        <w:t>distribution of need for GP</w:t>
      </w:r>
      <w:r w:rsidR="00F3295F">
        <w:t>-</w:t>
      </w:r>
      <w:r w:rsidR="005D005B" w:rsidRPr="00530D31">
        <w:t>OoH services</w:t>
      </w:r>
      <w:r w:rsidR="005D005B">
        <w:t>.</w:t>
      </w:r>
    </w:p>
    <w:p w14:paraId="316FDE1C" w14:textId="0B8CC6F2" w:rsidR="00804DDC" w:rsidRDefault="00101C4F" w:rsidP="00804DDC">
      <w:pPr>
        <w:pStyle w:val="Bulletnumbered1123"/>
      </w:pPr>
      <w:r>
        <w:t>R</w:t>
      </w:r>
      <w:r w:rsidR="005D005B">
        <w:t>eview proposed changes to the methodology used for calculating the GP</w:t>
      </w:r>
      <w:r w:rsidR="00F3295F">
        <w:t>-</w:t>
      </w:r>
      <w:r w:rsidR="005D005B">
        <w:t>OoH adjustment for the NRAC target shares for Health and Social Care Partnerships (HSCPs)</w:t>
      </w:r>
      <w:r w:rsidR="00804DDC">
        <w:t>. These changes would</w:t>
      </w:r>
      <w:r w:rsidR="00A254C3">
        <w:t xml:space="preserve"> see a</w:t>
      </w:r>
      <w:r w:rsidR="00752A67">
        <w:t xml:space="preserve"> specific</w:t>
      </w:r>
      <w:r w:rsidR="00A254C3">
        <w:t xml:space="preserve"> OoH</w:t>
      </w:r>
      <w:r w:rsidR="004B4B40">
        <w:t>-</w:t>
      </w:r>
      <w:r w:rsidR="00A254C3">
        <w:t xml:space="preserve">adjustment produced for each HSCP, rather than using the </w:t>
      </w:r>
      <w:r w:rsidR="003F5FFA">
        <w:t>b</w:t>
      </w:r>
      <w:r w:rsidR="00A254C3">
        <w:t>oard-level adjustment where the HSCP is locat</w:t>
      </w:r>
      <w:r w:rsidR="00752A67">
        <w:t>ed</w:t>
      </w:r>
      <w:r w:rsidR="00A254C3">
        <w:t>, and would</w:t>
      </w:r>
      <w:r w:rsidR="00804DDC">
        <w:t xml:space="preserve"> </w:t>
      </w:r>
      <w:r w:rsidR="00596075">
        <w:t>be used</w:t>
      </w:r>
      <w:r w:rsidR="00804DDC">
        <w:t xml:space="preserve"> to</w:t>
      </w:r>
      <w:r w:rsidR="00596075">
        <w:t xml:space="preserve"> calculate</w:t>
      </w:r>
      <w:r w:rsidR="00804DDC">
        <w:t xml:space="preserve"> HSCP target shares from 2024/25 onwards.</w:t>
      </w:r>
      <w:r w:rsidR="005D005B">
        <w:t xml:space="preserve"> </w:t>
      </w:r>
    </w:p>
    <w:p w14:paraId="37BEB5C3" w14:textId="0C980564" w:rsidR="00804DDC" w:rsidRDefault="003F5FFA" w:rsidP="00090B83">
      <w:r>
        <w:lastRenderedPageBreak/>
        <w:t>D</w:t>
      </w:r>
      <w:r w:rsidR="00752A67">
        <w:t>etailed</w:t>
      </w:r>
      <w:r w:rsidR="00A254C3">
        <w:t xml:space="preserve"> information and accompanying analysis </w:t>
      </w:r>
      <w:r w:rsidR="00752A67">
        <w:t>are</w:t>
      </w:r>
      <w:r w:rsidR="00A254C3">
        <w:t xml:space="preserve"> presented below to support discussion of these points.</w:t>
      </w:r>
    </w:p>
    <w:p w14:paraId="6FFA2765" w14:textId="51853FF1" w:rsidR="00FD3150" w:rsidRDefault="00FD3150" w:rsidP="00FD3150">
      <w:pPr>
        <w:pStyle w:val="Heading2"/>
      </w:pPr>
      <w:r>
        <w:t xml:space="preserve">Calculation of </w:t>
      </w:r>
      <w:r w:rsidR="00113708">
        <w:t>the</w:t>
      </w:r>
      <w:r>
        <w:t xml:space="preserve"> GP</w:t>
      </w:r>
      <w:r w:rsidR="00F3295F">
        <w:t>-</w:t>
      </w:r>
      <w:r w:rsidR="00AD2493">
        <w:t>OoH</w:t>
      </w:r>
      <w:r>
        <w:t xml:space="preserve"> adjustment</w:t>
      </w:r>
      <w:r w:rsidR="00AD2493">
        <w:t xml:space="preserve"> </w:t>
      </w:r>
      <w:r w:rsidR="00101C4F">
        <w:t>in the NRAC Formula</w:t>
      </w:r>
    </w:p>
    <w:p w14:paraId="739D068A" w14:textId="16C46DF6" w:rsidR="007D4301" w:rsidRDefault="00113708" w:rsidP="004B6732">
      <w:r>
        <w:t>In 2011, the Remote and Rural subgroup</w:t>
      </w:r>
      <w:r w:rsidR="002E11C0">
        <w:rPr>
          <w:rStyle w:val="FootnoteReference"/>
        </w:rPr>
        <w:footnoteReference w:id="2"/>
      </w:r>
      <w:r>
        <w:t xml:space="preserve"> of TAGRA was </w:t>
      </w:r>
      <w:r w:rsidR="00F878B3">
        <w:t>established with a remit to recommend changes to the excess cost adjustment of the NRAC formula. Their work focused on three main areas, one of which was to develop an adjustment which explicitly recognise</w:t>
      </w:r>
      <w:r w:rsidR="00C17937">
        <w:t>d</w:t>
      </w:r>
      <w:r w:rsidR="00F878B3">
        <w:t xml:space="preserve"> GP</w:t>
      </w:r>
      <w:r w:rsidR="00F3295F">
        <w:t>-</w:t>
      </w:r>
      <w:r w:rsidR="00A87AF7">
        <w:t>OoH</w:t>
      </w:r>
      <w:r w:rsidR="00F878B3">
        <w:t xml:space="preserve"> services</w:t>
      </w:r>
      <w:r w:rsidR="000C38EA">
        <w:t xml:space="preserve"> </w:t>
      </w:r>
      <w:r w:rsidR="00A31370">
        <w:t>and</w:t>
      </w:r>
      <w:r w:rsidR="00C17937">
        <w:t xml:space="preserve"> reflect</w:t>
      </w:r>
      <w:r w:rsidR="00A31370">
        <w:t>ed</w:t>
      </w:r>
      <w:r w:rsidR="00C17937">
        <w:t xml:space="preserve"> the lack of economies of scale in delivering those services in rural areas.</w:t>
      </w:r>
      <w:r w:rsidR="001651E8">
        <w:t xml:space="preserve"> </w:t>
      </w:r>
      <w:r w:rsidR="00B455F8">
        <w:t xml:space="preserve">Lack of activity </w:t>
      </w:r>
      <w:r w:rsidR="00535878">
        <w:t>and unit cost data precluded the full integration of OoH in the formula, but t</w:t>
      </w:r>
      <w:r w:rsidR="001647B2">
        <w:t>he subgroup concluded</w:t>
      </w:r>
      <w:r w:rsidR="0011076B">
        <w:t xml:space="preserve"> that </w:t>
      </w:r>
      <w:r w:rsidR="00EA182A">
        <w:t xml:space="preserve">the </w:t>
      </w:r>
      <w:r w:rsidR="002608E6">
        <w:t>Scottish Allo</w:t>
      </w:r>
      <w:r w:rsidR="00216AA9">
        <w:t xml:space="preserve">cation Formula </w:t>
      </w:r>
      <w:r w:rsidR="004F7D6E">
        <w:t>(SAF)</w:t>
      </w:r>
      <w:r w:rsidR="00872059">
        <w:t>, wh</w:t>
      </w:r>
      <w:r w:rsidR="00565640">
        <w:t>ich was used at the time to allocate funds for GP services,</w:t>
      </w:r>
      <w:r w:rsidR="004F7D6E">
        <w:t xml:space="preserve"> </w:t>
      </w:r>
      <w:r w:rsidR="00216AA9">
        <w:t>could be adapted to</w:t>
      </w:r>
      <w:r w:rsidR="004F7D6E">
        <w:t xml:space="preserve"> provide </w:t>
      </w:r>
      <w:r w:rsidR="007C1A08">
        <w:t>this</w:t>
      </w:r>
      <w:r w:rsidR="005D27F0">
        <w:t xml:space="preserve"> adjustment</w:t>
      </w:r>
      <w:r w:rsidR="00B31A20">
        <w:t>.</w:t>
      </w:r>
    </w:p>
    <w:p w14:paraId="1AD7936A" w14:textId="6C4929AC" w:rsidR="00725115" w:rsidRDefault="006D6FFB" w:rsidP="004B6732">
      <w:r w:rsidRPr="006D6FFB">
        <w:t>Like the NRAC formula</w:t>
      </w:r>
      <w:r w:rsidR="00CE2255">
        <w:t xml:space="preserve">, the SAF </w:t>
      </w:r>
      <w:r w:rsidR="001D38C2">
        <w:t>was a weighted capitation formula that was calculated at GP practice level</w:t>
      </w:r>
      <w:r w:rsidR="00CA74F1">
        <w:t>,</w:t>
      </w:r>
      <w:r w:rsidR="008A2250">
        <w:t xml:space="preserve"> </w:t>
      </w:r>
      <w:r w:rsidR="001D38C2">
        <w:t>the starting point</w:t>
      </w:r>
      <w:r w:rsidR="008A2250">
        <w:t xml:space="preserve"> being </w:t>
      </w:r>
      <w:r w:rsidR="001D38C2">
        <w:t>the practice population</w:t>
      </w:r>
      <w:r w:rsidR="007D4301">
        <w:t>,</w:t>
      </w:r>
      <w:r w:rsidR="001D38C2">
        <w:t xml:space="preserve"> </w:t>
      </w:r>
      <w:r w:rsidR="004604DA">
        <w:t>to which a series of adjustments (weightings) were made.</w:t>
      </w:r>
      <w:r w:rsidR="004B6732">
        <w:t xml:space="preserve"> </w:t>
      </w:r>
      <w:r w:rsidR="00175237">
        <w:t xml:space="preserve">The final adjustment </w:t>
      </w:r>
      <w:r w:rsidR="003F50C8">
        <w:t xml:space="preserve">made use of </w:t>
      </w:r>
      <w:r w:rsidR="0069349E">
        <w:t>three</w:t>
      </w:r>
      <w:r w:rsidR="00480A41">
        <w:t xml:space="preserve"> factors</w:t>
      </w:r>
      <w:r w:rsidR="00A17C33">
        <w:t xml:space="preserve"> </w:t>
      </w:r>
      <w:r w:rsidR="004F47C6">
        <w:t>which</w:t>
      </w:r>
      <w:r w:rsidR="006B4036">
        <w:t xml:space="preserve"> had </w:t>
      </w:r>
      <w:r w:rsidR="00DD77C7">
        <w:t>pro</w:t>
      </w:r>
      <w:r w:rsidR="00A15EE4">
        <w:t xml:space="preserve">ved </w:t>
      </w:r>
      <w:r w:rsidR="00480A41">
        <w:t xml:space="preserve">predictive </w:t>
      </w:r>
      <w:r w:rsidR="00A312E6">
        <w:t xml:space="preserve">of </w:t>
      </w:r>
      <w:r w:rsidR="007E51FC">
        <w:t xml:space="preserve">the </w:t>
      </w:r>
      <w:r w:rsidR="006B4036">
        <w:t xml:space="preserve">observed </w:t>
      </w:r>
      <w:r w:rsidR="007E51FC">
        <w:t xml:space="preserve">variation </w:t>
      </w:r>
      <w:r w:rsidR="00AC4DC8">
        <w:t xml:space="preserve">in </w:t>
      </w:r>
      <w:r w:rsidR="00B832FE">
        <w:t>GP service costs</w:t>
      </w:r>
      <w:r w:rsidR="00C46B31">
        <w:t xml:space="preserve"> </w:t>
      </w:r>
      <w:r w:rsidR="00BA020A">
        <w:t>attributable to</w:t>
      </w:r>
      <w:r w:rsidR="00DD77C7">
        <w:t xml:space="preserve"> '</w:t>
      </w:r>
      <w:r w:rsidR="00567E40">
        <w:t>r</w:t>
      </w:r>
      <w:r w:rsidR="00567E40" w:rsidRPr="00567E40">
        <w:t>urality and remoteness</w:t>
      </w:r>
      <w:r w:rsidR="00DD77C7">
        <w:t>'</w:t>
      </w:r>
      <w:r w:rsidR="00DC2D82">
        <w:t xml:space="preserve"> - see Table 1</w:t>
      </w:r>
      <w:r w:rsidR="00391F09">
        <w:t xml:space="preserve">. These were </w:t>
      </w:r>
      <w:r w:rsidR="00DC2D82">
        <w:t>calculated for each practice</w:t>
      </w:r>
      <w:r w:rsidR="004E2403">
        <w:t xml:space="preserve"> and </w:t>
      </w:r>
      <w:r w:rsidR="00391F09">
        <w:t xml:space="preserve">combined into </w:t>
      </w:r>
      <w:r w:rsidR="004C600F">
        <w:t>an indicator of need</w:t>
      </w:r>
      <w:r w:rsidR="004E2403">
        <w:t xml:space="preserve">, which was then used to </w:t>
      </w:r>
      <w:r w:rsidR="007C3E89">
        <w:t>further weight the practice po</w:t>
      </w:r>
      <w:r w:rsidR="003D74AC">
        <w:t>p</w:t>
      </w:r>
      <w:r w:rsidR="007C3E89">
        <w:t>ulation</w:t>
      </w:r>
      <w:r w:rsidR="004E2403">
        <w:t>.</w:t>
      </w:r>
      <w:r w:rsidR="00C079A3">
        <w:t xml:space="preserve"> </w:t>
      </w:r>
      <w:r w:rsidR="00EC3332">
        <w:t xml:space="preserve"> An alternative set of weights </w:t>
      </w:r>
      <w:r w:rsidR="00F26265">
        <w:t>for the formula components had been estimated for a review of the</w:t>
      </w:r>
      <w:r w:rsidR="00713BFE">
        <w:t xml:space="preserve"> SAF</w:t>
      </w:r>
      <w:r w:rsidR="00F26265">
        <w:t xml:space="preserve"> and these weights were found to </w:t>
      </w:r>
      <w:r w:rsidR="0033639B">
        <w:t>produce a distribution which mapped the pattern of</w:t>
      </w:r>
      <w:r w:rsidR="00EE15FF">
        <w:t xml:space="preserve"> observed</w:t>
      </w:r>
      <w:r w:rsidR="0033639B">
        <w:t xml:space="preserve"> OoH expenditur</w:t>
      </w:r>
      <w:r w:rsidR="008144D4">
        <w:t>e</w:t>
      </w:r>
      <w:r w:rsidR="00EE15FF">
        <w:t xml:space="preserve">. </w:t>
      </w:r>
      <w:r w:rsidR="0001092D">
        <w:t>T</w:t>
      </w:r>
      <w:r w:rsidR="008F0B5A">
        <w:t>he subgroup</w:t>
      </w:r>
      <w:r w:rsidR="009B7340">
        <w:t xml:space="preserve"> therefore</w:t>
      </w:r>
      <w:r w:rsidR="0078415A">
        <w:t xml:space="preserve"> recommended applying these weights</w:t>
      </w:r>
      <w:r w:rsidR="008F0D7C">
        <w:t xml:space="preserve"> to each fa</w:t>
      </w:r>
      <w:r w:rsidR="007F2500">
        <w:t>ctor</w:t>
      </w:r>
      <w:r w:rsidR="003439C2">
        <w:t xml:space="preserve"> -</w:t>
      </w:r>
      <w:r w:rsidR="007F2500">
        <w:t xml:space="preserve"> and </w:t>
      </w:r>
      <w:r w:rsidR="001E1602">
        <w:t xml:space="preserve">in effect </w:t>
      </w:r>
      <w:r w:rsidR="008A4D96">
        <w:t xml:space="preserve">more weight </w:t>
      </w:r>
      <w:r w:rsidR="00316BB4">
        <w:t xml:space="preserve">compared </w:t>
      </w:r>
      <w:r w:rsidR="008A4D96">
        <w:t>t</w:t>
      </w:r>
      <w:r w:rsidR="007F2500">
        <w:t xml:space="preserve">o the </w:t>
      </w:r>
      <w:r w:rsidR="00316BB4">
        <w:t>original</w:t>
      </w:r>
      <w:r w:rsidR="007F2500">
        <w:t xml:space="preserve"> </w:t>
      </w:r>
      <w:r w:rsidR="008A4D96">
        <w:t>SAF</w:t>
      </w:r>
      <w:r w:rsidR="001E1602">
        <w:t>'s</w:t>
      </w:r>
      <w:r w:rsidR="008A4D96">
        <w:t xml:space="preserve"> </w:t>
      </w:r>
      <w:r w:rsidR="003A3A88">
        <w:t xml:space="preserve">adjustment for </w:t>
      </w:r>
      <w:r w:rsidR="001E1602">
        <w:t>'r</w:t>
      </w:r>
      <w:r w:rsidR="001E1602" w:rsidRPr="00567E40">
        <w:t>urality and remoteness</w:t>
      </w:r>
      <w:r w:rsidR="001E1602">
        <w:t>'</w:t>
      </w:r>
      <w:r w:rsidR="00E97466">
        <w:t xml:space="preserve"> </w:t>
      </w:r>
      <w:r w:rsidR="00316BB4">
        <w:t>-</w:t>
      </w:r>
      <w:r w:rsidR="00E97466">
        <w:t xml:space="preserve"> </w:t>
      </w:r>
      <w:r w:rsidR="001026A2">
        <w:t xml:space="preserve">meaning </w:t>
      </w:r>
      <w:r w:rsidR="009C5FD4">
        <w:t>th</w:t>
      </w:r>
      <w:r w:rsidR="008823BE">
        <w:t xml:space="preserve">e </w:t>
      </w:r>
      <w:r w:rsidR="00E97466">
        <w:t xml:space="preserve">adapted </w:t>
      </w:r>
      <w:r w:rsidR="008823BE">
        <w:t xml:space="preserve">SAF </w:t>
      </w:r>
      <w:r w:rsidR="00B57FAD">
        <w:t xml:space="preserve">could be used effectively </w:t>
      </w:r>
      <w:r w:rsidR="003A3A88">
        <w:t xml:space="preserve">as </w:t>
      </w:r>
      <w:r w:rsidR="00383061">
        <w:t>a</w:t>
      </w:r>
      <w:r w:rsidR="003A3A88">
        <w:t xml:space="preserve"> component within </w:t>
      </w:r>
      <w:r w:rsidR="008823BE">
        <w:t xml:space="preserve">the NRAC formula </w:t>
      </w:r>
      <w:r w:rsidR="00B57FAD">
        <w:t xml:space="preserve">to predict </w:t>
      </w:r>
      <w:r w:rsidR="004B66EB">
        <w:t>how the need for GP</w:t>
      </w:r>
      <w:r w:rsidR="00F3295F">
        <w:t>-</w:t>
      </w:r>
      <w:r w:rsidR="004B66EB">
        <w:t xml:space="preserve">OoH services </w:t>
      </w:r>
      <w:r w:rsidR="005537E4">
        <w:t>would be</w:t>
      </w:r>
      <w:r w:rsidR="00A71EAD">
        <w:t xml:space="preserve"> </w:t>
      </w:r>
      <w:r w:rsidR="00DD4A57">
        <w:t>geographical</w:t>
      </w:r>
      <w:r w:rsidR="00BA020A">
        <w:t>l</w:t>
      </w:r>
      <w:r w:rsidR="00DD4A57">
        <w:t xml:space="preserve">y </w:t>
      </w:r>
      <w:r w:rsidR="00A71EAD">
        <w:t>distributed in a particular year.</w:t>
      </w:r>
      <w:r w:rsidR="009822C5">
        <w:t xml:space="preserve"> </w:t>
      </w:r>
    </w:p>
    <w:p w14:paraId="0593F0DE" w14:textId="77777777" w:rsidR="00532AF1" w:rsidRDefault="00532AF1" w:rsidP="004B6732"/>
    <w:p w14:paraId="7AC40554" w14:textId="2C4683F1" w:rsidR="009B4E0C" w:rsidRPr="009B4E0C" w:rsidRDefault="009B4E0C" w:rsidP="009B4E0C">
      <w:pPr>
        <w:pStyle w:val="Tableorchartcaption"/>
      </w:pPr>
      <w:r w:rsidRPr="009B4E0C">
        <w:lastRenderedPageBreak/>
        <w:t xml:space="preserve">Table 1: </w:t>
      </w:r>
      <w:r w:rsidR="00965D82">
        <w:t xml:space="preserve">SAF </w:t>
      </w:r>
      <w:r w:rsidR="00A9021D">
        <w:t>'</w:t>
      </w:r>
      <w:r w:rsidRPr="009B4E0C">
        <w:t xml:space="preserve">Remote and </w:t>
      </w:r>
      <w:r w:rsidR="000804FC">
        <w:t>R</w:t>
      </w:r>
      <w:r w:rsidRPr="009B4E0C">
        <w:t>ural</w:t>
      </w:r>
      <w:r w:rsidR="00A9021D">
        <w:t>' indicator of need</w:t>
      </w:r>
      <w:r w:rsidR="00040F93">
        <w:t xml:space="preserve"> </w:t>
      </w:r>
    </w:p>
    <w:tbl>
      <w:tblPr>
        <w:tblStyle w:val="TableGrid"/>
        <w:tblW w:w="0" w:type="auto"/>
        <w:tblLayout w:type="fixed"/>
        <w:tblLook w:val="04A0" w:firstRow="1" w:lastRow="0" w:firstColumn="1" w:lastColumn="0" w:noHBand="0" w:noVBand="1"/>
      </w:tblPr>
      <w:tblGrid>
        <w:gridCol w:w="3256"/>
        <w:gridCol w:w="2693"/>
        <w:gridCol w:w="2693"/>
      </w:tblGrid>
      <w:tr w:rsidR="009B4E0C" w:rsidRPr="00A33247" w14:paraId="01E4F75F" w14:textId="77777777" w:rsidTr="00823F5D">
        <w:trPr>
          <w:cnfStyle w:val="100000000000" w:firstRow="1" w:lastRow="0" w:firstColumn="0" w:lastColumn="0" w:oddVBand="0" w:evenVBand="0" w:oddHBand="0" w:evenHBand="0" w:firstRowFirstColumn="0" w:firstRowLastColumn="0" w:lastRowFirstColumn="0" w:lastRowLastColumn="0"/>
          <w:trHeight w:val="290"/>
        </w:trPr>
        <w:tc>
          <w:tcPr>
            <w:tcW w:w="3256" w:type="dxa"/>
            <w:noWrap/>
            <w:hideMark/>
          </w:tcPr>
          <w:p w14:paraId="4D0D543C" w14:textId="77777777" w:rsidR="009B4E0C" w:rsidRPr="009B4E0C" w:rsidRDefault="009B4E0C" w:rsidP="009B4E0C"/>
        </w:tc>
        <w:tc>
          <w:tcPr>
            <w:tcW w:w="2693" w:type="dxa"/>
          </w:tcPr>
          <w:p w14:paraId="13657138" w14:textId="7FE6AA25" w:rsidR="009B4E0C" w:rsidRPr="009B4E0C" w:rsidRDefault="00B9499A" w:rsidP="009B4E0C">
            <w:r>
              <w:t>Weights used in</w:t>
            </w:r>
            <w:r w:rsidR="009B4E0C" w:rsidRPr="009B4E0C">
              <w:t xml:space="preserve"> </w:t>
            </w:r>
            <w:r>
              <w:t>original</w:t>
            </w:r>
            <w:r w:rsidR="00F93161">
              <w:t xml:space="preserve"> SAF</w:t>
            </w:r>
            <w:r w:rsidR="006F67D8">
              <w:t xml:space="preserve"> </w:t>
            </w:r>
          </w:p>
        </w:tc>
        <w:tc>
          <w:tcPr>
            <w:tcW w:w="2693" w:type="dxa"/>
            <w:noWrap/>
            <w:hideMark/>
          </w:tcPr>
          <w:p w14:paraId="2C462E3A" w14:textId="4C6FDF80" w:rsidR="00B07FD1" w:rsidRDefault="0078415A" w:rsidP="009B4E0C">
            <w:r>
              <w:t>SAF review weights</w:t>
            </w:r>
            <w:r w:rsidR="007F6CE5">
              <w:t xml:space="preserve"> adapted for </w:t>
            </w:r>
            <w:r w:rsidR="009B4E0C" w:rsidRPr="009B4E0C" w:rsidDel="007F6CE5">
              <w:t>NRAC</w:t>
            </w:r>
            <w:r w:rsidR="00901CDD">
              <w:t xml:space="preserve"> GP</w:t>
            </w:r>
            <w:r w:rsidR="00F3295F">
              <w:t>-</w:t>
            </w:r>
            <w:r w:rsidR="00901CDD">
              <w:t>O</w:t>
            </w:r>
            <w:r w:rsidR="00CD7FFA">
              <w:t>oH adjustment</w:t>
            </w:r>
          </w:p>
          <w:p w14:paraId="35B528A4" w14:textId="7DB49527" w:rsidR="009B4E0C" w:rsidRPr="009B4E0C" w:rsidRDefault="00B07FD1" w:rsidP="009B4E0C">
            <w:r>
              <w:t xml:space="preserve"> </w:t>
            </w:r>
          </w:p>
        </w:tc>
      </w:tr>
      <w:tr w:rsidR="009B4E0C" w:rsidRPr="00C264AC" w14:paraId="65A70FF1" w14:textId="77777777" w:rsidTr="00823F5D">
        <w:trPr>
          <w:trHeight w:val="288"/>
        </w:trPr>
        <w:tc>
          <w:tcPr>
            <w:tcW w:w="3256" w:type="dxa"/>
            <w:noWrap/>
            <w:vAlign w:val="bottom"/>
            <w:hideMark/>
          </w:tcPr>
          <w:p w14:paraId="47F2982E" w14:textId="77777777" w:rsidR="009B4E0C" w:rsidRPr="009B4E0C" w:rsidRDefault="009B4E0C" w:rsidP="009B4E0C">
            <w:r w:rsidRPr="009B4E0C">
              <w:t>Constant</w:t>
            </w:r>
          </w:p>
        </w:tc>
        <w:tc>
          <w:tcPr>
            <w:tcW w:w="2693" w:type="dxa"/>
            <w:noWrap/>
            <w:vAlign w:val="bottom"/>
            <w:hideMark/>
          </w:tcPr>
          <w:p w14:paraId="40C4FE0C" w14:textId="77777777" w:rsidR="009B4E0C" w:rsidRPr="009B4E0C" w:rsidRDefault="009B4E0C" w:rsidP="009B4E0C">
            <w:r w:rsidRPr="009B4E0C">
              <w:t>54.542</w:t>
            </w:r>
          </w:p>
        </w:tc>
        <w:tc>
          <w:tcPr>
            <w:tcW w:w="2693" w:type="dxa"/>
            <w:noWrap/>
            <w:vAlign w:val="bottom"/>
            <w:hideMark/>
          </w:tcPr>
          <w:p w14:paraId="6052DAF7" w14:textId="77777777" w:rsidR="009B4E0C" w:rsidRPr="009B4E0C" w:rsidRDefault="009B4E0C" w:rsidP="009B4E0C">
            <w:r w:rsidRPr="009B4E0C">
              <w:t>47.612</w:t>
            </w:r>
          </w:p>
        </w:tc>
      </w:tr>
      <w:tr w:rsidR="009B4E0C" w:rsidRPr="00C264AC" w14:paraId="615FF7BD" w14:textId="77777777" w:rsidTr="00823F5D">
        <w:trPr>
          <w:trHeight w:val="288"/>
        </w:trPr>
        <w:tc>
          <w:tcPr>
            <w:tcW w:w="3256" w:type="dxa"/>
            <w:noWrap/>
            <w:vAlign w:val="bottom"/>
            <w:hideMark/>
          </w:tcPr>
          <w:p w14:paraId="551B8510" w14:textId="5AAC9476" w:rsidR="009B4E0C" w:rsidRPr="009B4E0C" w:rsidRDefault="0089231F" w:rsidP="009B4E0C">
            <w:r>
              <w:t>Density - h</w:t>
            </w:r>
            <w:r w:rsidR="009B4E0C" w:rsidRPr="009B4E0C">
              <w:t>ectares per resident</w:t>
            </w:r>
          </w:p>
        </w:tc>
        <w:tc>
          <w:tcPr>
            <w:tcW w:w="2693" w:type="dxa"/>
            <w:noWrap/>
            <w:vAlign w:val="bottom"/>
            <w:hideMark/>
          </w:tcPr>
          <w:p w14:paraId="1BCCA1F6" w14:textId="736AD6AC" w:rsidR="009B4E0C" w:rsidRPr="009B4E0C" w:rsidRDefault="009B4E0C" w:rsidP="009B4E0C">
            <w:r w:rsidRPr="009B4E0C">
              <w:t>1.881</w:t>
            </w:r>
          </w:p>
        </w:tc>
        <w:tc>
          <w:tcPr>
            <w:tcW w:w="2693" w:type="dxa"/>
            <w:noWrap/>
            <w:vAlign w:val="bottom"/>
            <w:hideMark/>
          </w:tcPr>
          <w:p w14:paraId="146E2A78" w14:textId="4567BC9A" w:rsidR="009B4E0C" w:rsidRPr="009B4E0C" w:rsidRDefault="009B4E0C" w:rsidP="009B4E0C">
            <w:r w:rsidRPr="009B4E0C">
              <w:t>2.539</w:t>
            </w:r>
          </w:p>
        </w:tc>
      </w:tr>
      <w:tr w:rsidR="009B4E0C" w:rsidRPr="00C264AC" w14:paraId="62D13C3B" w14:textId="77777777" w:rsidTr="00823F5D">
        <w:trPr>
          <w:trHeight w:val="288"/>
        </w:trPr>
        <w:tc>
          <w:tcPr>
            <w:tcW w:w="3256" w:type="dxa"/>
            <w:noWrap/>
            <w:vAlign w:val="bottom"/>
          </w:tcPr>
          <w:p w14:paraId="39AFE5B4" w14:textId="07A3386A" w:rsidR="009B4E0C" w:rsidRPr="009B4E0C" w:rsidRDefault="0089231F" w:rsidP="009B4E0C">
            <w:r>
              <w:t>Sparsity - p</w:t>
            </w:r>
            <w:r w:rsidR="009B4E0C" w:rsidRPr="009B4E0C">
              <w:t>opulation in settlements &lt;500 people</w:t>
            </w:r>
            <w:r w:rsidR="00857508">
              <w:t xml:space="preserve"> </w:t>
            </w:r>
          </w:p>
        </w:tc>
        <w:tc>
          <w:tcPr>
            <w:tcW w:w="2693" w:type="dxa"/>
            <w:noWrap/>
            <w:vAlign w:val="bottom"/>
          </w:tcPr>
          <w:p w14:paraId="2C0BEE47" w14:textId="7EC71852" w:rsidR="009B4E0C" w:rsidRPr="009B4E0C" w:rsidRDefault="009B4E0C" w:rsidP="009B4E0C">
            <w:r w:rsidRPr="009B4E0C">
              <w:t>0.140</w:t>
            </w:r>
          </w:p>
        </w:tc>
        <w:tc>
          <w:tcPr>
            <w:tcW w:w="2693" w:type="dxa"/>
            <w:noWrap/>
            <w:vAlign w:val="bottom"/>
          </w:tcPr>
          <w:p w14:paraId="60C0E2FF" w14:textId="1DF3A2FC" w:rsidR="009B4E0C" w:rsidRPr="009B4E0C" w:rsidRDefault="009B4E0C" w:rsidP="009B4E0C">
            <w:r w:rsidRPr="009B4E0C">
              <w:t>1.275</w:t>
            </w:r>
          </w:p>
        </w:tc>
      </w:tr>
      <w:tr w:rsidR="009B4E0C" w:rsidRPr="00C264AC" w14:paraId="145674C2" w14:textId="77777777" w:rsidTr="00823F5D">
        <w:trPr>
          <w:trHeight w:val="288"/>
        </w:trPr>
        <w:tc>
          <w:tcPr>
            <w:tcW w:w="0" w:type="dxa"/>
            <w:noWrap/>
            <w:vAlign w:val="bottom"/>
          </w:tcPr>
          <w:p w14:paraId="10009D58" w14:textId="788A7049" w:rsidR="009B4E0C" w:rsidRPr="009B4E0C" w:rsidRDefault="009B4E0C" w:rsidP="009B4E0C">
            <w:r w:rsidRPr="009B4E0C">
              <w:t>Patients attracting road mileage payments</w:t>
            </w:r>
            <w:r w:rsidR="00857508">
              <w:t xml:space="preserve"> </w:t>
            </w:r>
          </w:p>
        </w:tc>
        <w:tc>
          <w:tcPr>
            <w:tcW w:w="2693" w:type="dxa"/>
            <w:noWrap/>
            <w:vAlign w:val="bottom"/>
          </w:tcPr>
          <w:p w14:paraId="02A100C1" w14:textId="5D470531" w:rsidR="009B4E0C" w:rsidRPr="009B4E0C" w:rsidRDefault="009B4E0C" w:rsidP="009B4E0C">
            <w:r w:rsidRPr="009B4E0C">
              <w:t>0.109</w:t>
            </w:r>
          </w:p>
        </w:tc>
        <w:tc>
          <w:tcPr>
            <w:tcW w:w="2693" w:type="dxa"/>
            <w:noWrap/>
            <w:vAlign w:val="bottom"/>
          </w:tcPr>
          <w:p w14:paraId="75A6A009" w14:textId="33029492" w:rsidR="009B4E0C" w:rsidRPr="009B4E0C" w:rsidRDefault="009B4E0C" w:rsidP="009B4E0C">
            <w:r w:rsidRPr="009B4E0C">
              <w:t>0.546</w:t>
            </w:r>
          </w:p>
        </w:tc>
      </w:tr>
    </w:tbl>
    <w:p w14:paraId="5175699A" w14:textId="77777777" w:rsidR="00EA5118" w:rsidRDefault="00EA5118" w:rsidP="001A19AC"/>
    <w:p w14:paraId="47DBC216" w14:textId="1DF1D4B2" w:rsidR="000E2606" w:rsidRDefault="001C68DE" w:rsidP="001A19AC">
      <w:r>
        <w:t>T</w:t>
      </w:r>
      <w:r w:rsidR="00A9508F">
        <w:t xml:space="preserve">he </w:t>
      </w:r>
      <w:r w:rsidR="00883D0D">
        <w:t>adapted</w:t>
      </w:r>
      <w:r w:rsidR="00A9508F">
        <w:t xml:space="preserve"> SAF </w:t>
      </w:r>
      <w:r w:rsidR="006B0124">
        <w:t xml:space="preserve">was </w:t>
      </w:r>
      <w:r w:rsidR="00951EDD">
        <w:t>first incorporated into the NRAC formula</w:t>
      </w:r>
      <w:r w:rsidR="00470288">
        <w:t xml:space="preserve"> when it was used to look at the distribution </w:t>
      </w:r>
      <w:r w:rsidR="00637854">
        <w:t xml:space="preserve">of </w:t>
      </w:r>
      <w:r w:rsidR="00470288">
        <w:t>healthcare need</w:t>
      </w:r>
      <w:r w:rsidR="00951EDD">
        <w:t xml:space="preserve"> in </w:t>
      </w:r>
      <w:r w:rsidR="00521FA3">
        <w:t>2014/15</w:t>
      </w:r>
      <w:r w:rsidR="00470288">
        <w:t>.</w:t>
      </w:r>
      <w:r w:rsidR="007F023B">
        <w:t xml:space="preserve"> A weighted</w:t>
      </w:r>
      <w:r w:rsidR="005E54D2">
        <w:t xml:space="preserve"> population </w:t>
      </w:r>
      <w:r w:rsidR="0059135A">
        <w:t>was</w:t>
      </w:r>
      <w:r w:rsidR="005E54D2">
        <w:t xml:space="preserve"> </w:t>
      </w:r>
      <w:r w:rsidR="007F023B">
        <w:t xml:space="preserve">calculated for each practice and then </w:t>
      </w:r>
      <w:r w:rsidR="0059135A">
        <w:t>popul</w:t>
      </w:r>
      <w:r w:rsidR="00552F7A">
        <w:t xml:space="preserve">ations were </w:t>
      </w:r>
      <w:r w:rsidR="007F023B">
        <w:t xml:space="preserve">aggregated to </w:t>
      </w:r>
      <w:r w:rsidR="00D72DD8">
        <w:t>NHS Board</w:t>
      </w:r>
      <w:r w:rsidR="007F023B">
        <w:t xml:space="preserve"> leve</w:t>
      </w:r>
      <w:r w:rsidR="00951EDD">
        <w:t>l</w:t>
      </w:r>
      <w:r w:rsidR="00A075D7">
        <w:t xml:space="preserve">, based </w:t>
      </w:r>
      <w:r w:rsidR="00D72DD8">
        <w:t>on</w:t>
      </w:r>
      <w:r w:rsidR="00A075D7">
        <w:t xml:space="preserve"> </w:t>
      </w:r>
      <w:r w:rsidR="00D72DD8">
        <w:t>the practice location</w:t>
      </w:r>
      <w:r w:rsidR="006B23B3">
        <w:t xml:space="preserve">. </w:t>
      </w:r>
      <w:r w:rsidR="00CE06D2">
        <w:t xml:space="preserve">Percentage shares </w:t>
      </w:r>
      <w:r w:rsidR="003E4FE0">
        <w:t>were then calculated</w:t>
      </w:r>
      <w:r w:rsidR="00F92DDB">
        <w:t>, reflecting</w:t>
      </w:r>
      <w:r w:rsidR="00CE06D2">
        <w:t xml:space="preserve"> how the need for GP</w:t>
      </w:r>
      <w:r w:rsidR="00F3295F">
        <w:t>-</w:t>
      </w:r>
      <w:r w:rsidR="00CE06D2">
        <w:t>O</w:t>
      </w:r>
      <w:r w:rsidR="00BD1A81">
        <w:t>o</w:t>
      </w:r>
      <w:r w:rsidR="00CE06D2">
        <w:t xml:space="preserve">H services </w:t>
      </w:r>
      <w:r w:rsidR="003E4FE0">
        <w:t>was</w:t>
      </w:r>
      <w:r w:rsidR="00CE06D2">
        <w:t xml:space="preserve"> distributed across </w:t>
      </w:r>
      <w:r w:rsidR="003E4FE0">
        <w:t>boards</w:t>
      </w:r>
      <w:r w:rsidR="00CE06D2">
        <w:t>.</w:t>
      </w:r>
      <w:r w:rsidR="00E24645">
        <w:t xml:space="preserve"> </w:t>
      </w:r>
      <w:r w:rsidR="00A37D7A">
        <w:t xml:space="preserve"> The</w:t>
      </w:r>
      <w:r w:rsidR="003E4FE0">
        <w:t>se</w:t>
      </w:r>
      <w:r w:rsidR="00A838B7">
        <w:t xml:space="preserve"> GP</w:t>
      </w:r>
      <w:r w:rsidR="00F3295F">
        <w:t>-</w:t>
      </w:r>
      <w:r w:rsidR="00A838B7">
        <w:t xml:space="preserve">OoH </w:t>
      </w:r>
      <w:r w:rsidR="00A37D7A">
        <w:t xml:space="preserve">shares were combined with </w:t>
      </w:r>
      <w:r w:rsidR="00A66629">
        <w:t xml:space="preserve">the </w:t>
      </w:r>
      <w:r w:rsidR="00A235BE">
        <w:t>NRAC share</w:t>
      </w:r>
      <w:r w:rsidR="00A66629">
        <w:t xml:space="preserve"> (covering all other NRAC calculations) </w:t>
      </w:r>
      <w:r w:rsidR="00AC5BB4">
        <w:t>using a w</w:t>
      </w:r>
      <w:r w:rsidR="00925404">
        <w:t>eighting</w:t>
      </w:r>
      <w:r w:rsidR="002E1341">
        <w:t xml:space="preserve">, based on the </w:t>
      </w:r>
      <w:r w:rsidR="00CB62D1">
        <w:t xml:space="preserve">expected </w:t>
      </w:r>
      <w:r w:rsidR="00F4152B">
        <w:t>total cost of</w:t>
      </w:r>
      <w:r w:rsidR="00CB62D1" w:rsidRPr="00CB62D1">
        <w:t xml:space="preserve"> GP</w:t>
      </w:r>
      <w:r w:rsidR="00F3295F">
        <w:t>-</w:t>
      </w:r>
      <w:r w:rsidR="00CB62D1" w:rsidRPr="00CB62D1">
        <w:t>OoH services</w:t>
      </w:r>
      <w:r w:rsidR="00CB62D1">
        <w:t xml:space="preserve"> as a proportion of the total budget</w:t>
      </w:r>
      <w:r w:rsidR="00D33695">
        <w:t>.</w:t>
      </w:r>
    </w:p>
    <w:p w14:paraId="312353E4" w14:textId="251BCE0A" w:rsidR="00FA75B9" w:rsidRDefault="007D4301" w:rsidP="00113708">
      <w:r>
        <w:t>T</w:t>
      </w:r>
      <w:r w:rsidR="001C5CD3">
        <w:t xml:space="preserve">he total amount that </w:t>
      </w:r>
      <w:r w:rsidR="009D67CA">
        <w:t>b</w:t>
      </w:r>
      <w:r w:rsidR="001C5CD3">
        <w:t xml:space="preserve">oards </w:t>
      </w:r>
      <w:r w:rsidR="00C873CE">
        <w:t>were</w:t>
      </w:r>
      <w:r w:rsidR="001C5CD3">
        <w:t xml:space="preserve"> expected to </w:t>
      </w:r>
      <w:r w:rsidR="007A03A7">
        <w:t xml:space="preserve">need to </w:t>
      </w:r>
      <w:r w:rsidR="001C5CD3">
        <w:t>pay for GP</w:t>
      </w:r>
      <w:r w:rsidR="00F3295F">
        <w:t>-</w:t>
      </w:r>
      <w:r w:rsidR="001C5CD3">
        <w:t xml:space="preserve">OoH services </w:t>
      </w:r>
      <w:r w:rsidR="00C873CE">
        <w:t>was</w:t>
      </w:r>
      <w:r w:rsidR="001C5CD3">
        <w:t xml:space="preserve"> calculated as</w:t>
      </w:r>
      <w:r w:rsidR="00C873CE">
        <w:t xml:space="preserve"> </w:t>
      </w:r>
      <w:r w:rsidR="001C5CD3">
        <w:t>total OoH expenditure reported in the Cost</w:t>
      </w:r>
      <w:r w:rsidR="001165DE">
        <w:t>s</w:t>
      </w:r>
      <w:r w:rsidR="001C5CD3">
        <w:t xml:space="preserve"> Book minus</w:t>
      </w:r>
      <w:r w:rsidR="001970E1">
        <w:t xml:space="preserve"> the retained element of primary care funding (i.e.</w:t>
      </w:r>
      <w:r w:rsidR="001C5CD3">
        <w:t xml:space="preserve"> 6% of the global sum</w:t>
      </w:r>
      <w:r w:rsidR="001970E1">
        <w:t>)</w:t>
      </w:r>
      <w:r w:rsidR="001C5CD3">
        <w:t xml:space="preserve">. </w:t>
      </w:r>
      <w:r w:rsidR="000B7312">
        <w:t>The global sum is the payment made to practices for delivering GP services</w:t>
      </w:r>
      <w:r w:rsidR="00F31B38">
        <w:t>. U</w:t>
      </w:r>
      <w:r w:rsidR="000B7312">
        <w:t xml:space="preserve">nder the provisions of the General Medical Services (GMS) contract at the time, </w:t>
      </w:r>
      <w:r w:rsidR="00AF4EDD">
        <w:t>a practice’s</w:t>
      </w:r>
      <w:r w:rsidR="000B7312">
        <w:t xml:space="preserve"> payment was reduced by 6% if they opted out of providing OoH services</w:t>
      </w:r>
      <w:r w:rsidR="00F31B38">
        <w:t>. This sum was then reallocated to that practice's NHS Board and</w:t>
      </w:r>
      <w:r w:rsidR="001A19AC" w:rsidRPr="001A19AC">
        <w:t xml:space="preserve"> th</w:t>
      </w:r>
      <w:r w:rsidR="00F31B38">
        <w:t>at</w:t>
      </w:r>
      <w:r w:rsidR="001A19AC" w:rsidRPr="001A19AC">
        <w:t xml:space="preserve"> </w:t>
      </w:r>
      <w:r w:rsidR="001A19AC">
        <w:t>B</w:t>
      </w:r>
      <w:r w:rsidR="001A19AC" w:rsidRPr="001A19AC">
        <w:t xml:space="preserve">oard </w:t>
      </w:r>
      <w:r w:rsidR="000B7312">
        <w:t>became</w:t>
      </w:r>
      <w:r w:rsidR="001A19AC" w:rsidRPr="001A19AC">
        <w:t xml:space="preserve"> responsible for providing a substitute O</w:t>
      </w:r>
      <w:r w:rsidR="0018465E">
        <w:t>o</w:t>
      </w:r>
      <w:r w:rsidR="001A19AC" w:rsidRPr="001A19AC">
        <w:t>H service</w:t>
      </w:r>
      <w:r w:rsidR="000B7312">
        <w:t xml:space="preserve"> to the practice population. </w:t>
      </w:r>
      <w:r w:rsidR="00F31B38">
        <w:t>However, w</w:t>
      </w:r>
      <w:r w:rsidR="00FD395E">
        <w:t>hen compared to OoH expenditure</w:t>
      </w:r>
      <w:r w:rsidR="00342CFD">
        <w:t xml:space="preserve"> reported</w:t>
      </w:r>
      <w:r w:rsidR="00FD395E">
        <w:t xml:space="preserve"> in the Cost</w:t>
      </w:r>
      <w:r w:rsidR="001165DE">
        <w:t>s</w:t>
      </w:r>
      <w:r w:rsidR="00FD395E">
        <w:t xml:space="preserve"> Book, t</w:t>
      </w:r>
      <w:r w:rsidR="001A19AC" w:rsidRPr="001A19AC">
        <w:t xml:space="preserve">he </w:t>
      </w:r>
      <w:r w:rsidR="00717336">
        <w:t>6</w:t>
      </w:r>
      <w:r w:rsidR="001A19AC" w:rsidRPr="001A19AC">
        <w:t xml:space="preserve">% of </w:t>
      </w:r>
      <w:r w:rsidR="006E1A66">
        <w:t>g</w:t>
      </w:r>
      <w:r w:rsidR="001A19AC" w:rsidRPr="001A19AC">
        <w:t xml:space="preserve">lobal </w:t>
      </w:r>
      <w:r w:rsidR="006E1A66">
        <w:t>s</w:t>
      </w:r>
      <w:r w:rsidR="001A19AC" w:rsidRPr="001A19AC">
        <w:t xml:space="preserve">um </w:t>
      </w:r>
      <w:r w:rsidR="00833405">
        <w:t>reallocated to</w:t>
      </w:r>
      <w:r w:rsidR="00DA091E">
        <w:t xml:space="preserve"> </w:t>
      </w:r>
      <w:r w:rsidR="00F31B38">
        <w:t>B</w:t>
      </w:r>
      <w:r w:rsidR="00DA091E">
        <w:t xml:space="preserve">oards </w:t>
      </w:r>
      <w:r w:rsidR="001A19AC">
        <w:t>wa</w:t>
      </w:r>
      <w:r w:rsidR="001A19AC" w:rsidRPr="001A19AC">
        <w:t>s</w:t>
      </w:r>
      <w:r w:rsidR="00FD395E">
        <w:t xml:space="preserve"> </w:t>
      </w:r>
      <w:r w:rsidR="001A19AC" w:rsidRPr="001A19AC">
        <w:t>insufficient to meet the</w:t>
      </w:r>
      <w:r w:rsidR="00263434">
        <w:t>ir</w:t>
      </w:r>
      <w:r w:rsidR="001A19AC" w:rsidRPr="001A19AC">
        <w:t xml:space="preserve"> costs of providing th</w:t>
      </w:r>
      <w:r w:rsidR="00263434">
        <w:t>is</w:t>
      </w:r>
      <w:r w:rsidR="001A19AC" w:rsidRPr="001A19AC">
        <w:t xml:space="preserve"> service and </w:t>
      </w:r>
      <w:r w:rsidR="00717336">
        <w:t xml:space="preserve">so </w:t>
      </w:r>
      <w:r w:rsidR="00263434">
        <w:t xml:space="preserve">the </w:t>
      </w:r>
      <w:r w:rsidR="001A19AC" w:rsidRPr="001A19AC">
        <w:t>shortfall</w:t>
      </w:r>
      <w:r w:rsidR="00E54D99">
        <w:t xml:space="preserve"> was funded</w:t>
      </w:r>
      <w:r w:rsidR="001A19AC" w:rsidRPr="001A19AC">
        <w:t xml:space="preserve"> out of their general allocati</w:t>
      </w:r>
      <w:r w:rsidR="00FA75B9">
        <w:t>on</w:t>
      </w:r>
      <w:r w:rsidR="00355791">
        <w:t>.</w:t>
      </w:r>
    </w:p>
    <w:p w14:paraId="45AA963D" w14:textId="61AEC839" w:rsidR="00B0738E" w:rsidRDefault="00FA75B9" w:rsidP="00B0738E">
      <w:r w:rsidRPr="00FA75B9">
        <w:t>Consequentl</w:t>
      </w:r>
      <w:r w:rsidR="00FA35A0">
        <w:t>y the</w:t>
      </w:r>
      <w:r w:rsidRPr="00FA75B9">
        <w:t xml:space="preserve"> additional cost for NHS Boards delivering OoH services </w:t>
      </w:r>
      <w:r w:rsidR="00FA35A0">
        <w:t>was</w:t>
      </w:r>
      <w:r w:rsidRPr="00FA75B9">
        <w:t xml:space="preserve"> calculated as the total OoH expenditure from </w:t>
      </w:r>
      <w:r w:rsidR="00F31B38">
        <w:t xml:space="preserve">the </w:t>
      </w:r>
      <w:r w:rsidRPr="00FA75B9">
        <w:t>Cost</w:t>
      </w:r>
      <w:r w:rsidR="001165DE">
        <w:t>s</w:t>
      </w:r>
      <w:r w:rsidRPr="00FA75B9">
        <w:t xml:space="preserve"> Book minus 6% of global sum. </w:t>
      </w:r>
      <w:r w:rsidRPr="00FA75B9">
        <w:lastRenderedPageBreak/>
        <w:t>This figure divided by the total budget for the NHS Boards produces the weight (approximately 0.7%) given to GP</w:t>
      </w:r>
      <w:r w:rsidR="00F3295F">
        <w:t>-</w:t>
      </w:r>
      <w:r w:rsidRPr="00FA75B9">
        <w:t xml:space="preserve">OoH </w:t>
      </w:r>
      <w:r w:rsidR="00C873CE">
        <w:t>shares</w:t>
      </w:r>
      <w:r w:rsidRPr="00FA75B9">
        <w:t xml:space="preserve"> in the NRAC formula.</w:t>
      </w:r>
    </w:p>
    <w:p w14:paraId="6FEE012C" w14:textId="35F0BEE7" w:rsidR="005A1527" w:rsidRDefault="00FC01DF" w:rsidP="005A1527">
      <w:pPr>
        <w:pStyle w:val="Heading2"/>
      </w:pPr>
      <w:r>
        <w:t>Current data available</w:t>
      </w:r>
      <w:r w:rsidR="005A1527">
        <w:t xml:space="preserve"> to </w:t>
      </w:r>
      <w:r>
        <w:t>update</w:t>
      </w:r>
      <w:r w:rsidR="005A1527">
        <w:t xml:space="preserve"> GP</w:t>
      </w:r>
      <w:r w:rsidR="00F3295F">
        <w:t>-</w:t>
      </w:r>
      <w:r w:rsidR="005A1527">
        <w:t>OoH shares</w:t>
      </w:r>
    </w:p>
    <w:p w14:paraId="725A86F8" w14:textId="29957D94" w:rsidR="00530D31" w:rsidRDefault="005832F1" w:rsidP="00B0738E">
      <w:r>
        <w:t>A</w:t>
      </w:r>
      <w:r w:rsidR="00F27B9F">
        <w:t xml:space="preserve"> new GMS contract </w:t>
      </w:r>
      <w:r w:rsidR="00886410">
        <w:t xml:space="preserve">was </w:t>
      </w:r>
      <w:r w:rsidR="00F27B9F">
        <w:t>introduced in 2018/19 alongside the Scottish Workload Formula (SWF)</w:t>
      </w:r>
      <w:r w:rsidR="00D349D6">
        <w:t>,</w:t>
      </w:r>
      <w:r w:rsidR="00F27B9F">
        <w:t xml:space="preserve"> which replaced the SAF. The SWF incorporated major changes to the calculation of global sum payments, including the removal of the remote and rurality adjustment</w:t>
      </w:r>
      <w:r w:rsidR="00727995">
        <w:t xml:space="preserve">, </w:t>
      </w:r>
      <w:r w:rsidR="00DD46D5">
        <w:t>making it unsuitable</w:t>
      </w:r>
      <w:r w:rsidR="00A67747">
        <w:t xml:space="preserve"> to act as a</w:t>
      </w:r>
      <w:r w:rsidR="00DD46D5">
        <w:t xml:space="preserve"> replacement for SAF as a means for calculating the GP</w:t>
      </w:r>
      <w:r w:rsidR="00F3295F">
        <w:t>-</w:t>
      </w:r>
      <w:r w:rsidR="00DD46D5">
        <w:t>OoH adjustment in the NRAC Formula</w:t>
      </w:r>
      <w:r>
        <w:t xml:space="preserve">. </w:t>
      </w:r>
      <w:r w:rsidR="006118AD">
        <w:t>U</w:t>
      </w:r>
      <w:r w:rsidR="00DD46D5">
        <w:t>ntil suitable replacement data or a replacement methodology can be identified, the GP</w:t>
      </w:r>
      <w:r w:rsidR="00F3295F">
        <w:t>-</w:t>
      </w:r>
      <w:r w:rsidR="00DD46D5">
        <w:t>OoH adjustment in future NRAC runs</w:t>
      </w:r>
      <w:r w:rsidR="00A67747">
        <w:t xml:space="preserve"> (2025/26 onwards)</w:t>
      </w:r>
      <w:r w:rsidR="00DD46D5">
        <w:t xml:space="preserve"> will be based on 2017/18 SAF data. </w:t>
      </w:r>
      <w:r w:rsidR="00530D31" w:rsidRPr="00530D31">
        <w:t>Th</w:t>
      </w:r>
      <w:r w:rsidR="0081155E">
        <w:t>is presents a risk</w:t>
      </w:r>
      <w:r w:rsidR="00530D31" w:rsidRPr="00530D31">
        <w:t xml:space="preserve"> that using out-of-date SAF data </w:t>
      </w:r>
      <w:r w:rsidR="00530D31">
        <w:t>will</w:t>
      </w:r>
      <w:r w:rsidR="00530D31" w:rsidRPr="00530D31">
        <w:t xml:space="preserve"> not reflect changes </w:t>
      </w:r>
      <w:r w:rsidR="00530D31">
        <w:t xml:space="preserve">that may have occurred in the intervening years </w:t>
      </w:r>
      <w:r w:rsidR="005C2D79">
        <w:t>in terms of</w:t>
      </w:r>
      <w:r w:rsidR="00530D31">
        <w:t xml:space="preserve"> the </w:t>
      </w:r>
      <w:r w:rsidR="00F91253">
        <w:t xml:space="preserve">geographical </w:t>
      </w:r>
      <w:r w:rsidR="00530D31" w:rsidRPr="00530D31">
        <w:t>distribution of need for GP</w:t>
      </w:r>
      <w:r w:rsidR="00F3295F">
        <w:t>-</w:t>
      </w:r>
      <w:r w:rsidR="00530D31" w:rsidRPr="00530D31">
        <w:t>OoH services</w:t>
      </w:r>
      <w:r w:rsidR="00F91253">
        <w:t>.</w:t>
      </w:r>
    </w:p>
    <w:p w14:paraId="6421650D" w14:textId="090603D0" w:rsidR="00916D93" w:rsidRDefault="00957C3C" w:rsidP="00916D93">
      <w:r>
        <w:t>With the aim of assessing this risk</w:t>
      </w:r>
      <w:r w:rsidR="004C592D">
        <w:t>,</w:t>
      </w:r>
      <w:r w:rsidR="00D924C1">
        <w:t xml:space="preserve"> Table 2 below</w:t>
      </w:r>
      <w:r>
        <w:t xml:space="preserve"> shows </w:t>
      </w:r>
      <w:r w:rsidR="00F310EA">
        <w:t>how the SAF-based GP</w:t>
      </w:r>
      <w:r w:rsidR="00F3295F">
        <w:t>-</w:t>
      </w:r>
      <w:r w:rsidR="00F310EA">
        <w:t>O</w:t>
      </w:r>
      <w:r w:rsidR="00CB190D">
        <w:t>o</w:t>
      </w:r>
      <w:r w:rsidR="00F310EA">
        <w:t>H</w:t>
      </w:r>
      <w:r w:rsidR="00D93252">
        <w:t xml:space="preserve"> share</w:t>
      </w:r>
      <w:r w:rsidR="005F5EA4">
        <w:t>s for NHS Boards</w:t>
      </w:r>
      <w:r w:rsidR="00D93252">
        <w:t xml:space="preserve"> change</w:t>
      </w:r>
      <w:r w:rsidR="00DF1C33">
        <w:t>d</w:t>
      </w:r>
      <w:r w:rsidR="0096512C">
        <w:t xml:space="preserve"> over </w:t>
      </w:r>
      <w:r w:rsidR="00DF1C33">
        <w:t>the five-year period</w:t>
      </w:r>
      <w:r w:rsidR="00451065">
        <w:t xml:space="preserve"> ending</w:t>
      </w:r>
      <w:r w:rsidR="0079285F">
        <w:t xml:space="preserve"> in</w:t>
      </w:r>
      <w:r w:rsidR="00451065">
        <w:t xml:space="preserve"> 2017/18.</w:t>
      </w:r>
      <w:r w:rsidR="00916D93">
        <w:t xml:space="preserve"> </w:t>
      </w:r>
      <w:r w:rsidR="0087276B">
        <w:t>W</w:t>
      </w:r>
      <w:r w:rsidR="001E2228">
        <w:t xml:space="preserve">hilst shares for </w:t>
      </w:r>
      <w:r w:rsidR="00916D93">
        <w:t>all NHS Boards experience</w:t>
      </w:r>
      <w:r w:rsidR="003E0884">
        <w:t>d</w:t>
      </w:r>
      <w:r w:rsidR="00916D93">
        <w:t xml:space="preserve"> some change</w:t>
      </w:r>
      <w:r w:rsidR="003E0884">
        <w:t>, t</w:t>
      </w:r>
      <w:r w:rsidR="00916D93">
        <w:t>he most significant changes occur</w:t>
      </w:r>
      <w:r w:rsidR="00822056">
        <w:t>r</w:t>
      </w:r>
      <w:r w:rsidR="003E0884">
        <w:t>ed</w:t>
      </w:r>
      <w:r w:rsidR="00916D93">
        <w:t xml:space="preserve"> in NHS Greater Glasgow &amp; Clyde (-4.7%) and NHS Lanarkshire (11.6%)</w:t>
      </w:r>
      <w:r w:rsidR="003A6DD8">
        <w:t>. However</w:t>
      </w:r>
      <w:r w:rsidR="0075578A">
        <w:t>,</w:t>
      </w:r>
      <w:r w:rsidR="003A6DD8">
        <w:t xml:space="preserve"> th</w:t>
      </w:r>
      <w:r w:rsidR="00F522DA">
        <w:t>e latter was</w:t>
      </w:r>
      <w:r w:rsidR="00916D93">
        <w:t xml:space="preserve"> </w:t>
      </w:r>
      <w:r w:rsidR="0035429E">
        <w:t>due</w:t>
      </w:r>
      <w:r w:rsidR="00916D93">
        <w:t xml:space="preserve"> largely due to boundary changes that came into effect from 1</w:t>
      </w:r>
      <w:r w:rsidR="00916D93" w:rsidRPr="00916D93">
        <w:t>st</w:t>
      </w:r>
      <w:r w:rsidR="00916D93">
        <w:t xml:space="preserve"> April 2014</w:t>
      </w:r>
      <w:r w:rsidR="00775DC2">
        <w:t xml:space="preserve"> and which</w:t>
      </w:r>
      <w:r w:rsidR="00916D93">
        <w:t xml:space="preserve"> led to a decrease in the population in NHS Greater Glasgow and Clyde and an increase in the population in NHS Lanarkshire. </w:t>
      </w:r>
    </w:p>
    <w:p w14:paraId="731EF012" w14:textId="2EAA8D66" w:rsidR="000B30E5" w:rsidRDefault="0006585C" w:rsidP="007018BB">
      <w:r>
        <w:t>Table 3 uses the last run of the NRAC Formula</w:t>
      </w:r>
      <w:r w:rsidR="005E28B5">
        <w:t>,</w:t>
      </w:r>
      <w:r>
        <w:t xml:space="preserve"> </w:t>
      </w:r>
      <w:r w:rsidR="00154D8B">
        <w:t xml:space="preserve">which </w:t>
      </w:r>
      <w:r w:rsidR="005E28B5">
        <w:t>look</w:t>
      </w:r>
      <w:r w:rsidR="00154D8B">
        <w:t>ed</w:t>
      </w:r>
      <w:r w:rsidR="005E28B5">
        <w:t xml:space="preserve"> at</w:t>
      </w:r>
      <w:r w:rsidR="002075AF">
        <w:t xml:space="preserve"> healthcare</w:t>
      </w:r>
      <w:r w:rsidR="005E28B5">
        <w:t xml:space="preserve"> need in 2024/25, to test the impact</w:t>
      </w:r>
      <w:r w:rsidR="002C7F33">
        <w:t xml:space="preserve"> of </w:t>
      </w:r>
      <w:r w:rsidR="002832A7">
        <w:t>using the two sets of GP</w:t>
      </w:r>
      <w:r w:rsidR="00F3295F">
        <w:t>-</w:t>
      </w:r>
      <w:r w:rsidR="00CB190D">
        <w:t>OoH shares</w:t>
      </w:r>
      <w:r w:rsidR="002A5A81">
        <w:t xml:space="preserve"> shown in Table 2</w:t>
      </w:r>
      <w:r w:rsidR="00CB190D">
        <w:t xml:space="preserve"> to create final NRAC</w:t>
      </w:r>
      <w:r w:rsidR="008C2373">
        <w:t xml:space="preserve"> target shares</w:t>
      </w:r>
      <w:r w:rsidR="00155B62">
        <w:t xml:space="preserve"> for NHS Boards.</w:t>
      </w:r>
      <w:r w:rsidR="002C7F33">
        <w:t xml:space="preserve"> This shows</w:t>
      </w:r>
      <w:r w:rsidR="00E7439B" w:rsidRPr="00E7439B">
        <w:t xml:space="preserve"> </w:t>
      </w:r>
      <w:r w:rsidR="00127366">
        <w:t xml:space="preserve">that, despite the </w:t>
      </w:r>
      <w:r w:rsidR="00964398">
        <w:t xml:space="preserve">level of </w:t>
      </w:r>
      <w:r w:rsidR="00127366">
        <w:t>change</w:t>
      </w:r>
      <w:r w:rsidR="00964398">
        <w:t xml:space="preserve"> to </w:t>
      </w:r>
      <w:r w:rsidR="00151809">
        <w:t>the</w:t>
      </w:r>
      <w:r w:rsidR="00964398">
        <w:t xml:space="preserve"> GP</w:t>
      </w:r>
      <w:r w:rsidR="00F3295F">
        <w:t>-</w:t>
      </w:r>
      <w:r w:rsidR="00964398">
        <w:t>OoH</w:t>
      </w:r>
      <w:r w:rsidR="00151809">
        <w:t xml:space="preserve"> shares</w:t>
      </w:r>
      <w:r w:rsidR="00B17B93">
        <w:t xml:space="preserve"> over time</w:t>
      </w:r>
      <w:r w:rsidR="00EB70C1">
        <w:t>,</w:t>
      </w:r>
      <w:r w:rsidR="00127366">
        <w:t xml:space="preserve"> </w:t>
      </w:r>
      <w:r w:rsidR="00EB70C1">
        <w:t xml:space="preserve">there is </w:t>
      </w:r>
      <w:r w:rsidR="00A854FE">
        <w:t xml:space="preserve">very little impact on the </w:t>
      </w:r>
      <w:r w:rsidR="00525848">
        <w:t>NRAC ta</w:t>
      </w:r>
      <w:r w:rsidR="00292238">
        <w:t>r</w:t>
      </w:r>
      <w:r w:rsidR="00525848">
        <w:t>get shares, with no change</w:t>
      </w:r>
      <w:r w:rsidR="00292238">
        <w:t xml:space="preserve"> to two decimal places.</w:t>
      </w:r>
    </w:p>
    <w:p w14:paraId="7EF38B53" w14:textId="07BC5616" w:rsidR="00E7439B" w:rsidRDefault="00497EC2" w:rsidP="007018BB">
      <w:r>
        <w:t xml:space="preserve">As mentioned, until replacement data or a replacement methodology can be found, the GP-OoH adjustment will continue to rely on 2017/18 SAF data. However, while </w:t>
      </w:r>
      <w:r w:rsidR="00413592">
        <w:t>the current inability to update the GP</w:t>
      </w:r>
      <w:r w:rsidR="00F3295F">
        <w:t>-</w:t>
      </w:r>
      <w:r w:rsidR="00413592">
        <w:t>OoH adjustment</w:t>
      </w:r>
      <w:r w:rsidR="007F3141">
        <w:t xml:space="preserve"> is </w:t>
      </w:r>
      <w:r w:rsidR="00FE5376">
        <w:t>un</w:t>
      </w:r>
      <w:r w:rsidR="006A6761">
        <w:t>satisfactory</w:t>
      </w:r>
      <w:r w:rsidR="00FE5376">
        <w:t>,</w:t>
      </w:r>
      <w:r>
        <w:t xml:space="preserve"> this analysis highlights that</w:t>
      </w:r>
      <w:r w:rsidR="00413592">
        <w:t xml:space="preserve"> </w:t>
      </w:r>
      <w:r w:rsidR="006A6761">
        <w:t xml:space="preserve">there would need to be </w:t>
      </w:r>
      <w:r w:rsidR="003C5C5B">
        <w:t xml:space="preserve">very </w:t>
      </w:r>
      <w:r w:rsidR="006A6761">
        <w:t xml:space="preserve">significant changes to </w:t>
      </w:r>
      <w:r w:rsidR="003C5C5B">
        <w:t>t</w:t>
      </w:r>
      <w:r w:rsidR="006A6761">
        <w:t>he geographical distribution of the need for GP</w:t>
      </w:r>
      <w:r w:rsidR="00F3295F">
        <w:t>-</w:t>
      </w:r>
      <w:r w:rsidR="006A6761">
        <w:t xml:space="preserve">OoH services </w:t>
      </w:r>
      <w:r w:rsidR="00413592">
        <w:t>be</w:t>
      </w:r>
      <w:r w:rsidR="003C5C5B">
        <w:t>fore</w:t>
      </w:r>
      <w:r w:rsidR="00E4411A">
        <w:t xml:space="preserve"> </w:t>
      </w:r>
      <w:r w:rsidR="002453A7">
        <w:t>using</w:t>
      </w:r>
      <w:r w:rsidR="00E4411A">
        <w:t xml:space="preserve"> </w:t>
      </w:r>
      <w:r w:rsidR="001D12CD">
        <w:t xml:space="preserve">the </w:t>
      </w:r>
      <w:r w:rsidR="00E4411A">
        <w:t xml:space="preserve">2017/18 based adjustment was </w:t>
      </w:r>
      <w:r w:rsidR="002453A7">
        <w:t>sig</w:t>
      </w:r>
      <w:r w:rsidR="000F11BD">
        <w:t xml:space="preserve">nificantly </w:t>
      </w:r>
      <w:r w:rsidR="00A652D0">
        <w:t>misrepresentative.</w:t>
      </w:r>
      <w:r w:rsidR="00A652D0" w:rsidDel="007018BB">
        <w:t xml:space="preserve"> </w:t>
      </w:r>
    </w:p>
    <w:p w14:paraId="787BB428" w14:textId="5084E5F0" w:rsidR="00F3295F" w:rsidRPr="00604926" w:rsidRDefault="00984F24" w:rsidP="00F3295F">
      <w:pPr>
        <w:pStyle w:val="Tableorchartcaption"/>
      </w:pPr>
      <w:r w:rsidRPr="00984F24">
        <w:lastRenderedPageBreak/>
        <w:t xml:space="preserve">Table </w:t>
      </w:r>
      <w:r>
        <w:t>2</w:t>
      </w:r>
      <w:r w:rsidRPr="00984F24">
        <w:t xml:space="preserve">: </w:t>
      </w:r>
      <w:r>
        <w:t>GP</w:t>
      </w:r>
      <w:r w:rsidR="00F3295F">
        <w:t>-</w:t>
      </w:r>
      <w:r>
        <w:t>OoH shares</w:t>
      </w:r>
      <w:r w:rsidRPr="00984F24">
        <w:t xml:space="preserve"> </w:t>
      </w:r>
      <w:r>
        <w:t>(</w:t>
      </w:r>
      <w:r w:rsidR="00460314">
        <w:t xml:space="preserve">using </w:t>
      </w:r>
      <w:r>
        <w:t>20</w:t>
      </w:r>
      <w:r w:rsidR="00604926">
        <w:t>1</w:t>
      </w:r>
      <w:r w:rsidR="00D44EBE">
        <w:t>3</w:t>
      </w:r>
      <w:r w:rsidR="00604926">
        <w:t>/1</w:t>
      </w:r>
      <w:r w:rsidR="00D44EBE">
        <w:t>4</w:t>
      </w:r>
      <w:r w:rsidR="00604926">
        <w:t xml:space="preserve"> </w:t>
      </w:r>
      <w:r w:rsidR="00460314">
        <w:t xml:space="preserve">SAF data </w:t>
      </w:r>
      <w:r w:rsidR="00604926">
        <w:t>compared to 2017/18)</w:t>
      </w:r>
    </w:p>
    <w:p w14:paraId="59CABB75" w14:textId="3CBB6103" w:rsidR="00984F24" w:rsidRDefault="00984F24" w:rsidP="00631FE9"/>
    <w:tbl>
      <w:tblPr>
        <w:tblStyle w:val="TableGrid"/>
        <w:tblW w:w="0" w:type="auto"/>
        <w:tblLayout w:type="fixed"/>
        <w:tblLook w:val="04A0" w:firstRow="1" w:lastRow="0" w:firstColumn="1" w:lastColumn="0" w:noHBand="0" w:noVBand="1"/>
      </w:tblPr>
      <w:tblGrid>
        <w:gridCol w:w="2148"/>
        <w:gridCol w:w="1785"/>
        <w:gridCol w:w="1785"/>
        <w:gridCol w:w="1785"/>
        <w:gridCol w:w="1785"/>
      </w:tblGrid>
      <w:tr w:rsidR="00984F24" w:rsidRPr="00A33247" w14:paraId="2FF7F648" w14:textId="6A6BF2BE" w:rsidTr="00984F24">
        <w:trPr>
          <w:cnfStyle w:val="100000000000" w:firstRow="1" w:lastRow="0" w:firstColumn="0" w:lastColumn="0" w:oddVBand="0" w:evenVBand="0" w:oddHBand="0" w:evenHBand="0" w:firstRowFirstColumn="0" w:firstRowLastColumn="0" w:lastRowFirstColumn="0" w:lastRowLastColumn="0"/>
          <w:trHeight w:val="290"/>
        </w:trPr>
        <w:tc>
          <w:tcPr>
            <w:tcW w:w="2148" w:type="dxa"/>
            <w:noWrap/>
            <w:vAlign w:val="bottom"/>
            <w:hideMark/>
          </w:tcPr>
          <w:p w14:paraId="66195F74" w14:textId="5FB85F9E" w:rsidR="00984F24" w:rsidRPr="00984F24" w:rsidRDefault="00984F24" w:rsidP="00984F24">
            <w:r w:rsidRPr="00984F24">
              <w:t>NHS Board</w:t>
            </w:r>
          </w:p>
        </w:tc>
        <w:tc>
          <w:tcPr>
            <w:tcW w:w="1785" w:type="dxa"/>
            <w:vAlign w:val="bottom"/>
          </w:tcPr>
          <w:p w14:paraId="766FD980" w14:textId="0674CDE2" w:rsidR="00984F24" w:rsidRPr="00984F24" w:rsidRDefault="00984F24" w:rsidP="00984F24">
            <w:r>
              <w:t>GP</w:t>
            </w:r>
            <w:r w:rsidR="00F3295F">
              <w:t>-</w:t>
            </w:r>
            <w:r>
              <w:t>OoH shares</w:t>
            </w:r>
            <w:r w:rsidRPr="00984F24">
              <w:t xml:space="preserve"> (201</w:t>
            </w:r>
            <w:r w:rsidR="00D44EBE">
              <w:t>3</w:t>
            </w:r>
            <w:r w:rsidRPr="00984F24">
              <w:t>/1</w:t>
            </w:r>
            <w:r w:rsidR="00D44EBE">
              <w:t>4</w:t>
            </w:r>
            <w:r w:rsidRPr="00984F24">
              <w:t>)</w:t>
            </w:r>
          </w:p>
        </w:tc>
        <w:tc>
          <w:tcPr>
            <w:tcW w:w="1785" w:type="dxa"/>
            <w:noWrap/>
            <w:vAlign w:val="bottom"/>
            <w:hideMark/>
          </w:tcPr>
          <w:p w14:paraId="35343C3E" w14:textId="24CF9F5F" w:rsidR="00984F24" w:rsidRPr="00984F24" w:rsidRDefault="00984F24" w:rsidP="00984F24">
            <w:r>
              <w:t>GP</w:t>
            </w:r>
            <w:r w:rsidR="00F3295F">
              <w:t>-</w:t>
            </w:r>
            <w:r>
              <w:t>OoH shares</w:t>
            </w:r>
            <w:r w:rsidRPr="00984F24">
              <w:t xml:space="preserve"> (2017/18)</w:t>
            </w:r>
          </w:p>
        </w:tc>
        <w:tc>
          <w:tcPr>
            <w:tcW w:w="1785" w:type="dxa"/>
          </w:tcPr>
          <w:p w14:paraId="443D3ECE" w14:textId="7596B459" w:rsidR="00984F24" w:rsidRPr="00984F24" w:rsidRDefault="00984F24" w:rsidP="00984F24">
            <w:r>
              <w:t>Percentage point difference (2017/18 minus 201</w:t>
            </w:r>
            <w:r w:rsidR="00D44EBE">
              <w:t>3</w:t>
            </w:r>
            <w:r>
              <w:t>/1</w:t>
            </w:r>
            <w:r w:rsidR="00D44EBE">
              <w:t>4</w:t>
            </w:r>
            <w:r>
              <w:t>)</w:t>
            </w:r>
          </w:p>
        </w:tc>
        <w:tc>
          <w:tcPr>
            <w:tcW w:w="1785" w:type="dxa"/>
          </w:tcPr>
          <w:p w14:paraId="4A4C5750" w14:textId="17F2E742" w:rsidR="00984F24" w:rsidRPr="00984F24" w:rsidRDefault="00984F24" w:rsidP="00984F24">
            <w:r w:rsidRPr="00984F24">
              <w:t>Percentage (%) difference (</w:t>
            </w:r>
            <w:r>
              <w:t>2017/18</w:t>
            </w:r>
            <w:r w:rsidRPr="00984F24">
              <w:t xml:space="preserve"> minus </w:t>
            </w:r>
            <w:r>
              <w:t>201</w:t>
            </w:r>
            <w:r w:rsidR="00D44EBE">
              <w:t>3</w:t>
            </w:r>
            <w:r>
              <w:t>/1</w:t>
            </w:r>
            <w:r w:rsidR="00D44EBE">
              <w:t>4</w:t>
            </w:r>
            <w:r w:rsidRPr="00984F24">
              <w:t>)</w:t>
            </w:r>
          </w:p>
        </w:tc>
      </w:tr>
      <w:tr w:rsidR="003872D9" w:rsidRPr="00C264AC" w14:paraId="09376BC7" w14:textId="6B98ABA4" w:rsidTr="00823F5D">
        <w:trPr>
          <w:trHeight w:val="288"/>
        </w:trPr>
        <w:tc>
          <w:tcPr>
            <w:tcW w:w="2148" w:type="dxa"/>
            <w:noWrap/>
            <w:vAlign w:val="bottom"/>
            <w:hideMark/>
          </w:tcPr>
          <w:p w14:paraId="56B0073D" w14:textId="574DE026" w:rsidR="003872D9" w:rsidRPr="003872D9" w:rsidRDefault="003872D9" w:rsidP="003872D9">
            <w:r w:rsidRPr="003872D9">
              <w:t>Ayrshire &amp; Arran</w:t>
            </w:r>
          </w:p>
        </w:tc>
        <w:tc>
          <w:tcPr>
            <w:tcW w:w="1785" w:type="dxa"/>
            <w:noWrap/>
            <w:vAlign w:val="bottom"/>
            <w:hideMark/>
          </w:tcPr>
          <w:p w14:paraId="3A129C42" w14:textId="07405203" w:rsidR="003872D9" w:rsidRPr="003872D9" w:rsidRDefault="003872D9" w:rsidP="003872D9">
            <w:r w:rsidRPr="003872D9">
              <w:t>6.879%</w:t>
            </w:r>
          </w:p>
        </w:tc>
        <w:tc>
          <w:tcPr>
            <w:tcW w:w="1785" w:type="dxa"/>
            <w:noWrap/>
            <w:vAlign w:val="bottom"/>
            <w:hideMark/>
          </w:tcPr>
          <w:p w14:paraId="7701556F" w14:textId="339F547F" w:rsidR="003872D9" w:rsidRPr="003872D9" w:rsidRDefault="003872D9" w:rsidP="003872D9">
            <w:r w:rsidRPr="003872D9">
              <w:t>6.761%</w:t>
            </w:r>
          </w:p>
        </w:tc>
        <w:tc>
          <w:tcPr>
            <w:tcW w:w="1785" w:type="dxa"/>
            <w:vAlign w:val="bottom"/>
          </w:tcPr>
          <w:p w14:paraId="7F6B85C0" w14:textId="0DB1E750" w:rsidR="003872D9" w:rsidRPr="003872D9" w:rsidRDefault="003872D9" w:rsidP="003872D9">
            <w:r w:rsidRPr="003872D9">
              <w:t>-0.118</w:t>
            </w:r>
          </w:p>
        </w:tc>
        <w:tc>
          <w:tcPr>
            <w:tcW w:w="1785" w:type="dxa"/>
            <w:vAlign w:val="bottom"/>
          </w:tcPr>
          <w:p w14:paraId="5AFDA31E" w14:textId="30005DEA" w:rsidR="003872D9" w:rsidRPr="003872D9" w:rsidRDefault="003872D9" w:rsidP="003872D9">
            <w:r w:rsidRPr="003872D9">
              <w:t>-1.708%</w:t>
            </w:r>
          </w:p>
        </w:tc>
      </w:tr>
      <w:tr w:rsidR="003872D9" w:rsidRPr="00C264AC" w14:paraId="2A5FF159" w14:textId="36E552E9" w:rsidTr="00823F5D">
        <w:trPr>
          <w:trHeight w:val="288"/>
        </w:trPr>
        <w:tc>
          <w:tcPr>
            <w:tcW w:w="2148" w:type="dxa"/>
            <w:noWrap/>
            <w:vAlign w:val="bottom"/>
            <w:hideMark/>
          </w:tcPr>
          <w:p w14:paraId="2E2E6CDD" w14:textId="0B36717A" w:rsidR="003872D9" w:rsidRPr="003872D9" w:rsidRDefault="003872D9" w:rsidP="003872D9">
            <w:r w:rsidRPr="003872D9">
              <w:t>Borders</w:t>
            </w:r>
          </w:p>
        </w:tc>
        <w:tc>
          <w:tcPr>
            <w:tcW w:w="1785" w:type="dxa"/>
            <w:noWrap/>
            <w:vAlign w:val="bottom"/>
            <w:hideMark/>
          </w:tcPr>
          <w:p w14:paraId="46131D45" w14:textId="412FBE79" w:rsidR="003872D9" w:rsidRPr="003872D9" w:rsidRDefault="003872D9" w:rsidP="003872D9">
            <w:r w:rsidRPr="003872D9">
              <w:t>3.056%</w:t>
            </w:r>
          </w:p>
        </w:tc>
        <w:tc>
          <w:tcPr>
            <w:tcW w:w="1785" w:type="dxa"/>
            <w:noWrap/>
            <w:vAlign w:val="bottom"/>
            <w:hideMark/>
          </w:tcPr>
          <w:p w14:paraId="6656C8BD" w14:textId="7CF39216" w:rsidR="003872D9" w:rsidRPr="003872D9" w:rsidRDefault="003872D9" w:rsidP="003872D9">
            <w:r w:rsidRPr="003872D9">
              <w:t>3.021%</w:t>
            </w:r>
          </w:p>
        </w:tc>
        <w:tc>
          <w:tcPr>
            <w:tcW w:w="1785" w:type="dxa"/>
            <w:vAlign w:val="bottom"/>
          </w:tcPr>
          <w:p w14:paraId="365FBD16" w14:textId="0CC3A235" w:rsidR="003872D9" w:rsidRPr="003872D9" w:rsidRDefault="003872D9" w:rsidP="003872D9">
            <w:r w:rsidRPr="003872D9">
              <w:t>-0.035</w:t>
            </w:r>
          </w:p>
        </w:tc>
        <w:tc>
          <w:tcPr>
            <w:tcW w:w="1785" w:type="dxa"/>
            <w:vAlign w:val="bottom"/>
          </w:tcPr>
          <w:p w14:paraId="16AA8844" w14:textId="70DBB6A6" w:rsidR="003872D9" w:rsidRPr="003872D9" w:rsidRDefault="003872D9" w:rsidP="003872D9">
            <w:r w:rsidRPr="003872D9">
              <w:t>-1.143%</w:t>
            </w:r>
          </w:p>
        </w:tc>
      </w:tr>
      <w:tr w:rsidR="003872D9" w:rsidRPr="00C264AC" w14:paraId="0EF43044" w14:textId="3548E332" w:rsidTr="00823F5D">
        <w:trPr>
          <w:trHeight w:val="288"/>
        </w:trPr>
        <w:tc>
          <w:tcPr>
            <w:tcW w:w="2148" w:type="dxa"/>
            <w:noWrap/>
            <w:vAlign w:val="bottom"/>
          </w:tcPr>
          <w:p w14:paraId="3DBAB262" w14:textId="06A010CF" w:rsidR="003872D9" w:rsidRPr="003872D9" w:rsidRDefault="003872D9" w:rsidP="003872D9">
            <w:r w:rsidRPr="003872D9">
              <w:t>Dumfries &amp; Galloway</w:t>
            </w:r>
          </w:p>
        </w:tc>
        <w:tc>
          <w:tcPr>
            <w:tcW w:w="1785" w:type="dxa"/>
            <w:noWrap/>
            <w:vAlign w:val="bottom"/>
          </w:tcPr>
          <w:p w14:paraId="3E5A2548" w14:textId="3F709546" w:rsidR="003872D9" w:rsidRPr="003872D9" w:rsidRDefault="003872D9" w:rsidP="003872D9">
            <w:r w:rsidRPr="003872D9">
              <w:t>4.628%</w:t>
            </w:r>
          </w:p>
        </w:tc>
        <w:tc>
          <w:tcPr>
            <w:tcW w:w="1785" w:type="dxa"/>
            <w:noWrap/>
            <w:vAlign w:val="bottom"/>
          </w:tcPr>
          <w:p w14:paraId="2355002B" w14:textId="13A1115D" w:rsidR="003872D9" w:rsidRPr="003872D9" w:rsidRDefault="003872D9" w:rsidP="003872D9">
            <w:r w:rsidRPr="003872D9">
              <w:t>4.537%</w:t>
            </w:r>
          </w:p>
        </w:tc>
        <w:tc>
          <w:tcPr>
            <w:tcW w:w="1785" w:type="dxa"/>
            <w:vAlign w:val="bottom"/>
          </w:tcPr>
          <w:p w14:paraId="4F2A97E1" w14:textId="54CA16E1" w:rsidR="003872D9" w:rsidRPr="003872D9" w:rsidRDefault="003872D9" w:rsidP="003872D9">
            <w:r w:rsidRPr="003872D9">
              <w:t>-0.092</w:t>
            </w:r>
          </w:p>
        </w:tc>
        <w:tc>
          <w:tcPr>
            <w:tcW w:w="1785" w:type="dxa"/>
            <w:vAlign w:val="bottom"/>
          </w:tcPr>
          <w:p w14:paraId="4840B24E" w14:textId="2EF4E1BC" w:rsidR="003872D9" w:rsidRPr="003872D9" w:rsidRDefault="003872D9" w:rsidP="003872D9">
            <w:r w:rsidRPr="003872D9">
              <w:t>-1.977%</w:t>
            </w:r>
          </w:p>
        </w:tc>
      </w:tr>
      <w:tr w:rsidR="003872D9" w:rsidRPr="00C264AC" w14:paraId="73D10116" w14:textId="1BD1111D" w:rsidTr="00823F5D">
        <w:trPr>
          <w:trHeight w:val="288"/>
        </w:trPr>
        <w:tc>
          <w:tcPr>
            <w:tcW w:w="2148" w:type="dxa"/>
            <w:noWrap/>
            <w:vAlign w:val="bottom"/>
          </w:tcPr>
          <w:p w14:paraId="48EC4E7C" w14:textId="4E94CC98" w:rsidR="003872D9" w:rsidRPr="003872D9" w:rsidRDefault="003872D9" w:rsidP="003872D9">
            <w:r w:rsidRPr="003872D9">
              <w:t>Fife</w:t>
            </w:r>
          </w:p>
        </w:tc>
        <w:tc>
          <w:tcPr>
            <w:tcW w:w="1785" w:type="dxa"/>
            <w:noWrap/>
            <w:vAlign w:val="bottom"/>
          </w:tcPr>
          <w:p w14:paraId="2C8BC437" w14:textId="7E9786A1" w:rsidR="003872D9" w:rsidRPr="003872D9" w:rsidRDefault="003872D9" w:rsidP="003872D9">
            <w:r w:rsidRPr="003872D9">
              <w:t>6.051%</w:t>
            </w:r>
          </w:p>
        </w:tc>
        <w:tc>
          <w:tcPr>
            <w:tcW w:w="1785" w:type="dxa"/>
            <w:noWrap/>
            <w:vAlign w:val="bottom"/>
          </w:tcPr>
          <w:p w14:paraId="08F32B4E" w14:textId="4D6E8E42" w:rsidR="003872D9" w:rsidRPr="003872D9" w:rsidRDefault="003872D9" w:rsidP="003872D9">
            <w:r w:rsidRPr="003872D9">
              <w:t>5.976%</w:t>
            </w:r>
          </w:p>
        </w:tc>
        <w:tc>
          <w:tcPr>
            <w:tcW w:w="1785" w:type="dxa"/>
            <w:vAlign w:val="bottom"/>
          </w:tcPr>
          <w:p w14:paraId="4357491C" w14:textId="15CD17CD" w:rsidR="003872D9" w:rsidRPr="003872D9" w:rsidRDefault="003872D9" w:rsidP="003872D9">
            <w:r w:rsidRPr="003872D9">
              <w:t>-0.075</w:t>
            </w:r>
          </w:p>
        </w:tc>
        <w:tc>
          <w:tcPr>
            <w:tcW w:w="1785" w:type="dxa"/>
            <w:vAlign w:val="bottom"/>
          </w:tcPr>
          <w:p w14:paraId="3E8A3EEE" w14:textId="17FF7EBA" w:rsidR="003872D9" w:rsidRPr="003872D9" w:rsidRDefault="003872D9" w:rsidP="003872D9">
            <w:r w:rsidRPr="003872D9">
              <w:t>-1.245%</w:t>
            </w:r>
          </w:p>
        </w:tc>
      </w:tr>
      <w:tr w:rsidR="003872D9" w:rsidRPr="00C264AC" w14:paraId="7EC1EEDB" w14:textId="317070AE" w:rsidTr="00823F5D">
        <w:trPr>
          <w:trHeight w:val="288"/>
        </w:trPr>
        <w:tc>
          <w:tcPr>
            <w:tcW w:w="2148" w:type="dxa"/>
            <w:noWrap/>
            <w:vAlign w:val="bottom"/>
          </w:tcPr>
          <w:p w14:paraId="1625F2F8" w14:textId="35421CF3" w:rsidR="003872D9" w:rsidRPr="003872D9" w:rsidRDefault="003872D9" w:rsidP="003872D9">
            <w:r w:rsidRPr="003872D9">
              <w:t>Forth Valley</w:t>
            </w:r>
          </w:p>
        </w:tc>
        <w:tc>
          <w:tcPr>
            <w:tcW w:w="1785" w:type="dxa"/>
            <w:noWrap/>
            <w:vAlign w:val="bottom"/>
          </w:tcPr>
          <w:p w14:paraId="48E6D668" w14:textId="3433B18A" w:rsidR="003872D9" w:rsidRPr="003872D9" w:rsidRDefault="003872D9" w:rsidP="003872D9">
            <w:r w:rsidRPr="003872D9">
              <w:t>5.081%</w:t>
            </w:r>
          </w:p>
        </w:tc>
        <w:tc>
          <w:tcPr>
            <w:tcW w:w="1785" w:type="dxa"/>
            <w:noWrap/>
            <w:vAlign w:val="bottom"/>
          </w:tcPr>
          <w:p w14:paraId="5ABC241A" w14:textId="3E48203E" w:rsidR="003872D9" w:rsidRPr="003872D9" w:rsidRDefault="003872D9" w:rsidP="003872D9">
            <w:r w:rsidRPr="003872D9">
              <w:t>5.101%</w:t>
            </w:r>
          </w:p>
        </w:tc>
        <w:tc>
          <w:tcPr>
            <w:tcW w:w="1785" w:type="dxa"/>
            <w:vAlign w:val="bottom"/>
          </w:tcPr>
          <w:p w14:paraId="701EC0EF" w14:textId="1C0C3343" w:rsidR="003872D9" w:rsidRPr="003872D9" w:rsidRDefault="003872D9" w:rsidP="003872D9">
            <w:r w:rsidRPr="003872D9">
              <w:t>0.020</w:t>
            </w:r>
          </w:p>
        </w:tc>
        <w:tc>
          <w:tcPr>
            <w:tcW w:w="1785" w:type="dxa"/>
            <w:vAlign w:val="bottom"/>
          </w:tcPr>
          <w:p w14:paraId="419F854C" w14:textId="770A60DE" w:rsidR="003872D9" w:rsidRPr="003872D9" w:rsidRDefault="003872D9" w:rsidP="003872D9">
            <w:r w:rsidRPr="003872D9">
              <w:t>0.385%</w:t>
            </w:r>
          </w:p>
        </w:tc>
      </w:tr>
      <w:tr w:rsidR="003872D9" w:rsidRPr="00C264AC" w14:paraId="637FFA47" w14:textId="49352494" w:rsidTr="00823F5D">
        <w:trPr>
          <w:trHeight w:val="288"/>
        </w:trPr>
        <w:tc>
          <w:tcPr>
            <w:tcW w:w="2148" w:type="dxa"/>
            <w:noWrap/>
            <w:vAlign w:val="bottom"/>
          </w:tcPr>
          <w:p w14:paraId="61F977BC" w14:textId="5B8122C2" w:rsidR="003872D9" w:rsidRPr="003872D9" w:rsidRDefault="003872D9" w:rsidP="003872D9">
            <w:r w:rsidRPr="003872D9">
              <w:t>Greater Glasgow &amp; Clyde</w:t>
            </w:r>
          </w:p>
        </w:tc>
        <w:tc>
          <w:tcPr>
            <w:tcW w:w="1785" w:type="dxa"/>
            <w:noWrap/>
            <w:vAlign w:val="bottom"/>
          </w:tcPr>
          <w:p w14:paraId="3A736374" w14:textId="22F8654C" w:rsidR="003872D9" w:rsidRPr="003872D9" w:rsidRDefault="003872D9" w:rsidP="003872D9">
            <w:r w:rsidRPr="003872D9">
              <w:t>18.521%</w:t>
            </w:r>
          </w:p>
        </w:tc>
        <w:tc>
          <w:tcPr>
            <w:tcW w:w="1785" w:type="dxa"/>
            <w:noWrap/>
            <w:vAlign w:val="bottom"/>
          </w:tcPr>
          <w:p w14:paraId="77BB3227" w14:textId="344441EC" w:rsidR="003872D9" w:rsidRPr="003872D9" w:rsidRDefault="003872D9" w:rsidP="003872D9">
            <w:r w:rsidRPr="003872D9">
              <w:t>17.657%</w:t>
            </w:r>
          </w:p>
        </w:tc>
        <w:tc>
          <w:tcPr>
            <w:tcW w:w="1785" w:type="dxa"/>
            <w:vAlign w:val="bottom"/>
          </w:tcPr>
          <w:p w14:paraId="5570B1BE" w14:textId="6AE5277C" w:rsidR="003872D9" w:rsidRPr="003872D9" w:rsidRDefault="003872D9" w:rsidP="003872D9">
            <w:r w:rsidRPr="003872D9">
              <w:t>-0.865</w:t>
            </w:r>
          </w:p>
        </w:tc>
        <w:tc>
          <w:tcPr>
            <w:tcW w:w="1785" w:type="dxa"/>
            <w:vAlign w:val="bottom"/>
          </w:tcPr>
          <w:p w14:paraId="16C91158" w14:textId="161FD34B" w:rsidR="003872D9" w:rsidRPr="003872D9" w:rsidRDefault="003872D9" w:rsidP="003872D9">
            <w:r w:rsidRPr="003872D9">
              <w:t>-4.668%</w:t>
            </w:r>
          </w:p>
        </w:tc>
      </w:tr>
      <w:tr w:rsidR="003872D9" w:rsidRPr="00C264AC" w14:paraId="3B265C88" w14:textId="2695F1DA" w:rsidTr="00823F5D">
        <w:trPr>
          <w:trHeight w:val="288"/>
        </w:trPr>
        <w:tc>
          <w:tcPr>
            <w:tcW w:w="2148" w:type="dxa"/>
            <w:noWrap/>
            <w:vAlign w:val="bottom"/>
          </w:tcPr>
          <w:p w14:paraId="779BEB9B" w14:textId="7930B31D" w:rsidR="003872D9" w:rsidRPr="003872D9" w:rsidRDefault="003872D9" w:rsidP="003872D9">
            <w:r w:rsidRPr="003872D9">
              <w:t>Grampian</w:t>
            </w:r>
          </w:p>
        </w:tc>
        <w:tc>
          <w:tcPr>
            <w:tcW w:w="1785" w:type="dxa"/>
            <w:noWrap/>
            <w:vAlign w:val="bottom"/>
          </w:tcPr>
          <w:p w14:paraId="33AA886E" w14:textId="3DDD6B99" w:rsidR="003872D9" w:rsidRPr="003872D9" w:rsidRDefault="003872D9" w:rsidP="003872D9">
            <w:r w:rsidRPr="003872D9">
              <w:t>12.226%</w:t>
            </w:r>
          </w:p>
        </w:tc>
        <w:tc>
          <w:tcPr>
            <w:tcW w:w="1785" w:type="dxa"/>
            <w:noWrap/>
            <w:vAlign w:val="bottom"/>
          </w:tcPr>
          <w:p w14:paraId="3040A5D3" w14:textId="3F2B4C8D" w:rsidR="003872D9" w:rsidRPr="003872D9" w:rsidRDefault="003872D9" w:rsidP="003872D9">
            <w:r w:rsidRPr="003872D9">
              <w:t>12.159%</w:t>
            </w:r>
          </w:p>
        </w:tc>
        <w:tc>
          <w:tcPr>
            <w:tcW w:w="1785" w:type="dxa"/>
            <w:vAlign w:val="bottom"/>
          </w:tcPr>
          <w:p w14:paraId="28122505" w14:textId="5A8C672F" w:rsidR="003872D9" w:rsidRPr="003872D9" w:rsidRDefault="003872D9" w:rsidP="003872D9">
            <w:r w:rsidRPr="003872D9">
              <w:t>-0.067</w:t>
            </w:r>
          </w:p>
        </w:tc>
        <w:tc>
          <w:tcPr>
            <w:tcW w:w="1785" w:type="dxa"/>
            <w:vAlign w:val="bottom"/>
          </w:tcPr>
          <w:p w14:paraId="616BF3B0" w14:textId="4A3311E8" w:rsidR="003872D9" w:rsidRPr="003872D9" w:rsidRDefault="003872D9" w:rsidP="003872D9">
            <w:r w:rsidRPr="003872D9">
              <w:t>-0.544%</w:t>
            </w:r>
          </w:p>
        </w:tc>
      </w:tr>
      <w:tr w:rsidR="003872D9" w:rsidRPr="00C264AC" w14:paraId="420CDB0C" w14:textId="3D10BBA8" w:rsidTr="00823F5D">
        <w:trPr>
          <w:trHeight w:val="288"/>
        </w:trPr>
        <w:tc>
          <w:tcPr>
            <w:tcW w:w="2148" w:type="dxa"/>
            <w:noWrap/>
            <w:vAlign w:val="bottom"/>
          </w:tcPr>
          <w:p w14:paraId="233095BB" w14:textId="57719AEE" w:rsidR="003872D9" w:rsidRPr="003872D9" w:rsidRDefault="003872D9" w:rsidP="003872D9">
            <w:r w:rsidRPr="003872D9">
              <w:t>Highland</w:t>
            </w:r>
          </w:p>
        </w:tc>
        <w:tc>
          <w:tcPr>
            <w:tcW w:w="1785" w:type="dxa"/>
            <w:noWrap/>
            <w:vAlign w:val="bottom"/>
          </w:tcPr>
          <w:p w14:paraId="19ECEFD7" w14:textId="2516FF13" w:rsidR="003872D9" w:rsidRPr="003872D9" w:rsidRDefault="003872D9" w:rsidP="003872D9">
            <w:r w:rsidRPr="003872D9">
              <w:t>11.033%</w:t>
            </w:r>
          </w:p>
        </w:tc>
        <w:tc>
          <w:tcPr>
            <w:tcW w:w="1785" w:type="dxa"/>
            <w:noWrap/>
            <w:vAlign w:val="bottom"/>
          </w:tcPr>
          <w:p w14:paraId="31B9DAD5" w14:textId="0CCAEF17" w:rsidR="003872D9" w:rsidRPr="003872D9" w:rsidRDefault="003872D9" w:rsidP="003872D9">
            <w:r w:rsidRPr="003872D9">
              <w:t>10.959%</w:t>
            </w:r>
          </w:p>
        </w:tc>
        <w:tc>
          <w:tcPr>
            <w:tcW w:w="1785" w:type="dxa"/>
            <w:vAlign w:val="bottom"/>
          </w:tcPr>
          <w:p w14:paraId="77DB1622" w14:textId="0260A974" w:rsidR="003872D9" w:rsidRPr="003872D9" w:rsidRDefault="003872D9" w:rsidP="003872D9">
            <w:r w:rsidRPr="003872D9">
              <w:t>-0.074</w:t>
            </w:r>
          </w:p>
        </w:tc>
        <w:tc>
          <w:tcPr>
            <w:tcW w:w="1785" w:type="dxa"/>
            <w:vAlign w:val="bottom"/>
          </w:tcPr>
          <w:p w14:paraId="45FBEE9A" w14:textId="3157975B" w:rsidR="003872D9" w:rsidRPr="003872D9" w:rsidRDefault="003872D9" w:rsidP="003872D9">
            <w:r w:rsidRPr="003872D9">
              <w:t>-0.671%</w:t>
            </w:r>
          </w:p>
        </w:tc>
      </w:tr>
      <w:tr w:rsidR="003872D9" w:rsidRPr="00C264AC" w14:paraId="0EC8F02A" w14:textId="6711DD49" w:rsidTr="00823F5D">
        <w:trPr>
          <w:trHeight w:val="288"/>
        </w:trPr>
        <w:tc>
          <w:tcPr>
            <w:tcW w:w="2148" w:type="dxa"/>
            <w:noWrap/>
            <w:vAlign w:val="bottom"/>
          </w:tcPr>
          <w:p w14:paraId="4B256FAD" w14:textId="6213DC1C" w:rsidR="003872D9" w:rsidRPr="003872D9" w:rsidRDefault="003872D9" w:rsidP="003872D9">
            <w:r w:rsidRPr="003872D9">
              <w:t>Lanarkshire</w:t>
            </w:r>
          </w:p>
        </w:tc>
        <w:tc>
          <w:tcPr>
            <w:tcW w:w="1785" w:type="dxa"/>
            <w:noWrap/>
            <w:vAlign w:val="bottom"/>
          </w:tcPr>
          <w:p w14:paraId="763A2752" w14:textId="1B41923D" w:rsidR="003872D9" w:rsidRPr="003872D9" w:rsidRDefault="003872D9" w:rsidP="003872D9">
            <w:r w:rsidRPr="003872D9">
              <w:t>9.026%</w:t>
            </w:r>
          </w:p>
        </w:tc>
        <w:tc>
          <w:tcPr>
            <w:tcW w:w="1785" w:type="dxa"/>
            <w:noWrap/>
            <w:vAlign w:val="bottom"/>
          </w:tcPr>
          <w:p w14:paraId="30036F13" w14:textId="3136C9AB" w:rsidR="003872D9" w:rsidRPr="003872D9" w:rsidRDefault="003872D9" w:rsidP="003872D9">
            <w:r w:rsidRPr="003872D9">
              <w:t>10.072%</w:t>
            </w:r>
          </w:p>
        </w:tc>
        <w:tc>
          <w:tcPr>
            <w:tcW w:w="1785" w:type="dxa"/>
            <w:vAlign w:val="bottom"/>
          </w:tcPr>
          <w:p w14:paraId="3267EC0C" w14:textId="3F49C085" w:rsidR="003872D9" w:rsidRPr="003872D9" w:rsidRDefault="003872D9" w:rsidP="003872D9">
            <w:r w:rsidRPr="003872D9">
              <w:t>1.046</w:t>
            </w:r>
          </w:p>
        </w:tc>
        <w:tc>
          <w:tcPr>
            <w:tcW w:w="1785" w:type="dxa"/>
            <w:vAlign w:val="bottom"/>
          </w:tcPr>
          <w:p w14:paraId="336327F7" w14:textId="7470F8F9" w:rsidR="003872D9" w:rsidRPr="003872D9" w:rsidRDefault="003872D9" w:rsidP="003872D9">
            <w:r w:rsidRPr="003872D9">
              <w:t>11.587%</w:t>
            </w:r>
          </w:p>
        </w:tc>
      </w:tr>
      <w:tr w:rsidR="003872D9" w:rsidRPr="00C264AC" w14:paraId="7490BE23" w14:textId="0E0AA429" w:rsidTr="00823F5D">
        <w:trPr>
          <w:trHeight w:val="288"/>
        </w:trPr>
        <w:tc>
          <w:tcPr>
            <w:tcW w:w="2148" w:type="dxa"/>
            <w:noWrap/>
            <w:vAlign w:val="bottom"/>
          </w:tcPr>
          <w:p w14:paraId="058F268C" w14:textId="22B86B46" w:rsidR="003872D9" w:rsidRPr="003872D9" w:rsidRDefault="003872D9" w:rsidP="003872D9">
            <w:r w:rsidRPr="003872D9">
              <w:t>Lothian</w:t>
            </w:r>
          </w:p>
        </w:tc>
        <w:tc>
          <w:tcPr>
            <w:tcW w:w="1785" w:type="dxa"/>
            <w:noWrap/>
            <w:vAlign w:val="bottom"/>
          </w:tcPr>
          <w:p w14:paraId="5FC688D9" w14:textId="6D43FBE2" w:rsidR="003872D9" w:rsidRPr="003872D9" w:rsidRDefault="003872D9" w:rsidP="003872D9">
            <w:r w:rsidRPr="003872D9">
              <w:t>12.260%</w:t>
            </w:r>
          </w:p>
        </w:tc>
        <w:tc>
          <w:tcPr>
            <w:tcW w:w="1785" w:type="dxa"/>
            <w:noWrap/>
            <w:vAlign w:val="bottom"/>
          </w:tcPr>
          <w:p w14:paraId="5E7CCB51" w14:textId="6C3FB7BD" w:rsidR="003872D9" w:rsidRPr="003872D9" w:rsidRDefault="003872D9" w:rsidP="003872D9">
            <w:r w:rsidRPr="003872D9">
              <w:t>12.630%</w:t>
            </w:r>
          </w:p>
        </w:tc>
        <w:tc>
          <w:tcPr>
            <w:tcW w:w="1785" w:type="dxa"/>
            <w:vAlign w:val="bottom"/>
          </w:tcPr>
          <w:p w14:paraId="2D121068" w14:textId="3664A2F0" w:rsidR="003872D9" w:rsidRPr="003872D9" w:rsidRDefault="003872D9" w:rsidP="003872D9">
            <w:r w:rsidRPr="003872D9">
              <w:t>0.369</w:t>
            </w:r>
          </w:p>
        </w:tc>
        <w:tc>
          <w:tcPr>
            <w:tcW w:w="1785" w:type="dxa"/>
            <w:vAlign w:val="bottom"/>
          </w:tcPr>
          <w:p w14:paraId="49487B48" w14:textId="4E09E4BC" w:rsidR="003872D9" w:rsidRPr="003872D9" w:rsidRDefault="003872D9" w:rsidP="003872D9">
            <w:r w:rsidRPr="003872D9">
              <w:t>3.014%</w:t>
            </w:r>
          </w:p>
        </w:tc>
      </w:tr>
      <w:tr w:rsidR="003872D9" w:rsidRPr="00C264AC" w14:paraId="3D779856" w14:textId="2FE0E9CF" w:rsidTr="00823F5D">
        <w:trPr>
          <w:trHeight w:val="288"/>
        </w:trPr>
        <w:tc>
          <w:tcPr>
            <w:tcW w:w="2148" w:type="dxa"/>
            <w:noWrap/>
            <w:vAlign w:val="bottom"/>
          </w:tcPr>
          <w:p w14:paraId="24BBB034" w14:textId="69F11869" w:rsidR="003872D9" w:rsidRPr="003872D9" w:rsidRDefault="003872D9" w:rsidP="003872D9">
            <w:r w:rsidRPr="003872D9">
              <w:t>Orkney</w:t>
            </w:r>
          </w:p>
        </w:tc>
        <w:tc>
          <w:tcPr>
            <w:tcW w:w="1785" w:type="dxa"/>
            <w:noWrap/>
            <w:vAlign w:val="bottom"/>
          </w:tcPr>
          <w:p w14:paraId="4F6372B6" w14:textId="2FB0FBDC" w:rsidR="003872D9" w:rsidRPr="003872D9" w:rsidRDefault="003872D9" w:rsidP="003872D9">
            <w:r w:rsidRPr="003872D9">
              <w:t>0.787%</w:t>
            </w:r>
          </w:p>
        </w:tc>
        <w:tc>
          <w:tcPr>
            <w:tcW w:w="1785" w:type="dxa"/>
            <w:noWrap/>
            <w:vAlign w:val="bottom"/>
          </w:tcPr>
          <w:p w14:paraId="35349652" w14:textId="2A9ECA0A" w:rsidR="003872D9" w:rsidRPr="003872D9" w:rsidRDefault="003872D9" w:rsidP="003872D9">
            <w:r w:rsidRPr="003872D9">
              <w:t>0.794%</w:t>
            </w:r>
          </w:p>
        </w:tc>
        <w:tc>
          <w:tcPr>
            <w:tcW w:w="1785" w:type="dxa"/>
            <w:vAlign w:val="bottom"/>
          </w:tcPr>
          <w:p w14:paraId="236713A5" w14:textId="18E0238E" w:rsidR="003872D9" w:rsidRPr="003872D9" w:rsidRDefault="003872D9" w:rsidP="003872D9">
            <w:r w:rsidRPr="003872D9">
              <w:t>0.007</w:t>
            </w:r>
          </w:p>
        </w:tc>
        <w:tc>
          <w:tcPr>
            <w:tcW w:w="1785" w:type="dxa"/>
            <w:vAlign w:val="bottom"/>
          </w:tcPr>
          <w:p w14:paraId="62766BAF" w14:textId="3CECF9CC" w:rsidR="003872D9" w:rsidRPr="003872D9" w:rsidRDefault="003872D9" w:rsidP="003872D9">
            <w:r w:rsidRPr="003872D9">
              <w:t>0.848%</w:t>
            </w:r>
          </w:p>
        </w:tc>
      </w:tr>
      <w:tr w:rsidR="003872D9" w:rsidRPr="00C264AC" w14:paraId="0390D221" w14:textId="7601CDE5" w:rsidTr="00823F5D">
        <w:trPr>
          <w:trHeight w:val="288"/>
        </w:trPr>
        <w:tc>
          <w:tcPr>
            <w:tcW w:w="2148" w:type="dxa"/>
            <w:noWrap/>
            <w:vAlign w:val="bottom"/>
          </w:tcPr>
          <w:p w14:paraId="01446832" w14:textId="7503B5EC" w:rsidR="003872D9" w:rsidRPr="003872D9" w:rsidRDefault="003872D9" w:rsidP="003872D9">
            <w:r w:rsidRPr="003872D9">
              <w:t>Shetland</w:t>
            </w:r>
          </w:p>
        </w:tc>
        <w:tc>
          <w:tcPr>
            <w:tcW w:w="1785" w:type="dxa"/>
            <w:noWrap/>
            <w:vAlign w:val="bottom"/>
          </w:tcPr>
          <w:p w14:paraId="385E08B4" w14:textId="2707F6CD" w:rsidR="003872D9" w:rsidRPr="003872D9" w:rsidRDefault="003872D9" w:rsidP="003872D9">
            <w:r w:rsidRPr="003872D9">
              <w:t>0.932%</w:t>
            </w:r>
          </w:p>
        </w:tc>
        <w:tc>
          <w:tcPr>
            <w:tcW w:w="1785" w:type="dxa"/>
            <w:noWrap/>
            <w:vAlign w:val="bottom"/>
          </w:tcPr>
          <w:p w14:paraId="0A80A043" w14:textId="15B98F40" w:rsidR="003872D9" w:rsidRPr="003872D9" w:rsidRDefault="003872D9" w:rsidP="003872D9">
            <w:r w:rsidRPr="003872D9">
              <w:t>0.904%</w:t>
            </w:r>
          </w:p>
        </w:tc>
        <w:tc>
          <w:tcPr>
            <w:tcW w:w="1785" w:type="dxa"/>
            <w:vAlign w:val="bottom"/>
          </w:tcPr>
          <w:p w14:paraId="6380670D" w14:textId="21EEB0CE" w:rsidR="003872D9" w:rsidRPr="003872D9" w:rsidRDefault="003872D9" w:rsidP="003872D9">
            <w:r w:rsidRPr="003872D9">
              <w:t>-0.028</w:t>
            </w:r>
          </w:p>
        </w:tc>
        <w:tc>
          <w:tcPr>
            <w:tcW w:w="1785" w:type="dxa"/>
            <w:vAlign w:val="bottom"/>
          </w:tcPr>
          <w:p w14:paraId="3E44B5F0" w14:textId="797C0173" w:rsidR="003872D9" w:rsidRPr="003872D9" w:rsidRDefault="003872D9" w:rsidP="003872D9">
            <w:r w:rsidRPr="003872D9">
              <w:t>-3.057%</w:t>
            </w:r>
          </w:p>
        </w:tc>
      </w:tr>
      <w:tr w:rsidR="003872D9" w:rsidRPr="00C264AC" w14:paraId="0D895C27" w14:textId="310E6426" w:rsidTr="00823F5D">
        <w:trPr>
          <w:trHeight w:val="288"/>
        </w:trPr>
        <w:tc>
          <w:tcPr>
            <w:tcW w:w="2148" w:type="dxa"/>
            <w:noWrap/>
            <w:vAlign w:val="bottom"/>
          </w:tcPr>
          <w:p w14:paraId="57BEB862" w14:textId="538306C7" w:rsidR="003872D9" w:rsidRPr="003872D9" w:rsidRDefault="003872D9" w:rsidP="003872D9">
            <w:r w:rsidRPr="003872D9">
              <w:t>Tayside</w:t>
            </w:r>
          </w:p>
        </w:tc>
        <w:tc>
          <w:tcPr>
            <w:tcW w:w="1785" w:type="dxa"/>
            <w:noWrap/>
            <w:vAlign w:val="bottom"/>
          </w:tcPr>
          <w:p w14:paraId="4AB46AA8" w14:textId="7CD3D424" w:rsidR="003872D9" w:rsidRPr="003872D9" w:rsidRDefault="003872D9" w:rsidP="003872D9">
            <w:r w:rsidRPr="003872D9">
              <w:t>8.183%</w:t>
            </w:r>
          </w:p>
        </w:tc>
        <w:tc>
          <w:tcPr>
            <w:tcW w:w="1785" w:type="dxa"/>
            <w:noWrap/>
            <w:vAlign w:val="bottom"/>
          </w:tcPr>
          <w:p w14:paraId="066C8DD2" w14:textId="602B863A" w:rsidR="003872D9" w:rsidRPr="003872D9" w:rsidRDefault="003872D9" w:rsidP="003872D9">
            <w:r w:rsidRPr="003872D9">
              <w:t>8.121%</w:t>
            </w:r>
          </w:p>
        </w:tc>
        <w:tc>
          <w:tcPr>
            <w:tcW w:w="1785" w:type="dxa"/>
            <w:vAlign w:val="bottom"/>
          </w:tcPr>
          <w:p w14:paraId="00555730" w14:textId="1EB1A012" w:rsidR="003872D9" w:rsidRPr="003872D9" w:rsidRDefault="003872D9" w:rsidP="003872D9">
            <w:r w:rsidRPr="003872D9">
              <w:t>-0.062</w:t>
            </w:r>
          </w:p>
        </w:tc>
        <w:tc>
          <w:tcPr>
            <w:tcW w:w="1785" w:type="dxa"/>
            <w:vAlign w:val="bottom"/>
          </w:tcPr>
          <w:p w14:paraId="1024E292" w14:textId="20D89D9F" w:rsidR="003872D9" w:rsidRPr="003872D9" w:rsidRDefault="003872D9" w:rsidP="003872D9">
            <w:r w:rsidRPr="003872D9">
              <w:t>-0.757%</w:t>
            </w:r>
          </w:p>
        </w:tc>
      </w:tr>
      <w:tr w:rsidR="003872D9" w:rsidRPr="00C264AC" w14:paraId="6A433F53" w14:textId="073DB9BC" w:rsidTr="00823F5D">
        <w:trPr>
          <w:trHeight w:val="288"/>
        </w:trPr>
        <w:tc>
          <w:tcPr>
            <w:tcW w:w="2148" w:type="dxa"/>
            <w:noWrap/>
            <w:vAlign w:val="bottom"/>
          </w:tcPr>
          <w:p w14:paraId="5549AF47" w14:textId="57EC0A6F" w:rsidR="003872D9" w:rsidRPr="003872D9" w:rsidRDefault="003872D9" w:rsidP="003872D9">
            <w:r w:rsidRPr="003872D9">
              <w:t>Western Isles</w:t>
            </w:r>
          </w:p>
        </w:tc>
        <w:tc>
          <w:tcPr>
            <w:tcW w:w="1785" w:type="dxa"/>
            <w:noWrap/>
            <w:vAlign w:val="bottom"/>
          </w:tcPr>
          <w:p w14:paraId="06D62039" w14:textId="3FA4E95E" w:rsidR="003872D9" w:rsidRPr="003872D9" w:rsidRDefault="003872D9" w:rsidP="003872D9">
            <w:r w:rsidRPr="003872D9">
              <w:t>1.335%</w:t>
            </w:r>
          </w:p>
        </w:tc>
        <w:tc>
          <w:tcPr>
            <w:tcW w:w="1785" w:type="dxa"/>
            <w:noWrap/>
            <w:vAlign w:val="bottom"/>
          </w:tcPr>
          <w:p w14:paraId="5F9ECD9F" w14:textId="533D737D" w:rsidR="003872D9" w:rsidRPr="003872D9" w:rsidRDefault="003872D9" w:rsidP="003872D9">
            <w:r w:rsidRPr="003872D9">
              <w:t>1.309%</w:t>
            </w:r>
          </w:p>
        </w:tc>
        <w:tc>
          <w:tcPr>
            <w:tcW w:w="1785" w:type="dxa"/>
            <w:vAlign w:val="bottom"/>
          </w:tcPr>
          <w:p w14:paraId="3DFECDDC" w14:textId="59EC44BF" w:rsidR="003872D9" w:rsidRPr="003872D9" w:rsidRDefault="003872D9" w:rsidP="003872D9">
            <w:r w:rsidRPr="003872D9">
              <w:t>-0.027</w:t>
            </w:r>
          </w:p>
        </w:tc>
        <w:tc>
          <w:tcPr>
            <w:tcW w:w="1785" w:type="dxa"/>
            <w:vAlign w:val="bottom"/>
          </w:tcPr>
          <w:p w14:paraId="660B16CB" w14:textId="3EE248FE" w:rsidR="003872D9" w:rsidRPr="003872D9" w:rsidRDefault="003872D9" w:rsidP="003872D9">
            <w:r w:rsidRPr="003872D9">
              <w:t>-2.000%</w:t>
            </w:r>
          </w:p>
        </w:tc>
      </w:tr>
    </w:tbl>
    <w:p w14:paraId="52E6BE95" w14:textId="3B6ACB95" w:rsidR="008518A2" w:rsidRDefault="008518A2" w:rsidP="00B0738E"/>
    <w:p w14:paraId="22FB1C4B" w14:textId="6E48363B" w:rsidR="00604926" w:rsidRPr="00604926" w:rsidRDefault="00604926" w:rsidP="00604926">
      <w:pPr>
        <w:pStyle w:val="Tableorchartcaption"/>
      </w:pPr>
      <w:r w:rsidRPr="00604926">
        <w:t xml:space="preserve">Table </w:t>
      </w:r>
      <w:r>
        <w:t>3</w:t>
      </w:r>
      <w:r w:rsidRPr="00604926">
        <w:t xml:space="preserve">: </w:t>
      </w:r>
      <w:r>
        <w:t>Final target NRAC shares for</w:t>
      </w:r>
      <w:r w:rsidR="00FC35DC">
        <w:t xml:space="preserve"> NHS Boards for</w:t>
      </w:r>
      <w:r>
        <w:t xml:space="preserve"> 2024/25 (calculated using 201</w:t>
      </w:r>
      <w:r w:rsidR="00D44EBE">
        <w:t>3</w:t>
      </w:r>
      <w:r>
        <w:t>/1</w:t>
      </w:r>
      <w:r w:rsidR="00D44EBE">
        <w:t>4</w:t>
      </w:r>
      <w:r>
        <w:t xml:space="preserve"> and 2017/18 GP</w:t>
      </w:r>
      <w:r w:rsidR="00F3295F">
        <w:t>-</w:t>
      </w:r>
      <w:r>
        <w:t>OoH shares)</w:t>
      </w:r>
    </w:p>
    <w:tbl>
      <w:tblPr>
        <w:tblStyle w:val="TableGrid"/>
        <w:tblW w:w="0" w:type="auto"/>
        <w:tblLayout w:type="fixed"/>
        <w:tblLook w:val="04A0" w:firstRow="1" w:lastRow="0" w:firstColumn="1" w:lastColumn="0" w:noHBand="0" w:noVBand="1"/>
      </w:tblPr>
      <w:tblGrid>
        <w:gridCol w:w="2148"/>
        <w:gridCol w:w="1785"/>
        <w:gridCol w:w="1785"/>
        <w:gridCol w:w="1785"/>
        <w:gridCol w:w="1785"/>
      </w:tblGrid>
      <w:tr w:rsidR="00604926" w:rsidRPr="00A33247" w14:paraId="6C52614F" w14:textId="77777777" w:rsidTr="00823F5D">
        <w:trPr>
          <w:cnfStyle w:val="100000000000" w:firstRow="1" w:lastRow="0" w:firstColumn="0" w:lastColumn="0" w:oddVBand="0" w:evenVBand="0" w:oddHBand="0" w:evenHBand="0" w:firstRowFirstColumn="0" w:firstRowLastColumn="0" w:lastRowFirstColumn="0" w:lastRowLastColumn="0"/>
          <w:trHeight w:val="290"/>
        </w:trPr>
        <w:tc>
          <w:tcPr>
            <w:tcW w:w="2148" w:type="dxa"/>
            <w:noWrap/>
            <w:vAlign w:val="bottom"/>
            <w:hideMark/>
          </w:tcPr>
          <w:p w14:paraId="1679396C" w14:textId="77777777" w:rsidR="00604926" w:rsidRPr="00604926" w:rsidRDefault="00604926" w:rsidP="00604926">
            <w:r w:rsidRPr="00604926">
              <w:t>NHS Board</w:t>
            </w:r>
          </w:p>
        </w:tc>
        <w:tc>
          <w:tcPr>
            <w:tcW w:w="1785" w:type="dxa"/>
            <w:vAlign w:val="bottom"/>
          </w:tcPr>
          <w:p w14:paraId="439CA559" w14:textId="456913BC" w:rsidR="00604926" w:rsidRPr="00604926" w:rsidRDefault="00604926" w:rsidP="00604926">
            <w:r w:rsidRPr="00604926">
              <w:t xml:space="preserve">Final target share - using </w:t>
            </w:r>
            <w:r>
              <w:t>201</w:t>
            </w:r>
            <w:r w:rsidR="00D44EBE">
              <w:t>3</w:t>
            </w:r>
            <w:r>
              <w:t>/1</w:t>
            </w:r>
            <w:r w:rsidR="00D44EBE">
              <w:t>4</w:t>
            </w:r>
            <w:r>
              <w:t xml:space="preserve"> GP</w:t>
            </w:r>
            <w:r w:rsidR="00F3295F">
              <w:t>-</w:t>
            </w:r>
            <w:r>
              <w:t>OoH shares</w:t>
            </w:r>
          </w:p>
        </w:tc>
        <w:tc>
          <w:tcPr>
            <w:tcW w:w="1785" w:type="dxa"/>
            <w:noWrap/>
            <w:vAlign w:val="bottom"/>
            <w:hideMark/>
          </w:tcPr>
          <w:p w14:paraId="6B801B40" w14:textId="50559E86" w:rsidR="00604926" w:rsidRPr="00604926" w:rsidRDefault="00604926" w:rsidP="00604926">
            <w:r w:rsidRPr="00604926">
              <w:t>Final target share - using 201</w:t>
            </w:r>
            <w:r>
              <w:t>7</w:t>
            </w:r>
            <w:r w:rsidRPr="00604926">
              <w:t>/1</w:t>
            </w:r>
            <w:r>
              <w:t>8</w:t>
            </w:r>
            <w:r w:rsidRPr="00604926">
              <w:t xml:space="preserve"> GP</w:t>
            </w:r>
            <w:r w:rsidR="00F3295F">
              <w:t>-</w:t>
            </w:r>
            <w:r w:rsidRPr="00604926">
              <w:t>OoH shares</w:t>
            </w:r>
          </w:p>
        </w:tc>
        <w:tc>
          <w:tcPr>
            <w:tcW w:w="1785" w:type="dxa"/>
          </w:tcPr>
          <w:p w14:paraId="2CA250E0" w14:textId="1335ED16" w:rsidR="00604926" w:rsidRPr="00604926" w:rsidRDefault="00604926" w:rsidP="00604926">
            <w:r w:rsidRPr="00604926">
              <w:t>Percentage point difference (2017/18 minus 201</w:t>
            </w:r>
            <w:r w:rsidR="00D44EBE">
              <w:t>3</w:t>
            </w:r>
            <w:r w:rsidRPr="00604926">
              <w:t>/1</w:t>
            </w:r>
            <w:r w:rsidR="00D44EBE">
              <w:t>4</w:t>
            </w:r>
            <w:r w:rsidRPr="00604926">
              <w:t>)</w:t>
            </w:r>
          </w:p>
        </w:tc>
        <w:tc>
          <w:tcPr>
            <w:tcW w:w="1785" w:type="dxa"/>
          </w:tcPr>
          <w:p w14:paraId="6A056722" w14:textId="31D8779B" w:rsidR="00604926" w:rsidRPr="00604926" w:rsidRDefault="00604926" w:rsidP="00604926">
            <w:r w:rsidRPr="00604926">
              <w:t>Percentage (%) difference (2017/18 minus 201</w:t>
            </w:r>
            <w:r w:rsidR="00D44EBE">
              <w:t>3</w:t>
            </w:r>
            <w:r w:rsidRPr="00604926">
              <w:t>/1</w:t>
            </w:r>
            <w:r w:rsidR="00D44EBE">
              <w:t>4</w:t>
            </w:r>
            <w:r w:rsidRPr="00604926">
              <w:t>)</w:t>
            </w:r>
          </w:p>
        </w:tc>
      </w:tr>
      <w:tr w:rsidR="003872D9" w:rsidRPr="00C264AC" w14:paraId="1A2111E6" w14:textId="77777777" w:rsidTr="00823F5D">
        <w:trPr>
          <w:trHeight w:val="288"/>
        </w:trPr>
        <w:tc>
          <w:tcPr>
            <w:tcW w:w="2148" w:type="dxa"/>
            <w:noWrap/>
            <w:vAlign w:val="bottom"/>
            <w:hideMark/>
          </w:tcPr>
          <w:p w14:paraId="2F6C0B5C" w14:textId="386F6712" w:rsidR="003872D9" w:rsidRPr="003872D9" w:rsidRDefault="003872D9" w:rsidP="003872D9">
            <w:r w:rsidRPr="003872D9">
              <w:t>Ayrshire &amp; Arran</w:t>
            </w:r>
          </w:p>
        </w:tc>
        <w:tc>
          <w:tcPr>
            <w:tcW w:w="1785" w:type="dxa"/>
            <w:noWrap/>
            <w:vAlign w:val="bottom"/>
            <w:hideMark/>
          </w:tcPr>
          <w:p w14:paraId="5EFCA568" w14:textId="66E92502" w:rsidR="003872D9" w:rsidRPr="003872D9" w:rsidRDefault="003872D9" w:rsidP="003872D9">
            <w:r w:rsidRPr="003872D9">
              <w:t>7.289%</w:t>
            </w:r>
          </w:p>
        </w:tc>
        <w:tc>
          <w:tcPr>
            <w:tcW w:w="1785" w:type="dxa"/>
            <w:noWrap/>
            <w:vAlign w:val="bottom"/>
            <w:hideMark/>
          </w:tcPr>
          <w:p w14:paraId="1D627095" w14:textId="4266BEED" w:rsidR="003872D9" w:rsidRPr="003872D9" w:rsidRDefault="003872D9" w:rsidP="003872D9">
            <w:r w:rsidRPr="003872D9">
              <w:t>7.288%</w:t>
            </w:r>
          </w:p>
        </w:tc>
        <w:tc>
          <w:tcPr>
            <w:tcW w:w="1785" w:type="dxa"/>
            <w:vAlign w:val="bottom"/>
          </w:tcPr>
          <w:p w14:paraId="6485C9E3" w14:textId="364C1A63" w:rsidR="003872D9" w:rsidRPr="003872D9" w:rsidRDefault="003872D9" w:rsidP="003872D9">
            <w:r w:rsidRPr="003872D9">
              <w:t>-0.001</w:t>
            </w:r>
          </w:p>
        </w:tc>
        <w:tc>
          <w:tcPr>
            <w:tcW w:w="1785" w:type="dxa"/>
            <w:vAlign w:val="bottom"/>
          </w:tcPr>
          <w:p w14:paraId="7B9EE76C" w14:textId="493BC0BA" w:rsidR="003872D9" w:rsidRPr="003872D9" w:rsidRDefault="003872D9" w:rsidP="003872D9">
            <w:r w:rsidRPr="003872D9">
              <w:t>-0.011%</w:t>
            </w:r>
          </w:p>
        </w:tc>
      </w:tr>
      <w:tr w:rsidR="003872D9" w:rsidRPr="00C264AC" w14:paraId="52534AEA" w14:textId="77777777" w:rsidTr="00823F5D">
        <w:trPr>
          <w:trHeight w:val="288"/>
        </w:trPr>
        <w:tc>
          <w:tcPr>
            <w:tcW w:w="2148" w:type="dxa"/>
            <w:noWrap/>
            <w:vAlign w:val="bottom"/>
            <w:hideMark/>
          </w:tcPr>
          <w:p w14:paraId="01B85B2E" w14:textId="6AE04492" w:rsidR="003872D9" w:rsidRPr="003872D9" w:rsidRDefault="003872D9" w:rsidP="003872D9">
            <w:r w:rsidRPr="003872D9">
              <w:t>Borders</w:t>
            </w:r>
          </w:p>
        </w:tc>
        <w:tc>
          <w:tcPr>
            <w:tcW w:w="1785" w:type="dxa"/>
            <w:noWrap/>
            <w:vAlign w:val="bottom"/>
            <w:hideMark/>
          </w:tcPr>
          <w:p w14:paraId="188EB726" w14:textId="6B56C28F" w:rsidR="003872D9" w:rsidRPr="003872D9" w:rsidRDefault="003872D9" w:rsidP="003872D9">
            <w:r w:rsidRPr="003872D9">
              <w:t>2.158%</w:t>
            </w:r>
          </w:p>
        </w:tc>
        <w:tc>
          <w:tcPr>
            <w:tcW w:w="1785" w:type="dxa"/>
            <w:noWrap/>
            <w:vAlign w:val="bottom"/>
            <w:hideMark/>
          </w:tcPr>
          <w:p w14:paraId="3614F291" w14:textId="2183998C" w:rsidR="003872D9" w:rsidRPr="003872D9" w:rsidRDefault="003872D9" w:rsidP="003872D9">
            <w:r w:rsidRPr="003872D9">
              <w:t>2.158%</w:t>
            </w:r>
          </w:p>
        </w:tc>
        <w:tc>
          <w:tcPr>
            <w:tcW w:w="1785" w:type="dxa"/>
            <w:vAlign w:val="bottom"/>
          </w:tcPr>
          <w:p w14:paraId="5CAA7346" w14:textId="489F3C91" w:rsidR="003872D9" w:rsidRPr="003872D9" w:rsidRDefault="003872D9" w:rsidP="003872D9">
            <w:r w:rsidRPr="003872D9">
              <w:t>0.000</w:t>
            </w:r>
          </w:p>
        </w:tc>
        <w:tc>
          <w:tcPr>
            <w:tcW w:w="1785" w:type="dxa"/>
            <w:vAlign w:val="bottom"/>
          </w:tcPr>
          <w:p w14:paraId="12153307" w14:textId="6423BEFE" w:rsidR="003872D9" w:rsidRPr="003872D9" w:rsidRDefault="003872D9" w:rsidP="003872D9">
            <w:r w:rsidRPr="003872D9">
              <w:t>-0.011%</w:t>
            </w:r>
          </w:p>
        </w:tc>
      </w:tr>
      <w:tr w:rsidR="003872D9" w:rsidRPr="00C264AC" w14:paraId="417BEFA3" w14:textId="77777777" w:rsidTr="00823F5D">
        <w:trPr>
          <w:trHeight w:val="288"/>
        </w:trPr>
        <w:tc>
          <w:tcPr>
            <w:tcW w:w="2148" w:type="dxa"/>
            <w:noWrap/>
            <w:vAlign w:val="bottom"/>
          </w:tcPr>
          <w:p w14:paraId="606DD5C3" w14:textId="4A31CF17" w:rsidR="003872D9" w:rsidRPr="003872D9" w:rsidRDefault="003872D9" w:rsidP="003872D9">
            <w:r w:rsidRPr="003872D9">
              <w:lastRenderedPageBreak/>
              <w:t>Dumfries &amp; Galloway</w:t>
            </w:r>
          </w:p>
        </w:tc>
        <w:tc>
          <w:tcPr>
            <w:tcW w:w="1785" w:type="dxa"/>
            <w:noWrap/>
            <w:vAlign w:val="bottom"/>
          </w:tcPr>
          <w:p w14:paraId="70AE831D" w14:textId="25551116" w:rsidR="003872D9" w:rsidRPr="003872D9" w:rsidRDefault="003872D9" w:rsidP="003872D9">
            <w:r w:rsidRPr="003872D9">
              <w:t>2.965%</w:t>
            </w:r>
          </w:p>
        </w:tc>
        <w:tc>
          <w:tcPr>
            <w:tcW w:w="1785" w:type="dxa"/>
            <w:noWrap/>
            <w:vAlign w:val="bottom"/>
          </w:tcPr>
          <w:p w14:paraId="71E8D13D" w14:textId="0E45D02A" w:rsidR="003872D9" w:rsidRPr="003872D9" w:rsidRDefault="003872D9" w:rsidP="003872D9">
            <w:r w:rsidRPr="003872D9">
              <w:t>2.964%</w:t>
            </w:r>
          </w:p>
        </w:tc>
        <w:tc>
          <w:tcPr>
            <w:tcW w:w="1785" w:type="dxa"/>
            <w:vAlign w:val="bottom"/>
          </w:tcPr>
          <w:p w14:paraId="0BB00BF9" w14:textId="707EDF2F" w:rsidR="003872D9" w:rsidRPr="003872D9" w:rsidRDefault="003872D9" w:rsidP="003872D9">
            <w:r w:rsidRPr="003872D9">
              <w:t>-0.001</w:t>
            </w:r>
          </w:p>
        </w:tc>
        <w:tc>
          <w:tcPr>
            <w:tcW w:w="1785" w:type="dxa"/>
            <w:vAlign w:val="bottom"/>
          </w:tcPr>
          <w:p w14:paraId="7BC7F7D7" w14:textId="51F86AD1" w:rsidR="003872D9" w:rsidRPr="003872D9" w:rsidRDefault="003872D9" w:rsidP="003872D9">
            <w:r w:rsidRPr="003872D9">
              <w:t>-0.022%</w:t>
            </w:r>
          </w:p>
        </w:tc>
      </w:tr>
      <w:tr w:rsidR="003872D9" w:rsidRPr="00C264AC" w14:paraId="247CB935" w14:textId="77777777" w:rsidTr="00823F5D">
        <w:trPr>
          <w:trHeight w:val="288"/>
        </w:trPr>
        <w:tc>
          <w:tcPr>
            <w:tcW w:w="2148" w:type="dxa"/>
            <w:noWrap/>
            <w:vAlign w:val="bottom"/>
          </w:tcPr>
          <w:p w14:paraId="4AA515DC" w14:textId="3417BD78" w:rsidR="003872D9" w:rsidRPr="003872D9" w:rsidRDefault="003872D9" w:rsidP="003872D9">
            <w:r w:rsidRPr="003872D9">
              <w:t>Fife</w:t>
            </w:r>
          </w:p>
        </w:tc>
        <w:tc>
          <w:tcPr>
            <w:tcW w:w="1785" w:type="dxa"/>
            <w:noWrap/>
            <w:vAlign w:val="bottom"/>
          </w:tcPr>
          <w:p w14:paraId="3A446400" w14:textId="1F95216F" w:rsidR="003872D9" w:rsidRPr="003872D9" w:rsidRDefault="003872D9" w:rsidP="003872D9">
            <w:r w:rsidRPr="003872D9">
              <w:t>6.876%</w:t>
            </w:r>
          </w:p>
        </w:tc>
        <w:tc>
          <w:tcPr>
            <w:tcW w:w="1785" w:type="dxa"/>
            <w:noWrap/>
            <w:vAlign w:val="bottom"/>
          </w:tcPr>
          <w:p w14:paraId="6CBD2DFD" w14:textId="241EA2D9" w:rsidR="003872D9" w:rsidRPr="003872D9" w:rsidRDefault="003872D9" w:rsidP="003872D9">
            <w:r w:rsidRPr="003872D9">
              <w:t>6.876%</w:t>
            </w:r>
          </w:p>
        </w:tc>
        <w:tc>
          <w:tcPr>
            <w:tcW w:w="1785" w:type="dxa"/>
            <w:vAlign w:val="bottom"/>
          </w:tcPr>
          <w:p w14:paraId="309A2285" w14:textId="47FFC59C" w:rsidR="003872D9" w:rsidRPr="003872D9" w:rsidRDefault="003872D9" w:rsidP="003872D9">
            <w:r w:rsidRPr="003872D9">
              <w:t>-0.001</w:t>
            </w:r>
          </w:p>
        </w:tc>
        <w:tc>
          <w:tcPr>
            <w:tcW w:w="1785" w:type="dxa"/>
            <w:vAlign w:val="bottom"/>
          </w:tcPr>
          <w:p w14:paraId="242B1977" w14:textId="6212DC4B" w:rsidR="003872D9" w:rsidRPr="003872D9" w:rsidRDefault="003872D9" w:rsidP="003872D9">
            <w:r w:rsidRPr="003872D9">
              <w:t>-0.008%</w:t>
            </w:r>
          </w:p>
        </w:tc>
      </w:tr>
      <w:tr w:rsidR="003872D9" w:rsidRPr="00C264AC" w14:paraId="19E9F79C" w14:textId="77777777" w:rsidTr="00823F5D">
        <w:trPr>
          <w:trHeight w:val="288"/>
        </w:trPr>
        <w:tc>
          <w:tcPr>
            <w:tcW w:w="2148" w:type="dxa"/>
            <w:noWrap/>
            <w:vAlign w:val="bottom"/>
          </w:tcPr>
          <w:p w14:paraId="5FD9EAF6" w14:textId="0D70D957" w:rsidR="003872D9" w:rsidRPr="003872D9" w:rsidRDefault="003872D9" w:rsidP="003872D9">
            <w:r w:rsidRPr="003872D9">
              <w:t>Forth Valley</w:t>
            </w:r>
          </w:p>
        </w:tc>
        <w:tc>
          <w:tcPr>
            <w:tcW w:w="1785" w:type="dxa"/>
            <w:noWrap/>
            <w:vAlign w:val="bottom"/>
          </w:tcPr>
          <w:p w14:paraId="4617CEDC" w14:textId="59155865" w:rsidR="003872D9" w:rsidRPr="003872D9" w:rsidRDefault="003872D9" w:rsidP="003872D9">
            <w:r w:rsidRPr="003872D9">
              <w:t>5.458%</w:t>
            </w:r>
          </w:p>
        </w:tc>
        <w:tc>
          <w:tcPr>
            <w:tcW w:w="1785" w:type="dxa"/>
            <w:noWrap/>
            <w:vAlign w:val="bottom"/>
          </w:tcPr>
          <w:p w14:paraId="1A67B28E" w14:textId="5D0C2DE1" w:rsidR="003872D9" w:rsidRPr="003872D9" w:rsidRDefault="003872D9" w:rsidP="003872D9">
            <w:r w:rsidRPr="003872D9">
              <w:t>5.458%</w:t>
            </w:r>
          </w:p>
        </w:tc>
        <w:tc>
          <w:tcPr>
            <w:tcW w:w="1785" w:type="dxa"/>
            <w:vAlign w:val="bottom"/>
          </w:tcPr>
          <w:p w14:paraId="1739A2E4" w14:textId="2ED4D603" w:rsidR="003872D9" w:rsidRPr="003872D9" w:rsidRDefault="003872D9" w:rsidP="003872D9">
            <w:r w:rsidRPr="003872D9">
              <w:t>0.000</w:t>
            </w:r>
          </w:p>
        </w:tc>
        <w:tc>
          <w:tcPr>
            <w:tcW w:w="1785" w:type="dxa"/>
            <w:vAlign w:val="bottom"/>
          </w:tcPr>
          <w:p w14:paraId="192ACC3D" w14:textId="1B88A5B9" w:rsidR="003872D9" w:rsidRPr="003872D9" w:rsidRDefault="003872D9" w:rsidP="003872D9">
            <w:r w:rsidRPr="003872D9">
              <w:t>0.003%</w:t>
            </w:r>
          </w:p>
        </w:tc>
      </w:tr>
      <w:tr w:rsidR="003872D9" w:rsidRPr="00C264AC" w14:paraId="3C9B0B5A" w14:textId="77777777" w:rsidTr="00823F5D">
        <w:trPr>
          <w:trHeight w:val="288"/>
        </w:trPr>
        <w:tc>
          <w:tcPr>
            <w:tcW w:w="2148" w:type="dxa"/>
            <w:noWrap/>
            <w:vAlign w:val="bottom"/>
          </w:tcPr>
          <w:p w14:paraId="3FCCDF08" w14:textId="734BA902" w:rsidR="003872D9" w:rsidRPr="003872D9" w:rsidRDefault="003872D9" w:rsidP="003872D9">
            <w:r w:rsidRPr="003872D9">
              <w:t>Greater Glasgow &amp; Clyde</w:t>
            </w:r>
          </w:p>
        </w:tc>
        <w:tc>
          <w:tcPr>
            <w:tcW w:w="1785" w:type="dxa"/>
            <w:noWrap/>
            <w:vAlign w:val="bottom"/>
          </w:tcPr>
          <w:p w14:paraId="31951B10" w14:textId="797EBF47" w:rsidR="003872D9" w:rsidRPr="003872D9" w:rsidRDefault="003872D9" w:rsidP="003872D9">
            <w:r w:rsidRPr="003872D9">
              <w:t>22.101%</w:t>
            </w:r>
          </w:p>
        </w:tc>
        <w:tc>
          <w:tcPr>
            <w:tcW w:w="1785" w:type="dxa"/>
            <w:noWrap/>
            <w:vAlign w:val="bottom"/>
          </w:tcPr>
          <w:p w14:paraId="403BF088" w14:textId="6753BAAF" w:rsidR="003872D9" w:rsidRPr="003872D9" w:rsidRDefault="003872D9" w:rsidP="003872D9">
            <w:r w:rsidRPr="003872D9">
              <w:t>22.095%</w:t>
            </w:r>
          </w:p>
        </w:tc>
        <w:tc>
          <w:tcPr>
            <w:tcW w:w="1785" w:type="dxa"/>
            <w:vAlign w:val="bottom"/>
          </w:tcPr>
          <w:p w14:paraId="56876254" w14:textId="79FF7746" w:rsidR="003872D9" w:rsidRPr="003872D9" w:rsidRDefault="003872D9" w:rsidP="003872D9">
            <w:r w:rsidRPr="003872D9">
              <w:t>-0.006</w:t>
            </w:r>
          </w:p>
        </w:tc>
        <w:tc>
          <w:tcPr>
            <w:tcW w:w="1785" w:type="dxa"/>
            <w:vAlign w:val="bottom"/>
          </w:tcPr>
          <w:p w14:paraId="22D410F3" w14:textId="13F034A3" w:rsidR="003872D9" w:rsidRPr="003872D9" w:rsidRDefault="003872D9" w:rsidP="003872D9">
            <w:r w:rsidRPr="003872D9">
              <w:t>-0.027%</w:t>
            </w:r>
          </w:p>
        </w:tc>
      </w:tr>
      <w:tr w:rsidR="003872D9" w:rsidRPr="00C264AC" w14:paraId="326A8D1B" w14:textId="77777777" w:rsidTr="00823F5D">
        <w:trPr>
          <w:trHeight w:val="288"/>
        </w:trPr>
        <w:tc>
          <w:tcPr>
            <w:tcW w:w="2148" w:type="dxa"/>
            <w:noWrap/>
            <w:vAlign w:val="bottom"/>
          </w:tcPr>
          <w:p w14:paraId="230F43B4" w14:textId="7CC7FE52" w:rsidR="003872D9" w:rsidRPr="003872D9" w:rsidRDefault="003872D9" w:rsidP="003872D9">
            <w:r w:rsidRPr="003872D9">
              <w:t>Grampian</w:t>
            </w:r>
          </w:p>
        </w:tc>
        <w:tc>
          <w:tcPr>
            <w:tcW w:w="1785" w:type="dxa"/>
            <w:noWrap/>
            <w:vAlign w:val="bottom"/>
          </w:tcPr>
          <w:p w14:paraId="1BA51939" w14:textId="6EC9E7A3" w:rsidR="003872D9" w:rsidRPr="003872D9" w:rsidRDefault="003872D9" w:rsidP="003872D9">
            <w:r w:rsidRPr="003872D9">
              <w:t>9.744%</w:t>
            </w:r>
          </w:p>
        </w:tc>
        <w:tc>
          <w:tcPr>
            <w:tcW w:w="1785" w:type="dxa"/>
            <w:noWrap/>
            <w:vAlign w:val="bottom"/>
          </w:tcPr>
          <w:p w14:paraId="27C56877" w14:textId="68DC9DF5" w:rsidR="003872D9" w:rsidRPr="003872D9" w:rsidRDefault="003872D9" w:rsidP="003872D9">
            <w:r w:rsidRPr="003872D9">
              <w:t>9.744%</w:t>
            </w:r>
          </w:p>
        </w:tc>
        <w:tc>
          <w:tcPr>
            <w:tcW w:w="1785" w:type="dxa"/>
            <w:vAlign w:val="bottom"/>
          </w:tcPr>
          <w:p w14:paraId="5B455F04" w14:textId="1E5CFD26" w:rsidR="003872D9" w:rsidRPr="003872D9" w:rsidRDefault="003872D9" w:rsidP="003872D9">
            <w:r w:rsidRPr="003872D9">
              <w:t>0.000</w:t>
            </w:r>
          </w:p>
        </w:tc>
        <w:tc>
          <w:tcPr>
            <w:tcW w:w="1785" w:type="dxa"/>
            <w:vAlign w:val="bottom"/>
          </w:tcPr>
          <w:p w14:paraId="0F5B08BA" w14:textId="4629D769" w:rsidR="003872D9" w:rsidRPr="003872D9" w:rsidRDefault="003872D9" w:rsidP="003872D9">
            <w:r w:rsidRPr="003872D9">
              <w:t>-0.005%</w:t>
            </w:r>
          </w:p>
        </w:tc>
      </w:tr>
      <w:tr w:rsidR="003872D9" w:rsidRPr="00C264AC" w14:paraId="77F7B1A3" w14:textId="77777777" w:rsidTr="00823F5D">
        <w:trPr>
          <w:trHeight w:val="288"/>
        </w:trPr>
        <w:tc>
          <w:tcPr>
            <w:tcW w:w="2148" w:type="dxa"/>
            <w:noWrap/>
            <w:vAlign w:val="bottom"/>
          </w:tcPr>
          <w:p w14:paraId="3CB40DDD" w14:textId="343AF0C4" w:rsidR="003872D9" w:rsidRPr="003872D9" w:rsidRDefault="003872D9" w:rsidP="003872D9">
            <w:r w:rsidRPr="003872D9">
              <w:t>Highland</w:t>
            </w:r>
          </w:p>
        </w:tc>
        <w:tc>
          <w:tcPr>
            <w:tcW w:w="1785" w:type="dxa"/>
            <w:noWrap/>
            <w:vAlign w:val="bottom"/>
          </w:tcPr>
          <w:p w14:paraId="6284B4F2" w14:textId="6A84B796" w:rsidR="003872D9" w:rsidRPr="003872D9" w:rsidRDefault="003872D9" w:rsidP="003872D9">
            <w:r w:rsidRPr="003872D9">
              <w:t>6.598%</w:t>
            </w:r>
          </w:p>
        </w:tc>
        <w:tc>
          <w:tcPr>
            <w:tcW w:w="1785" w:type="dxa"/>
            <w:noWrap/>
            <w:vAlign w:val="bottom"/>
          </w:tcPr>
          <w:p w14:paraId="181E83B4" w14:textId="569D2B49" w:rsidR="003872D9" w:rsidRPr="003872D9" w:rsidRDefault="003872D9" w:rsidP="003872D9">
            <w:r w:rsidRPr="003872D9">
              <w:t>6.597%</w:t>
            </w:r>
          </w:p>
        </w:tc>
        <w:tc>
          <w:tcPr>
            <w:tcW w:w="1785" w:type="dxa"/>
            <w:vAlign w:val="bottom"/>
          </w:tcPr>
          <w:p w14:paraId="65AF576C" w14:textId="6D508929" w:rsidR="003872D9" w:rsidRPr="003872D9" w:rsidRDefault="003872D9" w:rsidP="003872D9">
            <w:r w:rsidRPr="003872D9">
              <w:t>-0.001</w:t>
            </w:r>
          </w:p>
        </w:tc>
        <w:tc>
          <w:tcPr>
            <w:tcW w:w="1785" w:type="dxa"/>
            <w:vAlign w:val="bottom"/>
          </w:tcPr>
          <w:p w14:paraId="12B9AB92" w14:textId="15C076C4" w:rsidR="003872D9" w:rsidRPr="003872D9" w:rsidRDefault="003872D9" w:rsidP="003872D9">
            <w:r w:rsidRPr="003872D9">
              <w:t>-0.008%</w:t>
            </w:r>
          </w:p>
        </w:tc>
      </w:tr>
      <w:tr w:rsidR="003872D9" w:rsidRPr="00C264AC" w14:paraId="1D5933D9" w14:textId="77777777" w:rsidTr="00823F5D">
        <w:trPr>
          <w:trHeight w:val="288"/>
        </w:trPr>
        <w:tc>
          <w:tcPr>
            <w:tcW w:w="2148" w:type="dxa"/>
            <w:noWrap/>
            <w:vAlign w:val="bottom"/>
          </w:tcPr>
          <w:p w14:paraId="7466C3DB" w14:textId="191D48E4" w:rsidR="003872D9" w:rsidRPr="003872D9" w:rsidRDefault="003872D9" w:rsidP="003872D9">
            <w:r w:rsidRPr="003872D9">
              <w:t>Lanarkshire</w:t>
            </w:r>
          </w:p>
        </w:tc>
        <w:tc>
          <w:tcPr>
            <w:tcW w:w="1785" w:type="dxa"/>
            <w:noWrap/>
            <w:vAlign w:val="bottom"/>
          </w:tcPr>
          <w:p w14:paraId="25749C53" w14:textId="5CBB55C8" w:rsidR="003872D9" w:rsidRPr="003872D9" w:rsidRDefault="003872D9" w:rsidP="003872D9">
            <w:r w:rsidRPr="003872D9">
              <w:t>12.306%</w:t>
            </w:r>
          </w:p>
        </w:tc>
        <w:tc>
          <w:tcPr>
            <w:tcW w:w="1785" w:type="dxa"/>
            <w:noWrap/>
            <w:vAlign w:val="bottom"/>
          </w:tcPr>
          <w:p w14:paraId="059DE80F" w14:textId="15A5499E" w:rsidR="003872D9" w:rsidRPr="003872D9" w:rsidRDefault="003872D9" w:rsidP="003872D9">
            <w:r w:rsidRPr="003872D9">
              <w:t>12.313%</w:t>
            </w:r>
          </w:p>
        </w:tc>
        <w:tc>
          <w:tcPr>
            <w:tcW w:w="1785" w:type="dxa"/>
            <w:vAlign w:val="bottom"/>
          </w:tcPr>
          <w:p w14:paraId="15DC3B01" w14:textId="47B2E08A" w:rsidR="003872D9" w:rsidRPr="003872D9" w:rsidRDefault="003872D9" w:rsidP="003872D9">
            <w:r w:rsidRPr="003872D9">
              <w:t>0.007</w:t>
            </w:r>
          </w:p>
        </w:tc>
        <w:tc>
          <w:tcPr>
            <w:tcW w:w="1785" w:type="dxa"/>
            <w:vAlign w:val="bottom"/>
          </w:tcPr>
          <w:p w14:paraId="3CD047A4" w14:textId="6C592043" w:rsidR="003872D9" w:rsidRPr="003872D9" w:rsidRDefault="003872D9" w:rsidP="003872D9">
            <w:r w:rsidRPr="003872D9">
              <w:t>0.059%</w:t>
            </w:r>
          </w:p>
        </w:tc>
      </w:tr>
      <w:tr w:rsidR="003872D9" w:rsidRPr="00C264AC" w14:paraId="0576ADB6" w14:textId="77777777" w:rsidTr="00823F5D">
        <w:trPr>
          <w:trHeight w:val="288"/>
        </w:trPr>
        <w:tc>
          <w:tcPr>
            <w:tcW w:w="2148" w:type="dxa"/>
            <w:noWrap/>
            <w:vAlign w:val="bottom"/>
          </w:tcPr>
          <w:p w14:paraId="0226DA70" w14:textId="5A9590F1" w:rsidR="003872D9" w:rsidRPr="003872D9" w:rsidRDefault="003872D9" w:rsidP="003872D9">
            <w:r w:rsidRPr="003872D9">
              <w:t>Lothian</w:t>
            </w:r>
          </w:p>
        </w:tc>
        <w:tc>
          <w:tcPr>
            <w:tcW w:w="1785" w:type="dxa"/>
            <w:noWrap/>
            <w:vAlign w:val="bottom"/>
          </w:tcPr>
          <w:p w14:paraId="27969C8F" w14:textId="5DEA3E2D" w:rsidR="003872D9" w:rsidRPr="003872D9" w:rsidRDefault="003872D9" w:rsidP="003872D9">
            <w:r w:rsidRPr="003872D9">
              <w:t>15.108%</w:t>
            </w:r>
          </w:p>
        </w:tc>
        <w:tc>
          <w:tcPr>
            <w:tcW w:w="1785" w:type="dxa"/>
            <w:noWrap/>
            <w:vAlign w:val="bottom"/>
          </w:tcPr>
          <w:p w14:paraId="5800D153" w14:textId="748DD467" w:rsidR="003872D9" w:rsidRPr="003872D9" w:rsidRDefault="003872D9" w:rsidP="003872D9">
            <w:r w:rsidRPr="003872D9">
              <w:t>15.111%</w:t>
            </w:r>
          </w:p>
        </w:tc>
        <w:tc>
          <w:tcPr>
            <w:tcW w:w="1785" w:type="dxa"/>
            <w:vAlign w:val="bottom"/>
          </w:tcPr>
          <w:p w14:paraId="326B308C" w14:textId="68AF8A7C" w:rsidR="003872D9" w:rsidRPr="003872D9" w:rsidRDefault="003872D9" w:rsidP="003872D9">
            <w:r w:rsidRPr="003872D9">
              <w:t>0.003</w:t>
            </w:r>
          </w:p>
        </w:tc>
        <w:tc>
          <w:tcPr>
            <w:tcW w:w="1785" w:type="dxa"/>
            <w:vAlign w:val="bottom"/>
          </w:tcPr>
          <w:p w14:paraId="55324B11" w14:textId="19604D3C" w:rsidR="003872D9" w:rsidRPr="003872D9" w:rsidRDefault="003872D9" w:rsidP="003872D9">
            <w:r w:rsidRPr="003872D9">
              <w:t>0.017%</w:t>
            </w:r>
          </w:p>
        </w:tc>
      </w:tr>
      <w:tr w:rsidR="003872D9" w:rsidRPr="00C264AC" w14:paraId="4AF7778E" w14:textId="77777777" w:rsidTr="00823F5D">
        <w:trPr>
          <w:trHeight w:val="288"/>
        </w:trPr>
        <w:tc>
          <w:tcPr>
            <w:tcW w:w="2148" w:type="dxa"/>
            <w:noWrap/>
            <w:vAlign w:val="bottom"/>
          </w:tcPr>
          <w:p w14:paraId="34F2CD20" w14:textId="10F5168B" w:rsidR="003872D9" w:rsidRPr="003872D9" w:rsidRDefault="003872D9" w:rsidP="003872D9">
            <w:r w:rsidRPr="003872D9">
              <w:t>Orkney</w:t>
            </w:r>
          </w:p>
        </w:tc>
        <w:tc>
          <w:tcPr>
            <w:tcW w:w="1785" w:type="dxa"/>
            <w:noWrap/>
            <w:vAlign w:val="bottom"/>
          </w:tcPr>
          <w:p w14:paraId="61B40C54" w14:textId="48DA6474" w:rsidR="003872D9" w:rsidRPr="003872D9" w:rsidRDefault="003872D9" w:rsidP="003872D9">
            <w:r w:rsidRPr="003872D9">
              <w:t>0.508%</w:t>
            </w:r>
          </w:p>
        </w:tc>
        <w:tc>
          <w:tcPr>
            <w:tcW w:w="1785" w:type="dxa"/>
            <w:noWrap/>
            <w:vAlign w:val="bottom"/>
          </w:tcPr>
          <w:p w14:paraId="5349EC33" w14:textId="3791DAA6" w:rsidR="003872D9" w:rsidRPr="003872D9" w:rsidRDefault="003872D9" w:rsidP="003872D9">
            <w:r w:rsidRPr="003872D9">
              <w:t>0.508%</w:t>
            </w:r>
          </w:p>
        </w:tc>
        <w:tc>
          <w:tcPr>
            <w:tcW w:w="1785" w:type="dxa"/>
            <w:vAlign w:val="bottom"/>
          </w:tcPr>
          <w:p w14:paraId="55F739C4" w14:textId="62C82D6F" w:rsidR="003872D9" w:rsidRPr="003872D9" w:rsidRDefault="003872D9" w:rsidP="003872D9">
            <w:r w:rsidRPr="003872D9">
              <w:t>0.000</w:t>
            </w:r>
          </w:p>
        </w:tc>
        <w:tc>
          <w:tcPr>
            <w:tcW w:w="1785" w:type="dxa"/>
            <w:vAlign w:val="bottom"/>
          </w:tcPr>
          <w:p w14:paraId="086FFADC" w14:textId="2215F837" w:rsidR="003872D9" w:rsidRPr="003872D9" w:rsidRDefault="003872D9" w:rsidP="003872D9">
            <w:r w:rsidRPr="003872D9">
              <w:t>0.009%</w:t>
            </w:r>
          </w:p>
        </w:tc>
      </w:tr>
      <w:tr w:rsidR="003872D9" w:rsidRPr="00C264AC" w14:paraId="018C9B2A" w14:textId="77777777" w:rsidTr="00823F5D">
        <w:trPr>
          <w:trHeight w:val="288"/>
        </w:trPr>
        <w:tc>
          <w:tcPr>
            <w:tcW w:w="2148" w:type="dxa"/>
            <w:noWrap/>
            <w:vAlign w:val="bottom"/>
          </w:tcPr>
          <w:p w14:paraId="12B24DD1" w14:textId="06889CBD" w:rsidR="003872D9" w:rsidRPr="003872D9" w:rsidRDefault="003872D9" w:rsidP="003872D9">
            <w:r w:rsidRPr="003872D9">
              <w:t>Shetland</w:t>
            </w:r>
          </w:p>
        </w:tc>
        <w:tc>
          <w:tcPr>
            <w:tcW w:w="1785" w:type="dxa"/>
            <w:noWrap/>
            <w:vAlign w:val="bottom"/>
          </w:tcPr>
          <w:p w14:paraId="5D600C7D" w14:textId="7DF45993" w:rsidR="003872D9" w:rsidRPr="003872D9" w:rsidRDefault="003872D9" w:rsidP="003872D9">
            <w:r w:rsidRPr="003872D9">
              <w:t>0.480%</w:t>
            </w:r>
          </w:p>
        </w:tc>
        <w:tc>
          <w:tcPr>
            <w:tcW w:w="1785" w:type="dxa"/>
            <w:noWrap/>
            <w:vAlign w:val="bottom"/>
          </w:tcPr>
          <w:p w14:paraId="48CBEEC7" w14:textId="69EA0E5B" w:rsidR="003872D9" w:rsidRPr="003872D9" w:rsidRDefault="003872D9" w:rsidP="003872D9">
            <w:r w:rsidRPr="003872D9">
              <w:t>0.479%</w:t>
            </w:r>
          </w:p>
        </w:tc>
        <w:tc>
          <w:tcPr>
            <w:tcW w:w="1785" w:type="dxa"/>
            <w:vAlign w:val="bottom"/>
          </w:tcPr>
          <w:p w14:paraId="52941A30" w14:textId="434A3EC3" w:rsidR="003872D9" w:rsidRPr="003872D9" w:rsidRDefault="003872D9" w:rsidP="003872D9">
            <w:r w:rsidRPr="003872D9">
              <w:t>0.000</w:t>
            </w:r>
          </w:p>
        </w:tc>
        <w:tc>
          <w:tcPr>
            <w:tcW w:w="1785" w:type="dxa"/>
            <w:vAlign w:val="bottom"/>
          </w:tcPr>
          <w:p w14:paraId="16BD91BC" w14:textId="15FF03D1" w:rsidR="003872D9" w:rsidRPr="003872D9" w:rsidRDefault="003872D9" w:rsidP="003872D9">
            <w:r w:rsidRPr="003872D9">
              <w:t>-0.042%</w:t>
            </w:r>
          </w:p>
        </w:tc>
      </w:tr>
      <w:tr w:rsidR="003872D9" w:rsidRPr="00C264AC" w14:paraId="30C3F141" w14:textId="77777777" w:rsidTr="00823F5D">
        <w:trPr>
          <w:trHeight w:val="288"/>
        </w:trPr>
        <w:tc>
          <w:tcPr>
            <w:tcW w:w="2148" w:type="dxa"/>
            <w:noWrap/>
            <w:vAlign w:val="bottom"/>
          </w:tcPr>
          <w:p w14:paraId="0A2940C6" w14:textId="4DFFFD4C" w:rsidR="003872D9" w:rsidRPr="003872D9" w:rsidRDefault="003872D9" w:rsidP="003872D9">
            <w:r w:rsidRPr="003872D9">
              <w:t>Tayside</w:t>
            </w:r>
          </w:p>
        </w:tc>
        <w:tc>
          <w:tcPr>
            <w:tcW w:w="1785" w:type="dxa"/>
            <w:noWrap/>
            <w:vAlign w:val="bottom"/>
          </w:tcPr>
          <w:p w14:paraId="6BA6AD57" w14:textId="5C22F04B" w:rsidR="003872D9" w:rsidRPr="003872D9" w:rsidRDefault="003872D9" w:rsidP="003872D9">
            <w:r w:rsidRPr="003872D9">
              <w:t>7.755%</w:t>
            </w:r>
          </w:p>
        </w:tc>
        <w:tc>
          <w:tcPr>
            <w:tcW w:w="1785" w:type="dxa"/>
            <w:noWrap/>
            <w:vAlign w:val="bottom"/>
          </w:tcPr>
          <w:p w14:paraId="7454DDE6" w14:textId="6ABFB7CA" w:rsidR="003872D9" w:rsidRPr="003872D9" w:rsidRDefault="003872D9" w:rsidP="003872D9">
            <w:r w:rsidRPr="003872D9">
              <w:t>7.754%</w:t>
            </w:r>
          </w:p>
        </w:tc>
        <w:tc>
          <w:tcPr>
            <w:tcW w:w="1785" w:type="dxa"/>
            <w:vAlign w:val="bottom"/>
          </w:tcPr>
          <w:p w14:paraId="76D1A960" w14:textId="1FBEB64A" w:rsidR="003872D9" w:rsidRPr="003872D9" w:rsidRDefault="003872D9" w:rsidP="003872D9">
            <w:r w:rsidRPr="003872D9">
              <w:t>0.000</w:t>
            </w:r>
          </w:p>
        </w:tc>
        <w:tc>
          <w:tcPr>
            <w:tcW w:w="1785" w:type="dxa"/>
            <w:vAlign w:val="bottom"/>
          </w:tcPr>
          <w:p w14:paraId="645BCC92" w14:textId="4E339FF4" w:rsidR="003872D9" w:rsidRPr="003872D9" w:rsidRDefault="003872D9" w:rsidP="003872D9">
            <w:r w:rsidRPr="003872D9">
              <w:t>-0.006%</w:t>
            </w:r>
          </w:p>
        </w:tc>
      </w:tr>
      <w:tr w:rsidR="003872D9" w:rsidRPr="00C264AC" w14:paraId="38F9EA75" w14:textId="77777777" w:rsidTr="00823F5D">
        <w:trPr>
          <w:trHeight w:val="288"/>
        </w:trPr>
        <w:tc>
          <w:tcPr>
            <w:tcW w:w="2148" w:type="dxa"/>
            <w:noWrap/>
            <w:vAlign w:val="bottom"/>
          </w:tcPr>
          <w:p w14:paraId="680B19E3" w14:textId="467F3169" w:rsidR="003872D9" w:rsidRPr="003872D9" w:rsidRDefault="003872D9" w:rsidP="003872D9">
            <w:r w:rsidRPr="003872D9">
              <w:t>Western Isles</w:t>
            </w:r>
          </w:p>
        </w:tc>
        <w:tc>
          <w:tcPr>
            <w:tcW w:w="1785" w:type="dxa"/>
            <w:noWrap/>
            <w:vAlign w:val="bottom"/>
          </w:tcPr>
          <w:p w14:paraId="0CECFA0D" w14:textId="3D0358AF" w:rsidR="003872D9" w:rsidRPr="003872D9" w:rsidRDefault="003872D9" w:rsidP="003872D9">
            <w:r w:rsidRPr="003872D9">
              <w:t>0.656%</w:t>
            </w:r>
          </w:p>
        </w:tc>
        <w:tc>
          <w:tcPr>
            <w:tcW w:w="1785" w:type="dxa"/>
            <w:noWrap/>
            <w:vAlign w:val="bottom"/>
          </w:tcPr>
          <w:p w14:paraId="7A417D5D" w14:textId="7ED722D1" w:rsidR="003872D9" w:rsidRPr="003872D9" w:rsidRDefault="003872D9" w:rsidP="003872D9">
            <w:r w:rsidRPr="003872D9">
              <w:t>0.656%</w:t>
            </w:r>
          </w:p>
        </w:tc>
        <w:tc>
          <w:tcPr>
            <w:tcW w:w="1785" w:type="dxa"/>
            <w:vAlign w:val="bottom"/>
          </w:tcPr>
          <w:p w14:paraId="3D736547" w14:textId="00C42158" w:rsidR="003872D9" w:rsidRPr="003872D9" w:rsidRDefault="003872D9" w:rsidP="003872D9">
            <w:r w:rsidRPr="003872D9">
              <w:t>0.000</w:t>
            </w:r>
          </w:p>
        </w:tc>
        <w:tc>
          <w:tcPr>
            <w:tcW w:w="1785" w:type="dxa"/>
            <w:vAlign w:val="bottom"/>
          </w:tcPr>
          <w:p w14:paraId="0F011E73" w14:textId="7899783F" w:rsidR="003872D9" w:rsidRPr="003872D9" w:rsidRDefault="003872D9" w:rsidP="003872D9">
            <w:r w:rsidRPr="003872D9">
              <w:t>-0.028%</w:t>
            </w:r>
          </w:p>
        </w:tc>
      </w:tr>
    </w:tbl>
    <w:p w14:paraId="0B10EA59" w14:textId="77777777" w:rsidR="00604926" w:rsidRDefault="00604926" w:rsidP="00B0738E"/>
    <w:p w14:paraId="060D4F54" w14:textId="041C4610" w:rsidR="00AD2493" w:rsidRDefault="00AD2493" w:rsidP="00AD2493">
      <w:pPr>
        <w:pStyle w:val="Heading2"/>
      </w:pPr>
      <w:r>
        <w:t>Calculation of the GP</w:t>
      </w:r>
      <w:r w:rsidR="00F3295F">
        <w:t>-</w:t>
      </w:r>
      <w:r>
        <w:t>OoH adjustment for HSCPs</w:t>
      </w:r>
    </w:p>
    <w:p w14:paraId="28551A2A" w14:textId="294E45D2" w:rsidR="00101C4F" w:rsidRDefault="00101C4F" w:rsidP="00101C4F">
      <w:r>
        <w:t>NRAC Formula target shares are produced at HSCP level to help inform the distribution of certain budgets, such as the Primary Care Improvement Fund. These shares have not previously been released by PHS in the NRAC publication and historically have only been released to the Scottish Government or in response to ad-hoc requests.</w:t>
      </w:r>
    </w:p>
    <w:p w14:paraId="63D99885" w14:textId="17AC87A2" w:rsidR="00101C4F" w:rsidRDefault="00101C4F" w:rsidP="00101C4F">
      <w:r>
        <w:t>TAGRA previously agreed that PHS should release HSCP target shares as part of the NRAC publication to help address such requests that PHS receive</w:t>
      </w:r>
      <w:r w:rsidRPr="00821174">
        <w:rPr>
          <w:rStyle w:val="FootnoteReference"/>
        </w:rPr>
        <w:t xml:space="preserve"> </w:t>
      </w:r>
      <w:r>
        <w:rPr>
          <w:rStyle w:val="FootnoteReference"/>
        </w:rPr>
        <w:footnoteReference w:id="3"/>
      </w:r>
      <w:r>
        <w:t xml:space="preserve">. This would also ensure a single and consistent set of HSCP shares are used rather than individuals </w:t>
      </w:r>
      <w:r>
        <w:lastRenderedPageBreak/>
        <w:t>calculating the shares themselves based on</w:t>
      </w:r>
      <w:r w:rsidR="00336BE5">
        <w:t xml:space="preserve"> other</w:t>
      </w:r>
      <w:r>
        <w:t xml:space="preserve"> </w:t>
      </w:r>
      <w:r w:rsidR="00E4150E">
        <w:t xml:space="preserve">published </w:t>
      </w:r>
      <w:r w:rsidR="00336BE5">
        <w:t>HSCP-</w:t>
      </w:r>
      <w:r>
        <w:t>level information and therefore potentially producing different results.</w:t>
      </w:r>
    </w:p>
    <w:p w14:paraId="7CAED097" w14:textId="296D54F6" w:rsidR="00101C4F" w:rsidRPr="00101C4F" w:rsidRDefault="00101C4F" w:rsidP="00101C4F">
      <w:r>
        <w:t>As part of this agreement, it was decided that PHS would investigate whether there was a better way to perform the GP</w:t>
      </w:r>
      <w:r w:rsidR="00F3295F">
        <w:t>-</w:t>
      </w:r>
      <w:r>
        <w:t>OoH adjustment at HSCP level. Until the 2023/24 run of NRAC, the GP</w:t>
      </w:r>
      <w:r w:rsidR="00F3295F">
        <w:t>-</w:t>
      </w:r>
      <w:r>
        <w:t>OoH adjustment was</w:t>
      </w:r>
      <w:r w:rsidDel="00961CA7">
        <w:t xml:space="preserve"> </w:t>
      </w:r>
      <w:r>
        <w:t>calculated at NHS Board level on</w:t>
      </w:r>
      <w:r w:rsidR="00E82C7B">
        <w:t>ly</w:t>
      </w:r>
      <w:r>
        <w:t>. Consequently, HSCP target shares have been produced by applying the GP</w:t>
      </w:r>
      <w:r w:rsidR="00F3295F">
        <w:t>-</w:t>
      </w:r>
      <w:r>
        <w:t>OoH</w:t>
      </w:r>
      <w:r w:rsidR="00740F88">
        <w:t xml:space="preserve"> </w:t>
      </w:r>
      <w:r w:rsidR="00097FE7">
        <w:t>NHS</w:t>
      </w:r>
      <w:r w:rsidR="00740F88">
        <w:t xml:space="preserve"> </w:t>
      </w:r>
      <w:r w:rsidR="00097FE7">
        <w:t>B</w:t>
      </w:r>
      <w:r w:rsidR="00740F88">
        <w:t xml:space="preserve">oard </w:t>
      </w:r>
      <w:r w:rsidR="001C7206">
        <w:t>weight</w:t>
      </w:r>
      <w:r w:rsidR="00757383">
        <w:t>s</w:t>
      </w:r>
      <w:r w:rsidR="001C7206">
        <w:t xml:space="preserve"> </w:t>
      </w:r>
      <w:r w:rsidR="00757383">
        <w:t>to their constitu</w:t>
      </w:r>
      <w:r w:rsidR="00DD5758">
        <w:t>e</w:t>
      </w:r>
      <w:r w:rsidR="00757383">
        <w:t>nt</w:t>
      </w:r>
      <w:r>
        <w:t xml:space="preserve"> HSCP </w:t>
      </w:r>
      <w:r w:rsidR="00AD6030">
        <w:t>populations</w:t>
      </w:r>
      <w:r>
        <w:t xml:space="preserve">. This approach does not account for variation in the </w:t>
      </w:r>
      <w:r w:rsidR="00B47CC0">
        <w:t xml:space="preserve">unit </w:t>
      </w:r>
      <w:r>
        <w:t>cost of delivering OoH services for practices belonging to different HSCPs in the same board area.</w:t>
      </w:r>
    </w:p>
    <w:p w14:paraId="40553D38" w14:textId="20408903" w:rsidR="00FD3150" w:rsidRDefault="008B3036" w:rsidP="00090B83">
      <w:r>
        <w:t>Following</w:t>
      </w:r>
      <w:r w:rsidR="00090B83">
        <w:t xml:space="preserve"> investigation</w:t>
      </w:r>
      <w:r>
        <w:t xml:space="preserve"> of the SAF data</w:t>
      </w:r>
      <w:r w:rsidR="00090B83">
        <w:t>, PHS have calculate</w:t>
      </w:r>
      <w:r w:rsidR="00BA77B6">
        <w:t>d</w:t>
      </w:r>
      <w:r w:rsidR="00090B83">
        <w:t xml:space="preserve"> a specific GP</w:t>
      </w:r>
      <w:r w:rsidR="00F3295F">
        <w:t>-</w:t>
      </w:r>
      <w:r w:rsidR="00090B83">
        <w:t>OoH adjustment for each HSCP</w:t>
      </w:r>
      <w:r>
        <w:t xml:space="preserve"> using the same methodology that is currently used to calculate the adjustment for NHS Boards</w:t>
      </w:r>
      <w:r w:rsidR="00E82C7B">
        <w:t>. (W</w:t>
      </w:r>
      <w:r w:rsidR="00D2632C">
        <w:t>eighted practice populations</w:t>
      </w:r>
      <w:r w:rsidR="009E06C1">
        <w:t xml:space="preserve"> </w:t>
      </w:r>
      <w:r w:rsidR="00E82C7B">
        <w:t>calculated using SAF data</w:t>
      </w:r>
      <w:r w:rsidR="00D2632C">
        <w:t xml:space="preserve"> are aggregate</w:t>
      </w:r>
      <w:r w:rsidR="009E06C1">
        <w:t>d based on the HSCP where the practice is located</w:t>
      </w:r>
      <w:r w:rsidR="00E82C7B">
        <w:t xml:space="preserve"> - see detail for NHS Board calculation above.)</w:t>
      </w:r>
      <w:r w:rsidR="00090B83">
        <w:t xml:space="preserve"> </w:t>
      </w:r>
      <w:r w:rsidR="00FD3150">
        <w:t xml:space="preserve">Table </w:t>
      </w:r>
      <w:r w:rsidR="00E127CA">
        <w:t>4</w:t>
      </w:r>
      <w:r w:rsidR="00FD3150">
        <w:t xml:space="preserve"> below presents the final target HSCP shares for 2024/25 using the </w:t>
      </w:r>
      <w:r w:rsidR="00573747">
        <w:t>original methodology</w:t>
      </w:r>
      <w:r w:rsidR="00C0608E">
        <w:t xml:space="preserve"> for the GP</w:t>
      </w:r>
      <w:r w:rsidR="00F3295F">
        <w:t>-</w:t>
      </w:r>
      <w:r w:rsidR="00C0608E">
        <w:t>OoH adjustment</w:t>
      </w:r>
      <w:r w:rsidR="00573747">
        <w:t xml:space="preserve"> versus the</w:t>
      </w:r>
      <w:r w:rsidR="00FD3150">
        <w:t xml:space="preserve"> new </w:t>
      </w:r>
      <w:r w:rsidR="00573747">
        <w:t>proposed</w:t>
      </w:r>
      <w:r w:rsidR="00FD3150">
        <w:t xml:space="preserve"> methodology.</w:t>
      </w:r>
    </w:p>
    <w:p w14:paraId="0B068422" w14:textId="664C3427" w:rsidR="00FD3150" w:rsidRDefault="00FD3150" w:rsidP="00FD3150">
      <w:pPr>
        <w:pStyle w:val="Tableorchartcaption"/>
      </w:pPr>
      <w:r>
        <w:t xml:space="preserve">Table </w:t>
      </w:r>
      <w:r w:rsidR="00E127CA">
        <w:t>4</w:t>
      </w:r>
      <w:r>
        <w:t xml:space="preserve">: Health and Social Care Partnership </w:t>
      </w:r>
      <w:r w:rsidR="00133EFB">
        <w:t>final target shares including GP out of hours adjustment (</w:t>
      </w:r>
      <w:r w:rsidR="00E53F8F">
        <w:t>original versus</w:t>
      </w:r>
      <w:r w:rsidR="00133EFB">
        <w:t xml:space="preserve"> </w:t>
      </w:r>
      <w:r w:rsidR="00E53F8F">
        <w:t>proposed</w:t>
      </w:r>
      <w:r w:rsidR="00133EFB">
        <w:t xml:space="preserve"> methodology)</w:t>
      </w:r>
      <w:r w:rsidR="00E53F8F">
        <w:t>;</w:t>
      </w:r>
      <w:r w:rsidR="00133EFB">
        <w:t xml:space="preserve"> 2024/25</w:t>
      </w:r>
    </w:p>
    <w:tbl>
      <w:tblPr>
        <w:tblStyle w:val="TableGrid"/>
        <w:tblW w:w="0" w:type="auto"/>
        <w:tblLayout w:type="fixed"/>
        <w:tblLook w:val="04A0" w:firstRow="1" w:lastRow="0" w:firstColumn="1" w:lastColumn="0" w:noHBand="0" w:noVBand="1"/>
      </w:tblPr>
      <w:tblGrid>
        <w:gridCol w:w="2263"/>
        <w:gridCol w:w="1756"/>
        <w:gridCol w:w="1788"/>
        <w:gridCol w:w="1740"/>
        <w:gridCol w:w="1741"/>
      </w:tblGrid>
      <w:tr w:rsidR="00FD3150" w:rsidRPr="00A33247" w14:paraId="0D7D754A" w14:textId="2D111097" w:rsidTr="002901E2">
        <w:trPr>
          <w:cnfStyle w:val="100000000000" w:firstRow="1" w:lastRow="0" w:firstColumn="0" w:lastColumn="0" w:oddVBand="0" w:evenVBand="0" w:oddHBand="0" w:evenHBand="0" w:firstRowFirstColumn="0" w:firstRowLastColumn="0" w:lastRowFirstColumn="0" w:lastRowLastColumn="0"/>
          <w:trHeight w:val="290"/>
        </w:trPr>
        <w:tc>
          <w:tcPr>
            <w:tcW w:w="2263" w:type="dxa"/>
            <w:noWrap/>
            <w:hideMark/>
          </w:tcPr>
          <w:p w14:paraId="1407C766" w14:textId="602E8A34" w:rsidR="00FD3150" w:rsidRPr="00FD3150" w:rsidRDefault="00FD3150" w:rsidP="00FD3150">
            <w:r w:rsidRPr="00A33247">
              <w:t>H</w:t>
            </w:r>
            <w:r w:rsidR="00133EFB">
              <w:t>ealth and Social Care Partnership</w:t>
            </w:r>
          </w:p>
        </w:tc>
        <w:tc>
          <w:tcPr>
            <w:tcW w:w="1756" w:type="dxa"/>
          </w:tcPr>
          <w:p w14:paraId="72770C74" w14:textId="107801C3" w:rsidR="00BA77B6" w:rsidRDefault="00BA77B6" w:rsidP="00FD3150">
            <w:r>
              <w:t>Final HSCP target share - using original GP</w:t>
            </w:r>
            <w:r w:rsidR="00F3295F">
              <w:t>-</w:t>
            </w:r>
            <w:r>
              <w:t>OoH adjustment methodology</w:t>
            </w:r>
          </w:p>
        </w:tc>
        <w:tc>
          <w:tcPr>
            <w:tcW w:w="1788" w:type="dxa"/>
            <w:noWrap/>
            <w:hideMark/>
          </w:tcPr>
          <w:p w14:paraId="09794CA1" w14:textId="79C1698A" w:rsidR="00FD3150" w:rsidRPr="00FD3150" w:rsidRDefault="00133EFB" w:rsidP="00FD3150">
            <w:r>
              <w:t xml:space="preserve">Final HSCP target share </w:t>
            </w:r>
            <w:r w:rsidR="00BA77B6" w:rsidRPr="00BA77B6">
              <w:t xml:space="preserve">- using </w:t>
            </w:r>
            <w:r w:rsidR="00BA77B6">
              <w:t>proposed</w:t>
            </w:r>
            <w:r>
              <w:t xml:space="preserve"> GP</w:t>
            </w:r>
            <w:r w:rsidR="00F3295F">
              <w:t>-</w:t>
            </w:r>
            <w:r>
              <w:t>OoH adjustment</w:t>
            </w:r>
            <w:r w:rsidR="00BA77B6" w:rsidRPr="00BA77B6">
              <w:t xml:space="preserve"> methodology</w:t>
            </w:r>
          </w:p>
        </w:tc>
        <w:tc>
          <w:tcPr>
            <w:tcW w:w="1740" w:type="dxa"/>
          </w:tcPr>
          <w:p w14:paraId="49BC9538" w14:textId="110CE7B5" w:rsidR="00BA77B6" w:rsidRDefault="00BA77B6" w:rsidP="00FD3150">
            <w:r>
              <w:t>Percentage point difference (</w:t>
            </w:r>
            <w:r w:rsidR="00C264AC">
              <w:t>proposed</w:t>
            </w:r>
            <w:r>
              <w:t xml:space="preserve"> minus </w:t>
            </w:r>
            <w:r w:rsidR="00C264AC">
              <w:t>original</w:t>
            </w:r>
            <w:r>
              <w:t>)</w:t>
            </w:r>
          </w:p>
        </w:tc>
        <w:tc>
          <w:tcPr>
            <w:tcW w:w="1741" w:type="dxa"/>
          </w:tcPr>
          <w:p w14:paraId="4EF0744A" w14:textId="26D04A6F" w:rsidR="004B1DB3" w:rsidRDefault="004B1DB3" w:rsidP="004B1DB3">
            <w:r>
              <w:t>Percentage (%) difference (</w:t>
            </w:r>
            <w:r w:rsidRPr="004B1DB3">
              <w:t>proposed minus original)</w:t>
            </w:r>
          </w:p>
        </w:tc>
      </w:tr>
      <w:tr w:rsidR="00C264AC" w:rsidRPr="00C264AC" w14:paraId="5D35E82D" w14:textId="6B1977A1" w:rsidTr="002901E2">
        <w:trPr>
          <w:trHeight w:val="288"/>
        </w:trPr>
        <w:tc>
          <w:tcPr>
            <w:tcW w:w="2263" w:type="dxa"/>
            <w:noWrap/>
            <w:vAlign w:val="bottom"/>
            <w:hideMark/>
          </w:tcPr>
          <w:p w14:paraId="1F497E2C" w14:textId="6F2B6B92" w:rsidR="00C264AC" w:rsidRPr="00221B01" w:rsidRDefault="00C264AC" w:rsidP="00C264AC">
            <w:r w:rsidRPr="00221B01">
              <w:t>Aberdeen City</w:t>
            </w:r>
          </w:p>
        </w:tc>
        <w:tc>
          <w:tcPr>
            <w:tcW w:w="1756" w:type="dxa"/>
            <w:noWrap/>
            <w:vAlign w:val="bottom"/>
            <w:hideMark/>
          </w:tcPr>
          <w:p w14:paraId="617A1368" w14:textId="4CDF8311" w:rsidR="00C264AC" w:rsidRPr="00221B01" w:rsidRDefault="00C264AC" w:rsidP="00C264AC">
            <w:r w:rsidRPr="00221B01">
              <w:t>3.77</w:t>
            </w:r>
            <w:r w:rsidR="00EF4161">
              <w:t>6</w:t>
            </w:r>
            <w:r w:rsidRPr="00221B01">
              <w:t>%</w:t>
            </w:r>
          </w:p>
        </w:tc>
        <w:tc>
          <w:tcPr>
            <w:tcW w:w="1788" w:type="dxa"/>
            <w:noWrap/>
            <w:vAlign w:val="bottom"/>
            <w:hideMark/>
          </w:tcPr>
          <w:p w14:paraId="23476A2E" w14:textId="1BBDCD3E" w:rsidR="00C264AC" w:rsidRPr="00221B01" w:rsidRDefault="00C264AC" w:rsidP="00C264AC">
            <w:r w:rsidRPr="00221B01">
              <w:t>3.767%</w:t>
            </w:r>
          </w:p>
        </w:tc>
        <w:tc>
          <w:tcPr>
            <w:tcW w:w="1740" w:type="dxa"/>
            <w:noWrap/>
            <w:vAlign w:val="bottom"/>
            <w:hideMark/>
          </w:tcPr>
          <w:p w14:paraId="05C121AF" w14:textId="64F42679" w:rsidR="00C264AC" w:rsidRPr="00221B01" w:rsidRDefault="00C264AC" w:rsidP="00C264AC">
            <w:r w:rsidRPr="00221B01">
              <w:t>-0.009</w:t>
            </w:r>
          </w:p>
        </w:tc>
        <w:tc>
          <w:tcPr>
            <w:tcW w:w="1741" w:type="dxa"/>
            <w:vAlign w:val="bottom"/>
          </w:tcPr>
          <w:p w14:paraId="649B7933" w14:textId="2DBE1A3D" w:rsidR="00221B01" w:rsidRPr="00221B01" w:rsidRDefault="00221B01" w:rsidP="00221B01">
            <w:r w:rsidRPr="00221B01">
              <w:t>-0.238%</w:t>
            </w:r>
          </w:p>
        </w:tc>
      </w:tr>
      <w:tr w:rsidR="00EF4161" w:rsidRPr="00C264AC" w14:paraId="10038654" w14:textId="1F267D34" w:rsidTr="002901E2">
        <w:trPr>
          <w:trHeight w:val="288"/>
        </w:trPr>
        <w:tc>
          <w:tcPr>
            <w:tcW w:w="2263" w:type="dxa"/>
            <w:noWrap/>
            <w:vAlign w:val="bottom"/>
            <w:hideMark/>
          </w:tcPr>
          <w:p w14:paraId="7818E9A0" w14:textId="1BFE37D1" w:rsidR="00EF4161" w:rsidRPr="00EF4161" w:rsidRDefault="00EF4161" w:rsidP="00EF4161">
            <w:r w:rsidRPr="00EF4161">
              <w:t>Aberdeenshire</w:t>
            </w:r>
          </w:p>
        </w:tc>
        <w:tc>
          <w:tcPr>
            <w:tcW w:w="1756" w:type="dxa"/>
            <w:noWrap/>
            <w:vAlign w:val="bottom"/>
            <w:hideMark/>
          </w:tcPr>
          <w:p w14:paraId="6EC792D0" w14:textId="6E264291" w:rsidR="00EF4161" w:rsidRPr="00EF4161" w:rsidRDefault="00EF4161" w:rsidP="00EF4161">
            <w:r w:rsidRPr="00EF4161">
              <w:t>4.233%</w:t>
            </w:r>
          </w:p>
        </w:tc>
        <w:tc>
          <w:tcPr>
            <w:tcW w:w="1788" w:type="dxa"/>
            <w:noWrap/>
            <w:vAlign w:val="bottom"/>
            <w:hideMark/>
          </w:tcPr>
          <w:p w14:paraId="795820C8" w14:textId="13381B03" w:rsidR="00EF4161" w:rsidRPr="00EF4161" w:rsidRDefault="00EF4161" w:rsidP="00EF4161">
            <w:r w:rsidRPr="00EF4161">
              <w:t>4.241%</w:t>
            </w:r>
          </w:p>
        </w:tc>
        <w:tc>
          <w:tcPr>
            <w:tcW w:w="1740" w:type="dxa"/>
            <w:noWrap/>
            <w:vAlign w:val="bottom"/>
            <w:hideMark/>
          </w:tcPr>
          <w:p w14:paraId="44EE9629" w14:textId="022F2EFB" w:rsidR="00EF4161" w:rsidRPr="00EF4161" w:rsidRDefault="00EF4161" w:rsidP="00EF4161">
            <w:r w:rsidRPr="00EF4161">
              <w:t>0.008</w:t>
            </w:r>
          </w:p>
        </w:tc>
        <w:tc>
          <w:tcPr>
            <w:tcW w:w="1741" w:type="dxa"/>
            <w:vAlign w:val="bottom"/>
          </w:tcPr>
          <w:p w14:paraId="629F7E47" w14:textId="7986AFB4" w:rsidR="00221B01" w:rsidRPr="00221B01" w:rsidRDefault="00221B01" w:rsidP="00221B01">
            <w:r w:rsidRPr="00221B01">
              <w:t>0.190%</w:t>
            </w:r>
          </w:p>
        </w:tc>
      </w:tr>
      <w:tr w:rsidR="00EF4161" w:rsidRPr="00C264AC" w14:paraId="65605CF7" w14:textId="6F69F4CE" w:rsidTr="002901E2">
        <w:trPr>
          <w:trHeight w:val="288"/>
        </w:trPr>
        <w:tc>
          <w:tcPr>
            <w:tcW w:w="2263" w:type="dxa"/>
            <w:noWrap/>
            <w:vAlign w:val="bottom"/>
            <w:hideMark/>
          </w:tcPr>
          <w:p w14:paraId="7244F96A" w14:textId="50528ED4" w:rsidR="00EF4161" w:rsidRPr="00EF4161" w:rsidRDefault="00EF4161" w:rsidP="00EF4161">
            <w:r w:rsidRPr="00EF4161">
              <w:t>Angus</w:t>
            </w:r>
          </w:p>
        </w:tc>
        <w:tc>
          <w:tcPr>
            <w:tcW w:w="1756" w:type="dxa"/>
            <w:noWrap/>
            <w:vAlign w:val="bottom"/>
            <w:hideMark/>
          </w:tcPr>
          <w:p w14:paraId="5B213A7D" w14:textId="13417BE9" w:rsidR="00EF4161" w:rsidRPr="00EF4161" w:rsidRDefault="00EF4161" w:rsidP="00EF4161">
            <w:r w:rsidRPr="00EF4161">
              <w:t>2.161%</w:t>
            </w:r>
          </w:p>
        </w:tc>
        <w:tc>
          <w:tcPr>
            <w:tcW w:w="1788" w:type="dxa"/>
            <w:noWrap/>
            <w:vAlign w:val="bottom"/>
            <w:hideMark/>
          </w:tcPr>
          <w:p w14:paraId="24CDA54E" w14:textId="480D4FCE" w:rsidR="00EF4161" w:rsidRPr="00EF4161" w:rsidRDefault="00EF4161" w:rsidP="00EF4161">
            <w:r w:rsidRPr="00EF4161">
              <w:t>2.163%</w:t>
            </w:r>
          </w:p>
        </w:tc>
        <w:tc>
          <w:tcPr>
            <w:tcW w:w="1740" w:type="dxa"/>
            <w:noWrap/>
            <w:vAlign w:val="bottom"/>
            <w:hideMark/>
          </w:tcPr>
          <w:p w14:paraId="004B574A" w14:textId="2925102B" w:rsidR="00EF4161" w:rsidRPr="00EF4161" w:rsidRDefault="00EF4161" w:rsidP="00EF4161">
            <w:r w:rsidRPr="00EF4161">
              <w:t>0.001</w:t>
            </w:r>
          </w:p>
        </w:tc>
        <w:tc>
          <w:tcPr>
            <w:tcW w:w="1741" w:type="dxa"/>
            <w:vAlign w:val="bottom"/>
          </w:tcPr>
          <w:p w14:paraId="74E01759" w14:textId="40C69560" w:rsidR="00221B01" w:rsidRPr="00221B01" w:rsidRDefault="00221B01" w:rsidP="00221B01">
            <w:r w:rsidRPr="00221B01">
              <w:t>0.048%</w:t>
            </w:r>
          </w:p>
        </w:tc>
      </w:tr>
      <w:tr w:rsidR="00EF4161" w:rsidRPr="00C264AC" w14:paraId="0F103C97" w14:textId="0379070C" w:rsidTr="002901E2">
        <w:trPr>
          <w:trHeight w:val="288"/>
        </w:trPr>
        <w:tc>
          <w:tcPr>
            <w:tcW w:w="2263" w:type="dxa"/>
            <w:noWrap/>
            <w:vAlign w:val="bottom"/>
            <w:hideMark/>
          </w:tcPr>
          <w:p w14:paraId="3CDB5A95" w14:textId="2276806E" w:rsidR="00EF4161" w:rsidRPr="00EF4161" w:rsidRDefault="00EF4161" w:rsidP="00EF4161">
            <w:r w:rsidRPr="00EF4161">
              <w:t>Argyll and Bute</w:t>
            </w:r>
          </w:p>
        </w:tc>
        <w:tc>
          <w:tcPr>
            <w:tcW w:w="1756" w:type="dxa"/>
            <w:noWrap/>
            <w:vAlign w:val="bottom"/>
            <w:hideMark/>
          </w:tcPr>
          <w:p w14:paraId="462EC8BD" w14:textId="578C52B8" w:rsidR="00EF4161" w:rsidRPr="00EF4161" w:rsidRDefault="00EF4161" w:rsidP="00EF4161">
            <w:r w:rsidRPr="00EF4161">
              <w:t>1.875%</w:t>
            </w:r>
          </w:p>
        </w:tc>
        <w:tc>
          <w:tcPr>
            <w:tcW w:w="1788" w:type="dxa"/>
            <w:noWrap/>
            <w:vAlign w:val="bottom"/>
            <w:hideMark/>
          </w:tcPr>
          <w:p w14:paraId="0BD7E6DC" w14:textId="7BC5B28E" w:rsidR="00EF4161" w:rsidRPr="00EF4161" w:rsidRDefault="00EF4161" w:rsidP="00EF4161">
            <w:r w:rsidRPr="00EF4161">
              <w:t>1.873%</w:t>
            </w:r>
          </w:p>
        </w:tc>
        <w:tc>
          <w:tcPr>
            <w:tcW w:w="1740" w:type="dxa"/>
            <w:noWrap/>
            <w:vAlign w:val="bottom"/>
            <w:hideMark/>
          </w:tcPr>
          <w:p w14:paraId="74C0447C" w14:textId="7C33767E" w:rsidR="00EF4161" w:rsidRPr="00EF4161" w:rsidRDefault="00EF4161" w:rsidP="00EF4161">
            <w:r w:rsidRPr="00EF4161">
              <w:t>-0.002</w:t>
            </w:r>
          </w:p>
        </w:tc>
        <w:tc>
          <w:tcPr>
            <w:tcW w:w="1741" w:type="dxa"/>
            <w:vAlign w:val="bottom"/>
          </w:tcPr>
          <w:p w14:paraId="2FEAF7C0" w14:textId="5D55A9DF" w:rsidR="00221B01" w:rsidRPr="00221B01" w:rsidRDefault="00221B01" w:rsidP="00221B01">
            <w:r w:rsidRPr="00221B01">
              <w:t>-0.082%</w:t>
            </w:r>
          </w:p>
        </w:tc>
      </w:tr>
      <w:tr w:rsidR="00EF4161" w:rsidRPr="00C264AC" w14:paraId="6D071C95" w14:textId="1CC1A71D" w:rsidTr="002901E2">
        <w:trPr>
          <w:trHeight w:val="288"/>
        </w:trPr>
        <w:tc>
          <w:tcPr>
            <w:tcW w:w="2263" w:type="dxa"/>
            <w:noWrap/>
            <w:vAlign w:val="bottom"/>
            <w:hideMark/>
          </w:tcPr>
          <w:p w14:paraId="7CF123ED" w14:textId="7745D46A" w:rsidR="00EF4161" w:rsidRPr="00EF4161" w:rsidRDefault="00EF4161" w:rsidP="00EF4161">
            <w:r w:rsidRPr="00EF4161">
              <w:t>Clackmannanshire and Stirling</w:t>
            </w:r>
          </w:p>
        </w:tc>
        <w:tc>
          <w:tcPr>
            <w:tcW w:w="1756" w:type="dxa"/>
            <w:noWrap/>
            <w:vAlign w:val="bottom"/>
            <w:hideMark/>
          </w:tcPr>
          <w:p w14:paraId="49FC2858" w14:textId="1C7B7206" w:rsidR="00EF4161" w:rsidRPr="00EF4161" w:rsidRDefault="00EF4161" w:rsidP="00EF4161">
            <w:r w:rsidRPr="00EF4161">
              <w:t>2.585%</w:t>
            </w:r>
          </w:p>
        </w:tc>
        <w:tc>
          <w:tcPr>
            <w:tcW w:w="1788" w:type="dxa"/>
            <w:noWrap/>
            <w:vAlign w:val="bottom"/>
            <w:hideMark/>
          </w:tcPr>
          <w:p w14:paraId="69A48B83" w14:textId="036CE3FD" w:rsidR="00EF4161" w:rsidRPr="00EF4161" w:rsidRDefault="00EF4161" w:rsidP="00EF4161">
            <w:r w:rsidRPr="00EF4161">
              <w:t>2.587%</w:t>
            </w:r>
          </w:p>
        </w:tc>
        <w:tc>
          <w:tcPr>
            <w:tcW w:w="1740" w:type="dxa"/>
            <w:noWrap/>
            <w:vAlign w:val="bottom"/>
            <w:hideMark/>
          </w:tcPr>
          <w:p w14:paraId="68890EBB" w14:textId="727179A8" w:rsidR="00EF4161" w:rsidRPr="00EF4161" w:rsidRDefault="00EF4161" w:rsidP="00EF4161">
            <w:r w:rsidRPr="00EF4161">
              <w:t>0.003</w:t>
            </w:r>
          </w:p>
        </w:tc>
        <w:tc>
          <w:tcPr>
            <w:tcW w:w="1741" w:type="dxa"/>
            <w:vAlign w:val="bottom"/>
          </w:tcPr>
          <w:p w14:paraId="4A017607" w14:textId="06552469" w:rsidR="00221B01" w:rsidRPr="00221B01" w:rsidRDefault="00221B01" w:rsidP="00221B01">
            <w:r w:rsidRPr="00221B01">
              <w:t>0.108%</w:t>
            </w:r>
          </w:p>
        </w:tc>
      </w:tr>
      <w:tr w:rsidR="00EF4161" w:rsidRPr="00C264AC" w14:paraId="3AD006AA" w14:textId="0AFAD8F5" w:rsidTr="002901E2">
        <w:trPr>
          <w:trHeight w:val="288"/>
        </w:trPr>
        <w:tc>
          <w:tcPr>
            <w:tcW w:w="2263" w:type="dxa"/>
            <w:noWrap/>
            <w:vAlign w:val="bottom"/>
            <w:hideMark/>
          </w:tcPr>
          <w:p w14:paraId="44E07B9C" w14:textId="5DB0B8D0" w:rsidR="00EF4161" w:rsidRPr="00EF4161" w:rsidRDefault="00EF4161" w:rsidP="00EF4161">
            <w:r w:rsidRPr="00EF4161">
              <w:t>Dumfries and Galloway</w:t>
            </w:r>
          </w:p>
        </w:tc>
        <w:tc>
          <w:tcPr>
            <w:tcW w:w="1756" w:type="dxa"/>
            <w:noWrap/>
            <w:vAlign w:val="bottom"/>
            <w:hideMark/>
          </w:tcPr>
          <w:p w14:paraId="72F2F6B2" w14:textId="5253CB62" w:rsidR="00EF4161" w:rsidRPr="00EF4161" w:rsidRDefault="00EF4161" w:rsidP="00EF4161">
            <w:r w:rsidRPr="00EF4161">
              <w:t>2.964%</w:t>
            </w:r>
          </w:p>
        </w:tc>
        <w:tc>
          <w:tcPr>
            <w:tcW w:w="1788" w:type="dxa"/>
            <w:noWrap/>
            <w:vAlign w:val="bottom"/>
            <w:hideMark/>
          </w:tcPr>
          <w:p w14:paraId="6DEF017F" w14:textId="0079E497" w:rsidR="00EF4161" w:rsidRPr="00EF4161" w:rsidRDefault="00EF4161" w:rsidP="00EF4161">
            <w:r w:rsidRPr="00EF4161">
              <w:t>2.964%</w:t>
            </w:r>
          </w:p>
        </w:tc>
        <w:tc>
          <w:tcPr>
            <w:tcW w:w="1740" w:type="dxa"/>
            <w:noWrap/>
            <w:vAlign w:val="bottom"/>
            <w:hideMark/>
          </w:tcPr>
          <w:p w14:paraId="051968A4" w14:textId="2BDFB40A" w:rsidR="00EF4161" w:rsidRPr="00EF4161" w:rsidRDefault="00EF4161" w:rsidP="00EF4161">
            <w:r w:rsidRPr="00EF4161">
              <w:t>0.000</w:t>
            </w:r>
          </w:p>
        </w:tc>
        <w:tc>
          <w:tcPr>
            <w:tcW w:w="1741" w:type="dxa"/>
            <w:vAlign w:val="bottom"/>
          </w:tcPr>
          <w:p w14:paraId="47DF7757" w14:textId="400AB501" w:rsidR="00221B01" w:rsidRPr="00221B01" w:rsidRDefault="00221B01" w:rsidP="00221B01">
            <w:r w:rsidRPr="00221B01">
              <w:t>0.000%</w:t>
            </w:r>
          </w:p>
        </w:tc>
      </w:tr>
      <w:tr w:rsidR="00EF4161" w:rsidRPr="00C264AC" w14:paraId="37CEE772" w14:textId="7660085A" w:rsidTr="002901E2">
        <w:trPr>
          <w:trHeight w:val="288"/>
        </w:trPr>
        <w:tc>
          <w:tcPr>
            <w:tcW w:w="2263" w:type="dxa"/>
            <w:noWrap/>
            <w:vAlign w:val="bottom"/>
            <w:hideMark/>
          </w:tcPr>
          <w:p w14:paraId="599C6C3E" w14:textId="1957E83C" w:rsidR="00EF4161" w:rsidRPr="00EF4161" w:rsidRDefault="00EF4161" w:rsidP="00EF4161">
            <w:r w:rsidRPr="00EF4161">
              <w:lastRenderedPageBreak/>
              <w:t>Dundee City</w:t>
            </w:r>
          </w:p>
        </w:tc>
        <w:tc>
          <w:tcPr>
            <w:tcW w:w="1756" w:type="dxa"/>
            <w:noWrap/>
            <w:vAlign w:val="bottom"/>
            <w:hideMark/>
          </w:tcPr>
          <w:p w14:paraId="60F1611C" w14:textId="11F59CCA" w:rsidR="00EF4161" w:rsidRPr="00EF4161" w:rsidRDefault="00EF4161" w:rsidP="00EF4161">
            <w:r w:rsidRPr="00EF4161">
              <w:t>2.804%</w:t>
            </w:r>
          </w:p>
        </w:tc>
        <w:tc>
          <w:tcPr>
            <w:tcW w:w="1788" w:type="dxa"/>
            <w:noWrap/>
            <w:vAlign w:val="bottom"/>
            <w:hideMark/>
          </w:tcPr>
          <w:p w14:paraId="2727602A" w14:textId="2E86079C" w:rsidR="00EF4161" w:rsidRPr="00EF4161" w:rsidRDefault="00EF4161" w:rsidP="00EF4161">
            <w:r w:rsidRPr="00EF4161">
              <w:t>2.799%</w:t>
            </w:r>
          </w:p>
        </w:tc>
        <w:tc>
          <w:tcPr>
            <w:tcW w:w="1740" w:type="dxa"/>
            <w:noWrap/>
            <w:vAlign w:val="bottom"/>
            <w:hideMark/>
          </w:tcPr>
          <w:p w14:paraId="2CA101CD" w14:textId="09B9965F" w:rsidR="00EF4161" w:rsidRPr="00EF4161" w:rsidRDefault="00EF4161" w:rsidP="00EF4161">
            <w:r w:rsidRPr="00EF4161">
              <w:t>-0.005</w:t>
            </w:r>
          </w:p>
        </w:tc>
        <w:tc>
          <w:tcPr>
            <w:tcW w:w="1741" w:type="dxa"/>
            <w:vAlign w:val="bottom"/>
          </w:tcPr>
          <w:p w14:paraId="0EEB0785" w14:textId="2FCA6F0A" w:rsidR="00221B01" w:rsidRPr="00221B01" w:rsidRDefault="00221B01" w:rsidP="00221B01">
            <w:r w:rsidRPr="00221B01">
              <w:t>-0.161%</w:t>
            </w:r>
          </w:p>
        </w:tc>
      </w:tr>
      <w:tr w:rsidR="00EF4161" w:rsidRPr="00C264AC" w14:paraId="461CD0E4" w14:textId="598DC4C1" w:rsidTr="002901E2">
        <w:trPr>
          <w:trHeight w:val="288"/>
        </w:trPr>
        <w:tc>
          <w:tcPr>
            <w:tcW w:w="2263" w:type="dxa"/>
            <w:noWrap/>
            <w:vAlign w:val="bottom"/>
            <w:hideMark/>
          </w:tcPr>
          <w:p w14:paraId="1791CF51" w14:textId="57957BFD" w:rsidR="00EF4161" w:rsidRPr="00EF4161" w:rsidRDefault="00EF4161" w:rsidP="00EF4161">
            <w:r w:rsidRPr="00EF4161">
              <w:t>East Ayrshire</w:t>
            </w:r>
          </w:p>
        </w:tc>
        <w:tc>
          <w:tcPr>
            <w:tcW w:w="1756" w:type="dxa"/>
            <w:noWrap/>
            <w:vAlign w:val="bottom"/>
            <w:hideMark/>
          </w:tcPr>
          <w:p w14:paraId="4FCB142B" w14:textId="69C4AC6A" w:rsidR="00EF4161" w:rsidRPr="00EF4161" w:rsidRDefault="00EF4161" w:rsidP="00EF4161">
            <w:r w:rsidRPr="00EF4161">
              <w:t>2.370%</w:t>
            </w:r>
          </w:p>
        </w:tc>
        <w:tc>
          <w:tcPr>
            <w:tcW w:w="1788" w:type="dxa"/>
            <w:noWrap/>
            <w:vAlign w:val="bottom"/>
            <w:hideMark/>
          </w:tcPr>
          <w:p w14:paraId="3CD182DF" w14:textId="4B88D81D" w:rsidR="00EF4161" w:rsidRPr="00EF4161" w:rsidRDefault="00EF4161" w:rsidP="00EF4161">
            <w:r w:rsidRPr="00EF4161">
              <w:t>2.372%</w:t>
            </w:r>
          </w:p>
        </w:tc>
        <w:tc>
          <w:tcPr>
            <w:tcW w:w="1740" w:type="dxa"/>
            <w:noWrap/>
            <w:vAlign w:val="bottom"/>
            <w:hideMark/>
          </w:tcPr>
          <w:p w14:paraId="4C968944" w14:textId="7E30F9B4" w:rsidR="00EF4161" w:rsidRPr="00EF4161" w:rsidRDefault="00EF4161" w:rsidP="00EF4161">
            <w:r w:rsidRPr="00EF4161">
              <w:t>0.002</w:t>
            </w:r>
          </w:p>
        </w:tc>
        <w:tc>
          <w:tcPr>
            <w:tcW w:w="1741" w:type="dxa"/>
            <w:vAlign w:val="bottom"/>
          </w:tcPr>
          <w:p w14:paraId="244020E5" w14:textId="37E86FDE" w:rsidR="00221B01" w:rsidRPr="00221B01" w:rsidRDefault="00221B01" w:rsidP="00221B01">
            <w:r w:rsidRPr="00221B01">
              <w:t>0.097%</w:t>
            </w:r>
          </w:p>
        </w:tc>
      </w:tr>
      <w:tr w:rsidR="00EF4161" w:rsidRPr="00C264AC" w14:paraId="6122A0BE" w14:textId="5954BD3C" w:rsidTr="002901E2">
        <w:trPr>
          <w:trHeight w:val="288"/>
        </w:trPr>
        <w:tc>
          <w:tcPr>
            <w:tcW w:w="2263" w:type="dxa"/>
            <w:noWrap/>
            <w:vAlign w:val="bottom"/>
            <w:hideMark/>
          </w:tcPr>
          <w:p w14:paraId="5A8696D7" w14:textId="230EA25C" w:rsidR="00EF4161" w:rsidRPr="00EF4161" w:rsidRDefault="00EF4161" w:rsidP="00EF4161">
            <w:r w:rsidRPr="00EF4161">
              <w:t>East Dunbartonshire</w:t>
            </w:r>
          </w:p>
        </w:tc>
        <w:tc>
          <w:tcPr>
            <w:tcW w:w="1756" w:type="dxa"/>
            <w:noWrap/>
            <w:vAlign w:val="bottom"/>
            <w:hideMark/>
          </w:tcPr>
          <w:p w14:paraId="7855920A" w14:textId="1949CDCF" w:rsidR="00EF4161" w:rsidRPr="00EF4161" w:rsidRDefault="00EF4161" w:rsidP="00EF4161">
            <w:r w:rsidRPr="00EF4161">
              <w:t>1.856%</w:t>
            </w:r>
          </w:p>
        </w:tc>
        <w:tc>
          <w:tcPr>
            <w:tcW w:w="1788" w:type="dxa"/>
            <w:noWrap/>
            <w:vAlign w:val="bottom"/>
            <w:hideMark/>
          </w:tcPr>
          <w:p w14:paraId="05D084F8" w14:textId="4352B81F" w:rsidR="00EF4161" w:rsidRPr="00EF4161" w:rsidRDefault="00EF4161" w:rsidP="00EF4161">
            <w:r w:rsidRPr="00EF4161">
              <w:t>1.855%</w:t>
            </w:r>
          </w:p>
        </w:tc>
        <w:tc>
          <w:tcPr>
            <w:tcW w:w="1740" w:type="dxa"/>
            <w:noWrap/>
            <w:vAlign w:val="bottom"/>
            <w:hideMark/>
          </w:tcPr>
          <w:p w14:paraId="2B89D0F9" w14:textId="3E585A65" w:rsidR="00EF4161" w:rsidRPr="00EF4161" w:rsidRDefault="00EF4161" w:rsidP="00EF4161">
            <w:r w:rsidRPr="00EF4161">
              <w:t>-0.001</w:t>
            </w:r>
          </w:p>
        </w:tc>
        <w:tc>
          <w:tcPr>
            <w:tcW w:w="1741" w:type="dxa"/>
            <w:vAlign w:val="bottom"/>
          </w:tcPr>
          <w:p w14:paraId="0C964D6A" w14:textId="5E90A949" w:rsidR="00221B01" w:rsidRPr="00221B01" w:rsidRDefault="00221B01" w:rsidP="00221B01">
            <w:r w:rsidRPr="00221B01">
              <w:t>-0.032%</w:t>
            </w:r>
          </w:p>
        </w:tc>
      </w:tr>
      <w:tr w:rsidR="00EF4161" w:rsidRPr="00C264AC" w14:paraId="46C31E45" w14:textId="0D822F4E" w:rsidTr="002901E2">
        <w:trPr>
          <w:trHeight w:val="288"/>
        </w:trPr>
        <w:tc>
          <w:tcPr>
            <w:tcW w:w="2263" w:type="dxa"/>
            <w:noWrap/>
            <w:vAlign w:val="bottom"/>
            <w:hideMark/>
          </w:tcPr>
          <w:p w14:paraId="087D9363" w14:textId="1E7F0950" w:rsidR="00EF4161" w:rsidRPr="00EF4161" w:rsidRDefault="00EF4161" w:rsidP="00EF4161">
            <w:r w:rsidRPr="00EF4161">
              <w:t>East Lothian</w:t>
            </w:r>
          </w:p>
        </w:tc>
        <w:tc>
          <w:tcPr>
            <w:tcW w:w="1756" w:type="dxa"/>
            <w:noWrap/>
            <w:vAlign w:val="bottom"/>
            <w:hideMark/>
          </w:tcPr>
          <w:p w14:paraId="548BE1D4" w14:textId="0FB37FC6" w:rsidR="00EF4161" w:rsidRPr="00EF4161" w:rsidRDefault="00EF4161" w:rsidP="00EF4161">
            <w:r w:rsidRPr="00EF4161">
              <w:t>1.907%</w:t>
            </w:r>
          </w:p>
        </w:tc>
        <w:tc>
          <w:tcPr>
            <w:tcW w:w="1788" w:type="dxa"/>
            <w:noWrap/>
            <w:vAlign w:val="bottom"/>
            <w:hideMark/>
          </w:tcPr>
          <w:p w14:paraId="156369F2" w14:textId="5E0A58EB" w:rsidR="00EF4161" w:rsidRPr="00EF4161" w:rsidRDefault="00EF4161" w:rsidP="00EF4161">
            <w:r w:rsidRPr="00EF4161">
              <w:t>1.908%</w:t>
            </w:r>
          </w:p>
        </w:tc>
        <w:tc>
          <w:tcPr>
            <w:tcW w:w="1740" w:type="dxa"/>
            <w:noWrap/>
            <w:vAlign w:val="bottom"/>
            <w:hideMark/>
          </w:tcPr>
          <w:p w14:paraId="21E419EB" w14:textId="3E92B504" w:rsidR="00EF4161" w:rsidRPr="00EF4161" w:rsidRDefault="00EF4161" w:rsidP="00EF4161">
            <w:r w:rsidRPr="00EF4161">
              <w:t>0.002</w:t>
            </w:r>
          </w:p>
        </w:tc>
        <w:tc>
          <w:tcPr>
            <w:tcW w:w="1741" w:type="dxa"/>
            <w:vAlign w:val="bottom"/>
          </w:tcPr>
          <w:p w14:paraId="2F794970" w14:textId="1D3723F6" w:rsidR="00221B01" w:rsidRPr="00221B01" w:rsidRDefault="00221B01" w:rsidP="00221B01">
            <w:r w:rsidRPr="00221B01">
              <w:t>0.086%</w:t>
            </w:r>
          </w:p>
        </w:tc>
      </w:tr>
      <w:tr w:rsidR="00EF4161" w:rsidRPr="00C264AC" w14:paraId="647248EA" w14:textId="47E8742B" w:rsidTr="002901E2">
        <w:trPr>
          <w:trHeight w:val="288"/>
        </w:trPr>
        <w:tc>
          <w:tcPr>
            <w:tcW w:w="2263" w:type="dxa"/>
            <w:noWrap/>
            <w:vAlign w:val="bottom"/>
            <w:hideMark/>
          </w:tcPr>
          <w:p w14:paraId="466D04FF" w14:textId="1AC6CE99" w:rsidR="00EF4161" w:rsidRPr="00EF4161" w:rsidRDefault="00EF4161" w:rsidP="00EF4161">
            <w:r w:rsidRPr="00EF4161">
              <w:t>East Renfrewshire</w:t>
            </w:r>
          </w:p>
        </w:tc>
        <w:tc>
          <w:tcPr>
            <w:tcW w:w="1756" w:type="dxa"/>
            <w:noWrap/>
            <w:vAlign w:val="bottom"/>
            <w:hideMark/>
          </w:tcPr>
          <w:p w14:paraId="5F6592DC" w14:textId="4258C67D" w:rsidR="00EF4161" w:rsidRPr="00EF4161" w:rsidRDefault="00EF4161" w:rsidP="00EF4161">
            <w:r w:rsidRPr="00EF4161">
              <w:t>1.583%</w:t>
            </w:r>
          </w:p>
        </w:tc>
        <w:tc>
          <w:tcPr>
            <w:tcW w:w="1788" w:type="dxa"/>
            <w:noWrap/>
            <w:vAlign w:val="bottom"/>
            <w:hideMark/>
          </w:tcPr>
          <w:p w14:paraId="56BFF529" w14:textId="7FFF71E5" w:rsidR="00EF4161" w:rsidRPr="00EF4161" w:rsidRDefault="00EF4161" w:rsidP="00EF4161">
            <w:r w:rsidRPr="00EF4161">
              <w:t>1.584%</w:t>
            </w:r>
          </w:p>
        </w:tc>
        <w:tc>
          <w:tcPr>
            <w:tcW w:w="1740" w:type="dxa"/>
            <w:noWrap/>
            <w:vAlign w:val="bottom"/>
            <w:hideMark/>
          </w:tcPr>
          <w:p w14:paraId="1D2D0DAC" w14:textId="65D93FD0" w:rsidR="00EF4161" w:rsidRPr="00EF4161" w:rsidRDefault="00EF4161" w:rsidP="00EF4161">
            <w:r w:rsidRPr="00EF4161">
              <w:t>0.001</w:t>
            </w:r>
          </w:p>
        </w:tc>
        <w:tc>
          <w:tcPr>
            <w:tcW w:w="1741" w:type="dxa"/>
            <w:vAlign w:val="bottom"/>
          </w:tcPr>
          <w:p w14:paraId="618BF85E" w14:textId="5A720566" w:rsidR="00221B01" w:rsidRPr="00221B01" w:rsidRDefault="00221B01" w:rsidP="00221B01">
            <w:r w:rsidRPr="00221B01">
              <w:t>0.037%</w:t>
            </w:r>
          </w:p>
        </w:tc>
      </w:tr>
      <w:tr w:rsidR="00EF4161" w:rsidRPr="00C264AC" w14:paraId="2EC05E56" w14:textId="49E52DC4" w:rsidTr="002901E2">
        <w:trPr>
          <w:trHeight w:val="288"/>
        </w:trPr>
        <w:tc>
          <w:tcPr>
            <w:tcW w:w="2263" w:type="dxa"/>
            <w:noWrap/>
            <w:vAlign w:val="bottom"/>
            <w:hideMark/>
          </w:tcPr>
          <w:p w14:paraId="0F641326" w14:textId="0E23246F" w:rsidR="00EF4161" w:rsidRPr="00EF4161" w:rsidRDefault="00EF4161" w:rsidP="00EF4161">
            <w:r w:rsidRPr="00EF4161">
              <w:t>Edinburgh</w:t>
            </w:r>
          </w:p>
        </w:tc>
        <w:tc>
          <w:tcPr>
            <w:tcW w:w="1756" w:type="dxa"/>
            <w:noWrap/>
            <w:vAlign w:val="bottom"/>
            <w:hideMark/>
          </w:tcPr>
          <w:p w14:paraId="0D3F5FFD" w14:textId="395A0F97" w:rsidR="00EF4161" w:rsidRPr="00EF4161" w:rsidRDefault="00EF4161" w:rsidP="00EF4161">
            <w:r w:rsidRPr="00EF4161">
              <w:t>8.405%</w:t>
            </w:r>
          </w:p>
        </w:tc>
        <w:tc>
          <w:tcPr>
            <w:tcW w:w="1788" w:type="dxa"/>
            <w:noWrap/>
            <w:vAlign w:val="bottom"/>
            <w:hideMark/>
          </w:tcPr>
          <w:p w14:paraId="535235D1" w14:textId="6FADA5D1" w:rsidR="00EF4161" w:rsidRPr="00EF4161" w:rsidRDefault="00EF4161" w:rsidP="00EF4161">
            <w:r w:rsidRPr="00EF4161">
              <w:t>8.403%</w:t>
            </w:r>
          </w:p>
        </w:tc>
        <w:tc>
          <w:tcPr>
            <w:tcW w:w="1740" w:type="dxa"/>
            <w:noWrap/>
            <w:vAlign w:val="bottom"/>
            <w:hideMark/>
          </w:tcPr>
          <w:p w14:paraId="13E762A7" w14:textId="0B9BD972" w:rsidR="00EF4161" w:rsidRPr="00EF4161" w:rsidRDefault="00EF4161" w:rsidP="00EF4161">
            <w:r w:rsidRPr="00EF4161">
              <w:t>-0.002</w:t>
            </w:r>
          </w:p>
        </w:tc>
        <w:tc>
          <w:tcPr>
            <w:tcW w:w="1741" w:type="dxa"/>
            <w:vAlign w:val="bottom"/>
          </w:tcPr>
          <w:p w14:paraId="066F9A4B" w14:textId="74F1A1A2" w:rsidR="00221B01" w:rsidRPr="00221B01" w:rsidRDefault="00221B01" w:rsidP="00221B01">
            <w:r w:rsidRPr="00221B01">
              <w:t>-0.022%</w:t>
            </w:r>
          </w:p>
        </w:tc>
      </w:tr>
      <w:tr w:rsidR="00EF4161" w:rsidRPr="00C264AC" w14:paraId="6FAE9288" w14:textId="6C7B78B4" w:rsidTr="002901E2">
        <w:trPr>
          <w:trHeight w:val="288"/>
        </w:trPr>
        <w:tc>
          <w:tcPr>
            <w:tcW w:w="2263" w:type="dxa"/>
            <w:noWrap/>
            <w:vAlign w:val="bottom"/>
            <w:hideMark/>
          </w:tcPr>
          <w:p w14:paraId="24EFCF87" w14:textId="53F7876C" w:rsidR="00EF4161" w:rsidRPr="00EF4161" w:rsidRDefault="00EF4161" w:rsidP="00EF4161">
            <w:r w:rsidRPr="00EF4161">
              <w:t>Falkirk</w:t>
            </w:r>
          </w:p>
        </w:tc>
        <w:tc>
          <w:tcPr>
            <w:tcW w:w="1756" w:type="dxa"/>
            <w:noWrap/>
            <w:vAlign w:val="bottom"/>
            <w:hideMark/>
          </w:tcPr>
          <w:p w14:paraId="1EF9300F" w14:textId="2A09E229" w:rsidR="00EF4161" w:rsidRPr="00EF4161" w:rsidRDefault="00EF4161" w:rsidP="00EF4161">
            <w:r w:rsidRPr="00EF4161">
              <w:t>2.873%</w:t>
            </w:r>
          </w:p>
        </w:tc>
        <w:tc>
          <w:tcPr>
            <w:tcW w:w="1788" w:type="dxa"/>
            <w:noWrap/>
            <w:vAlign w:val="bottom"/>
            <w:hideMark/>
          </w:tcPr>
          <w:p w14:paraId="58B563E6" w14:textId="2C828B70" w:rsidR="00EF4161" w:rsidRPr="00EF4161" w:rsidRDefault="00EF4161" w:rsidP="00EF4161">
            <w:r w:rsidRPr="00EF4161">
              <w:t>2.871%</w:t>
            </w:r>
          </w:p>
        </w:tc>
        <w:tc>
          <w:tcPr>
            <w:tcW w:w="1740" w:type="dxa"/>
            <w:noWrap/>
            <w:vAlign w:val="bottom"/>
            <w:hideMark/>
          </w:tcPr>
          <w:p w14:paraId="41C64E17" w14:textId="6206959C" w:rsidR="00EF4161" w:rsidRPr="00EF4161" w:rsidRDefault="00EF4161" w:rsidP="00EF4161">
            <w:r w:rsidRPr="00EF4161">
              <w:t>-0.003</w:t>
            </w:r>
          </w:p>
        </w:tc>
        <w:tc>
          <w:tcPr>
            <w:tcW w:w="1741" w:type="dxa"/>
            <w:vAlign w:val="bottom"/>
          </w:tcPr>
          <w:p w14:paraId="5B5EECB2" w14:textId="31A67CEE" w:rsidR="00221B01" w:rsidRPr="00221B01" w:rsidRDefault="00221B01" w:rsidP="00221B01">
            <w:r w:rsidRPr="00221B01">
              <w:t>-0.097%</w:t>
            </w:r>
          </w:p>
        </w:tc>
      </w:tr>
      <w:tr w:rsidR="00EF4161" w:rsidRPr="00C264AC" w14:paraId="58F0860D" w14:textId="049FA285" w:rsidTr="002901E2">
        <w:trPr>
          <w:trHeight w:val="288"/>
        </w:trPr>
        <w:tc>
          <w:tcPr>
            <w:tcW w:w="2263" w:type="dxa"/>
            <w:noWrap/>
            <w:vAlign w:val="bottom"/>
            <w:hideMark/>
          </w:tcPr>
          <w:p w14:paraId="173864DE" w14:textId="176B98F8" w:rsidR="00EF4161" w:rsidRPr="00EF4161" w:rsidRDefault="00EF4161" w:rsidP="00EF4161">
            <w:r w:rsidRPr="00EF4161">
              <w:t>Fife</w:t>
            </w:r>
          </w:p>
        </w:tc>
        <w:tc>
          <w:tcPr>
            <w:tcW w:w="1756" w:type="dxa"/>
            <w:noWrap/>
            <w:vAlign w:val="bottom"/>
            <w:hideMark/>
          </w:tcPr>
          <w:p w14:paraId="69825D0E" w14:textId="1E0DF039" w:rsidR="00EF4161" w:rsidRPr="00EF4161" w:rsidRDefault="00EF4161" w:rsidP="00EF4161">
            <w:r w:rsidRPr="00EF4161">
              <w:t>6.876%</w:t>
            </w:r>
          </w:p>
        </w:tc>
        <w:tc>
          <w:tcPr>
            <w:tcW w:w="1788" w:type="dxa"/>
            <w:noWrap/>
            <w:vAlign w:val="bottom"/>
            <w:hideMark/>
          </w:tcPr>
          <w:p w14:paraId="4938DC12" w14:textId="0CA22CEE" w:rsidR="00EF4161" w:rsidRPr="00EF4161" w:rsidRDefault="00EF4161" w:rsidP="00EF4161">
            <w:r w:rsidRPr="00EF4161">
              <w:t>6.876%</w:t>
            </w:r>
          </w:p>
        </w:tc>
        <w:tc>
          <w:tcPr>
            <w:tcW w:w="1740" w:type="dxa"/>
            <w:noWrap/>
            <w:vAlign w:val="bottom"/>
            <w:hideMark/>
          </w:tcPr>
          <w:p w14:paraId="255F6D4A" w14:textId="244433A5" w:rsidR="00EF4161" w:rsidRPr="00EF4161" w:rsidRDefault="00EF4161" w:rsidP="00EF4161">
            <w:r w:rsidRPr="00EF4161">
              <w:t>0.000</w:t>
            </w:r>
          </w:p>
        </w:tc>
        <w:tc>
          <w:tcPr>
            <w:tcW w:w="1741" w:type="dxa"/>
            <w:vAlign w:val="bottom"/>
          </w:tcPr>
          <w:p w14:paraId="43E15D19" w14:textId="677E07AC" w:rsidR="00221B01" w:rsidRPr="00221B01" w:rsidRDefault="00221B01" w:rsidP="00221B01">
            <w:r w:rsidRPr="00221B01">
              <w:t>0.000%</w:t>
            </w:r>
          </w:p>
        </w:tc>
      </w:tr>
      <w:tr w:rsidR="00EF4161" w:rsidRPr="00C264AC" w14:paraId="125A99DB" w14:textId="07BAA5FE" w:rsidTr="002901E2">
        <w:trPr>
          <w:trHeight w:val="288"/>
        </w:trPr>
        <w:tc>
          <w:tcPr>
            <w:tcW w:w="2263" w:type="dxa"/>
            <w:noWrap/>
            <w:vAlign w:val="bottom"/>
            <w:hideMark/>
          </w:tcPr>
          <w:p w14:paraId="1E537638" w14:textId="3CB1C1C9" w:rsidR="00EF4161" w:rsidRPr="00EF4161" w:rsidRDefault="00EF4161" w:rsidP="00EF4161">
            <w:r w:rsidRPr="00EF4161">
              <w:t>Glasgow City</w:t>
            </w:r>
          </w:p>
        </w:tc>
        <w:tc>
          <w:tcPr>
            <w:tcW w:w="1756" w:type="dxa"/>
            <w:noWrap/>
            <w:vAlign w:val="bottom"/>
            <w:hideMark/>
          </w:tcPr>
          <w:p w14:paraId="02EAFF7D" w14:textId="3DD81CE3" w:rsidR="00EF4161" w:rsidRPr="00EF4161" w:rsidRDefault="00EF4161" w:rsidP="00EF4161">
            <w:r w:rsidRPr="00EF4161">
              <w:t>11.930%</w:t>
            </w:r>
          </w:p>
        </w:tc>
        <w:tc>
          <w:tcPr>
            <w:tcW w:w="1788" w:type="dxa"/>
            <w:noWrap/>
            <w:vAlign w:val="bottom"/>
            <w:hideMark/>
          </w:tcPr>
          <w:p w14:paraId="0C581A48" w14:textId="6D22BE63" w:rsidR="00EF4161" w:rsidRPr="00EF4161" w:rsidRDefault="00EF4161" w:rsidP="00EF4161">
            <w:r w:rsidRPr="00EF4161">
              <w:t>11.931%</w:t>
            </w:r>
          </w:p>
        </w:tc>
        <w:tc>
          <w:tcPr>
            <w:tcW w:w="1740" w:type="dxa"/>
            <w:noWrap/>
            <w:vAlign w:val="bottom"/>
            <w:hideMark/>
          </w:tcPr>
          <w:p w14:paraId="2AF4F4A8" w14:textId="2DF175D6" w:rsidR="00EF4161" w:rsidRPr="00EF4161" w:rsidRDefault="00EF4161" w:rsidP="00EF4161">
            <w:r w:rsidRPr="00EF4161">
              <w:t>0.001</w:t>
            </w:r>
          </w:p>
        </w:tc>
        <w:tc>
          <w:tcPr>
            <w:tcW w:w="1741" w:type="dxa"/>
            <w:vAlign w:val="bottom"/>
          </w:tcPr>
          <w:p w14:paraId="0DEDAC25" w14:textId="23425AFA" w:rsidR="00221B01" w:rsidRPr="00221B01" w:rsidRDefault="00221B01" w:rsidP="00221B01">
            <w:r w:rsidRPr="00221B01">
              <w:t>0.010%</w:t>
            </w:r>
          </w:p>
        </w:tc>
      </w:tr>
      <w:tr w:rsidR="00EF4161" w:rsidRPr="00C264AC" w14:paraId="6F971D31" w14:textId="5F2FEEE6" w:rsidTr="002901E2">
        <w:trPr>
          <w:trHeight w:val="288"/>
        </w:trPr>
        <w:tc>
          <w:tcPr>
            <w:tcW w:w="2263" w:type="dxa"/>
            <w:noWrap/>
            <w:vAlign w:val="bottom"/>
            <w:hideMark/>
          </w:tcPr>
          <w:p w14:paraId="38CD2011" w14:textId="40AD9A8E" w:rsidR="00EF4161" w:rsidRPr="00EF4161" w:rsidRDefault="00EF4161" w:rsidP="00EF4161">
            <w:r w:rsidRPr="00EF4161">
              <w:t>Highland</w:t>
            </w:r>
          </w:p>
        </w:tc>
        <w:tc>
          <w:tcPr>
            <w:tcW w:w="1756" w:type="dxa"/>
            <w:noWrap/>
            <w:vAlign w:val="bottom"/>
            <w:hideMark/>
          </w:tcPr>
          <w:p w14:paraId="30540288" w14:textId="62B933A0" w:rsidR="00EF4161" w:rsidRPr="00EF4161" w:rsidRDefault="00EF4161" w:rsidP="00EF4161">
            <w:r w:rsidRPr="00EF4161">
              <w:t>4.722%</w:t>
            </w:r>
          </w:p>
        </w:tc>
        <w:tc>
          <w:tcPr>
            <w:tcW w:w="1788" w:type="dxa"/>
            <w:noWrap/>
            <w:vAlign w:val="bottom"/>
            <w:hideMark/>
          </w:tcPr>
          <w:p w14:paraId="21F1EF2E" w14:textId="3EE54E80" w:rsidR="00EF4161" w:rsidRPr="00EF4161" w:rsidRDefault="00EF4161" w:rsidP="00EF4161">
            <w:r w:rsidRPr="00EF4161">
              <w:t>4.724%</w:t>
            </w:r>
          </w:p>
        </w:tc>
        <w:tc>
          <w:tcPr>
            <w:tcW w:w="1740" w:type="dxa"/>
            <w:noWrap/>
            <w:vAlign w:val="bottom"/>
            <w:hideMark/>
          </w:tcPr>
          <w:p w14:paraId="59716E08" w14:textId="13FA9363" w:rsidR="00EF4161" w:rsidRPr="00EF4161" w:rsidRDefault="00EF4161" w:rsidP="00EF4161">
            <w:r w:rsidRPr="00EF4161">
              <w:t>0.002</w:t>
            </w:r>
          </w:p>
        </w:tc>
        <w:tc>
          <w:tcPr>
            <w:tcW w:w="1741" w:type="dxa"/>
            <w:vAlign w:val="bottom"/>
          </w:tcPr>
          <w:p w14:paraId="4ABCFE8A" w14:textId="0EF4F1A5" w:rsidR="00221B01" w:rsidRPr="00221B01" w:rsidRDefault="00221B01" w:rsidP="00221B01">
            <w:r w:rsidRPr="00221B01">
              <w:t>0.033%</w:t>
            </w:r>
          </w:p>
        </w:tc>
      </w:tr>
      <w:tr w:rsidR="00EF4161" w:rsidRPr="00C264AC" w14:paraId="474E5601" w14:textId="5F6010A7" w:rsidTr="002901E2">
        <w:trPr>
          <w:trHeight w:val="288"/>
        </w:trPr>
        <w:tc>
          <w:tcPr>
            <w:tcW w:w="2263" w:type="dxa"/>
            <w:noWrap/>
            <w:vAlign w:val="bottom"/>
            <w:hideMark/>
          </w:tcPr>
          <w:p w14:paraId="1347DD69" w14:textId="675E60D8" w:rsidR="00EF4161" w:rsidRPr="00EF4161" w:rsidRDefault="00EF4161" w:rsidP="00EF4161">
            <w:r w:rsidRPr="00EF4161">
              <w:t>Inverclyde</w:t>
            </w:r>
          </w:p>
        </w:tc>
        <w:tc>
          <w:tcPr>
            <w:tcW w:w="1756" w:type="dxa"/>
            <w:noWrap/>
            <w:vAlign w:val="bottom"/>
            <w:hideMark/>
          </w:tcPr>
          <w:p w14:paraId="4705BB51" w14:textId="2BB787DB" w:rsidR="00EF4161" w:rsidRPr="00EF4161" w:rsidRDefault="00EF4161" w:rsidP="00EF4161">
            <w:r w:rsidRPr="00EF4161">
              <w:t>1.585%</w:t>
            </w:r>
          </w:p>
        </w:tc>
        <w:tc>
          <w:tcPr>
            <w:tcW w:w="1788" w:type="dxa"/>
            <w:noWrap/>
            <w:vAlign w:val="bottom"/>
            <w:hideMark/>
          </w:tcPr>
          <w:p w14:paraId="41EFF8C7" w14:textId="4D1B55C0" w:rsidR="00EF4161" w:rsidRPr="00EF4161" w:rsidRDefault="00EF4161" w:rsidP="00EF4161">
            <w:r w:rsidRPr="00EF4161">
              <w:t>1.584%</w:t>
            </w:r>
          </w:p>
        </w:tc>
        <w:tc>
          <w:tcPr>
            <w:tcW w:w="1740" w:type="dxa"/>
            <w:noWrap/>
            <w:vAlign w:val="bottom"/>
            <w:hideMark/>
          </w:tcPr>
          <w:p w14:paraId="2E27C8C7" w14:textId="4D0CB041" w:rsidR="00EF4161" w:rsidRPr="00EF4161" w:rsidRDefault="00EF4161" w:rsidP="00EF4161">
            <w:r w:rsidRPr="00EF4161">
              <w:t>0.000</w:t>
            </w:r>
          </w:p>
        </w:tc>
        <w:tc>
          <w:tcPr>
            <w:tcW w:w="1741" w:type="dxa"/>
            <w:vAlign w:val="bottom"/>
          </w:tcPr>
          <w:p w14:paraId="498883D3" w14:textId="7AD29B74" w:rsidR="00221B01" w:rsidRPr="00221B01" w:rsidRDefault="00221B01" w:rsidP="00221B01">
            <w:r w:rsidRPr="00221B01">
              <w:t>-0.007%</w:t>
            </w:r>
          </w:p>
        </w:tc>
      </w:tr>
      <w:tr w:rsidR="00EF4161" w:rsidRPr="00C264AC" w14:paraId="49C15924" w14:textId="56E70C54" w:rsidTr="002901E2">
        <w:trPr>
          <w:trHeight w:val="288"/>
        </w:trPr>
        <w:tc>
          <w:tcPr>
            <w:tcW w:w="2263" w:type="dxa"/>
            <w:noWrap/>
            <w:vAlign w:val="bottom"/>
            <w:hideMark/>
          </w:tcPr>
          <w:p w14:paraId="23464ACB" w14:textId="0A1DFBD6" w:rsidR="00EF4161" w:rsidRPr="00EF4161" w:rsidRDefault="00EF4161" w:rsidP="00EF4161">
            <w:r w:rsidRPr="00EF4161">
              <w:t>Midlothian</w:t>
            </w:r>
          </w:p>
        </w:tc>
        <w:tc>
          <w:tcPr>
            <w:tcW w:w="1756" w:type="dxa"/>
            <w:noWrap/>
            <w:vAlign w:val="bottom"/>
            <w:hideMark/>
          </w:tcPr>
          <w:p w14:paraId="5AB00CD6" w14:textId="7B3E79AE" w:rsidR="00EF4161" w:rsidRPr="00EF4161" w:rsidRDefault="00EF4161" w:rsidP="00EF4161">
            <w:r w:rsidRPr="00EF4161">
              <w:t>1.653%</w:t>
            </w:r>
          </w:p>
        </w:tc>
        <w:tc>
          <w:tcPr>
            <w:tcW w:w="1788" w:type="dxa"/>
            <w:noWrap/>
            <w:vAlign w:val="bottom"/>
            <w:hideMark/>
          </w:tcPr>
          <w:p w14:paraId="2EE94556" w14:textId="70461375" w:rsidR="00EF4161" w:rsidRPr="00EF4161" w:rsidRDefault="00EF4161" w:rsidP="00EF4161">
            <w:r w:rsidRPr="00EF4161">
              <w:t>1.653%</w:t>
            </w:r>
          </w:p>
        </w:tc>
        <w:tc>
          <w:tcPr>
            <w:tcW w:w="1740" w:type="dxa"/>
            <w:noWrap/>
            <w:vAlign w:val="bottom"/>
            <w:hideMark/>
          </w:tcPr>
          <w:p w14:paraId="4615B4AE" w14:textId="0CB4ED81" w:rsidR="00EF4161" w:rsidRPr="00EF4161" w:rsidRDefault="00EF4161" w:rsidP="00EF4161">
            <w:r w:rsidRPr="00EF4161">
              <w:t>0.000</w:t>
            </w:r>
          </w:p>
        </w:tc>
        <w:tc>
          <w:tcPr>
            <w:tcW w:w="1741" w:type="dxa"/>
            <w:vAlign w:val="bottom"/>
          </w:tcPr>
          <w:p w14:paraId="2D47B9D6" w14:textId="14081847" w:rsidR="00221B01" w:rsidRPr="00221B01" w:rsidRDefault="00221B01" w:rsidP="00221B01">
            <w:r w:rsidRPr="00221B01">
              <w:t>0.014%</w:t>
            </w:r>
          </w:p>
        </w:tc>
      </w:tr>
      <w:tr w:rsidR="00EF4161" w:rsidRPr="00C264AC" w14:paraId="0BD3C3F0" w14:textId="03EF89E3" w:rsidTr="002901E2">
        <w:trPr>
          <w:trHeight w:val="288"/>
        </w:trPr>
        <w:tc>
          <w:tcPr>
            <w:tcW w:w="2263" w:type="dxa"/>
            <w:noWrap/>
            <w:vAlign w:val="bottom"/>
            <w:hideMark/>
          </w:tcPr>
          <w:p w14:paraId="1985A36E" w14:textId="0474E86B" w:rsidR="00EF4161" w:rsidRPr="00EF4161" w:rsidRDefault="00EF4161" w:rsidP="00EF4161">
            <w:r w:rsidRPr="00EF4161">
              <w:t>Moray</w:t>
            </w:r>
          </w:p>
        </w:tc>
        <w:tc>
          <w:tcPr>
            <w:tcW w:w="1756" w:type="dxa"/>
            <w:noWrap/>
            <w:vAlign w:val="bottom"/>
            <w:hideMark/>
          </w:tcPr>
          <w:p w14:paraId="36DB7546" w14:textId="1CBBBC14" w:rsidR="00EF4161" w:rsidRPr="00EF4161" w:rsidRDefault="00EF4161" w:rsidP="00EF4161">
            <w:r w:rsidRPr="00EF4161">
              <w:t>1.736%</w:t>
            </w:r>
          </w:p>
        </w:tc>
        <w:tc>
          <w:tcPr>
            <w:tcW w:w="1788" w:type="dxa"/>
            <w:noWrap/>
            <w:vAlign w:val="bottom"/>
            <w:hideMark/>
          </w:tcPr>
          <w:p w14:paraId="1C2ECEC1" w14:textId="3519270E" w:rsidR="00EF4161" w:rsidRPr="00EF4161" w:rsidRDefault="00EF4161" w:rsidP="00EF4161">
            <w:r w:rsidRPr="00EF4161">
              <w:t>1.737%</w:t>
            </w:r>
          </w:p>
        </w:tc>
        <w:tc>
          <w:tcPr>
            <w:tcW w:w="1740" w:type="dxa"/>
            <w:noWrap/>
            <w:vAlign w:val="bottom"/>
            <w:hideMark/>
          </w:tcPr>
          <w:p w14:paraId="4ABE912A" w14:textId="7F9F8699" w:rsidR="00EF4161" w:rsidRPr="00EF4161" w:rsidRDefault="00EF4161" w:rsidP="00EF4161">
            <w:r w:rsidRPr="00EF4161">
              <w:t>0.001</w:t>
            </w:r>
          </w:p>
        </w:tc>
        <w:tc>
          <w:tcPr>
            <w:tcW w:w="1741" w:type="dxa"/>
            <w:vAlign w:val="bottom"/>
          </w:tcPr>
          <w:p w14:paraId="0BB94E96" w14:textId="25FB9EA2" w:rsidR="00221B01" w:rsidRPr="00221B01" w:rsidRDefault="00221B01" w:rsidP="00221B01">
            <w:r w:rsidRPr="00221B01">
              <w:t>0.056%</w:t>
            </w:r>
          </w:p>
        </w:tc>
      </w:tr>
      <w:tr w:rsidR="00EF4161" w:rsidRPr="00C264AC" w14:paraId="113E6CFC" w14:textId="78E951AD" w:rsidTr="002901E2">
        <w:trPr>
          <w:trHeight w:val="288"/>
        </w:trPr>
        <w:tc>
          <w:tcPr>
            <w:tcW w:w="2263" w:type="dxa"/>
            <w:noWrap/>
            <w:vAlign w:val="bottom"/>
            <w:hideMark/>
          </w:tcPr>
          <w:p w14:paraId="56109332" w14:textId="70D2DA67" w:rsidR="00EF4161" w:rsidRPr="00EF4161" w:rsidRDefault="00EF4161" w:rsidP="00EF4161">
            <w:r w:rsidRPr="00EF4161">
              <w:t>North Ayrshire</w:t>
            </w:r>
          </w:p>
        </w:tc>
        <w:tc>
          <w:tcPr>
            <w:tcW w:w="1756" w:type="dxa"/>
            <w:noWrap/>
            <w:vAlign w:val="bottom"/>
            <w:hideMark/>
          </w:tcPr>
          <w:p w14:paraId="54EBCA2B" w14:textId="1338A519" w:rsidR="00EF4161" w:rsidRPr="00EF4161" w:rsidRDefault="00EF4161" w:rsidP="00EF4161">
            <w:r w:rsidRPr="00EF4161">
              <w:t>2.683%</w:t>
            </w:r>
          </w:p>
        </w:tc>
        <w:tc>
          <w:tcPr>
            <w:tcW w:w="1788" w:type="dxa"/>
            <w:noWrap/>
            <w:vAlign w:val="bottom"/>
            <w:hideMark/>
          </w:tcPr>
          <w:p w14:paraId="74B7A7C3" w14:textId="6726C18A" w:rsidR="00EF4161" w:rsidRPr="00EF4161" w:rsidRDefault="00EF4161" w:rsidP="00EF4161">
            <w:r w:rsidRPr="00EF4161">
              <w:t>2.681%</w:t>
            </w:r>
          </w:p>
        </w:tc>
        <w:tc>
          <w:tcPr>
            <w:tcW w:w="1740" w:type="dxa"/>
            <w:noWrap/>
            <w:vAlign w:val="bottom"/>
            <w:hideMark/>
          </w:tcPr>
          <w:p w14:paraId="44ABE35E" w14:textId="0C17D651" w:rsidR="00EF4161" w:rsidRPr="00EF4161" w:rsidRDefault="00EF4161" w:rsidP="00EF4161">
            <w:r w:rsidRPr="00EF4161">
              <w:t>-0.002</w:t>
            </w:r>
          </w:p>
        </w:tc>
        <w:tc>
          <w:tcPr>
            <w:tcW w:w="1741" w:type="dxa"/>
            <w:vAlign w:val="bottom"/>
          </w:tcPr>
          <w:p w14:paraId="4ECC1FB4" w14:textId="0985AA7C" w:rsidR="00221B01" w:rsidRPr="00221B01" w:rsidRDefault="00221B01" w:rsidP="00221B01">
            <w:r w:rsidRPr="00221B01">
              <w:t>-0.067%</w:t>
            </w:r>
          </w:p>
        </w:tc>
      </w:tr>
      <w:tr w:rsidR="00EF4161" w:rsidRPr="00C264AC" w14:paraId="04AE01BF" w14:textId="1553F167" w:rsidTr="002901E2">
        <w:trPr>
          <w:trHeight w:val="288"/>
        </w:trPr>
        <w:tc>
          <w:tcPr>
            <w:tcW w:w="2263" w:type="dxa"/>
            <w:noWrap/>
            <w:vAlign w:val="bottom"/>
            <w:hideMark/>
          </w:tcPr>
          <w:p w14:paraId="22E7BF3D" w14:textId="193521C2" w:rsidR="00EF4161" w:rsidRPr="00EF4161" w:rsidRDefault="00EF4161" w:rsidP="00EF4161">
            <w:r w:rsidRPr="00EF4161">
              <w:t>North Lanarkshire</w:t>
            </w:r>
          </w:p>
        </w:tc>
        <w:tc>
          <w:tcPr>
            <w:tcW w:w="1756" w:type="dxa"/>
            <w:noWrap/>
            <w:vAlign w:val="bottom"/>
            <w:hideMark/>
          </w:tcPr>
          <w:p w14:paraId="2FA049C6" w14:textId="529E1A8F" w:rsidR="00EF4161" w:rsidRPr="00EF4161" w:rsidRDefault="00EF4161" w:rsidP="00EF4161">
            <w:r w:rsidRPr="00EF4161">
              <w:t>6.378%</w:t>
            </w:r>
          </w:p>
        </w:tc>
        <w:tc>
          <w:tcPr>
            <w:tcW w:w="1788" w:type="dxa"/>
            <w:noWrap/>
            <w:vAlign w:val="bottom"/>
            <w:hideMark/>
          </w:tcPr>
          <w:p w14:paraId="333AF6C4" w14:textId="0A356F4B" w:rsidR="00EF4161" w:rsidRPr="00EF4161" w:rsidRDefault="00EF4161" w:rsidP="00EF4161">
            <w:r w:rsidRPr="00EF4161">
              <w:t>6.376%</w:t>
            </w:r>
          </w:p>
        </w:tc>
        <w:tc>
          <w:tcPr>
            <w:tcW w:w="1740" w:type="dxa"/>
            <w:noWrap/>
            <w:vAlign w:val="bottom"/>
            <w:hideMark/>
          </w:tcPr>
          <w:p w14:paraId="78197BC4" w14:textId="4681D77A" w:rsidR="00EF4161" w:rsidRPr="00EF4161" w:rsidRDefault="00EF4161" w:rsidP="00EF4161">
            <w:r w:rsidRPr="00EF4161">
              <w:t>-0.002</w:t>
            </w:r>
          </w:p>
        </w:tc>
        <w:tc>
          <w:tcPr>
            <w:tcW w:w="1741" w:type="dxa"/>
            <w:vAlign w:val="bottom"/>
          </w:tcPr>
          <w:p w14:paraId="42EF4C73" w14:textId="7E343A62" w:rsidR="00221B01" w:rsidRPr="00221B01" w:rsidRDefault="00221B01" w:rsidP="00221B01">
            <w:r w:rsidRPr="00221B01">
              <w:t>-0.033%</w:t>
            </w:r>
          </w:p>
        </w:tc>
      </w:tr>
      <w:tr w:rsidR="00EF4161" w:rsidRPr="00C264AC" w14:paraId="79860EB4" w14:textId="6797F873" w:rsidTr="002901E2">
        <w:trPr>
          <w:trHeight w:val="288"/>
        </w:trPr>
        <w:tc>
          <w:tcPr>
            <w:tcW w:w="2263" w:type="dxa"/>
            <w:noWrap/>
            <w:vAlign w:val="bottom"/>
            <w:hideMark/>
          </w:tcPr>
          <w:p w14:paraId="2285B376" w14:textId="7C69892F" w:rsidR="00EF4161" w:rsidRPr="00EF4161" w:rsidRDefault="00EF4161" w:rsidP="00EF4161">
            <w:r w:rsidRPr="00EF4161">
              <w:t>Orkney Islands</w:t>
            </w:r>
          </w:p>
        </w:tc>
        <w:tc>
          <w:tcPr>
            <w:tcW w:w="1756" w:type="dxa"/>
            <w:noWrap/>
            <w:vAlign w:val="bottom"/>
            <w:hideMark/>
          </w:tcPr>
          <w:p w14:paraId="7E427CBF" w14:textId="383D0569" w:rsidR="00EF4161" w:rsidRPr="00EF4161" w:rsidRDefault="00EF4161" w:rsidP="00EF4161">
            <w:r w:rsidRPr="00EF4161">
              <w:t>0.508%</w:t>
            </w:r>
          </w:p>
        </w:tc>
        <w:tc>
          <w:tcPr>
            <w:tcW w:w="1788" w:type="dxa"/>
            <w:noWrap/>
            <w:vAlign w:val="bottom"/>
            <w:hideMark/>
          </w:tcPr>
          <w:p w14:paraId="57B8A525" w14:textId="1F8F42C7" w:rsidR="00EF4161" w:rsidRPr="00EF4161" w:rsidRDefault="00EF4161" w:rsidP="00EF4161">
            <w:r w:rsidRPr="00EF4161">
              <w:t>0.508%</w:t>
            </w:r>
          </w:p>
        </w:tc>
        <w:tc>
          <w:tcPr>
            <w:tcW w:w="1740" w:type="dxa"/>
            <w:noWrap/>
            <w:vAlign w:val="bottom"/>
            <w:hideMark/>
          </w:tcPr>
          <w:p w14:paraId="61A45CB9" w14:textId="13B4AD0D" w:rsidR="00EF4161" w:rsidRPr="00EF4161" w:rsidRDefault="00EF4161" w:rsidP="00EF4161">
            <w:r w:rsidRPr="00EF4161">
              <w:t>0.000</w:t>
            </w:r>
          </w:p>
        </w:tc>
        <w:tc>
          <w:tcPr>
            <w:tcW w:w="1741" w:type="dxa"/>
            <w:vAlign w:val="bottom"/>
          </w:tcPr>
          <w:p w14:paraId="444D47DA" w14:textId="155F8066" w:rsidR="00221B01" w:rsidRPr="00221B01" w:rsidRDefault="00221B01" w:rsidP="00221B01">
            <w:r w:rsidRPr="00221B01">
              <w:t>0.000%</w:t>
            </w:r>
          </w:p>
        </w:tc>
      </w:tr>
      <w:tr w:rsidR="00EF4161" w:rsidRPr="00C264AC" w14:paraId="4AA6D2C3" w14:textId="15320683" w:rsidTr="002901E2">
        <w:trPr>
          <w:trHeight w:val="288"/>
        </w:trPr>
        <w:tc>
          <w:tcPr>
            <w:tcW w:w="2263" w:type="dxa"/>
            <w:noWrap/>
            <w:vAlign w:val="bottom"/>
            <w:hideMark/>
          </w:tcPr>
          <w:p w14:paraId="26EF0601" w14:textId="692BB12A" w:rsidR="00EF4161" w:rsidRPr="00EF4161" w:rsidRDefault="00EF4161" w:rsidP="00EF4161">
            <w:r w:rsidRPr="00EF4161">
              <w:t>Perth and Kinross</w:t>
            </w:r>
          </w:p>
        </w:tc>
        <w:tc>
          <w:tcPr>
            <w:tcW w:w="1756" w:type="dxa"/>
            <w:noWrap/>
            <w:vAlign w:val="bottom"/>
            <w:hideMark/>
          </w:tcPr>
          <w:p w14:paraId="3AC61C85" w14:textId="3166223D" w:rsidR="00EF4161" w:rsidRPr="00EF4161" w:rsidRDefault="00EF4161" w:rsidP="00EF4161">
            <w:r w:rsidRPr="00EF4161">
              <w:t>2.789%</w:t>
            </w:r>
          </w:p>
        </w:tc>
        <w:tc>
          <w:tcPr>
            <w:tcW w:w="1788" w:type="dxa"/>
            <w:noWrap/>
            <w:vAlign w:val="bottom"/>
            <w:hideMark/>
          </w:tcPr>
          <w:p w14:paraId="5D40F115" w14:textId="444AE6B3" w:rsidR="00EF4161" w:rsidRPr="00EF4161" w:rsidRDefault="00EF4161" w:rsidP="00EF4161">
            <w:r w:rsidRPr="00EF4161">
              <w:t>2.793%</w:t>
            </w:r>
          </w:p>
        </w:tc>
        <w:tc>
          <w:tcPr>
            <w:tcW w:w="1740" w:type="dxa"/>
            <w:noWrap/>
            <w:vAlign w:val="bottom"/>
            <w:hideMark/>
          </w:tcPr>
          <w:p w14:paraId="1F6D9982" w14:textId="5DF62843" w:rsidR="00EF4161" w:rsidRPr="00EF4161" w:rsidRDefault="00EF4161" w:rsidP="00EF4161">
            <w:r w:rsidRPr="00EF4161">
              <w:t>0.003</w:t>
            </w:r>
          </w:p>
        </w:tc>
        <w:tc>
          <w:tcPr>
            <w:tcW w:w="1741" w:type="dxa"/>
            <w:vAlign w:val="bottom"/>
          </w:tcPr>
          <w:p w14:paraId="162B29A4" w14:textId="4773802F" w:rsidR="00221B01" w:rsidRPr="00221B01" w:rsidRDefault="00221B01" w:rsidP="00221B01">
            <w:r w:rsidRPr="00221B01">
              <w:t>0.125%</w:t>
            </w:r>
          </w:p>
        </w:tc>
      </w:tr>
      <w:tr w:rsidR="00EF4161" w:rsidRPr="00C264AC" w14:paraId="5EA6AE9F" w14:textId="4AB6D5CF" w:rsidTr="002901E2">
        <w:trPr>
          <w:trHeight w:val="288"/>
        </w:trPr>
        <w:tc>
          <w:tcPr>
            <w:tcW w:w="2263" w:type="dxa"/>
            <w:noWrap/>
            <w:vAlign w:val="bottom"/>
            <w:hideMark/>
          </w:tcPr>
          <w:p w14:paraId="7CF06811" w14:textId="4614E3CC" w:rsidR="00EF4161" w:rsidRPr="00EF4161" w:rsidRDefault="00EF4161" w:rsidP="00EF4161">
            <w:r w:rsidRPr="00EF4161">
              <w:t>Renfrewshire</w:t>
            </w:r>
          </w:p>
        </w:tc>
        <w:tc>
          <w:tcPr>
            <w:tcW w:w="1756" w:type="dxa"/>
            <w:noWrap/>
            <w:vAlign w:val="bottom"/>
            <w:hideMark/>
          </w:tcPr>
          <w:p w14:paraId="2DD53D3A" w14:textId="3C96C1C6" w:rsidR="00EF4161" w:rsidRPr="00EF4161" w:rsidRDefault="00EF4161" w:rsidP="00EF4161">
            <w:r w:rsidRPr="00EF4161">
              <w:t>3.386%</w:t>
            </w:r>
          </w:p>
        </w:tc>
        <w:tc>
          <w:tcPr>
            <w:tcW w:w="1788" w:type="dxa"/>
            <w:noWrap/>
            <w:vAlign w:val="bottom"/>
            <w:hideMark/>
          </w:tcPr>
          <w:p w14:paraId="689AA705" w14:textId="288861FB" w:rsidR="00EF4161" w:rsidRPr="00EF4161" w:rsidRDefault="00EF4161" w:rsidP="00EF4161">
            <w:r w:rsidRPr="00EF4161">
              <w:t>3.385%</w:t>
            </w:r>
          </w:p>
        </w:tc>
        <w:tc>
          <w:tcPr>
            <w:tcW w:w="1740" w:type="dxa"/>
            <w:noWrap/>
            <w:vAlign w:val="bottom"/>
            <w:hideMark/>
          </w:tcPr>
          <w:p w14:paraId="10065990" w14:textId="57CA4960" w:rsidR="00EF4161" w:rsidRPr="00EF4161" w:rsidRDefault="00EF4161" w:rsidP="00EF4161">
            <w:r w:rsidRPr="00EF4161">
              <w:t>-0.001</w:t>
            </w:r>
          </w:p>
        </w:tc>
        <w:tc>
          <w:tcPr>
            <w:tcW w:w="1741" w:type="dxa"/>
            <w:vAlign w:val="bottom"/>
          </w:tcPr>
          <w:p w14:paraId="44ABBEFD" w14:textId="066DBA13" w:rsidR="00221B01" w:rsidRPr="00221B01" w:rsidRDefault="00221B01" w:rsidP="00221B01">
            <w:r w:rsidRPr="00221B01">
              <w:t>-0.033%</w:t>
            </w:r>
          </w:p>
        </w:tc>
      </w:tr>
      <w:tr w:rsidR="00EF4161" w:rsidRPr="00C264AC" w14:paraId="031DA7C0" w14:textId="0801A8E8" w:rsidTr="002901E2">
        <w:trPr>
          <w:trHeight w:val="288"/>
        </w:trPr>
        <w:tc>
          <w:tcPr>
            <w:tcW w:w="2263" w:type="dxa"/>
            <w:noWrap/>
            <w:vAlign w:val="bottom"/>
            <w:hideMark/>
          </w:tcPr>
          <w:p w14:paraId="3B85E447" w14:textId="14808FB6" w:rsidR="00EF4161" w:rsidRPr="00EF4161" w:rsidRDefault="00EF4161" w:rsidP="00EF4161">
            <w:r w:rsidRPr="00EF4161">
              <w:t>Scottish Borders</w:t>
            </w:r>
          </w:p>
        </w:tc>
        <w:tc>
          <w:tcPr>
            <w:tcW w:w="1756" w:type="dxa"/>
            <w:noWrap/>
            <w:vAlign w:val="bottom"/>
            <w:hideMark/>
          </w:tcPr>
          <w:p w14:paraId="1A933B75" w14:textId="1F2A4677" w:rsidR="00EF4161" w:rsidRPr="00EF4161" w:rsidRDefault="00EF4161" w:rsidP="00EF4161">
            <w:r w:rsidRPr="00EF4161">
              <w:t>2.158%</w:t>
            </w:r>
          </w:p>
        </w:tc>
        <w:tc>
          <w:tcPr>
            <w:tcW w:w="1788" w:type="dxa"/>
            <w:noWrap/>
            <w:vAlign w:val="bottom"/>
            <w:hideMark/>
          </w:tcPr>
          <w:p w14:paraId="1D5CABCE" w14:textId="67BE135C" w:rsidR="00EF4161" w:rsidRPr="00EF4161" w:rsidRDefault="00EF4161" w:rsidP="00EF4161">
            <w:r w:rsidRPr="00EF4161">
              <w:t>2.158%</w:t>
            </w:r>
          </w:p>
        </w:tc>
        <w:tc>
          <w:tcPr>
            <w:tcW w:w="1740" w:type="dxa"/>
            <w:noWrap/>
            <w:vAlign w:val="bottom"/>
            <w:hideMark/>
          </w:tcPr>
          <w:p w14:paraId="0737CF70" w14:textId="611F7122" w:rsidR="00EF4161" w:rsidRPr="00EF4161" w:rsidRDefault="00EF4161" w:rsidP="00EF4161">
            <w:r w:rsidRPr="00EF4161">
              <w:t>0.000</w:t>
            </w:r>
          </w:p>
        </w:tc>
        <w:tc>
          <w:tcPr>
            <w:tcW w:w="1741" w:type="dxa"/>
            <w:vAlign w:val="bottom"/>
          </w:tcPr>
          <w:p w14:paraId="22151A60" w14:textId="0E441A8C" w:rsidR="00221B01" w:rsidRPr="00221B01" w:rsidRDefault="00221B01" w:rsidP="00221B01">
            <w:r w:rsidRPr="00221B01">
              <w:t>0.000%</w:t>
            </w:r>
          </w:p>
        </w:tc>
      </w:tr>
      <w:tr w:rsidR="00EF4161" w:rsidRPr="00C264AC" w14:paraId="03EB1396" w14:textId="0B88455F" w:rsidTr="002901E2">
        <w:trPr>
          <w:trHeight w:val="288"/>
        </w:trPr>
        <w:tc>
          <w:tcPr>
            <w:tcW w:w="2263" w:type="dxa"/>
            <w:noWrap/>
            <w:vAlign w:val="bottom"/>
            <w:hideMark/>
          </w:tcPr>
          <w:p w14:paraId="23B91CBC" w14:textId="550589BC" w:rsidR="00EF4161" w:rsidRPr="00EF4161" w:rsidRDefault="00EF4161" w:rsidP="00EF4161">
            <w:r w:rsidRPr="00EF4161">
              <w:t>Shetland Islands</w:t>
            </w:r>
          </w:p>
        </w:tc>
        <w:tc>
          <w:tcPr>
            <w:tcW w:w="1756" w:type="dxa"/>
            <w:noWrap/>
            <w:vAlign w:val="bottom"/>
            <w:hideMark/>
          </w:tcPr>
          <w:p w14:paraId="0F9023AE" w14:textId="1FFB9CA3" w:rsidR="00EF4161" w:rsidRPr="00EF4161" w:rsidRDefault="00EF4161" w:rsidP="00EF4161">
            <w:r w:rsidRPr="00EF4161">
              <w:t>0.480%</w:t>
            </w:r>
          </w:p>
        </w:tc>
        <w:tc>
          <w:tcPr>
            <w:tcW w:w="1788" w:type="dxa"/>
            <w:noWrap/>
            <w:vAlign w:val="bottom"/>
            <w:hideMark/>
          </w:tcPr>
          <w:p w14:paraId="27B58A5A" w14:textId="3F7BF8AF" w:rsidR="00EF4161" w:rsidRPr="00EF4161" w:rsidRDefault="00EF4161" w:rsidP="00EF4161">
            <w:r w:rsidRPr="00EF4161">
              <w:t>0.480%</w:t>
            </w:r>
          </w:p>
        </w:tc>
        <w:tc>
          <w:tcPr>
            <w:tcW w:w="1740" w:type="dxa"/>
            <w:noWrap/>
            <w:vAlign w:val="bottom"/>
            <w:hideMark/>
          </w:tcPr>
          <w:p w14:paraId="7A8964C0" w14:textId="2D689DD8" w:rsidR="00EF4161" w:rsidRPr="00EF4161" w:rsidRDefault="00EF4161" w:rsidP="00EF4161">
            <w:r w:rsidRPr="00EF4161">
              <w:t>0.000</w:t>
            </w:r>
          </w:p>
        </w:tc>
        <w:tc>
          <w:tcPr>
            <w:tcW w:w="1741" w:type="dxa"/>
            <w:vAlign w:val="bottom"/>
          </w:tcPr>
          <w:p w14:paraId="643D2FB2" w14:textId="217C2510" w:rsidR="00221B01" w:rsidRPr="00221B01" w:rsidRDefault="00221B01" w:rsidP="00221B01">
            <w:r w:rsidRPr="00221B01">
              <w:t>0.000%</w:t>
            </w:r>
          </w:p>
        </w:tc>
      </w:tr>
      <w:tr w:rsidR="00EF4161" w:rsidRPr="00C264AC" w14:paraId="1CC7573E" w14:textId="23DA046C" w:rsidTr="002901E2">
        <w:trPr>
          <w:trHeight w:val="288"/>
        </w:trPr>
        <w:tc>
          <w:tcPr>
            <w:tcW w:w="2263" w:type="dxa"/>
            <w:noWrap/>
            <w:vAlign w:val="bottom"/>
            <w:hideMark/>
          </w:tcPr>
          <w:p w14:paraId="6C5B2274" w14:textId="3BDA361F" w:rsidR="00EF4161" w:rsidRPr="00EF4161" w:rsidRDefault="00EF4161" w:rsidP="00EF4161">
            <w:r w:rsidRPr="00EF4161">
              <w:t>South Ayrshire</w:t>
            </w:r>
          </w:p>
        </w:tc>
        <w:tc>
          <w:tcPr>
            <w:tcW w:w="1756" w:type="dxa"/>
            <w:noWrap/>
            <w:vAlign w:val="bottom"/>
            <w:hideMark/>
          </w:tcPr>
          <w:p w14:paraId="7F45A87C" w14:textId="6B8F3F15" w:rsidR="00EF4161" w:rsidRPr="00EF4161" w:rsidRDefault="00EF4161" w:rsidP="00EF4161">
            <w:r w:rsidRPr="00EF4161">
              <w:t>2.236%</w:t>
            </w:r>
          </w:p>
        </w:tc>
        <w:tc>
          <w:tcPr>
            <w:tcW w:w="1788" w:type="dxa"/>
            <w:noWrap/>
            <w:vAlign w:val="bottom"/>
            <w:hideMark/>
          </w:tcPr>
          <w:p w14:paraId="2E5D9010" w14:textId="06819ECF" w:rsidR="00EF4161" w:rsidRPr="00EF4161" w:rsidRDefault="00EF4161" w:rsidP="00EF4161">
            <w:r w:rsidRPr="00EF4161">
              <w:t>2.235%</w:t>
            </w:r>
          </w:p>
        </w:tc>
        <w:tc>
          <w:tcPr>
            <w:tcW w:w="1740" w:type="dxa"/>
            <w:noWrap/>
            <w:vAlign w:val="bottom"/>
            <w:hideMark/>
          </w:tcPr>
          <w:p w14:paraId="566C88C2" w14:textId="273C5F17" w:rsidR="00EF4161" w:rsidRPr="00EF4161" w:rsidRDefault="00EF4161" w:rsidP="00EF4161">
            <w:r w:rsidRPr="00EF4161">
              <w:t>0.000</w:t>
            </w:r>
          </w:p>
        </w:tc>
        <w:tc>
          <w:tcPr>
            <w:tcW w:w="1741" w:type="dxa"/>
            <w:vAlign w:val="bottom"/>
          </w:tcPr>
          <w:p w14:paraId="416395DE" w14:textId="5218BB1D" w:rsidR="00221B01" w:rsidRPr="00221B01" w:rsidRDefault="00221B01" w:rsidP="00221B01">
            <w:r w:rsidRPr="00221B01">
              <w:t>-0.022%</w:t>
            </w:r>
          </w:p>
        </w:tc>
      </w:tr>
      <w:tr w:rsidR="00EF4161" w:rsidRPr="00C264AC" w14:paraId="4B72B17E" w14:textId="37F288D3" w:rsidTr="002901E2">
        <w:trPr>
          <w:trHeight w:val="288"/>
        </w:trPr>
        <w:tc>
          <w:tcPr>
            <w:tcW w:w="2263" w:type="dxa"/>
            <w:noWrap/>
            <w:vAlign w:val="bottom"/>
            <w:hideMark/>
          </w:tcPr>
          <w:p w14:paraId="266A940E" w14:textId="3ADE4A6F" w:rsidR="00EF4161" w:rsidRPr="00EF4161" w:rsidRDefault="00EF4161" w:rsidP="00EF4161">
            <w:r w:rsidRPr="00EF4161">
              <w:t>South Lanarkshire</w:t>
            </w:r>
          </w:p>
        </w:tc>
        <w:tc>
          <w:tcPr>
            <w:tcW w:w="1756" w:type="dxa"/>
            <w:noWrap/>
            <w:vAlign w:val="bottom"/>
            <w:hideMark/>
          </w:tcPr>
          <w:p w14:paraId="61BEAF35" w14:textId="60D11DA0" w:rsidR="00EF4161" w:rsidRPr="00EF4161" w:rsidRDefault="00EF4161" w:rsidP="00EF4161">
            <w:r w:rsidRPr="00EF4161">
              <w:t>5.936%</w:t>
            </w:r>
          </w:p>
        </w:tc>
        <w:tc>
          <w:tcPr>
            <w:tcW w:w="1788" w:type="dxa"/>
            <w:noWrap/>
            <w:vAlign w:val="bottom"/>
            <w:hideMark/>
          </w:tcPr>
          <w:p w14:paraId="6B546116" w14:textId="7BDB9A9A" w:rsidR="00EF4161" w:rsidRPr="00EF4161" w:rsidRDefault="00EF4161" w:rsidP="00EF4161">
            <w:r w:rsidRPr="00EF4161">
              <w:t>5.938%</w:t>
            </w:r>
          </w:p>
        </w:tc>
        <w:tc>
          <w:tcPr>
            <w:tcW w:w="1740" w:type="dxa"/>
            <w:noWrap/>
            <w:vAlign w:val="bottom"/>
            <w:hideMark/>
          </w:tcPr>
          <w:p w14:paraId="1F1D8B38" w14:textId="16E50155" w:rsidR="00EF4161" w:rsidRPr="00EF4161" w:rsidRDefault="00EF4161" w:rsidP="00EF4161">
            <w:r w:rsidRPr="00EF4161">
              <w:t>0.002</w:t>
            </w:r>
          </w:p>
        </w:tc>
        <w:tc>
          <w:tcPr>
            <w:tcW w:w="1741" w:type="dxa"/>
            <w:vAlign w:val="bottom"/>
          </w:tcPr>
          <w:p w14:paraId="7F70D9BD" w14:textId="6A70D7EB" w:rsidR="00221B01" w:rsidRPr="00221B01" w:rsidRDefault="00221B01" w:rsidP="00221B01">
            <w:r w:rsidRPr="00221B01">
              <w:t>0.036%</w:t>
            </w:r>
          </w:p>
        </w:tc>
      </w:tr>
      <w:tr w:rsidR="00EF4161" w:rsidRPr="00C264AC" w14:paraId="6024D81C" w14:textId="109877E2" w:rsidTr="002901E2">
        <w:trPr>
          <w:trHeight w:val="288"/>
        </w:trPr>
        <w:tc>
          <w:tcPr>
            <w:tcW w:w="2263" w:type="dxa"/>
            <w:noWrap/>
            <w:vAlign w:val="bottom"/>
            <w:hideMark/>
          </w:tcPr>
          <w:p w14:paraId="0A1019ED" w14:textId="6AAF4AE7" w:rsidR="00EF4161" w:rsidRPr="00EF4161" w:rsidRDefault="00EF4161" w:rsidP="00EF4161">
            <w:r w:rsidRPr="00EF4161">
              <w:t>West Dunbartonshire</w:t>
            </w:r>
          </w:p>
        </w:tc>
        <w:tc>
          <w:tcPr>
            <w:tcW w:w="1756" w:type="dxa"/>
            <w:noWrap/>
            <w:vAlign w:val="bottom"/>
            <w:hideMark/>
          </w:tcPr>
          <w:p w14:paraId="26BF42D6" w14:textId="70823204" w:rsidR="00EF4161" w:rsidRPr="00EF4161" w:rsidRDefault="00EF4161" w:rsidP="00EF4161">
            <w:r w:rsidRPr="00EF4161">
              <w:t>1.754%</w:t>
            </w:r>
          </w:p>
        </w:tc>
        <w:tc>
          <w:tcPr>
            <w:tcW w:w="1788" w:type="dxa"/>
            <w:noWrap/>
            <w:vAlign w:val="bottom"/>
            <w:hideMark/>
          </w:tcPr>
          <w:p w14:paraId="1273C5E4" w14:textId="3665DBFD" w:rsidR="00EF4161" w:rsidRPr="00EF4161" w:rsidRDefault="00EF4161" w:rsidP="00EF4161">
            <w:r w:rsidRPr="00EF4161">
              <w:t>1.754%</w:t>
            </w:r>
          </w:p>
        </w:tc>
        <w:tc>
          <w:tcPr>
            <w:tcW w:w="1740" w:type="dxa"/>
            <w:noWrap/>
            <w:vAlign w:val="bottom"/>
            <w:hideMark/>
          </w:tcPr>
          <w:p w14:paraId="7E7B6D81" w14:textId="4F54AE0A" w:rsidR="00EF4161" w:rsidRPr="00EF4161" w:rsidRDefault="00EF4161" w:rsidP="00EF4161">
            <w:r w:rsidRPr="00EF4161">
              <w:t>0.000</w:t>
            </w:r>
          </w:p>
        </w:tc>
        <w:tc>
          <w:tcPr>
            <w:tcW w:w="1741" w:type="dxa"/>
            <w:vAlign w:val="bottom"/>
          </w:tcPr>
          <w:p w14:paraId="660C0E51" w14:textId="7EA5916B" w:rsidR="00221B01" w:rsidRPr="00221B01" w:rsidRDefault="00221B01" w:rsidP="00221B01">
            <w:r w:rsidRPr="00221B01">
              <w:t>0.003%</w:t>
            </w:r>
          </w:p>
        </w:tc>
      </w:tr>
      <w:tr w:rsidR="00EF4161" w:rsidRPr="00C264AC" w14:paraId="50DDBE1B" w14:textId="25AAA7ED" w:rsidTr="002901E2">
        <w:trPr>
          <w:trHeight w:val="288"/>
        </w:trPr>
        <w:tc>
          <w:tcPr>
            <w:tcW w:w="2263" w:type="dxa"/>
            <w:noWrap/>
            <w:vAlign w:val="bottom"/>
            <w:hideMark/>
          </w:tcPr>
          <w:p w14:paraId="008399E5" w14:textId="1C2C490A" w:rsidR="00EF4161" w:rsidRPr="00EF4161" w:rsidRDefault="00EF4161" w:rsidP="00EF4161">
            <w:r w:rsidRPr="00EF4161">
              <w:t>West Lothian</w:t>
            </w:r>
          </w:p>
        </w:tc>
        <w:tc>
          <w:tcPr>
            <w:tcW w:w="1756" w:type="dxa"/>
            <w:noWrap/>
            <w:vAlign w:val="bottom"/>
            <w:hideMark/>
          </w:tcPr>
          <w:p w14:paraId="53B392FF" w14:textId="522DFF13" w:rsidR="00EF4161" w:rsidRPr="00EF4161" w:rsidRDefault="00EF4161" w:rsidP="00EF4161">
            <w:r w:rsidRPr="00EF4161">
              <w:t>3.145%</w:t>
            </w:r>
          </w:p>
        </w:tc>
        <w:tc>
          <w:tcPr>
            <w:tcW w:w="1788" w:type="dxa"/>
            <w:noWrap/>
            <w:vAlign w:val="bottom"/>
            <w:hideMark/>
          </w:tcPr>
          <w:p w14:paraId="2B1B324E" w14:textId="0488DF15" w:rsidR="00EF4161" w:rsidRPr="00EF4161" w:rsidRDefault="00EF4161" w:rsidP="00EF4161">
            <w:r w:rsidRPr="00EF4161">
              <w:t>3.145%</w:t>
            </w:r>
          </w:p>
        </w:tc>
        <w:tc>
          <w:tcPr>
            <w:tcW w:w="1740" w:type="dxa"/>
            <w:noWrap/>
            <w:vAlign w:val="bottom"/>
            <w:hideMark/>
          </w:tcPr>
          <w:p w14:paraId="4D65AE54" w14:textId="46B86E44" w:rsidR="00EF4161" w:rsidRPr="00EF4161" w:rsidRDefault="00EF4161" w:rsidP="00EF4161">
            <w:r w:rsidRPr="00EF4161">
              <w:t>0.000</w:t>
            </w:r>
          </w:p>
        </w:tc>
        <w:tc>
          <w:tcPr>
            <w:tcW w:w="1741" w:type="dxa"/>
            <w:vAlign w:val="bottom"/>
          </w:tcPr>
          <w:p w14:paraId="0F98A806" w14:textId="2C6AFF1F" w:rsidR="00221B01" w:rsidRPr="00221B01" w:rsidRDefault="00221B01" w:rsidP="00221B01">
            <w:r w:rsidRPr="00221B01">
              <w:t>0.000%</w:t>
            </w:r>
          </w:p>
        </w:tc>
      </w:tr>
      <w:tr w:rsidR="00EF4161" w:rsidRPr="00C264AC" w14:paraId="5434A497" w14:textId="439EE15A" w:rsidTr="002901E2">
        <w:trPr>
          <w:trHeight w:val="288"/>
        </w:trPr>
        <w:tc>
          <w:tcPr>
            <w:tcW w:w="2263" w:type="dxa"/>
            <w:noWrap/>
            <w:vAlign w:val="bottom"/>
            <w:hideMark/>
          </w:tcPr>
          <w:p w14:paraId="65D2F9BB" w14:textId="24B9BD17" w:rsidR="00EF4161" w:rsidRPr="00EF4161" w:rsidRDefault="00EF4161" w:rsidP="00EF4161">
            <w:r w:rsidRPr="00EF4161">
              <w:t>Western Isles</w:t>
            </w:r>
          </w:p>
        </w:tc>
        <w:tc>
          <w:tcPr>
            <w:tcW w:w="1756" w:type="dxa"/>
            <w:noWrap/>
            <w:vAlign w:val="bottom"/>
            <w:hideMark/>
          </w:tcPr>
          <w:p w14:paraId="69C378A9" w14:textId="51D7B12B" w:rsidR="00EF4161" w:rsidRPr="00EF4161" w:rsidRDefault="00EF4161" w:rsidP="00EF4161">
            <w:r w:rsidRPr="00EF4161">
              <w:t>0.656%</w:t>
            </w:r>
          </w:p>
        </w:tc>
        <w:tc>
          <w:tcPr>
            <w:tcW w:w="1788" w:type="dxa"/>
            <w:noWrap/>
            <w:vAlign w:val="bottom"/>
            <w:hideMark/>
          </w:tcPr>
          <w:p w14:paraId="0AF8E3A8" w14:textId="5C63C2E2" w:rsidR="00EF4161" w:rsidRPr="00EF4161" w:rsidRDefault="00EF4161" w:rsidP="00EF4161">
            <w:r w:rsidRPr="00EF4161">
              <w:t>0.656%</w:t>
            </w:r>
          </w:p>
        </w:tc>
        <w:tc>
          <w:tcPr>
            <w:tcW w:w="1740" w:type="dxa"/>
            <w:noWrap/>
            <w:vAlign w:val="bottom"/>
            <w:hideMark/>
          </w:tcPr>
          <w:p w14:paraId="09426BF7" w14:textId="5C3955AF" w:rsidR="00EF4161" w:rsidRPr="00EF4161" w:rsidRDefault="00EF4161" w:rsidP="00EF4161">
            <w:r w:rsidRPr="00EF4161">
              <w:t>0.000</w:t>
            </w:r>
          </w:p>
        </w:tc>
        <w:tc>
          <w:tcPr>
            <w:tcW w:w="1741" w:type="dxa"/>
            <w:vAlign w:val="bottom"/>
          </w:tcPr>
          <w:p w14:paraId="641F9F0D" w14:textId="1E98F384" w:rsidR="00221B01" w:rsidRPr="00221B01" w:rsidRDefault="00221B01" w:rsidP="00221B01">
            <w:r w:rsidRPr="00221B01">
              <w:t>0.000%</w:t>
            </w:r>
          </w:p>
        </w:tc>
      </w:tr>
    </w:tbl>
    <w:p w14:paraId="717DBB5E" w14:textId="724B072F" w:rsidR="00FD3150" w:rsidRDefault="00FD3150" w:rsidP="00090B83"/>
    <w:p w14:paraId="435F9501" w14:textId="31E90C36" w:rsidR="00C0608E" w:rsidRDefault="00C0608E" w:rsidP="0064553E">
      <w:r>
        <w:lastRenderedPageBreak/>
        <w:t xml:space="preserve">The proposed change in methodology leads </w:t>
      </w:r>
      <w:r w:rsidR="009662B2">
        <w:t xml:space="preserve">to relatively minor differences in shares across most HSCPs. As expected, the largest changes occur where there is a more significant difference </w:t>
      </w:r>
      <w:r w:rsidR="00635C32">
        <w:t>in</w:t>
      </w:r>
      <w:r w:rsidR="009662B2">
        <w:t xml:space="preserve"> the urban/rural profile </w:t>
      </w:r>
      <w:r w:rsidR="00557F7D">
        <w:t xml:space="preserve">of </w:t>
      </w:r>
      <w:r w:rsidR="00A4281F">
        <w:t xml:space="preserve">practices in </w:t>
      </w:r>
      <w:r w:rsidR="00C578DA">
        <w:t xml:space="preserve">different </w:t>
      </w:r>
      <w:r w:rsidR="009662B2">
        <w:t xml:space="preserve">HSCPs </w:t>
      </w:r>
      <w:r w:rsidR="00635C32">
        <w:t xml:space="preserve">in </w:t>
      </w:r>
      <w:r w:rsidR="00557F7D">
        <w:t>a single</w:t>
      </w:r>
      <w:r w:rsidR="00635C32">
        <w:t xml:space="preserve"> board area</w:t>
      </w:r>
      <w:r w:rsidR="00A4281F">
        <w:t>. For example,</w:t>
      </w:r>
      <w:r w:rsidR="009662B2">
        <w:t xml:space="preserve"> in NHS Grampian</w:t>
      </w:r>
      <w:r w:rsidR="00A4281F">
        <w:t>, Aberdeenshire is more rural than Aberdeen City and so Aberdeenshire's share has increased while Aberdeen City's share has decreased</w:t>
      </w:r>
      <w:r w:rsidR="00BC775A">
        <w:t>. This should however better reflect the additional cost of delivering GP</w:t>
      </w:r>
      <w:r w:rsidR="00F3295F">
        <w:t>-</w:t>
      </w:r>
      <w:r w:rsidR="00557F7D">
        <w:t>OoH</w:t>
      </w:r>
      <w:r w:rsidR="00BC775A">
        <w:t xml:space="preserve"> services in more rural HSCPs.</w:t>
      </w:r>
      <w:r w:rsidR="009662B2">
        <w:t xml:space="preserve"> </w:t>
      </w:r>
      <w:r w:rsidR="00635C32">
        <w:t xml:space="preserve">It should be noted that shares remain unchanged for HSCPs where they are the only HSCP in </w:t>
      </w:r>
      <w:r w:rsidR="00A6319E">
        <w:t>a</w:t>
      </w:r>
      <w:r w:rsidR="00635C32">
        <w:t xml:space="preserve"> board area e.g. Dumfries and Galloway.</w:t>
      </w:r>
    </w:p>
    <w:p w14:paraId="5D74D7AC" w14:textId="1C1C251B" w:rsidR="00D628A1" w:rsidRPr="00747124" w:rsidRDefault="00646921" w:rsidP="00D628A1">
      <w:pPr>
        <w:pStyle w:val="Heading2"/>
      </w:pPr>
      <w:r>
        <w:t>Conclusion</w:t>
      </w:r>
    </w:p>
    <w:bookmarkEnd w:id="2"/>
    <w:p w14:paraId="2D4A6F86" w14:textId="392D214E" w:rsidR="0064553E" w:rsidRDefault="00B00685" w:rsidP="0064553E">
      <w:r>
        <w:t>The Scottish Government and PHS support the introduction of the new methodology for calculating the GP</w:t>
      </w:r>
      <w:r w:rsidR="00F3295F">
        <w:t>-</w:t>
      </w:r>
      <w:r>
        <w:t>OoH adjustment for HSCP</w:t>
      </w:r>
      <w:r w:rsidR="00F00F34">
        <w:t xml:space="preserve"> shares from 2024/25 onwards</w:t>
      </w:r>
      <w:r w:rsidR="008449A5">
        <w:t>: u</w:t>
      </w:r>
      <w:r w:rsidR="00380718">
        <w:t>sing the O</w:t>
      </w:r>
      <w:r w:rsidR="0092590C">
        <w:t>o</w:t>
      </w:r>
      <w:r w:rsidR="00380718">
        <w:t>H weights</w:t>
      </w:r>
      <w:r w:rsidR="003741C4">
        <w:t xml:space="preserve"> </w:t>
      </w:r>
      <w:r w:rsidR="00D82265">
        <w:t>at HSCP level</w:t>
      </w:r>
      <w:r w:rsidR="008449A5">
        <w:t xml:space="preserve"> is</w:t>
      </w:r>
      <w:r w:rsidR="004A1053" w:rsidDel="008449A5">
        <w:t xml:space="preserve"> </w:t>
      </w:r>
      <w:r w:rsidR="004A1053">
        <w:t xml:space="preserve">more </w:t>
      </w:r>
      <w:r w:rsidR="00D92404">
        <w:t xml:space="preserve">accurate </w:t>
      </w:r>
      <w:r w:rsidR="007B1FB1">
        <w:t>in reflecting</w:t>
      </w:r>
      <w:r w:rsidR="004A1053">
        <w:t xml:space="preserve"> the variation in cost of delivering OoH services </w:t>
      </w:r>
      <w:r w:rsidR="000D3661">
        <w:t>in</w:t>
      </w:r>
      <w:r w:rsidR="000370DE">
        <w:t xml:space="preserve"> HSCPs</w:t>
      </w:r>
      <w:r w:rsidR="00F837A4">
        <w:t xml:space="preserve"> given th</w:t>
      </w:r>
      <w:r w:rsidR="00267F9A">
        <w:t>e</w:t>
      </w:r>
      <w:r w:rsidR="00F837A4">
        <w:t>ir degree of remoteness</w:t>
      </w:r>
      <w:r w:rsidR="00EF4E2E">
        <w:t xml:space="preserve"> and ru</w:t>
      </w:r>
      <w:r w:rsidR="008625D2">
        <w:t>rality</w:t>
      </w:r>
      <w:r w:rsidR="004A1053">
        <w:t>.</w:t>
      </w:r>
      <w:r w:rsidR="00F00F34">
        <w:t xml:space="preserve"> TAGRA members are invited to provide any </w:t>
      </w:r>
      <w:r w:rsidR="00B62391">
        <w:t>feedback</w:t>
      </w:r>
      <w:r w:rsidR="00F00F34">
        <w:t xml:space="preserve"> regarding</w:t>
      </w:r>
      <w:r w:rsidR="002F2344">
        <w:t xml:space="preserve"> </w:t>
      </w:r>
      <w:r w:rsidR="00F00F34">
        <w:t>this proposal</w:t>
      </w:r>
      <w:r w:rsidR="000370DE">
        <w:t xml:space="preserve"> or of the issue </w:t>
      </w:r>
      <w:r w:rsidR="00104A76">
        <w:t>relating to</w:t>
      </w:r>
      <w:r w:rsidR="00B44951">
        <w:t xml:space="preserve"> the use of</w:t>
      </w:r>
      <w:r w:rsidR="000370DE">
        <w:t xml:space="preserve"> out-of-date SAF data to calculate the GP-OoH adjustment.</w:t>
      </w:r>
      <w:r w:rsidR="00BC4D61">
        <w:t xml:space="preserve"> </w:t>
      </w:r>
      <w:r w:rsidR="000370DE">
        <w:t>Comments can</w:t>
      </w:r>
      <w:r w:rsidR="00BC4D61">
        <w:t xml:space="preserve"> be raised via email or </w:t>
      </w:r>
      <w:r w:rsidR="0014768E">
        <w:t xml:space="preserve">through </w:t>
      </w:r>
      <w:r w:rsidR="00BC4D61">
        <w:t xml:space="preserve">discussion at the next TAGRA meeting </w:t>
      </w:r>
      <w:r w:rsidR="000D3661">
        <w:t>on</w:t>
      </w:r>
      <w:r w:rsidR="00BC4D61">
        <w:t xml:space="preserve"> </w:t>
      </w:r>
      <w:r w:rsidR="00443715">
        <w:t xml:space="preserve">November 14th </w:t>
      </w:r>
      <w:r w:rsidR="00BC4D61">
        <w:t>2023.</w:t>
      </w:r>
    </w:p>
    <w:sectPr w:rsidR="0064553E" w:rsidSect="002066C0">
      <w:headerReference w:type="default" r:id="rId11"/>
      <w:headerReference w:type="first" r:id="rId12"/>
      <w:endnotePr>
        <w:numFmt w:val="decimal"/>
      </w:endnotePr>
      <w:pgSz w:w="11906" w:h="16838"/>
      <w:pgMar w:top="284" w:right="1304" w:bottom="1418" w:left="130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B12D" w14:textId="77777777" w:rsidR="00CB5BC1" w:rsidRDefault="00CB5BC1" w:rsidP="00151D33">
      <w:r>
        <w:separator/>
      </w:r>
    </w:p>
  </w:endnote>
  <w:endnote w:type="continuationSeparator" w:id="0">
    <w:p w14:paraId="66410074" w14:textId="77777777" w:rsidR="00CB5BC1" w:rsidRDefault="00CB5BC1" w:rsidP="00151D33">
      <w:r>
        <w:continuationSeparator/>
      </w:r>
    </w:p>
    <w:p w14:paraId="66BB43C5" w14:textId="77777777" w:rsidR="00CB5BC1" w:rsidRDefault="00CB5BC1" w:rsidP="00151D33"/>
    <w:p w14:paraId="3923D068" w14:textId="77777777" w:rsidR="00CB5BC1" w:rsidRDefault="00CB5BC1"/>
  </w:endnote>
  <w:endnote w:type="continuationNotice" w:id="1">
    <w:p w14:paraId="29931498" w14:textId="77777777" w:rsidR="00CB5BC1" w:rsidRDefault="00CB5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3104" w14:textId="77777777" w:rsidR="00CB5BC1" w:rsidRDefault="00CB5BC1">
      <w:r>
        <w:separator/>
      </w:r>
    </w:p>
  </w:footnote>
  <w:footnote w:type="continuationSeparator" w:id="0">
    <w:p w14:paraId="06D4350E" w14:textId="77777777" w:rsidR="00CB5BC1" w:rsidRDefault="00CB5BC1" w:rsidP="00151D33">
      <w:r>
        <w:continuationSeparator/>
      </w:r>
    </w:p>
    <w:p w14:paraId="160420E5" w14:textId="77777777" w:rsidR="00CB5BC1" w:rsidRDefault="00CB5BC1" w:rsidP="00151D33"/>
    <w:p w14:paraId="376EBD9E" w14:textId="77777777" w:rsidR="00CB5BC1" w:rsidRDefault="00CB5BC1"/>
  </w:footnote>
  <w:footnote w:type="continuationNotice" w:id="1">
    <w:p w14:paraId="2F72D3BA" w14:textId="77777777" w:rsidR="00CB5BC1" w:rsidRDefault="00CB5BC1">
      <w:pPr>
        <w:spacing w:after="0" w:line="240" w:lineRule="auto"/>
      </w:pPr>
    </w:p>
  </w:footnote>
  <w:footnote w:id="2">
    <w:p w14:paraId="04CE50DE" w14:textId="77777777" w:rsidR="002E11C0" w:rsidRDefault="002E11C0" w:rsidP="002E11C0">
      <w:pPr>
        <w:pStyle w:val="FootnoteText"/>
      </w:pPr>
      <w:r>
        <w:rPr>
          <w:rStyle w:val="FootnoteReference"/>
        </w:rPr>
        <w:footnoteRef/>
      </w:r>
      <w:r>
        <w:t xml:space="preserve"> Final papers produced by the Remote and Rural subgroup are on </w:t>
      </w:r>
      <w:hyperlink r:id="rId1" w:history="1">
        <w:r w:rsidRPr="00FE691C">
          <w:rPr>
            <w:rStyle w:val="Hyperlink"/>
          </w:rPr>
          <w:t>the TAGRA website</w:t>
        </w:r>
      </w:hyperlink>
    </w:p>
  </w:footnote>
  <w:footnote w:id="3">
    <w:p w14:paraId="481A806D" w14:textId="77777777" w:rsidR="00101C4F" w:rsidRDefault="00101C4F" w:rsidP="00101C4F">
      <w:pPr>
        <w:pStyle w:val="FootnoteText"/>
      </w:pPr>
      <w:r>
        <w:rPr>
          <w:rStyle w:val="FootnoteReference"/>
        </w:rPr>
        <w:footnoteRef/>
      </w:r>
      <w:r>
        <w:t xml:space="preserve"> </w:t>
      </w:r>
      <w:r w:rsidRPr="00FE691C">
        <w:t xml:space="preserve">TAGRA meeting 5th June 2018 - minutes available on </w:t>
      </w:r>
      <w:hyperlink r:id="rId2" w:history="1">
        <w:r w:rsidRPr="00FE691C">
          <w:rPr>
            <w:rStyle w:val="Hyperlink"/>
          </w:rPr>
          <w:t>the TAGRA website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F3AC" w14:textId="77777777" w:rsidR="002066C0" w:rsidRDefault="002066C0">
    <w:pPr>
      <w:pStyle w:val="Header"/>
    </w:pPr>
  </w:p>
  <w:p w14:paraId="5A94097D" w14:textId="77777777" w:rsidR="002066C0" w:rsidRDefault="00206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3EAA" w14:textId="77777777" w:rsidR="002066C0" w:rsidRPr="0040598E" w:rsidRDefault="002066C0" w:rsidP="002066C0">
    <w:pPr>
      <w:pStyle w:val="Header"/>
    </w:pPr>
    <w:r>
      <w:drawing>
        <wp:anchor distT="0" distB="0" distL="114300" distR="114300" simplePos="0" relativeHeight="251658240" behindDoc="1" locked="0" layoutInCell="1" allowOverlap="1" wp14:anchorId="239AA601" wp14:editId="7EDF389F">
          <wp:simplePos x="0" y="0"/>
          <wp:positionH relativeFrom="page">
            <wp:posOffset>0</wp:posOffset>
          </wp:positionH>
          <wp:positionV relativeFrom="paragraph">
            <wp:posOffset>-334770</wp:posOffset>
          </wp:positionV>
          <wp:extent cx="7559686" cy="1469261"/>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86" cy="1469261"/>
                  </a:xfrm>
                  <a:prstGeom prst="rect">
                    <a:avLst/>
                  </a:prstGeom>
                </pic:spPr>
              </pic:pic>
            </a:graphicData>
          </a:graphic>
          <wp14:sizeRelH relativeFrom="margin">
            <wp14:pctWidth>0</wp14:pctWidth>
          </wp14:sizeRelH>
          <wp14:sizeRelV relativeFrom="margin">
            <wp14:pctHeight>0</wp14:pctHeight>
          </wp14:sizeRelV>
        </wp:anchor>
      </w:drawing>
    </w:r>
    <w:r>
      <w:tab/>
    </w:r>
    <w:r w:rsidRPr="007246EA">
      <w:drawing>
        <wp:inline distT="0" distB="0" distL="0" distR="0" wp14:anchorId="548C17CF" wp14:editId="1D7A3758">
          <wp:extent cx="2160000" cy="779465"/>
          <wp:effectExtent l="0" t="0" r="0" b="1905"/>
          <wp:docPr id="3" name="Picture 3" descr="Public Health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ublic Health Scotland logo"/>
                  <pic:cNvPicPr/>
                </pic:nvPicPr>
                <pic:blipFill>
                  <a:blip r:embed="rId2">
                    <a:extLst>
                      <a:ext uri="{28A0092B-C50C-407E-A947-70E740481C1C}">
                        <a14:useLocalDpi xmlns:a14="http://schemas.microsoft.com/office/drawing/2010/main" val="0"/>
                      </a:ext>
                    </a:extLst>
                  </a:blip>
                  <a:stretch>
                    <a:fillRect/>
                  </a:stretch>
                </pic:blipFill>
                <pic:spPr>
                  <a:xfrm>
                    <a:off x="0" y="0"/>
                    <a:ext cx="2160000" cy="779465"/>
                  </a:xfrm>
                  <a:prstGeom prst="rect">
                    <a:avLst/>
                  </a:prstGeom>
                </pic:spPr>
              </pic:pic>
            </a:graphicData>
          </a:graphic>
        </wp:inline>
      </w:drawing>
    </w:r>
  </w:p>
  <w:p w14:paraId="7CE8E954" w14:textId="77777777" w:rsidR="002066C0" w:rsidRDefault="00206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2621"/>
    <w:multiLevelType w:val="hybridMultilevel"/>
    <w:tmpl w:val="5706E262"/>
    <w:lvl w:ilvl="0" w:tplc="D56636FE">
      <w:start w:val="1"/>
      <w:numFmt w:val="bullet"/>
      <w:pStyle w:val="Bullet3"/>
      <w:lvlText w:val=""/>
      <w:lvlJc w:val="left"/>
      <w:pPr>
        <w:ind w:left="2194" w:hanging="360"/>
      </w:pPr>
      <w:rPr>
        <w:rFonts w:ascii="Wingdings" w:hAnsi="Wingding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 w15:restartNumberingAfterBreak="0">
    <w:nsid w:val="169465B8"/>
    <w:multiLevelType w:val="hybridMultilevel"/>
    <w:tmpl w:val="1884E41C"/>
    <w:lvl w:ilvl="0" w:tplc="145670EE">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1493E"/>
    <w:multiLevelType w:val="hybridMultilevel"/>
    <w:tmpl w:val="023C2486"/>
    <w:lvl w:ilvl="0" w:tplc="2CCABE02">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636E7"/>
    <w:multiLevelType w:val="hybridMultilevel"/>
    <w:tmpl w:val="57D26738"/>
    <w:lvl w:ilvl="0" w:tplc="328CA71A">
      <w:start w:val="1"/>
      <w:numFmt w:val="decimal"/>
      <w:pStyle w:val="Tablebulletnumbered1123"/>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586727"/>
    <w:multiLevelType w:val="hybridMultilevel"/>
    <w:tmpl w:val="B4883DBA"/>
    <w:lvl w:ilvl="0" w:tplc="81809D90">
      <w:start w:val="1"/>
      <w:numFmt w:val="bullet"/>
      <w:pStyle w:val="Tablebullet1"/>
      <w:lvlText w:val=""/>
      <w:lvlJc w:val="left"/>
      <w:pPr>
        <w:ind w:left="720" w:hanging="360"/>
      </w:pPr>
      <w:rPr>
        <w:rFonts w:ascii="Symbol" w:hAnsi="Symbol" w:hint="default"/>
      </w:rPr>
    </w:lvl>
    <w:lvl w:ilvl="1" w:tplc="76ECB9A6">
      <w:start w:val="1"/>
      <w:numFmt w:val="bullet"/>
      <w:pStyle w:val="Table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E0223"/>
    <w:multiLevelType w:val="multilevel"/>
    <w:tmpl w:val="F0FED7E2"/>
    <w:lvl w:ilvl="0">
      <w:start w:val="1"/>
      <w:numFmt w:val="decimal"/>
      <w:pStyle w:val="Bulletnumbered1123"/>
      <w:lvlText w:val="%1."/>
      <w:lvlJc w:val="left"/>
      <w:pPr>
        <w:ind w:left="720" w:hanging="360"/>
      </w:pPr>
      <w:rPr>
        <w:rFonts w:hint="default"/>
      </w:rPr>
    </w:lvl>
    <w:lvl w:ilvl="1">
      <w:start w:val="1"/>
      <w:numFmt w:val="lowerLetter"/>
      <w:pStyle w:val="Bulletnumbered2abc"/>
      <w:lvlText w:val="%2."/>
      <w:lvlJc w:val="left"/>
      <w:pPr>
        <w:ind w:left="1440" w:hanging="360"/>
      </w:pPr>
      <w:rPr>
        <w:rFonts w:hint="default"/>
      </w:rPr>
    </w:lvl>
    <w:lvl w:ilvl="2">
      <w:start w:val="1"/>
      <w:numFmt w:val="lowerRoman"/>
      <w:pStyle w:val="Bulletnumbered3iii"/>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FA7177"/>
    <w:multiLevelType w:val="multilevel"/>
    <w:tmpl w:val="D23CD3DC"/>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35A7009D"/>
    <w:multiLevelType w:val="multilevel"/>
    <w:tmpl w:val="7456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B606F"/>
    <w:multiLevelType w:val="hybridMultilevel"/>
    <w:tmpl w:val="89D8B262"/>
    <w:lvl w:ilvl="0" w:tplc="F98E485E">
      <w:start w:val="1"/>
      <w:numFmt w:val="lowerLetter"/>
      <w:pStyle w:val="Tablebulletnumbered2abc"/>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6C2A55E7"/>
    <w:multiLevelType w:val="hybridMultilevel"/>
    <w:tmpl w:val="806AFC4A"/>
    <w:lvl w:ilvl="0" w:tplc="6D806ABC">
      <w:start w:val="1"/>
      <w:numFmt w:val="bullet"/>
      <w:pStyle w:val="Bullet2"/>
      <w:lvlText w:val="o"/>
      <w:lvlJc w:val="left"/>
      <w:pPr>
        <w:ind w:left="1854" w:hanging="360"/>
      </w:pPr>
      <w:rPr>
        <w:rFonts w:ascii="Courier New" w:hAnsi="Courier New" w:cs="Courier New" w:hint="default"/>
      </w:rPr>
    </w:lvl>
    <w:lvl w:ilvl="1" w:tplc="D2A80396">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467578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837792">
    <w:abstractNumId w:val="8"/>
    <w:lvlOverride w:ilvl="0">
      <w:startOverride w:val="1"/>
    </w:lvlOverride>
  </w:num>
  <w:num w:numId="3" w16cid:durableId="1994066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3199410">
    <w:abstractNumId w:val="2"/>
  </w:num>
  <w:num w:numId="5" w16cid:durableId="795948826">
    <w:abstractNumId w:val="9"/>
  </w:num>
  <w:num w:numId="6" w16cid:durableId="1306661185">
    <w:abstractNumId w:val="1"/>
  </w:num>
  <w:num w:numId="7" w16cid:durableId="1867256167">
    <w:abstractNumId w:val="6"/>
  </w:num>
  <w:num w:numId="8" w16cid:durableId="1909414773">
    <w:abstractNumId w:val="0"/>
  </w:num>
  <w:num w:numId="9" w16cid:durableId="1765491392">
    <w:abstractNumId w:val="4"/>
  </w:num>
  <w:num w:numId="10" w16cid:durableId="329256701">
    <w:abstractNumId w:val="3"/>
  </w:num>
  <w:num w:numId="11" w16cid:durableId="1318802162">
    <w:abstractNumId w:val="8"/>
  </w:num>
  <w:num w:numId="12" w16cid:durableId="275791598">
    <w:abstractNumId w:val="5"/>
  </w:num>
  <w:num w:numId="13" w16cid:durableId="661616314">
    <w:abstractNumId w:val="2"/>
  </w:num>
  <w:num w:numId="14" w16cid:durableId="1641113732">
    <w:abstractNumId w:val="9"/>
  </w:num>
  <w:num w:numId="15" w16cid:durableId="1592079728">
    <w:abstractNumId w:val="1"/>
  </w:num>
  <w:num w:numId="16" w16cid:durableId="299505364">
    <w:abstractNumId w:val="6"/>
  </w:num>
  <w:num w:numId="17" w16cid:durableId="1325815584">
    <w:abstractNumId w:val="6"/>
  </w:num>
  <w:num w:numId="18" w16cid:durableId="1447231647">
    <w:abstractNumId w:val="6"/>
  </w:num>
  <w:num w:numId="19" w16cid:durableId="540868756">
    <w:abstractNumId w:val="6"/>
  </w:num>
  <w:num w:numId="20" w16cid:durableId="1706325564">
    <w:abstractNumId w:val="0"/>
  </w:num>
  <w:num w:numId="21" w16cid:durableId="173541492">
    <w:abstractNumId w:val="5"/>
  </w:num>
  <w:num w:numId="22" w16cid:durableId="1993438410">
    <w:abstractNumId w:val="5"/>
  </w:num>
  <w:num w:numId="23" w16cid:durableId="437986896">
    <w:abstractNumId w:val="4"/>
  </w:num>
  <w:num w:numId="24" w16cid:durableId="491219826">
    <w:abstractNumId w:val="4"/>
  </w:num>
  <w:num w:numId="25" w16cid:durableId="1868054406">
    <w:abstractNumId w:val="3"/>
  </w:num>
  <w:num w:numId="26" w16cid:durableId="845628851">
    <w:abstractNumId w:val="8"/>
  </w:num>
  <w:num w:numId="27" w16cid:durableId="1217278872">
    <w:abstractNumId w:val="5"/>
  </w:num>
  <w:num w:numId="28" w16cid:durableId="581910661">
    <w:abstractNumId w:val="2"/>
  </w:num>
  <w:num w:numId="29" w16cid:durableId="771970421">
    <w:abstractNumId w:val="9"/>
  </w:num>
  <w:num w:numId="30" w16cid:durableId="243728528">
    <w:abstractNumId w:val="1"/>
  </w:num>
  <w:num w:numId="31" w16cid:durableId="1443723359">
    <w:abstractNumId w:val="6"/>
  </w:num>
  <w:num w:numId="32" w16cid:durableId="531068866">
    <w:abstractNumId w:val="6"/>
  </w:num>
  <w:num w:numId="33" w16cid:durableId="2137138618">
    <w:abstractNumId w:val="6"/>
  </w:num>
  <w:num w:numId="34" w16cid:durableId="1992908261">
    <w:abstractNumId w:val="6"/>
  </w:num>
  <w:num w:numId="35" w16cid:durableId="2076004336">
    <w:abstractNumId w:val="0"/>
  </w:num>
  <w:num w:numId="36" w16cid:durableId="449402610">
    <w:abstractNumId w:val="5"/>
  </w:num>
  <w:num w:numId="37" w16cid:durableId="864632823">
    <w:abstractNumId w:val="5"/>
  </w:num>
  <w:num w:numId="38" w16cid:durableId="1916160823">
    <w:abstractNumId w:val="4"/>
  </w:num>
  <w:num w:numId="39" w16cid:durableId="1367683302">
    <w:abstractNumId w:val="4"/>
  </w:num>
  <w:num w:numId="40" w16cid:durableId="1762751009">
    <w:abstractNumId w:val="3"/>
  </w:num>
  <w:num w:numId="41" w16cid:durableId="1117525696">
    <w:abstractNumId w:val="8"/>
  </w:num>
  <w:num w:numId="42" w16cid:durableId="1715277084">
    <w:abstractNumId w:val="5"/>
  </w:num>
  <w:num w:numId="43" w16cid:durableId="509108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7733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163608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SortMethod w:val="0000"/>
  <w:documentProtection w:formatting="1" w:enforcement="1"/>
  <w:styleLockTheme/>
  <w:styleLockQFSet/>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8"/>
    <w:rsid w:val="00000FAA"/>
    <w:rsid w:val="00002098"/>
    <w:rsid w:val="0000547F"/>
    <w:rsid w:val="0000552B"/>
    <w:rsid w:val="00005D87"/>
    <w:rsid w:val="00006C8B"/>
    <w:rsid w:val="00010239"/>
    <w:rsid w:val="00010717"/>
    <w:rsid w:val="0001092D"/>
    <w:rsid w:val="00010B93"/>
    <w:rsid w:val="00011476"/>
    <w:rsid w:val="00021AE4"/>
    <w:rsid w:val="00025D78"/>
    <w:rsid w:val="00031306"/>
    <w:rsid w:val="000370DE"/>
    <w:rsid w:val="0004055D"/>
    <w:rsid w:val="00040F93"/>
    <w:rsid w:val="00042738"/>
    <w:rsid w:val="000430E5"/>
    <w:rsid w:val="00043625"/>
    <w:rsid w:val="00045700"/>
    <w:rsid w:val="00045D32"/>
    <w:rsid w:val="000463F0"/>
    <w:rsid w:val="00050116"/>
    <w:rsid w:val="000535E3"/>
    <w:rsid w:val="00053E63"/>
    <w:rsid w:val="00054AC2"/>
    <w:rsid w:val="000555C7"/>
    <w:rsid w:val="000601D2"/>
    <w:rsid w:val="0006090C"/>
    <w:rsid w:val="00062313"/>
    <w:rsid w:val="00063DCE"/>
    <w:rsid w:val="0006585C"/>
    <w:rsid w:val="00065CAC"/>
    <w:rsid w:val="000673DA"/>
    <w:rsid w:val="00072A1E"/>
    <w:rsid w:val="00073B19"/>
    <w:rsid w:val="00074327"/>
    <w:rsid w:val="0007601D"/>
    <w:rsid w:val="000767E0"/>
    <w:rsid w:val="00077EEB"/>
    <w:rsid w:val="000804FC"/>
    <w:rsid w:val="0008078C"/>
    <w:rsid w:val="000828FC"/>
    <w:rsid w:val="00082A45"/>
    <w:rsid w:val="00083E5D"/>
    <w:rsid w:val="0008721E"/>
    <w:rsid w:val="0008744A"/>
    <w:rsid w:val="000902E3"/>
    <w:rsid w:val="00090B83"/>
    <w:rsid w:val="000911FA"/>
    <w:rsid w:val="00093ABF"/>
    <w:rsid w:val="00096477"/>
    <w:rsid w:val="000975A2"/>
    <w:rsid w:val="00097FE7"/>
    <w:rsid w:val="000A11E5"/>
    <w:rsid w:val="000A1DFC"/>
    <w:rsid w:val="000A4830"/>
    <w:rsid w:val="000A5DC4"/>
    <w:rsid w:val="000B0BCA"/>
    <w:rsid w:val="000B0CE2"/>
    <w:rsid w:val="000B0D20"/>
    <w:rsid w:val="000B226C"/>
    <w:rsid w:val="000B30E5"/>
    <w:rsid w:val="000B30EE"/>
    <w:rsid w:val="000B7312"/>
    <w:rsid w:val="000C2B59"/>
    <w:rsid w:val="000C38EA"/>
    <w:rsid w:val="000C46BC"/>
    <w:rsid w:val="000C5B36"/>
    <w:rsid w:val="000D0A0A"/>
    <w:rsid w:val="000D1F42"/>
    <w:rsid w:val="000D322E"/>
    <w:rsid w:val="000D3661"/>
    <w:rsid w:val="000D3BB8"/>
    <w:rsid w:val="000D7CDE"/>
    <w:rsid w:val="000E04EF"/>
    <w:rsid w:val="000E0A69"/>
    <w:rsid w:val="000E2511"/>
    <w:rsid w:val="000E2606"/>
    <w:rsid w:val="000F11BD"/>
    <w:rsid w:val="000F716D"/>
    <w:rsid w:val="0010029C"/>
    <w:rsid w:val="001004B9"/>
    <w:rsid w:val="001005DA"/>
    <w:rsid w:val="00100A2C"/>
    <w:rsid w:val="00101C4F"/>
    <w:rsid w:val="001026A2"/>
    <w:rsid w:val="00104A76"/>
    <w:rsid w:val="00106D11"/>
    <w:rsid w:val="00106D18"/>
    <w:rsid w:val="00107D7F"/>
    <w:rsid w:val="00110252"/>
    <w:rsid w:val="0011076B"/>
    <w:rsid w:val="0011229B"/>
    <w:rsid w:val="00113708"/>
    <w:rsid w:val="00113E4F"/>
    <w:rsid w:val="001165DE"/>
    <w:rsid w:val="0012078D"/>
    <w:rsid w:val="00121FA2"/>
    <w:rsid w:val="00123B8D"/>
    <w:rsid w:val="00126CB6"/>
    <w:rsid w:val="00127366"/>
    <w:rsid w:val="00127891"/>
    <w:rsid w:val="00127C74"/>
    <w:rsid w:val="00132DCC"/>
    <w:rsid w:val="00133EFB"/>
    <w:rsid w:val="00134246"/>
    <w:rsid w:val="00136A12"/>
    <w:rsid w:val="00143E28"/>
    <w:rsid w:val="0014768E"/>
    <w:rsid w:val="00147E02"/>
    <w:rsid w:val="00151040"/>
    <w:rsid w:val="00151809"/>
    <w:rsid w:val="00151D33"/>
    <w:rsid w:val="00152A99"/>
    <w:rsid w:val="00154236"/>
    <w:rsid w:val="00154D8B"/>
    <w:rsid w:val="00155101"/>
    <w:rsid w:val="001554DF"/>
    <w:rsid w:val="00155B62"/>
    <w:rsid w:val="0015606F"/>
    <w:rsid w:val="00157CA6"/>
    <w:rsid w:val="00157FB3"/>
    <w:rsid w:val="001601FC"/>
    <w:rsid w:val="00160634"/>
    <w:rsid w:val="001619A1"/>
    <w:rsid w:val="00161C76"/>
    <w:rsid w:val="001647B2"/>
    <w:rsid w:val="001651E8"/>
    <w:rsid w:val="00165A4E"/>
    <w:rsid w:val="00166C1C"/>
    <w:rsid w:val="00173337"/>
    <w:rsid w:val="00173AEE"/>
    <w:rsid w:val="001743F7"/>
    <w:rsid w:val="00174930"/>
    <w:rsid w:val="00175237"/>
    <w:rsid w:val="00175DCE"/>
    <w:rsid w:val="001775D3"/>
    <w:rsid w:val="00181D4B"/>
    <w:rsid w:val="0018465E"/>
    <w:rsid w:val="00191339"/>
    <w:rsid w:val="001951E3"/>
    <w:rsid w:val="00195785"/>
    <w:rsid w:val="00195962"/>
    <w:rsid w:val="001970E1"/>
    <w:rsid w:val="001A0535"/>
    <w:rsid w:val="001A136F"/>
    <w:rsid w:val="001A13DE"/>
    <w:rsid w:val="001A19AC"/>
    <w:rsid w:val="001A2C41"/>
    <w:rsid w:val="001A7A92"/>
    <w:rsid w:val="001B3676"/>
    <w:rsid w:val="001B5051"/>
    <w:rsid w:val="001B6A9F"/>
    <w:rsid w:val="001B7659"/>
    <w:rsid w:val="001C5CD3"/>
    <w:rsid w:val="001C68DE"/>
    <w:rsid w:val="001C7157"/>
    <w:rsid w:val="001C7206"/>
    <w:rsid w:val="001D12CD"/>
    <w:rsid w:val="001D1480"/>
    <w:rsid w:val="001D38C2"/>
    <w:rsid w:val="001E1158"/>
    <w:rsid w:val="001E1602"/>
    <w:rsid w:val="001E2228"/>
    <w:rsid w:val="001E7868"/>
    <w:rsid w:val="001F01DC"/>
    <w:rsid w:val="001F0963"/>
    <w:rsid w:val="001F1C8D"/>
    <w:rsid w:val="001F5AED"/>
    <w:rsid w:val="00204BF4"/>
    <w:rsid w:val="002050EB"/>
    <w:rsid w:val="002066C0"/>
    <w:rsid w:val="002075AF"/>
    <w:rsid w:val="00210522"/>
    <w:rsid w:val="00212822"/>
    <w:rsid w:val="00213D76"/>
    <w:rsid w:val="00213FEF"/>
    <w:rsid w:val="002143E8"/>
    <w:rsid w:val="00215030"/>
    <w:rsid w:val="00216AA9"/>
    <w:rsid w:val="00216E69"/>
    <w:rsid w:val="00221B01"/>
    <w:rsid w:val="00223C49"/>
    <w:rsid w:val="00224AD6"/>
    <w:rsid w:val="00226C77"/>
    <w:rsid w:val="0022704D"/>
    <w:rsid w:val="002330F6"/>
    <w:rsid w:val="00234A35"/>
    <w:rsid w:val="00242F7F"/>
    <w:rsid w:val="00243283"/>
    <w:rsid w:val="002453A7"/>
    <w:rsid w:val="00247191"/>
    <w:rsid w:val="00251846"/>
    <w:rsid w:val="00252E94"/>
    <w:rsid w:val="00253256"/>
    <w:rsid w:val="0025365C"/>
    <w:rsid w:val="002608E6"/>
    <w:rsid w:val="0026234C"/>
    <w:rsid w:val="00263434"/>
    <w:rsid w:val="0026368C"/>
    <w:rsid w:val="0026429C"/>
    <w:rsid w:val="0026550F"/>
    <w:rsid w:val="00266295"/>
    <w:rsid w:val="002679B1"/>
    <w:rsid w:val="00267F9A"/>
    <w:rsid w:val="00270452"/>
    <w:rsid w:val="00280C82"/>
    <w:rsid w:val="0028278E"/>
    <w:rsid w:val="002832A7"/>
    <w:rsid w:val="0028361B"/>
    <w:rsid w:val="00283DF5"/>
    <w:rsid w:val="0028403E"/>
    <w:rsid w:val="00287452"/>
    <w:rsid w:val="002901E2"/>
    <w:rsid w:val="00292238"/>
    <w:rsid w:val="00292A45"/>
    <w:rsid w:val="00293429"/>
    <w:rsid w:val="00293DE0"/>
    <w:rsid w:val="002948F8"/>
    <w:rsid w:val="00294C86"/>
    <w:rsid w:val="002956E7"/>
    <w:rsid w:val="00295F93"/>
    <w:rsid w:val="002961B4"/>
    <w:rsid w:val="00296B94"/>
    <w:rsid w:val="002A5A5C"/>
    <w:rsid w:val="002A5A81"/>
    <w:rsid w:val="002A775E"/>
    <w:rsid w:val="002B1F38"/>
    <w:rsid w:val="002B4C5B"/>
    <w:rsid w:val="002C7824"/>
    <w:rsid w:val="002C7F33"/>
    <w:rsid w:val="002D042A"/>
    <w:rsid w:val="002E0489"/>
    <w:rsid w:val="002E11C0"/>
    <w:rsid w:val="002E1341"/>
    <w:rsid w:val="002E2D67"/>
    <w:rsid w:val="002E5691"/>
    <w:rsid w:val="002E5F52"/>
    <w:rsid w:val="002F1E34"/>
    <w:rsid w:val="002F1FB4"/>
    <w:rsid w:val="002F2344"/>
    <w:rsid w:val="002F54B3"/>
    <w:rsid w:val="002F5BA2"/>
    <w:rsid w:val="002F5E96"/>
    <w:rsid w:val="002F6A72"/>
    <w:rsid w:val="003009AA"/>
    <w:rsid w:val="0030130B"/>
    <w:rsid w:val="0030134D"/>
    <w:rsid w:val="00303152"/>
    <w:rsid w:val="00303266"/>
    <w:rsid w:val="0030337B"/>
    <w:rsid w:val="00303BB4"/>
    <w:rsid w:val="00304250"/>
    <w:rsid w:val="0030441A"/>
    <w:rsid w:val="0031531E"/>
    <w:rsid w:val="00315435"/>
    <w:rsid w:val="00316BB4"/>
    <w:rsid w:val="00316E59"/>
    <w:rsid w:val="00320A17"/>
    <w:rsid w:val="00322193"/>
    <w:rsid w:val="0032290E"/>
    <w:rsid w:val="00324252"/>
    <w:rsid w:val="00326DE4"/>
    <w:rsid w:val="00326F3D"/>
    <w:rsid w:val="003310A9"/>
    <w:rsid w:val="00332946"/>
    <w:rsid w:val="0033574C"/>
    <w:rsid w:val="0033639B"/>
    <w:rsid w:val="003366D6"/>
    <w:rsid w:val="00336BE5"/>
    <w:rsid w:val="00341350"/>
    <w:rsid w:val="00342CFD"/>
    <w:rsid w:val="00343343"/>
    <w:rsid w:val="003439C2"/>
    <w:rsid w:val="00345C8A"/>
    <w:rsid w:val="00347946"/>
    <w:rsid w:val="003504BB"/>
    <w:rsid w:val="00351589"/>
    <w:rsid w:val="0035429E"/>
    <w:rsid w:val="003544DE"/>
    <w:rsid w:val="00355791"/>
    <w:rsid w:val="003575FA"/>
    <w:rsid w:val="00360D58"/>
    <w:rsid w:val="003618A8"/>
    <w:rsid w:val="0036622B"/>
    <w:rsid w:val="00367070"/>
    <w:rsid w:val="00373FB0"/>
    <w:rsid w:val="003740B4"/>
    <w:rsid w:val="003741C4"/>
    <w:rsid w:val="00376685"/>
    <w:rsid w:val="00376EA6"/>
    <w:rsid w:val="00380718"/>
    <w:rsid w:val="0038170D"/>
    <w:rsid w:val="00382021"/>
    <w:rsid w:val="00382689"/>
    <w:rsid w:val="00382D4A"/>
    <w:rsid w:val="00383061"/>
    <w:rsid w:val="003835DB"/>
    <w:rsid w:val="003872D9"/>
    <w:rsid w:val="00387702"/>
    <w:rsid w:val="00390095"/>
    <w:rsid w:val="003900BE"/>
    <w:rsid w:val="00391448"/>
    <w:rsid w:val="00391F09"/>
    <w:rsid w:val="0039641C"/>
    <w:rsid w:val="003A082D"/>
    <w:rsid w:val="003A1D9C"/>
    <w:rsid w:val="003A2D93"/>
    <w:rsid w:val="003A3A88"/>
    <w:rsid w:val="003A3A9A"/>
    <w:rsid w:val="003A6DD8"/>
    <w:rsid w:val="003B1F13"/>
    <w:rsid w:val="003B2541"/>
    <w:rsid w:val="003B25C2"/>
    <w:rsid w:val="003B54BA"/>
    <w:rsid w:val="003C0A7B"/>
    <w:rsid w:val="003C1493"/>
    <w:rsid w:val="003C2EA3"/>
    <w:rsid w:val="003C3699"/>
    <w:rsid w:val="003C549D"/>
    <w:rsid w:val="003C5578"/>
    <w:rsid w:val="003C5C5B"/>
    <w:rsid w:val="003C6DEB"/>
    <w:rsid w:val="003C788A"/>
    <w:rsid w:val="003D3AF1"/>
    <w:rsid w:val="003D6E77"/>
    <w:rsid w:val="003D74AC"/>
    <w:rsid w:val="003E0884"/>
    <w:rsid w:val="003E0D14"/>
    <w:rsid w:val="003E4247"/>
    <w:rsid w:val="003E4FE0"/>
    <w:rsid w:val="003E6189"/>
    <w:rsid w:val="003F1D2C"/>
    <w:rsid w:val="003F50C8"/>
    <w:rsid w:val="003F5FFA"/>
    <w:rsid w:val="003F6B44"/>
    <w:rsid w:val="003F707F"/>
    <w:rsid w:val="004000AB"/>
    <w:rsid w:val="00400973"/>
    <w:rsid w:val="0040116C"/>
    <w:rsid w:val="00401F06"/>
    <w:rsid w:val="00404D54"/>
    <w:rsid w:val="0040598E"/>
    <w:rsid w:val="00406471"/>
    <w:rsid w:val="00406D35"/>
    <w:rsid w:val="00407E66"/>
    <w:rsid w:val="00410EC2"/>
    <w:rsid w:val="00412AA8"/>
    <w:rsid w:val="00413592"/>
    <w:rsid w:val="00415C0E"/>
    <w:rsid w:val="0042012F"/>
    <w:rsid w:val="00420611"/>
    <w:rsid w:val="0042182B"/>
    <w:rsid w:val="00421F40"/>
    <w:rsid w:val="00422DED"/>
    <w:rsid w:val="00427AC4"/>
    <w:rsid w:val="00427D8B"/>
    <w:rsid w:val="004322B1"/>
    <w:rsid w:val="00433596"/>
    <w:rsid w:val="00435D7D"/>
    <w:rsid w:val="00435FE8"/>
    <w:rsid w:val="00443715"/>
    <w:rsid w:val="00444B5D"/>
    <w:rsid w:val="00450CB3"/>
    <w:rsid w:val="00450E5D"/>
    <w:rsid w:val="00451065"/>
    <w:rsid w:val="00457042"/>
    <w:rsid w:val="00460314"/>
    <w:rsid w:val="004604DA"/>
    <w:rsid w:val="00460BFA"/>
    <w:rsid w:val="00462748"/>
    <w:rsid w:val="00464EA9"/>
    <w:rsid w:val="00465506"/>
    <w:rsid w:val="00466C83"/>
    <w:rsid w:val="00470288"/>
    <w:rsid w:val="00470C13"/>
    <w:rsid w:val="00470D92"/>
    <w:rsid w:val="00470E1E"/>
    <w:rsid w:val="00471D25"/>
    <w:rsid w:val="00473A60"/>
    <w:rsid w:val="004772FC"/>
    <w:rsid w:val="0047730A"/>
    <w:rsid w:val="00477472"/>
    <w:rsid w:val="004809DA"/>
    <w:rsid w:val="00480A41"/>
    <w:rsid w:val="00483CAD"/>
    <w:rsid w:val="00490969"/>
    <w:rsid w:val="00497EC2"/>
    <w:rsid w:val="004A1053"/>
    <w:rsid w:val="004A19FC"/>
    <w:rsid w:val="004A2807"/>
    <w:rsid w:val="004A2C91"/>
    <w:rsid w:val="004A5A30"/>
    <w:rsid w:val="004A779D"/>
    <w:rsid w:val="004B0473"/>
    <w:rsid w:val="004B1DB3"/>
    <w:rsid w:val="004B261B"/>
    <w:rsid w:val="004B361B"/>
    <w:rsid w:val="004B40E6"/>
    <w:rsid w:val="004B4B40"/>
    <w:rsid w:val="004B66EB"/>
    <w:rsid w:val="004B6732"/>
    <w:rsid w:val="004C1A5A"/>
    <w:rsid w:val="004C1A7E"/>
    <w:rsid w:val="004C592D"/>
    <w:rsid w:val="004C600F"/>
    <w:rsid w:val="004C697A"/>
    <w:rsid w:val="004C6DF6"/>
    <w:rsid w:val="004C78CC"/>
    <w:rsid w:val="004C7C18"/>
    <w:rsid w:val="004D21A2"/>
    <w:rsid w:val="004D5FDE"/>
    <w:rsid w:val="004E0576"/>
    <w:rsid w:val="004E1B4E"/>
    <w:rsid w:val="004E2403"/>
    <w:rsid w:val="004E2853"/>
    <w:rsid w:val="004E69B8"/>
    <w:rsid w:val="004E6B4E"/>
    <w:rsid w:val="004E7A32"/>
    <w:rsid w:val="004F05AC"/>
    <w:rsid w:val="004F10C3"/>
    <w:rsid w:val="004F1922"/>
    <w:rsid w:val="004F19E6"/>
    <w:rsid w:val="004F3F88"/>
    <w:rsid w:val="004F47C6"/>
    <w:rsid w:val="004F610D"/>
    <w:rsid w:val="004F6DDD"/>
    <w:rsid w:val="004F7D6E"/>
    <w:rsid w:val="00500F1B"/>
    <w:rsid w:val="00502870"/>
    <w:rsid w:val="00503867"/>
    <w:rsid w:val="00503EEB"/>
    <w:rsid w:val="00512831"/>
    <w:rsid w:val="00513DDA"/>
    <w:rsid w:val="005170CE"/>
    <w:rsid w:val="005174A9"/>
    <w:rsid w:val="00521FA3"/>
    <w:rsid w:val="00522ACE"/>
    <w:rsid w:val="00523BC5"/>
    <w:rsid w:val="005244FB"/>
    <w:rsid w:val="005246AB"/>
    <w:rsid w:val="00525848"/>
    <w:rsid w:val="00525983"/>
    <w:rsid w:val="00526937"/>
    <w:rsid w:val="00530D31"/>
    <w:rsid w:val="00531601"/>
    <w:rsid w:val="0053195B"/>
    <w:rsid w:val="00531BD7"/>
    <w:rsid w:val="005324F2"/>
    <w:rsid w:val="00532583"/>
    <w:rsid w:val="00532828"/>
    <w:rsid w:val="00532940"/>
    <w:rsid w:val="00532AF1"/>
    <w:rsid w:val="005331BE"/>
    <w:rsid w:val="00535878"/>
    <w:rsid w:val="0053653D"/>
    <w:rsid w:val="00537A9C"/>
    <w:rsid w:val="00537F47"/>
    <w:rsid w:val="0054716B"/>
    <w:rsid w:val="00547B85"/>
    <w:rsid w:val="005500D6"/>
    <w:rsid w:val="0055208E"/>
    <w:rsid w:val="00552F7A"/>
    <w:rsid w:val="005537E4"/>
    <w:rsid w:val="005566CF"/>
    <w:rsid w:val="00556997"/>
    <w:rsid w:val="00557F7D"/>
    <w:rsid w:val="00560CD7"/>
    <w:rsid w:val="00564CE7"/>
    <w:rsid w:val="00565640"/>
    <w:rsid w:val="005659C3"/>
    <w:rsid w:val="00567012"/>
    <w:rsid w:val="00567E40"/>
    <w:rsid w:val="00571F04"/>
    <w:rsid w:val="00573747"/>
    <w:rsid w:val="00573795"/>
    <w:rsid w:val="005749D4"/>
    <w:rsid w:val="005756BB"/>
    <w:rsid w:val="00581BD5"/>
    <w:rsid w:val="00582235"/>
    <w:rsid w:val="00582A6B"/>
    <w:rsid w:val="005832F1"/>
    <w:rsid w:val="005840FE"/>
    <w:rsid w:val="00584814"/>
    <w:rsid w:val="005858D9"/>
    <w:rsid w:val="0058623F"/>
    <w:rsid w:val="00587532"/>
    <w:rsid w:val="0059135A"/>
    <w:rsid w:val="00592F7D"/>
    <w:rsid w:val="0059515B"/>
    <w:rsid w:val="00596075"/>
    <w:rsid w:val="005A03F8"/>
    <w:rsid w:val="005A1527"/>
    <w:rsid w:val="005A2AC5"/>
    <w:rsid w:val="005A2DD9"/>
    <w:rsid w:val="005A611A"/>
    <w:rsid w:val="005B1BB7"/>
    <w:rsid w:val="005B23A6"/>
    <w:rsid w:val="005B27B5"/>
    <w:rsid w:val="005B3B0D"/>
    <w:rsid w:val="005C2D79"/>
    <w:rsid w:val="005C43EF"/>
    <w:rsid w:val="005D005B"/>
    <w:rsid w:val="005D016F"/>
    <w:rsid w:val="005D1CB8"/>
    <w:rsid w:val="005D27F0"/>
    <w:rsid w:val="005D2F5A"/>
    <w:rsid w:val="005D6F17"/>
    <w:rsid w:val="005E28B5"/>
    <w:rsid w:val="005E3548"/>
    <w:rsid w:val="005E3B98"/>
    <w:rsid w:val="005E54D2"/>
    <w:rsid w:val="005E6B81"/>
    <w:rsid w:val="005E6E55"/>
    <w:rsid w:val="005F02D6"/>
    <w:rsid w:val="005F5EA4"/>
    <w:rsid w:val="005F6E1A"/>
    <w:rsid w:val="005F7949"/>
    <w:rsid w:val="0060391D"/>
    <w:rsid w:val="00604284"/>
    <w:rsid w:val="00604926"/>
    <w:rsid w:val="00606A42"/>
    <w:rsid w:val="006117F6"/>
    <w:rsid w:val="006118AD"/>
    <w:rsid w:val="00612617"/>
    <w:rsid w:val="006126E7"/>
    <w:rsid w:val="00612B0F"/>
    <w:rsid w:val="00620CA7"/>
    <w:rsid w:val="00621052"/>
    <w:rsid w:val="00623B94"/>
    <w:rsid w:val="0062473C"/>
    <w:rsid w:val="00624E94"/>
    <w:rsid w:val="00625760"/>
    <w:rsid w:val="00625F40"/>
    <w:rsid w:val="0062630C"/>
    <w:rsid w:val="006301E7"/>
    <w:rsid w:val="00631835"/>
    <w:rsid w:val="00631D99"/>
    <w:rsid w:val="00631FE9"/>
    <w:rsid w:val="006343DE"/>
    <w:rsid w:val="00634FB8"/>
    <w:rsid w:val="00635836"/>
    <w:rsid w:val="00635C32"/>
    <w:rsid w:val="006365D6"/>
    <w:rsid w:val="00637854"/>
    <w:rsid w:val="00640DD3"/>
    <w:rsid w:val="00641A7B"/>
    <w:rsid w:val="0064377F"/>
    <w:rsid w:val="00644414"/>
    <w:rsid w:val="0064518E"/>
    <w:rsid w:val="0064553E"/>
    <w:rsid w:val="00646921"/>
    <w:rsid w:val="00652EB3"/>
    <w:rsid w:val="00656994"/>
    <w:rsid w:val="00657E13"/>
    <w:rsid w:val="006605A3"/>
    <w:rsid w:val="00661C02"/>
    <w:rsid w:val="00663D12"/>
    <w:rsid w:val="00664373"/>
    <w:rsid w:val="00665243"/>
    <w:rsid w:val="00665C84"/>
    <w:rsid w:val="00667463"/>
    <w:rsid w:val="006675C0"/>
    <w:rsid w:val="006729B9"/>
    <w:rsid w:val="00673205"/>
    <w:rsid w:val="00673E4D"/>
    <w:rsid w:val="00675A47"/>
    <w:rsid w:val="00677848"/>
    <w:rsid w:val="00677E3B"/>
    <w:rsid w:val="0068131B"/>
    <w:rsid w:val="00683C6C"/>
    <w:rsid w:val="006851B6"/>
    <w:rsid w:val="00685479"/>
    <w:rsid w:val="00685741"/>
    <w:rsid w:val="006868B2"/>
    <w:rsid w:val="006915D1"/>
    <w:rsid w:val="0069349E"/>
    <w:rsid w:val="00693DEF"/>
    <w:rsid w:val="0069406A"/>
    <w:rsid w:val="00694993"/>
    <w:rsid w:val="00694A13"/>
    <w:rsid w:val="00695546"/>
    <w:rsid w:val="00697B71"/>
    <w:rsid w:val="006A05D4"/>
    <w:rsid w:val="006A6761"/>
    <w:rsid w:val="006A67F5"/>
    <w:rsid w:val="006B0124"/>
    <w:rsid w:val="006B23B3"/>
    <w:rsid w:val="006B2A9F"/>
    <w:rsid w:val="006B4036"/>
    <w:rsid w:val="006C0A22"/>
    <w:rsid w:val="006C1D69"/>
    <w:rsid w:val="006C661D"/>
    <w:rsid w:val="006C6800"/>
    <w:rsid w:val="006C7D29"/>
    <w:rsid w:val="006D6E6B"/>
    <w:rsid w:val="006D6FFB"/>
    <w:rsid w:val="006E010C"/>
    <w:rsid w:val="006E0659"/>
    <w:rsid w:val="006E1A66"/>
    <w:rsid w:val="006E3981"/>
    <w:rsid w:val="006E4771"/>
    <w:rsid w:val="006E5519"/>
    <w:rsid w:val="006E6209"/>
    <w:rsid w:val="006E69C8"/>
    <w:rsid w:val="006F0833"/>
    <w:rsid w:val="006F1DC9"/>
    <w:rsid w:val="006F25BA"/>
    <w:rsid w:val="006F2ABC"/>
    <w:rsid w:val="006F67D8"/>
    <w:rsid w:val="007018BB"/>
    <w:rsid w:val="007034F3"/>
    <w:rsid w:val="007101E7"/>
    <w:rsid w:val="007105DF"/>
    <w:rsid w:val="00710AA6"/>
    <w:rsid w:val="0071281A"/>
    <w:rsid w:val="00713BFE"/>
    <w:rsid w:val="007148B8"/>
    <w:rsid w:val="00714F1A"/>
    <w:rsid w:val="0071584A"/>
    <w:rsid w:val="00717336"/>
    <w:rsid w:val="00721D2D"/>
    <w:rsid w:val="007228E2"/>
    <w:rsid w:val="0072297F"/>
    <w:rsid w:val="00723178"/>
    <w:rsid w:val="007234CE"/>
    <w:rsid w:val="00723AC5"/>
    <w:rsid w:val="0072428A"/>
    <w:rsid w:val="007246EA"/>
    <w:rsid w:val="00725115"/>
    <w:rsid w:val="0072744C"/>
    <w:rsid w:val="00727995"/>
    <w:rsid w:val="00732365"/>
    <w:rsid w:val="00732BF7"/>
    <w:rsid w:val="00733D25"/>
    <w:rsid w:val="00735CDC"/>
    <w:rsid w:val="00740F88"/>
    <w:rsid w:val="007416CF"/>
    <w:rsid w:val="007443F3"/>
    <w:rsid w:val="00746996"/>
    <w:rsid w:val="00747124"/>
    <w:rsid w:val="00747161"/>
    <w:rsid w:val="0075090F"/>
    <w:rsid w:val="007523D7"/>
    <w:rsid w:val="0075250F"/>
    <w:rsid w:val="00752A67"/>
    <w:rsid w:val="00753D36"/>
    <w:rsid w:val="00753E09"/>
    <w:rsid w:val="0075578A"/>
    <w:rsid w:val="00755BFE"/>
    <w:rsid w:val="00757383"/>
    <w:rsid w:val="0076156C"/>
    <w:rsid w:val="00762816"/>
    <w:rsid w:val="00763717"/>
    <w:rsid w:val="00764E17"/>
    <w:rsid w:val="007653A9"/>
    <w:rsid w:val="00765C97"/>
    <w:rsid w:val="00765DB7"/>
    <w:rsid w:val="00766FAD"/>
    <w:rsid w:val="007675BF"/>
    <w:rsid w:val="0077068A"/>
    <w:rsid w:val="007721DC"/>
    <w:rsid w:val="00774453"/>
    <w:rsid w:val="00775DC2"/>
    <w:rsid w:val="00775F81"/>
    <w:rsid w:val="00780900"/>
    <w:rsid w:val="00780A1A"/>
    <w:rsid w:val="0078138B"/>
    <w:rsid w:val="0078197F"/>
    <w:rsid w:val="00782489"/>
    <w:rsid w:val="007830C7"/>
    <w:rsid w:val="0078415A"/>
    <w:rsid w:val="00785DEF"/>
    <w:rsid w:val="007867C4"/>
    <w:rsid w:val="007869FB"/>
    <w:rsid w:val="007872AF"/>
    <w:rsid w:val="00787317"/>
    <w:rsid w:val="00787B26"/>
    <w:rsid w:val="0079285F"/>
    <w:rsid w:val="007A03A7"/>
    <w:rsid w:val="007A07A2"/>
    <w:rsid w:val="007A39B6"/>
    <w:rsid w:val="007A3CD1"/>
    <w:rsid w:val="007A64D9"/>
    <w:rsid w:val="007A7427"/>
    <w:rsid w:val="007B1FB1"/>
    <w:rsid w:val="007B495C"/>
    <w:rsid w:val="007B4F53"/>
    <w:rsid w:val="007B6273"/>
    <w:rsid w:val="007B79F6"/>
    <w:rsid w:val="007B7F95"/>
    <w:rsid w:val="007C0A25"/>
    <w:rsid w:val="007C1A08"/>
    <w:rsid w:val="007C3E89"/>
    <w:rsid w:val="007C3FFE"/>
    <w:rsid w:val="007C48DB"/>
    <w:rsid w:val="007C6BAA"/>
    <w:rsid w:val="007D0448"/>
    <w:rsid w:val="007D234B"/>
    <w:rsid w:val="007D4301"/>
    <w:rsid w:val="007D7044"/>
    <w:rsid w:val="007E1393"/>
    <w:rsid w:val="007E1608"/>
    <w:rsid w:val="007E233D"/>
    <w:rsid w:val="007E2D14"/>
    <w:rsid w:val="007E4077"/>
    <w:rsid w:val="007E50E2"/>
    <w:rsid w:val="007E51FC"/>
    <w:rsid w:val="007E5A2F"/>
    <w:rsid w:val="007E7125"/>
    <w:rsid w:val="007F023B"/>
    <w:rsid w:val="007F02EC"/>
    <w:rsid w:val="007F124C"/>
    <w:rsid w:val="007F23D8"/>
    <w:rsid w:val="007F2500"/>
    <w:rsid w:val="007F3141"/>
    <w:rsid w:val="007F446B"/>
    <w:rsid w:val="007F4548"/>
    <w:rsid w:val="007F64D4"/>
    <w:rsid w:val="007F6CE5"/>
    <w:rsid w:val="007F73AF"/>
    <w:rsid w:val="00803FB5"/>
    <w:rsid w:val="00804378"/>
    <w:rsid w:val="00804518"/>
    <w:rsid w:val="00804DDC"/>
    <w:rsid w:val="00807395"/>
    <w:rsid w:val="0081155E"/>
    <w:rsid w:val="008134E8"/>
    <w:rsid w:val="008144D4"/>
    <w:rsid w:val="0081718A"/>
    <w:rsid w:val="00821174"/>
    <w:rsid w:val="00822056"/>
    <w:rsid w:val="008237BB"/>
    <w:rsid w:val="00823F5D"/>
    <w:rsid w:val="00823FE6"/>
    <w:rsid w:val="008250D7"/>
    <w:rsid w:val="00825E17"/>
    <w:rsid w:val="008269DF"/>
    <w:rsid w:val="008272F2"/>
    <w:rsid w:val="00833405"/>
    <w:rsid w:val="0083597A"/>
    <w:rsid w:val="00836043"/>
    <w:rsid w:val="0084237D"/>
    <w:rsid w:val="008449A5"/>
    <w:rsid w:val="008518A2"/>
    <w:rsid w:val="008560BE"/>
    <w:rsid w:val="008565F4"/>
    <w:rsid w:val="00857508"/>
    <w:rsid w:val="00861163"/>
    <w:rsid w:val="008625D2"/>
    <w:rsid w:val="00864E87"/>
    <w:rsid w:val="00865C69"/>
    <w:rsid w:val="008701A4"/>
    <w:rsid w:val="00871378"/>
    <w:rsid w:val="00871527"/>
    <w:rsid w:val="00872059"/>
    <w:rsid w:val="0087276B"/>
    <w:rsid w:val="008769D3"/>
    <w:rsid w:val="0088210E"/>
    <w:rsid w:val="00882202"/>
    <w:rsid w:val="008823BE"/>
    <w:rsid w:val="00883D0D"/>
    <w:rsid w:val="00886410"/>
    <w:rsid w:val="00887154"/>
    <w:rsid w:val="00890545"/>
    <w:rsid w:val="0089231F"/>
    <w:rsid w:val="0089325A"/>
    <w:rsid w:val="00894CD9"/>
    <w:rsid w:val="00894E68"/>
    <w:rsid w:val="0089665D"/>
    <w:rsid w:val="00897914"/>
    <w:rsid w:val="008A1339"/>
    <w:rsid w:val="008A174B"/>
    <w:rsid w:val="008A2250"/>
    <w:rsid w:val="008A4D96"/>
    <w:rsid w:val="008A54F5"/>
    <w:rsid w:val="008A5CE7"/>
    <w:rsid w:val="008A7E62"/>
    <w:rsid w:val="008B00C6"/>
    <w:rsid w:val="008B1E76"/>
    <w:rsid w:val="008B2AE0"/>
    <w:rsid w:val="008B3036"/>
    <w:rsid w:val="008B3462"/>
    <w:rsid w:val="008B48E8"/>
    <w:rsid w:val="008B67AB"/>
    <w:rsid w:val="008B6CE8"/>
    <w:rsid w:val="008B6DB1"/>
    <w:rsid w:val="008C0912"/>
    <w:rsid w:val="008C134E"/>
    <w:rsid w:val="008C14EF"/>
    <w:rsid w:val="008C2373"/>
    <w:rsid w:val="008C7F64"/>
    <w:rsid w:val="008D09BF"/>
    <w:rsid w:val="008D1D68"/>
    <w:rsid w:val="008D244F"/>
    <w:rsid w:val="008D2E33"/>
    <w:rsid w:val="008D4827"/>
    <w:rsid w:val="008D5858"/>
    <w:rsid w:val="008D5F2E"/>
    <w:rsid w:val="008D7CA5"/>
    <w:rsid w:val="008E12EF"/>
    <w:rsid w:val="008F022F"/>
    <w:rsid w:val="008F0B5A"/>
    <w:rsid w:val="008F0D7C"/>
    <w:rsid w:val="008F175F"/>
    <w:rsid w:val="008F362D"/>
    <w:rsid w:val="008F47F4"/>
    <w:rsid w:val="008F590E"/>
    <w:rsid w:val="008F6A11"/>
    <w:rsid w:val="008F719C"/>
    <w:rsid w:val="008F7A93"/>
    <w:rsid w:val="00900A5D"/>
    <w:rsid w:val="009011A3"/>
    <w:rsid w:val="00901919"/>
    <w:rsid w:val="00901CDD"/>
    <w:rsid w:val="00903436"/>
    <w:rsid w:val="00903E88"/>
    <w:rsid w:val="00904F78"/>
    <w:rsid w:val="00907537"/>
    <w:rsid w:val="00910B34"/>
    <w:rsid w:val="009114C6"/>
    <w:rsid w:val="00912474"/>
    <w:rsid w:val="0091254D"/>
    <w:rsid w:val="00912D8C"/>
    <w:rsid w:val="009130E0"/>
    <w:rsid w:val="00913187"/>
    <w:rsid w:val="00913A94"/>
    <w:rsid w:val="009152CE"/>
    <w:rsid w:val="009160D3"/>
    <w:rsid w:val="00916CA6"/>
    <w:rsid w:val="00916D93"/>
    <w:rsid w:val="00923306"/>
    <w:rsid w:val="00925404"/>
    <w:rsid w:val="0092590C"/>
    <w:rsid w:val="009260C0"/>
    <w:rsid w:val="009270FC"/>
    <w:rsid w:val="00927C81"/>
    <w:rsid w:val="00934348"/>
    <w:rsid w:val="00936CEE"/>
    <w:rsid w:val="0094137C"/>
    <w:rsid w:val="00943BFC"/>
    <w:rsid w:val="00945A85"/>
    <w:rsid w:val="009467B1"/>
    <w:rsid w:val="0094755E"/>
    <w:rsid w:val="00951EDD"/>
    <w:rsid w:val="009520F4"/>
    <w:rsid w:val="00952626"/>
    <w:rsid w:val="00954F76"/>
    <w:rsid w:val="00956C3D"/>
    <w:rsid w:val="009576BE"/>
    <w:rsid w:val="0095799F"/>
    <w:rsid w:val="00957C3C"/>
    <w:rsid w:val="00961CA7"/>
    <w:rsid w:val="00963706"/>
    <w:rsid w:val="00964212"/>
    <w:rsid w:val="00964398"/>
    <w:rsid w:val="0096512C"/>
    <w:rsid w:val="00965D82"/>
    <w:rsid w:val="009662B2"/>
    <w:rsid w:val="00970F35"/>
    <w:rsid w:val="0097268A"/>
    <w:rsid w:val="0097376C"/>
    <w:rsid w:val="009741A6"/>
    <w:rsid w:val="00976C1A"/>
    <w:rsid w:val="00981689"/>
    <w:rsid w:val="009822C5"/>
    <w:rsid w:val="00984DFC"/>
    <w:rsid w:val="00984F24"/>
    <w:rsid w:val="00991BB8"/>
    <w:rsid w:val="009927BC"/>
    <w:rsid w:val="009962CE"/>
    <w:rsid w:val="009A1B89"/>
    <w:rsid w:val="009A260A"/>
    <w:rsid w:val="009A2E89"/>
    <w:rsid w:val="009A368D"/>
    <w:rsid w:val="009A7A36"/>
    <w:rsid w:val="009A7D6E"/>
    <w:rsid w:val="009B2604"/>
    <w:rsid w:val="009B2B18"/>
    <w:rsid w:val="009B35AA"/>
    <w:rsid w:val="009B4E0C"/>
    <w:rsid w:val="009B6858"/>
    <w:rsid w:val="009B697E"/>
    <w:rsid w:val="009B7340"/>
    <w:rsid w:val="009C3564"/>
    <w:rsid w:val="009C4CDB"/>
    <w:rsid w:val="009C5FD4"/>
    <w:rsid w:val="009C69C3"/>
    <w:rsid w:val="009D09D6"/>
    <w:rsid w:val="009D136B"/>
    <w:rsid w:val="009D275C"/>
    <w:rsid w:val="009D2DE4"/>
    <w:rsid w:val="009D3B28"/>
    <w:rsid w:val="009D4B64"/>
    <w:rsid w:val="009D5B72"/>
    <w:rsid w:val="009D5EDE"/>
    <w:rsid w:val="009D67CA"/>
    <w:rsid w:val="009D73BC"/>
    <w:rsid w:val="009E06C1"/>
    <w:rsid w:val="009E3CDF"/>
    <w:rsid w:val="009E79C4"/>
    <w:rsid w:val="009F003B"/>
    <w:rsid w:val="009F2349"/>
    <w:rsid w:val="009F301E"/>
    <w:rsid w:val="009F4659"/>
    <w:rsid w:val="00A0148E"/>
    <w:rsid w:val="00A02AB1"/>
    <w:rsid w:val="00A0326B"/>
    <w:rsid w:val="00A03C2A"/>
    <w:rsid w:val="00A075D7"/>
    <w:rsid w:val="00A118EA"/>
    <w:rsid w:val="00A12AD7"/>
    <w:rsid w:val="00A1525D"/>
    <w:rsid w:val="00A1530D"/>
    <w:rsid w:val="00A15EE4"/>
    <w:rsid w:val="00A165DF"/>
    <w:rsid w:val="00A17769"/>
    <w:rsid w:val="00A17961"/>
    <w:rsid w:val="00A17C33"/>
    <w:rsid w:val="00A20535"/>
    <w:rsid w:val="00A214E8"/>
    <w:rsid w:val="00A22DAA"/>
    <w:rsid w:val="00A235BE"/>
    <w:rsid w:val="00A2420E"/>
    <w:rsid w:val="00A254C3"/>
    <w:rsid w:val="00A312E6"/>
    <w:rsid w:val="00A31370"/>
    <w:rsid w:val="00A33247"/>
    <w:rsid w:val="00A37D7A"/>
    <w:rsid w:val="00A4281F"/>
    <w:rsid w:val="00A44636"/>
    <w:rsid w:val="00A448FD"/>
    <w:rsid w:val="00A51CE9"/>
    <w:rsid w:val="00A562DE"/>
    <w:rsid w:val="00A5706E"/>
    <w:rsid w:val="00A578D8"/>
    <w:rsid w:val="00A61614"/>
    <w:rsid w:val="00A6319E"/>
    <w:rsid w:val="00A633F8"/>
    <w:rsid w:val="00A6499F"/>
    <w:rsid w:val="00A652D0"/>
    <w:rsid w:val="00A660F6"/>
    <w:rsid w:val="00A66629"/>
    <w:rsid w:val="00A67747"/>
    <w:rsid w:val="00A70E7E"/>
    <w:rsid w:val="00A71EAD"/>
    <w:rsid w:val="00A73F78"/>
    <w:rsid w:val="00A75FA8"/>
    <w:rsid w:val="00A76419"/>
    <w:rsid w:val="00A76AB4"/>
    <w:rsid w:val="00A76C18"/>
    <w:rsid w:val="00A7741F"/>
    <w:rsid w:val="00A7759C"/>
    <w:rsid w:val="00A81F77"/>
    <w:rsid w:val="00A82033"/>
    <w:rsid w:val="00A826B5"/>
    <w:rsid w:val="00A838B7"/>
    <w:rsid w:val="00A854FE"/>
    <w:rsid w:val="00A8772C"/>
    <w:rsid w:val="00A87AF7"/>
    <w:rsid w:val="00A9021D"/>
    <w:rsid w:val="00A905C5"/>
    <w:rsid w:val="00A90D79"/>
    <w:rsid w:val="00A92D58"/>
    <w:rsid w:val="00A93276"/>
    <w:rsid w:val="00A94395"/>
    <w:rsid w:val="00A9508F"/>
    <w:rsid w:val="00A9534B"/>
    <w:rsid w:val="00A96A96"/>
    <w:rsid w:val="00AA2212"/>
    <w:rsid w:val="00AA3B38"/>
    <w:rsid w:val="00AB0350"/>
    <w:rsid w:val="00AB2A65"/>
    <w:rsid w:val="00AB4450"/>
    <w:rsid w:val="00AB4538"/>
    <w:rsid w:val="00AB636D"/>
    <w:rsid w:val="00AC1291"/>
    <w:rsid w:val="00AC2043"/>
    <w:rsid w:val="00AC38DC"/>
    <w:rsid w:val="00AC4DC8"/>
    <w:rsid w:val="00AC5BB4"/>
    <w:rsid w:val="00AD1F0D"/>
    <w:rsid w:val="00AD2493"/>
    <w:rsid w:val="00AD3C9A"/>
    <w:rsid w:val="00AD3D51"/>
    <w:rsid w:val="00AD4D2F"/>
    <w:rsid w:val="00AD6030"/>
    <w:rsid w:val="00AD7C81"/>
    <w:rsid w:val="00AE0BC6"/>
    <w:rsid w:val="00AE3374"/>
    <w:rsid w:val="00AE34FC"/>
    <w:rsid w:val="00AE3D5E"/>
    <w:rsid w:val="00AE4ECF"/>
    <w:rsid w:val="00AE5469"/>
    <w:rsid w:val="00AE568F"/>
    <w:rsid w:val="00AE70C5"/>
    <w:rsid w:val="00AE74A5"/>
    <w:rsid w:val="00AE7C35"/>
    <w:rsid w:val="00AF0E29"/>
    <w:rsid w:val="00AF132C"/>
    <w:rsid w:val="00AF3409"/>
    <w:rsid w:val="00AF489A"/>
    <w:rsid w:val="00AF4EDD"/>
    <w:rsid w:val="00AF5134"/>
    <w:rsid w:val="00AF793C"/>
    <w:rsid w:val="00B00685"/>
    <w:rsid w:val="00B010A2"/>
    <w:rsid w:val="00B03C7A"/>
    <w:rsid w:val="00B06472"/>
    <w:rsid w:val="00B0738E"/>
    <w:rsid w:val="00B07FD1"/>
    <w:rsid w:val="00B1110B"/>
    <w:rsid w:val="00B119F8"/>
    <w:rsid w:val="00B123B0"/>
    <w:rsid w:val="00B12D41"/>
    <w:rsid w:val="00B12FB4"/>
    <w:rsid w:val="00B13906"/>
    <w:rsid w:val="00B147B5"/>
    <w:rsid w:val="00B172C3"/>
    <w:rsid w:val="00B17B93"/>
    <w:rsid w:val="00B17C14"/>
    <w:rsid w:val="00B24BD2"/>
    <w:rsid w:val="00B24DA0"/>
    <w:rsid w:val="00B26629"/>
    <w:rsid w:val="00B27EF1"/>
    <w:rsid w:val="00B304DB"/>
    <w:rsid w:val="00B30AE4"/>
    <w:rsid w:val="00B31A20"/>
    <w:rsid w:val="00B31B07"/>
    <w:rsid w:val="00B365CF"/>
    <w:rsid w:val="00B3696B"/>
    <w:rsid w:val="00B40CE6"/>
    <w:rsid w:val="00B43E7A"/>
    <w:rsid w:val="00B442DF"/>
    <w:rsid w:val="00B44951"/>
    <w:rsid w:val="00B455F8"/>
    <w:rsid w:val="00B45C8B"/>
    <w:rsid w:val="00B46291"/>
    <w:rsid w:val="00B47437"/>
    <w:rsid w:val="00B47CC0"/>
    <w:rsid w:val="00B50390"/>
    <w:rsid w:val="00B513BE"/>
    <w:rsid w:val="00B537E3"/>
    <w:rsid w:val="00B55604"/>
    <w:rsid w:val="00B559F4"/>
    <w:rsid w:val="00B55D3D"/>
    <w:rsid w:val="00B56F9A"/>
    <w:rsid w:val="00B57FAD"/>
    <w:rsid w:val="00B600BD"/>
    <w:rsid w:val="00B605B1"/>
    <w:rsid w:val="00B60C51"/>
    <w:rsid w:val="00B615A8"/>
    <w:rsid w:val="00B620C3"/>
    <w:rsid w:val="00B62391"/>
    <w:rsid w:val="00B63C45"/>
    <w:rsid w:val="00B63E0C"/>
    <w:rsid w:val="00B659E1"/>
    <w:rsid w:val="00B66FD4"/>
    <w:rsid w:val="00B67A5F"/>
    <w:rsid w:val="00B7040D"/>
    <w:rsid w:val="00B7152A"/>
    <w:rsid w:val="00B72EE2"/>
    <w:rsid w:val="00B738CB"/>
    <w:rsid w:val="00B7772D"/>
    <w:rsid w:val="00B809BD"/>
    <w:rsid w:val="00B81175"/>
    <w:rsid w:val="00B832FE"/>
    <w:rsid w:val="00B83B11"/>
    <w:rsid w:val="00B83EB7"/>
    <w:rsid w:val="00B845BF"/>
    <w:rsid w:val="00B86294"/>
    <w:rsid w:val="00B863AD"/>
    <w:rsid w:val="00B86C61"/>
    <w:rsid w:val="00B9097C"/>
    <w:rsid w:val="00B91243"/>
    <w:rsid w:val="00B9191E"/>
    <w:rsid w:val="00B9499A"/>
    <w:rsid w:val="00B95639"/>
    <w:rsid w:val="00B96F0D"/>
    <w:rsid w:val="00BA020A"/>
    <w:rsid w:val="00BA0672"/>
    <w:rsid w:val="00BA218F"/>
    <w:rsid w:val="00BA557E"/>
    <w:rsid w:val="00BA5E68"/>
    <w:rsid w:val="00BA6589"/>
    <w:rsid w:val="00BA70B8"/>
    <w:rsid w:val="00BA77B6"/>
    <w:rsid w:val="00BA7C58"/>
    <w:rsid w:val="00BB254A"/>
    <w:rsid w:val="00BB5B98"/>
    <w:rsid w:val="00BB668D"/>
    <w:rsid w:val="00BB7CD9"/>
    <w:rsid w:val="00BC12C6"/>
    <w:rsid w:val="00BC12E9"/>
    <w:rsid w:val="00BC13E0"/>
    <w:rsid w:val="00BC19FE"/>
    <w:rsid w:val="00BC2FD4"/>
    <w:rsid w:val="00BC3D02"/>
    <w:rsid w:val="00BC4D61"/>
    <w:rsid w:val="00BC775A"/>
    <w:rsid w:val="00BD1A81"/>
    <w:rsid w:val="00BD32EE"/>
    <w:rsid w:val="00BE02F1"/>
    <w:rsid w:val="00BE2FA4"/>
    <w:rsid w:val="00BE3553"/>
    <w:rsid w:val="00BE4E97"/>
    <w:rsid w:val="00BE6A30"/>
    <w:rsid w:val="00BF1E43"/>
    <w:rsid w:val="00BF22A1"/>
    <w:rsid w:val="00BF269E"/>
    <w:rsid w:val="00BF2BEC"/>
    <w:rsid w:val="00BF551F"/>
    <w:rsid w:val="00BF73E7"/>
    <w:rsid w:val="00BF7820"/>
    <w:rsid w:val="00BF7D7E"/>
    <w:rsid w:val="00C0290E"/>
    <w:rsid w:val="00C046C0"/>
    <w:rsid w:val="00C0608E"/>
    <w:rsid w:val="00C06ABA"/>
    <w:rsid w:val="00C0755A"/>
    <w:rsid w:val="00C079A3"/>
    <w:rsid w:val="00C107D9"/>
    <w:rsid w:val="00C11602"/>
    <w:rsid w:val="00C1283F"/>
    <w:rsid w:val="00C1389C"/>
    <w:rsid w:val="00C147DD"/>
    <w:rsid w:val="00C15DA4"/>
    <w:rsid w:val="00C15DCE"/>
    <w:rsid w:val="00C17006"/>
    <w:rsid w:val="00C17937"/>
    <w:rsid w:val="00C1793E"/>
    <w:rsid w:val="00C22AB8"/>
    <w:rsid w:val="00C22F56"/>
    <w:rsid w:val="00C24BB1"/>
    <w:rsid w:val="00C264AC"/>
    <w:rsid w:val="00C267FD"/>
    <w:rsid w:val="00C276F7"/>
    <w:rsid w:val="00C30306"/>
    <w:rsid w:val="00C31B6E"/>
    <w:rsid w:val="00C35F6A"/>
    <w:rsid w:val="00C36454"/>
    <w:rsid w:val="00C374D2"/>
    <w:rsid w:val="00C3789C"/>
    <w:rsid w:val="00C37CB4"/>
    <w:rsid w:val="00C4063C"/>
    <w:rsid w:val="00C41565"/>
    <w:rsid w:val="00C41989"/>
    <w:rsid w:val="00C42229"/>
    <w:rsid w:val="00C42326"/>
    <w:rsid w:val="00C42B56"/>
    <w:rsid w:val="00C42C80"/>
    <w:rsid w:val="00C43B37"/>
    <w:rsid w:val="00C450D5"/>
    <w:rsid w:val="00C458DC"/>
    <w:rsid w:val="00C46227"/>
    <w:rsid w:val="00C46638"/>
    <w:rsid w:val="00C46B31"/>
    <w:rsid w:val="00C53D61"/>
    <w:rsid w:val="00C54526"/>
    <w:rsid w:val="00C5692F"/>
    <w:rsid w:val="00C578DA"/>
    <w:rsid w:val="00C57A90"/>
    <w:rsid w:val="00C612A8"/>
    <w:rsid w:val="00C61587"/>
    <w:rsid w:val="00C669FB"/>
    <w:rsid w:val="00C66BF9"/>
    <w:rsid w:val="00C672E8"/>
    <w:rsid w:val="00C67365"/>
    <w:rsid w:val="00C70F0A"/>
    <w:rsid w:val="00C719AC"/>
    <w:rsid w:val="00C77D9D"/>
    <w:rsid w:val="00C81DA4"/>
    <w:rsid w:val="00C823E9"/>
    <w:rsid w:val="00C829FC"/>
    <w:rsid w:val="00C82C78"/>
    <w:rsid w:val="00C833E3"/>
    <w:rsid w:val="00C8623A"/>
    <w:rsid w:val="00C871B0"/>
    <w:rsid w:val="00C873CE"/>
    <w:rsid w:val="00C90670"/>
    <w:rsid w:val="00C909CA"/>
    <w:rsid w:val="00C93422"/>
    <w:rsid w:val="00C93679"/>
    <w:rsid w:val="00C958FA"/>
    <w:rsid w:val="00CA227B"/>
    <w:rsid w:val="00CA50ED"/>
    <w:rsid w:val="00CA526C"/>
    <w:rsid w:val="00CA5D9C"/>
    <w:rsid w:val="00CA736E"/>
    <w:rsid w:val="00CA74F1"/>
    <w:rsid w:val="00CB190D"/>
    <w:rsid w:val="00CB1BCF"/>
    <w:rsid w:val="00CB546E"/>
    <w:rsid w:val="00CB5BC1"/>
    <w:rsid w:val="00CB61FE"/>
    <w:rsid w:val="00CB62D1"/>
    <w:rsid w:val="00CB7F2F"/>
    <w:rsid w:val="00CC3469"/>
    <w:rsid w:val="00CC489C"/>
    <w:rsid w:val="00CC6B7C"/>
    <w:rsid w:val="00CC705E"/>
    <w:rsid w:val="00CC74E6"/>
    <w:rsid w:val="00CC7DBD"/>
    <w:rsid w:val="00CD04AA"/>
    <w:rsid w:val="00CD0E09"/>
    <w:rsid w:val="00CD4550"/>
    <w:rsid w:val="00CD4655"/>
    <w:rsid w:val="00CD528A"/>
    <w:rsid w:val="00CD6F27"/>
    <w:rsid w:val="00CD6F89"/>
    <w:rsid w:val="00CD7FFA"/>
    <w:rsid w:val="00CE06D2"/>
    <w:rsid w:val="00CE06EE"/>
    <w:rsid w:val="00CE2255"/>
    <w:rsid w:val="00CE3309"/>
    <w:rsid w:val="00CE49D0"/>
    <w:rsid w:val="00CE5C27"/>
    <w:rsid w:val="00CE71A4"/>
    <w:rsid w:val="00CE74B1"/>
    <w:rsid w:val="00CF13E5"/>
    <w:rsid w:val="00CF178C"/>
    <w:rsid w:val="00CF17DA"/>
    <w:rsid w:val="00CF1F47"/>
    <w:rsid w:val="00CF3FFF"/>
    <w:rsid w:val="00CF4140"/>
    <w:rsid w:val="00CF6275"/>
    <w:rsid w:val="00D00B9A"/>
    <w:rsid w:val="00D00DF8"/>
    <w:rsid w:val="00D03332"/>
    <w:rsid w:val="00D07340"/>
    <w:rsid w:val="00D1416C"/>
    <w:rsid w:val="00D15596"/>
    <w:rsid w:val="00D17855"/>
    <w:rsid w:val="00D22FA5"/>
    <w:rsid w:val="00D2632C"/>
    <w:rsid w:val="00D26E74"/>
    <w:rsid w:val="00D30443"/>
    <w:rsid w:val="00D312F3"/>
    <w:rsid w:val="00D324A8"/>
    <w:rsid w:val="00D32C8E"/>
    <w:rsid w:val="00D33695"/>
    <w:rsid w:val="00D349D6"/>
    <w:rsid w:val="00D35FC5"/>
    <w:rsid w:val="00D3664C"/>
    <w:rsid w:val="00D40B9E"/>
    <w:rsid w:val="00D41FB2"/>
    <w:rsid w:val="00D44EBE"/>
    <w:rsid w:val="00D508DD"/>
    <w:rsid w:val="00D52D5D"/>
    <w:rsid w:val="00D537B0"/>
    <w:rsid w:val="00D541EC"/>
    <w:rsid w:val="00D555F3"/>
    <w:rsid w:val="00D574DA"/>
    <w:rsid w:val="00D600AF"/>
    <w:rsid w:val="00D61E86"/>
    <w:rsid w:val="00D628A1"/>
    <w:rsid w:val="00D63239"/>
    <w:rsid w:val="00D6619E"/>
    <w:rsid w:val="00D66289"/>
    <w:rsid w:val="00D67DC9"/>
    <w:rsid w:val="00D71AAD"/>
    <w:rsid w:val="00D72A3C"/>
    <w:rsid w:val="00D72DD8"/>
    <w:rsid w:val="00D740E6"/>
    <w:rsid w:val="00D75D54"/>
    <w:rsid w:val="00D76A16"/>
    <w:rsid w:val="00D76C00"/>
    <w:rsid w:val="00D82265"/>
    <w:rsid w:val="00D82681"/>
    <w:rsid w:val="00D84895"/>
    <w:rsid w:val="00D91E46"/>
    <w:rsid w:val="00D92404"/>
    <w:rsid w:val="00D924C1"/>
    <w:rsid w:val="00D93252"/>
    <w:rsid w:val="00D9418A"/>
    <w:rsid w:val="00D96374"/>
    <w:rsid w:val="00D97634"/>
    <w:rsid w:val="00DA053B"/>
    <w:rsid w:val="00DA091E"/>
    <w:rsid w:val="00DA216B"/>
    <w:rsid w:val="00DA2BBE"/>
    <w:rsid w:val="00DA3091"/>
    <w:rsid w:val="00DA7DD8"/>
    <w:rsid w:val="00DB2286"/>
    <w:rsid w:val="00DB28FE"/>
    <w:rsid w:val="00DB5D73"/>
    <w:rsid w:val="00DB7322"/>
    <w:rsid w:val="00DC0C7E"/>
    <w:rsid w:val="00DC25A0"/>
    <w:rsid w:val="00DC2CFB"/>
    <w:rsid w:val="00DC2D82"/>
    <w:rsid w:val="00DC3252"/>
    <w:rsid w:val="00DC432E"/>
    <w:rsid w:val="00DC4421"/>
    <w:rsid w:val="00DD07D4"/>
    <w:rsid w:val="00DD12BD"/>
    <w:rsid w:val="00DD3F90"/>
    <w:rsid w:val="00DD41D2"/>
    <w:rsid w:val="00DD46D5"/>
    <w:rsid w:val="00DD4A57"/>
    <w:rsid w:val="00DD50FB"/>
    <w:rsid w:val="00DD5523"/>
    <w:rsid w:val="00DD5758"/>
    <w:rsid w:val="00DD5DA7"/>
    <w:rsid w:val="00DD77C7"/>
    <w:rsid w:val="00DD7817"/>
    <w:rsid w:val="00DD7B1A"/>
    <w:rsid w:val="00DD7DF6"/>
    <w:rsid w:val="00DE084F"/>
    <w:rsid w:val="00DE2C51"/>
    <w:rsid w:val="00DE306A"/>
    <w:rsid w:val="00DE6596"/>
    <w:rsid w:val="00DE7A87"/>
    <w:rsid w:val="00DF1C33"/>
    <w:rsid w:val="00DF5348"/>
    <w:rsid w:val="00DF53EE"/>
    <w:rsid w:val="00DF57A1"/>
    <w:rsid w:val="00DF76BE"/>
    <w:rsid w:val="00E045DD"/>
    <w:rsid w:val="00E077CE"/>
    <w:rsid w:val="00E121AD"/>
    <w:rsid w:val="00E127CA"/>
    <w:rsid w:val="00E13FD5"/>
    <w:rsid w:val="00E14CC4"/>
    <w:rsid w:val="00E14FD4"/>
    <w:rsid w:val="00E209E7"/>
    <w:rsid w:val="00E22C7D"/>
    <w:rsid w:val="00E230B7"/>
    <w:rsid w:val="00E24645"/>
    <w:rsid w:val="00E250F7"/>
    <w:rsid w:val="00E262F7"/>
    <w:rsid w:val="00E30498"/>
    <w:rsid w:val="00E319B6"/>
    <w:rsid w:val="00E323CE"/>
    <w:rsid w:val="00E35FBA"/>
    <w:rsid w:val="00E366CD"/>
    <w:rsid w:val="00E41345"/>
    <w:rsid w:val="00E4150E"/>
    <w:rsid w:val="00E417F3"/>
    <w:rsid w:val="00E42681"/>
    <w:rsid w:val="00E4411A"/>
    <w:rsid w:val="00E463A2"/>
    <w:rsid w:val="00E5062B"/>
    <w:rsid w:val="00E50813"/>
    <w:rsid w:val="00E51243"/>
    <w:rsid w:val="00E5332D"/>
    <w:rsid w:val="00E53F8F"/>
    <w:rsid w:val="00E54D99"/>
    <w:rsid w:val="00E55543"/>
    <w:rsid w:val="00E56847"/>
    <w:rsid w:val="00E56B76"/>
    <w:rsid w:val="00E62367"/>
    <w:rsid w:val="00E64829"/>
    <w:rsid w:val="00E66E1A"/>
    <w:rsid w:val="00E704AA"/>
    <w:rsid w:val="00E70E71"/>
    <w:rsid w:val="00E740AD"/>
    <w:rsid w:val="00E7439B"/>
    <w:rsid w:val="00E818B7"/>
    <w:rsid w:val="00E82C7B"/>
    <w:rsid w:val="00E8631C"/>
    <w:rsid w:val="00E8662E"/>
    <w:rsid w:val="00E877C8"/>
    <w:rsid w:val="00E906FD"/>
    <w:rsid w:val="00E91BD8"/>
    <w:rsid w:val="00E92B16"/>
    <w:rsid w:val="00E92F30"/>
    <w:rsid w:val="00E93762"/>
    <w:rsid w:val="00E96BAA"/>
    <w:rsid w:val="00E97466"/>
    <w:rsid w:val="00E979CD"/>
    <w:rsid w:val="00EA182A"/>
    <w:rsid w:val="00EA2F66"/>
    <w:rsid w:val="00EA2F82"/>
    <w:rsid w:val="00EA5118"/>
    <w:rsid w:val="00EA7451"/>
    <w:rsid w:val="00EB2619"/>
    <w:rsid w:val="00EB348A"/>
    <w:rsid w:val="00EB3C66"/>
    <w:rsid w:val="00EB42F8"/>
    <w:rsid w:val="00EB48D2"/>
    <w:rsid w:val="00EB70C1"/>
    <w:rsid w:val="00EB7A1E"/>
    <w:rsid w:val="00EC07E3"/>
    <w:rsid w:val="00EC15B0"/>
    <w:rsid w:val="00EC2D32"/>
    <w:rsid w:val="00EC3332"/>
    <w:rsid w:val="00EC68E0"/>
    <w:rsid w:val="00EC73B2"/>
    <w:rsid w:val="00ED1427"/>
    <w:rsid w:val="00ED2ED7"/>
    <w:rsid w:val="00ED339D"/>
    <w:rsid w:val="00ED5595"/>
    <w:rsid w:val="00ED5CD6"/>
    <w:rsid w:val="00ED767F"/>
    <w:rsid w:val="00EE09CC"/>
    <w:rsid w:val="00EE15FF"/>
    <w:rsid w:val="00EE232E"/>
    <w:rsid w:val="00EE2EB1"/>
    <w:rsid w:val="00EE3788"/>
    <w:rsid w:val="00EE5076"/>
    <w:rsid w:val="00EE6E30"/>
    <w:rsid w:val="00EE715F"/>
    <w:rsid w:val="00EF1FF7"/>
    <w:rsid w:val="00EF2323"/>
    <w:rsid w:val="00EF2E70"/>
    <w:rsid w:val="00EF300D"/>
    <w:rsid w:val="00EF37F0"/>
    <w:rsid w:val="00EF4128"/>
    <w:rsid w:val="00EF4161"/>
    <w:rsid w:val="00EF4E2E"/>
    <w:rsid w:val="00EF5D10"/>
    <w:rsid w:val="00EF7986"/>
    <w:rsid w:val="00EF7AF6"/>
    <w:rsid w:val="00EF7C0C"/>
    <w:rsid w:val="00F00743"/>
    <w:rsid w:val="00F00A8F"/>
    <w:rsid w:val="00F00F34"/>
    <w:rsid w:val="00F01A22"/>
    <w:rsid w:val="00F01B1C"/>
    <w:rsid w:val="00F02B4F"/>
    <w:rsid w:val="00F04EA8"/>
    <w:rsid w:val="00F07327"/>
    <w:rsid w:val="00F07603"/>
    <w:rsid w:val="00F143AB"/>
    <w:rsid w:val="00F15C5E"/>
    <w:rsid w:val="00F16AFE"/>
    <w:rsid w:val="00F16B98"/>
    <w:rsid w:val="00F21887"/>
    <w:rsid w:val="00F25990"/>
    <w:rsid w:val="00F26265"/>
    <w:rsid w:val="00F26DF8"/>
    <w:rsid w:val="00F27B9F"/>
    <w:rsid w:val="00F27BFE"/>
    <w:rsid w:val="00F27E7D"/>
    <w:rsid w:val="00F310EA"/>
    <w:rsid w:val="00F31B38"/>
    <w:rsid w:val="00F32530"/>
    <w:rsid w:val="00F3295F"/>
    <w:rsid w:val="00F32995"/>
    <w:rsid w:val="00F34E7A"/>
    <w:rsid w:val="00F35958"/>
    <w:rsid w:val="00F35D14"/>
    <w:rsid w:val="00F36CDC"/>
    <w:rsid w:val="00F37E7A"/>
    <w:rsid w:val="00F4152B"/>
    <w:rsid w:val="00F44284"/>
    <w:rsid w:val="00F46366"/>
    <w:rsid w:val="00F504FC"/>
    <w:rsid w:val="00F51A36"/>
    <w:rsid w:val="00F522DA"/>
    <w:rsid w:val="00F55AA1"/>
    <w:rsid w:val="00F57652"/>
    <w:rsid w:val="00F57E6A"/>
    <w:rsid w:val="00F60292"/>
    <w:rsid w:val="00F65069"/>
    <w:rsid w:val="00F67F6D"/>
    <w:rsid w:val="00F70B1A"/>
    <w:rsid w:val="00F73B93"/>
    <w:rsid w:val="00F76290"/>
    <w:rsid w:val="00F76A6D"/>
    <w:rsid w:val="00F8230A"/>
    <w:rsid w:val="00F837A4"/>
    <w:rsid w:val="00F86A1F"/>
    <w:rsid w:val="00F86D02"/>
    <w:rsid w:val="00F878B3"/>
    <w:rsid w:val="00F90026"/>
    <w:rsid w:val="00F909A4"/>
    <w:rsid w:val="00F91253"/>
    <w:rsid w:val="00F91B0C"/>
    <w:rsid w:val="00F92516"/>
    <w:rsid w:val="00F92DDB"/>
    <w:rsid w:val="00F93161"/>
    <w:rsid w:val="00F96051"/>
    <w:rsid w:val="00F96D11"/>
    <w:rsid w:val="00FA35A0"/>
    <w:rsid w:val="00FA35C8"/>
    <w:rsid w:val="00FA520C"/>
    <w:rsid w:val="00FA75B9"/>
    <w:rsid w:val="00FA7745"/>
    <w:rsid w:val="00FB161A"/>
    <w:rsid w:val="00FB16D4"/>
    <w:rsid w:val="00FB28EE"/>
    <w:rsid w:val="00FB31B9"/>
    <w:rsid w:val="00FB42E1"/>
    <w:rsid w:val="00FB4733"/>
    <w:rsid w:val="00FB5FD8"/>
    <w:rsid w:val="00FB6451"/>
    <w:rsid w:val="00FB6707"/>
    <w:rsid w:val="00FB707A"/>
    <w:rsid w:val="00FC01DF"/>
    <w:rsid w:val="00FC1058"/>
    <w:rsid w:val="00FC1E0B"/>
    <w:rsid w:val="00FC32C9"/>
    <w:rsid w:val="00FC35DC"/>
    <w:rsid w:val="00FC3FDC"/>
    <w:rsid w:val="00FC4ECA"/>
    <w:rsid w:val="00FC7BED"/>
    <w:rsid w:val="00FD06B1"/>
    <w:rsid w:val="00FD1758"/>
    <w:rsid w:val="00FD3150"/>
    <w:rsid w:val="00FD38F4"/>
    <w:rsid w:val="00FD395E"/>
    <w:rsid w:val="00FD67A5"/>
    <w:rsid w:val="00FE2203"/>
    <w:rsid w:val="00FE2CA9"/>
    <w:rsid w:val="00FE5376"/>
    <w:rsid w:val="00FE67DB"/>
    <w:rsid w:val="00FE691C"/>
    <w:rsid w:val="00FE6DF4"/>
    <w:rsid w:val="00FF0615"/>
    <w:rsid w:val="00FF0673"/>
    <w:rsid w:val="00FF1275"/>
    <w:rsid w:val="00FF6E1F"/>
    <w:rsid w:val="00FF72EC"/>
    <w:rsid w:val="00FF75A6"/>
    <w:rsid w:val="00FF7C72"/>
    <w:rsid w:val="00FF7F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EF77F"/>
  <w15:chartTrackingRefBased/>
  <w15:docId w15:val="{FD45FCB6-AA3B-4260-96F1-E2A3F233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line="360"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lsdException w:name="annotation text" w:semiHidden="1"/>
    <w:lsdException w:name="header" w:locked="0" w:semiHidden="1"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lsdException w:name="annotation reference" w:semiHidden="1"/>
    <w:lsdException w:name="line number" w:semiHidden="1"/>
    <w:lsdException w:name="page number" w:semiHidden="1"/>
    <w:lsdException w:name="endnote reference" w:locked="0" w:semiHidden="1"/>
    <w:lsdException w:name="endnote text" w:locked="0"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lsdException w:name="FollowedHyperlink" w:locked="0"/>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BD"/>
    <w:rPr>
      <w:rFonts w:ascii="Arial" w:hAnsi="Arial"/>
      <w:sz w:val="24"/>
    </w:rPr>
  </w:style>
  <w:style w:type="paragraph" w:styleId="Heading1">
    <w:name w:val="heading 1"/>
    <w:basedOn w:val="Normal"/>
    <w:next w:val="Normal"/>
    <w:link w:val="Heading1Char"/>
    <w:uiPriority w:val="9"/>
    <w:qFormat/>
    <w:rsid w:val="00B1110B"/>
    <w:pPr>
      <w:keepNext/>
      <w:keepLines/>
      <w:spacing w:before="720"/>
      <w:outlineLvl w:val="0"/>
    </w:pPr>
    <w:rPr>
      <w:rFonts w:eastAsiaTheme="majorEastAsia" w:cstheme="majorBidi"/>
      <w:b/>
      <w:color w:val="43358B"/>
      <w:sz w:val="36"/>
      <w:szCs w:val="36"/>
    </w:rPr>
  </w:style>
  <w:style w:type="paragraph" w:styleId="Heading2">
    <w:name w:val="heading 2"/>
    <w:basedOn w:val="Normal"/>
    <w:next w:val="Normal"/>
    <w:link w:val="Heading2Char"/>
    <w:uiPriority w:val="9"/>
    <w:qFormat/>
    <w:rsid w:val="00B1110B"/>
    <w:pPr>
      <w:keepNext/>
      <w:keepLines/>
      <w:spacing w:before="480"/>
      <w:outlineLvl w:val="1"/>
    </w:pPr>
    <w:rPr>
      <w:rFonts w:eastAsiaTheme="majorEastAsia" w:cstheme="majorBidi"/>
      <w:b/>
      <w:color w:val="43358B"/>
      <w:sz w:val="32"/>
      <w:szCs w:val="32"/>
    </w:rPr>
  </w:style>
  <w:style w:type="paragraph" w:styleId="Heading3">
    <w:name w:val="heading 3"/>
    <w:basedOn w:val="Heading2"/>
    <w:next w:val="Normal"/>
    <w:link w:val="Heading3Char"/>
    <w:uiPriority w:val="9"/>
    <w:qFormat/>
    <w:rsid w:val="00B1110B"/>
    <w:pPr>
      <w:outlineLvl w:val="2"/>
    </w:pPr>
    <w:rPr>
      <w:rFonts w:cs="Arial"/>
      <w:bCs/>
      <w:color w:val="000000" w:themeColor="text1"/>
      <w:sz w:val="28"/>
      <w:szCs w:val="28"/>
    </w:rPr>
  </w:style>
  <w:style w:type="paragraph" w:styleId="Heading4">
    <w:name w:val="heading 4"/>
    <w:basedOn w:val="Heading3"/>
    <w:next w:val="Normal"/>
    <w:link w:val="Heading4Char"/>
    <w:uiPriority w:val="9"/>
    <w:qFormat/>
    <w:rsid w:val="00B1110B"/>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
    <w:name w:val="Publication Title"/>
    <w:basedOn w:val="Normal"/>
    <w:autoRedefine/>
    <w:qFormat/>
    <w:rsid w:val="00B50390"/>
    <w:pPr>
      <w:spacing w:before="840" w:line="312" w:lineRule="auto"/>
    </w:pPr>
    <w:rPr>
      <w:b/>
      <w:color w:val="43358B"/>
      <w:spacing w:val="-20"/>
      <w:sz w:val="52"/>
    </w:rPr>
  </w:style>
  <w:style w:type="paragraph" w:customStyle="1" w:styleId="Publicationsubtitle">
    <w:name w:val="Publication subtitle"/>
    <w:basedOn w:val="PublicationTitle"/>
    <w:autoRedefine/>
    <w:semiHidden/>
    <w:qFormat/>
    <w:rsid w:val="00B1110B"/>
    <w:pPr>
      <w:spacing w:line="360" w:lineRule="exact"/>
    </w:pPr>
    <w:rPr>
      <w:spacing w:val="0"/>
      <w:sz w:val="36"/>
    </w:rPr>
  </w:style>
  <w:style w:type="paragraph" w:customStyle="1" w:styleId="Publicationdate">
    <w:name w:val="Publication date"/>
    <w:basedOn w:val="PublicationTitle"/>
    <w:autoRedefine/>
    <w:semiHidden/>
    <w:qFormat/>
    <w:rsid w:val="00B1110B"/>
    <w:pPr>
      <w:spacing w:line="360" w:lineRule="exact"/>
    </w:pPr>
    <w:rPr>
      <w:b w:val="0"/>
      <w:color w:val="auto"/>
      <w:spacing w:val="0"/>
      <w:sz w:val="36"/>
    </w:rPr>
  </w:style>
  <w:style w:type="character" w:styleId="PlaceholderText">
    <w:name w:val="Placeholder Text"/>
    <w:basedOn w:val="DefaultParagraphFont"/>
    <w:uiPriority w:val="99"/>
    <w:semiHidden/>
    <w:locked/>
    <w:rsid w:val="00677E3B"/>
    <w:rPr>
      <w:color w:val="808080"/>
    </w:rPr>
  </w:style>
  <w:style w:type="paragraph" w:styleId="Header">
    <w:name w:val="header"/>
    <w:basedOn w:val="Normal"/>
    <w:link w:val="HeaderChar"/>
    <w:uiPriority w:val="99"/>
    <w:rsid w:val="009927BC"/>
    <w:pPr>
      <w:tabs>
        <w:tab w:val="right" w:pos="10035"/>
      </w:tabs>
      <w:spacing w:after="0"/>
    </w:pPr>
    <w:rPr>
      <w:noProof/>
    </w:rPr>
  </w:style>
  <w:style w:type="character" w:customStyle="1" w:styleId="HeaderChar">
    <w:name w:val="Header Char"/>
    <w:basedOn w:val="DefaultParagraphFont"/>
    <w:link w:val="Header"/>
    <w:uiPriority w:val="99"/>
    <w:rsid w:val="009927BC"/>
    <w:rPr>
      <w:rFonts w:ascii="Arial" w:hAnsi="Arial"/>
      <w:noProof/>
      <w:sz w:val="24"/>
    </w:rPr>
  </w:style>
  <w:style w:type="paragraph" w:styleId="Footer">
    <w:name w:val="footer"/>
    <w:basedOn w:val="Normal"/>
    <w:link w:val="FooterChar"/>
    <w:uiPriority w:val="99"/>
    <w:rsid w:val="00045D32"/>
    <w:pPr>
      <w:tabs>
        <w:tab w:val="center" w:pos="4513"/>
        <w:tab w:val="right" w:pos="9026"/>
      </w:tabs>
      <w:spacing w:after="0"/>
    </w:pPr>
  </w:style>
  <w:style w:type="character" w:customStyle="1" w:styleId="FooterChar">
    <w:name w:val="Footer Char"/>
    <w:basedOn w:val="DefaultParagraphFont"/>
    <w:link w:val="Footer"/>
    <w:uiPriority w:val="99"/>
    <w:rsid w:val="007867C4"/>
    <w:rPr>
      <w:rFonts w:ascii="Arial" w:hAnsi="Arial"/>
      <w:sz w:val="24"/>
    </w:rPr>
  </w:style>
  <w:style w:type="paragraph" w:customStyle="1" w:styleId="TableHead">
    <w:name w:val="Table Head"/>
    <w:basedOn w:val="Normal"/>
    <w:link w:val="TableHeadChar"/>
    <w:qFormat/>
    <w:rsid w:val="00B1110B"/>
    <w:pPr>
      <w:spacing w:before="20" w:after="20" w:line="288" w:lineRule="auto"/>
    </w:pPr>
    <w:rPr>
      <w:b/>
      <w:color w:val="FFFFFF" w:themeColor="background1"/>
      <w:szCs w:val="24"/>
    </w:rPr>
  </w:style>
  <w:style w:type="paragraph" w:customStyle="1" w:styleId="TableBody">
    <w:name w:val="Table Body"/>
    <w:basedOn w:val="TableHead"/>
    <w:link w:val="TableBodyChar"/>
    <w:qFormat/>
    <w:rsid w:val="00B1110B"/>
    <w:rPr>
      <w:b w:val="0"/>
      <w:color w:val="262626" w:themeColor="text1" w:themeTint="D9"/>
    </w:rPr>
  </w:style>
  <w:style w:type="paragraph" w:customStyle="1" w:styleId="ContentsHeader">
    <w:name w:val="Contents Header"/>
    <w:basedOn w:val="Heading1"/>
    <w:link w:val="ContentsHeaderChar"/>
    <w:semiHidden/>
    <w:qFormat/>
    <w:locked/>
    <w:rsid w:val="00B1110B"/>
    <w:pPr>
      <w:spacing w:before="480" w:line="320" w:lineRule="exact"/>
    </w:pPr>
    <w:rPr>
      <w:szCs w:val="28"/>
    </w:rPr>
  </w:style>
  <w:style w:type="character" w:customStyle="1" w:styleId="ContentsHeaderChar">
    <w:name w:val="Contents Header Char"/>
    <w:basedOn w:val="Heading1Char"/>
    <w:link w:val="ContentsHeader"/>
    <w:semiHidden/>
    <w:rsid w:val="00B1110B"/>
    <w:rPr>
      <w:rFonts w:ascii="Arial" w:eastAsiaTheme="majorEastAsia" w:hAnsi="Arial" w:cstheme="majorBidi"/>
      <w:b/>
      <w:color w:val="43358B"/>
      <w:sz w:val="36"/>
      <w:szCs w:val="28"/>
    </w:rPr>
  </w:style>
  <w:style w:type="character" w:customStyle="1" w:styleId="TableHeadChar">
    <w:name w:val="Table Head Char"/>
    <w:basedOn w:val="DefaultParagraphFont"/>
    <w:link w:val="TableHead"/>
    <w:rsid w:val="00B1110B"/>
    <w:rPr>
      <w:rFonts w:ascii="Arial" w:hAnsi="Arial"/>
      <w:b/>
      <w:color w:val="FFFFFF" w:themeColor="background1"/>
      <w:sz w:val="24"/>
      <w:szCs w:val="24"/>
    </w:rPr>
  </w:style>
  <w:style w:type="character" w:customStyle="1" w:styleId="TableBodyChar">
    <w:name w:val="Table Body Char"/>
    <w:basedOn w:val="TableHeadChar"/>
    <w:link w:val="TableBody"/>
    <w:rsid w:val="00B1110B"/>
    <w:rPr>
      <w:rFonts w:ascii="Arial" w:hAnsi="Arial"/>
      <w:b w:val="0"/>
      <w:color w:val="262626" w:themeColor="text1" w:themeTint="D9"/>
      <w:sz w:val="24"/>
      <w:szCs w:val="24"/>
    </w:rPr>
  </w:style>
  <w:style w:type="character" w:customStyle="1" w:styleId="Heading1Char">
    <w:name w:val="Heading 1 Char"/>
    <w:basedOn w:val="DefaultParagraphFont"/>
    <w:link w:val="Heading1"/>
    <w:uiPriority w:val="9"/>
    <w:rsid w:val="00B1110B"/>
    <w:rPr>
      <w:rFonts w:ascii="Arial" w:eastAsiaTheme="majorEastAsia" w:hAnsi="Arial" w:cstheme="majorBidi"/>
      <w:b/>
      <w:color w:val="43358B"/>
      <w:sz w:val="36"/>
      <w:szCs w:val="36"/>
    </w:rPr>
  </w:style>
  <w:style w:type="character" w:customStyle="1" w:styleId="Heading2Char">
    <w:name w:val="Heading 2 Char"/>
    <w:basedOn w:val="DefaultParagraphFont"/>
    <w:link w:val="Heading2"/>
    <w:uiPriority w:val="9"/>
    <w:rsid w:val="00B1110B"/>
    <w:rPr>
      <w:rFonts w:ascii="Arial" w:eastAsiaTheme="majorEastAsia" w:hAnsi="Arial" w:cstheme="majorBidi"/>
      <w:b/>
      <w:color w:val="43358B"/>
      <w:sz w:val="32"/>
      <w:szCs w:val="32"/>
    </w:rPr>
  </w:style>
  <w:style w:type="character" w:customStyle="1" w:styleId="Heading3Char">
    <w:name w:val="Heading 3 Char"/>
    <w:basedOn w:val="DefaultParagraphFont"/>
    <w:link w:val="Heading3"/>
    <w:uiPriority w:val="9"/>
    <w:rsid w:val="00B1110B"/>
    <w:rPr>
      <w:rFonts w:ascii="Arial" w:eastAsiaTheme="majorEastAsia" w:hAnsi="Arial" w:cs="Arial"/>
      <w:b/>
      <w:bCs/>
      <w:color w:val="000000" w:themeColor="text1"/>
      <w:sz w:val="28"/>
      <w:szCs w:val="28"/>
    </w:rPr>
  </w:style>
  <w:style w:type="character" w:customStyle="1" w:styleId="Heading4Char">
    <w:name w:val="Heading 4 Char"/>
    <w:basedOn w:val="DefaultParagraphFont"/>
    <w:link w:val="Heading4"/>
    <w:uiPriority w:val="9"/>
    <w:rsid w:val="00B1110B"/>
    <w:rPr>
      <w:rFonts w:ascii="Arial" w:eastAsiaTheme="majorEastAsia" w:hAnsi="Arial" w:cs="Arial"/>
      <w:b/>
      <w:bCs/>
      <w:color w:val="000000" w:themeColor="text1"/>
      <w:sz w:val="24"/>
      <w:szCs w:val="24"/>
    </w:rPr>
  </w:style>
  <w:style w:type="table" w:styleId="TableGrid">
    <w:name w:val="Table Grid"/>
    <w:aliases w:val="PHS table"/>
    <w:basedOn w:val="TableNormal"/>
    <w:uiPriority w:val="59"/>
    <w:rsid w:val="009D3B2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themeColor="background1"/>
        <w:sz w:val="22"/>
        <w:u w:val="none"/>
      </w:rPr>
      <w:tblPr/>
      <w:trPr>
        <w:tblHeader/>
      </w:trPr>
      <w:tcPr>
        <w:shd w:val="clear" w:color="auto" w:fill="43358B"/>
      </w:tcPr>
    </w:tblStylePr>
    <w:tblStylePr w:type="lastRow">
      <w:rPr>
        <w:b/>
      </w:rPr>
    </w:tblStylePr>
  </w:style>
  <w:style w:type="paragraph" w:customStyle="1" w:styleId="Tableorchartcaption">
    <w:name w:val="Table or chart caption"/>
    <w:basedOn w:val="Normal"/>
    <w:qFormat/>
    <w:rsid w:val="00B1110B"/>
    <w:pPr>
      <w:spacing w:before="360" w:after="0"/>
    </w:pPr>
    <w:rPr>
      <w:rFonts w:eastAsia="Times New Roman" w:cs="Arial"/>
      <w:b/>
      <w:color w:val="43358B"/>
      <w:sz w:val="28"/>
      <w:szCs w:val="28"/>
      <w:lang w:eastAsia="en-GB"/>
    </w:rPr>
  </w:style>
  <w:style w:type="character" w:customStyle="1" w:styleId="Superscript">
    <w:name w:val="Superscript"/>
    <w:basedOn w:val="DefaultParagraphFont"/>
    <w:uiPriority w:val="1"/>
    <w:qFormat/>
    <w:rsid w:val="00B1110B"/>
    <w:rPr>
      <w:rFonts w:cs="Arial"/>
      <w:vertAlign w:val="superscript"/>
    </w:rPr>
  </w:style>
  <w:style w:type="paragraph" w:styleId="ListParagraph">
    <w:name w:val="List Paragraph"/>
    <w:basedOn w:val="Normal"/>
    <w:uiPriority w:val="34"/>
    <w:semiHidden/>
    <w:qFormat/>
    <w:locked/>
    <w:rsid w:val="00B1110B"/>
    <w:pPr>
      <w:ind w:left="720"/>
      <w:contextualSpacing/>
    </w:pPr>
  </w:style>
  <w:style w:type="paragraph" w:customStyle="1" w:styleId="Bullet1">
    <w:name w:val="Bullet 1"/>
    <w:basedOn w:val="ListParagraph"/>
    <w:qFormat/>
    <w:rsid w:val="002961B4"/>
    <w:pPr>
      <w:numPr>
        <w:numId w:val="28"/>
      </w:numPr>
      <w:ind w:left="680" w:hanging="340"/>
      <w:contextualSpacing w:val="0"/>
    </w:pPr>
  </w:style>
  <w:style w:type="paragraph" w:customStyle="1" w:styleId="Bullet2">
    <w:name w:val="Bullet 2"/>
    <w:basedOn w:val="Bullet1"/>
    <w:qFormat/>
    <w:rsid w:val="003504BB"/>
    <w:pPr>
      <w:numPr>
        <w:numId w:val="29"/>
      </w:numPr>
      <w:ind w:left="1247" w:hanging="340"/>
    </w:pPr>
  </w:style>
  <w:style w:type="character" w:customStyle="1" w:styleId="Bold">
    <w:name w:val="Bold"/>
    <w:basedOn w:val="DefaultParagraphFont"/>
    <w:uiPriority w:val="1"/>
    <w:qFormat/>
    <w:rsid w:val="00B1110B"/>
    <w:rPr>
      <w:rFonts w:cs="Arial"/>
      <w:b/>
      <w:color w:val="auto"/>
    </w:rPr>
  </w:style>
  <w:style w:type="paragraph" w:customStyle="1" w:styleId="Hyperlink1">
    <w:name w:val="Hyperlink1"/>
    <w:basedOn w:val="Normal"/>
    <w:next w:val="Normal"/>
    <w:link w:val="hyperlinkChar"/>
    <w:autoRedefine/>
    <w:semiHidden/>
    <w:qFormat/>
    <w:locked/>
    <w:rsid w:val="00B1110B"/>
    <w:pPr>
      <w:spacing w:after="120" w:line="320" w:lineRule="exact"/>
    </w:pPr>
    <w:rPr>
      <w:color w:val="964091"/>
      <w:u w:val="single"/>
    </w:rPr>
  </w:style>
  <w:style w:type="character" w:customStyle="1" w:styleId="hyperlinkChar">
    <w:name w:val="hyperlink Char"/>
    <w:basedOn w:val="DefaultParagraphFont"/>
    <w:link w:val="Hyperlink1"/>
    <w:semiHidden/>
    <w:rsid w:val="00B1110B"/>
    <w:rPr>
      <w:rFonts w:ascii="Arial" w:hAnsi="Arial"/>
      <w:color w:val="964091"/>
      <w:sz w:val="24"/>
      <w:u w:val="single"/>
    </w:rPr>
  </w:style>
  <w:style w:type="paragraph" w:customStyle="1" w:styleId="Coverdisclaimer">
    <w:name w:val="Cover disclaimer"/>
    <w:basedOn w:val="Normal"/>
    <w:semiHidden/>
    <w:qFormat/>
    <w:rsid w:val="004C6DF6"/>
    <w:pPr>
      <w:spacing w:after="0"/>
    </w:pPr>
    <w:rPr>
      <w:rFonts w:cs="Arial"/>
      <w:bCs/>
    </w:rPr>
  </w:style>
  <w:style w:type="paragraph" w:styleId="TOCHeading">
    <w:name w:val="TOC Heading"/>
    <w:basedOn w:val="Heading1"/>
    <w:next w:val="Normal"/>
    <w:uiPriority w:val="39"/>
    <w:semiHidden/>
    <w:qFormat/>
    <w:rsid w:val="00FB6451"/>
    <w:pPr>
      <w:spacing w:before="0" w:after="120"/>
      <w:outlineLvl w:val="9"/>
    </w:pPr>
    <w:rPr>
      <w:sz w:val="32"/>
      <w:szCs w:val="32"/>
      <w:lang w:val="en-US"/>
    </w:rPr>
  </w:style>
  <w:style w:type="character" w:styleId="Hyperlink">
    <w:name w:val="Hyperlink"/>
    <w:basedOn w:val="DefaultParagraphFont"/>
    <w:uiPriority w:val="99"/>
    <w:rsid w:val="003A082D"/>
    <w:rPr>
      <w:b/>
      <w:bCs/>
      <w:color w:val="43358B"/>
    </w:rPr>
  </w:style>
  <w:style w:type="character" w:customStyle="1" w:styleId="UnresolvedMention1">
    <w:name w:val="Unresolved Mention1"/>
    <w:basedOn w:val="DefaultParagraphFont"/>
    <w:uiPriority w:val="99"/>
    <w:semiHidden/>
    <w:locked/>
    <w:rsid w:val="007F23D8"/>
    <w:rPr>
      <w:color w:val="605E5C"/>
      <w:shd w:val="clear" w:color="auto" w:fill="E1DFDD"/>
    </w:rPr>
  </w:style>
  <w:style w:type="paragraph" w:styleId="TOC1">
    <w:name w:val="toc 1"/>
    <w:basedOn w:val="Normal"/>
    <w:next w:val="TOC2"/>
    <w:autoRedefine/>
    <w:uiPriority w:val="39"/>
    <w:semiHidden/>
    <w:rsid w:val="00D541EC"/>
    <w:pPr>
      <w:tabs>
        <w:tab w:val="right" w:pos="8902"/>
      </w:tabs>
      <w:spacing w:after="160" w:line="288" w:lineRule="auto"/>
      <w:ind w:right="1134"/>
    </w:pPr>
    <w:rPr>
      <w:noProof/>
    </w:rPr>
  </w:style>
  <w:style w:type="paragraph" w:styleId="TOC2">
    <w:name w:val="toc 2"/>
    <w:basedOn w:val="TOC1"/>
    <w:next w:val="TOC3"/>
    <w:autoRedefine/>
    <w:uiPriority w:val="39"/>
    <w:semiHidden/>
    <w:rsid w:val="00D97634"/>
    <w:pPr>
      <w:ind w:left="240"/>
    </w:pPr>
  </w:style>
  <w:style w:type="paragraph" w:styleId="TOC3">
    <w:name w:val="toc 3"/>
    <w:basedOn w:val="TOC2"/>
    <w:next w:val="TOC4"/>
    <w:autoRedefine/>
    <w:uiPriority w:val="39"/>
    <w:semiHidden/>
    <w:rsid w:val="000D322E"/>
    <w:pPr>
      <w:ind w:left="480"/>
    </w:pPr>
  </w:style>
  <w:style w:type="paragraph" w:styleId="TOC4">
    <w:name w:val="toc 4"/>
    <w:basedOn w:val="TOC3"/>
    <w:autoRedefine/>
    <w:uiPriority w:val="39"/>
    <w:semiHidden/>
    <w:rsid w:val="000D322E"/>
    <w:pPr>
      <w:ind w:left="720"/>
    </w:pPr>
  </w:style>
  <w:style w:type="paragraph" w:customStyle="1" w:styleId="Heading1numbered">
    <w:name w:val="Heading 1 numbered"/>
    <w:basedOn w:val="Heading1"/>
    <w:next w:val="Normal"/>
    <w:link w:val="Heading1numberedChar"/>
    <w:qFormat/>
    <w:rsid w:val="00B1110B"/>
    <w:pPr>
      <w:numPr>
        <w:numId w:val="34"/>
      </w:numPr>
    </w:pPr>
  </w:style>
  <w:style w:type="paragraph" w:customStyle="1" w:styleId="Heading2numbered">
    <w:name w:val="Heading 2 numbered"/>
    <w:basedOn w:val="Heading2"/>
    <w:next w:val="Normal"/>
    <w:link w:val="Heading2numberedChar"/>
    <w:qFormat/>
    <w:rsid w:val="00B1110B"/>
    <w:pPr>
      <w:numPr>
        <w:ilvl w:val="1"/>
        <w:numId w:val="34"/>
      </w:numPr>
    </w:pPr>
  </w:style>
  <w:style w:type="paragraph" w:customStyle="1" w:styleId="Normalindented">
    <w:name w:val="Normal indented"/>
    <w:basedOn w:val="Normal"/>
    <w:qFormat/>
    <w:rsid w:val="00B1110B"/>
    <w:pPr>
      <w:ind w:left="851"/>
    </w:pPr>
  </w:style>
  <w:style w:type="paragraph" w:customStyle="1" w:styleId="Heading3numbered">
    <w:name w:val="Heading 3 numbered"/>
    <w:basedOn w:val="Heading3"/>
    <w:next w:val="Normal"/>
    <w:link w:val="Heading3numberedChar"/>
    <w:qFormat/>
    <w:rsid w:val="00B1110B"/>
    <w:pPr>
      <w:numPr>
        <w:ilvl w:val="2"/>
        <w:numId w:val="34"/>
      </w:numPr>
    </w:pPr>
  </w:style>
  <w:style w:type="paragraph" w:customStyle="1" w:styleId="Heading4numbered">
    <w:name w:val="Heading 4 numbered"/>
    <w:basedOn w:val="Heading4"/>
    <w:next w:val="Normal"/>
    <w:link w:val="Heading4numberedChar"/>
    <w:qFormat/>
    <w:rsid w:val="00B1110B"/>
    <w:pPr>
      <w:numPr>
        <w:ilvl w:val="3"/>
        <w:numId w:val="34"/>
      </w:numPr>
    </w:pPr>
    <w:rPr>
      <w:bCs w:val="0"/>
    </w:rPr>
  </w:style>
  <w:style w:type="paragraph" w:styleId="FootnoteText">
    <w:name w:val="footnote text"/>
    <w:basedOn w:val="Normal"/>
    <w:link w:val="FootnoteTextChar"/>
    <w:uiPriority w:val="99"/>
    <w:rsid w:val="003310A9"/>
    <w:pPr>
      <w:tabs>
        <w:tab w:val="left" w:pos="284"/>
      </w:tabs>
      <w:spacing w:after="120"/>
      <w:ind w:left="340" w:hanging="340"/>
    </w:pPr>
    <w:rPr>
      <w:sz w:val="22"/>
      <w:szCs w:val="24"/>
    </w:rPr>
  </w:style>
  <w:style w:type="character" w:customStyle="1" w:styleId="FootnoteTextChar">
    <w:name w:val="Footnote Text Char"/>
    <w:basedOn w:val="DefaultParagraphFont"/>
    <w:link w:val="FootnoteText"/>
    <w:uiPriority w:val="99"/>
    <w:rsid w:val="003310A9"/>
    <w:rPr>
      <w:rFonts w:ascii="Arial" w:hAnsi="Arial"/>
      <w:szCs w:val="24"/>
    </w:rPr>
  </w:style>
  <w:style w:type="character" w:styleId="FootnoteReference">
    <w:name w:val="footnote reference"/>
    <w:basedOn w:val="DefaultParagraphFont"/>
    <w:uiPriority w:val="99"/>
    <w:rsid w:val="00526937"/>
    <w:rPr>
      <w:vertAlign w:val="superscript"/>
    </w:rPr>
  </w:style>
  <w:style w:type="paragraph" w:customStyle="1" w:styleId="Bullet3">
    <w:name w:val="Bullet 3"/>
    <w:basedOn w:val="Bullet2"/>
    <w:qFormat/>
    <w:rsid w:val="003504BB"/>
    <w:pPr>
      <w:numPr>
        <w:numId w:val="35"/>
      </w:numPr>
      <w:ind w:left="1814" w:hanging="340"/>
    </w:pPr>
  </w:style>
  <w:style w:type="paragraph" w:customStyle="1" w:styleId="Bulletnumbered1123">
    <w:name w:val="Bullet numbered 1 (123)"/>
    <w:basedOn w:val="Normal"/>
    <w:qFormat/>
    <w:rsid w:val="00F76A6D"/>
    <w:pPr>
      <w:numPr>
        <w:numId w:val="42"/>
      </w:numPr>
      <w:ind w:left="714" w:hanging="357"/>
    </w:pPr>
  </w:style>
  <w:style w:type="paragraph" w:customStyle="1" w:styleId="Bulletnumbered2abc">
    <w:name w:val="Bullet numbered 2 (abc)"/>
    <w:basedOn w:val="Bulletnumbered1123"/>
    <w:qFormat/>
    <w:rsid w:val="00F76A6D"/>
    <w:pPr>
      <w:numPr>
        <w:ilvl w:val="1"/>
        <w:numId w:val="12"/>
      </w:numPr>
    </w:pPr>
  </w:style>
  <w:style w:type="character" w:styleId="FollowedHyperlink">
    <w:name w:val="FollowedHyperlink"/>
    <w:basedOn w:val="Hyperlink"/>
    <w:uiPriority w:val="99"/>
    <w:rsid w:val="003A082D"/>
    <w:rPr>
      <w:b/>
      <w:bCs/>
      <w:color w:val="43358B"/>
    </w:rPr>
  </w:style>
  <w:style w:type="character" w:customStyle="1" w:styleId="Heading1numberedChar">
    <w:name w:val="Heading 1 numbered Char"/>
    <w:basedOn w:val="Heading1Char"/>
    <w:link w:val="Heading1numbered"/>
    <w:rsid w:val="00B1110B"/>
    <w:rPr>
      <w:rFonts w:ascii="Arial" w:eastAsiaTheme="majorEastAsia" w:hAnsi="Arial" w:cstheme="majorBidi"/>
      <w:b/>
      <w:color w:val="43358B"/>
      <w:sz w:val="36"/>
      <w:szCs w:val="36"/>
    </w:rPr>
  </w:style>
  <w:style w:type="character" w:customStyle="1" w:styleId="Heading2numberedChar">
    <w:name w:val="Heading 2 numbered Char"/>
    <w:basedOn w:val="Heading2Char"/>
    <w:link w:val="Heading2numbered"/>
    <w:rsid w:val="00B1110B"/>
    <w:rPr>
      <w:rFonts w:ascii="Arial" w:eastAsiaTheme="majorEastAsia" w:hAnsi="Arial" w:cstheme="majorBidi"/>
      <w:b/>
      <w:color w:val="43358B"/>
      <w:sz w:val="32"/>
      <w:szCs w:val="32"/>
    </w:rPr>
  </w:style>
  <w:style w:type="character" w:customStyle="1" w:styleId="Heading3numberedChar">
    <w:name w:val="Heading 3 numbered Char"/>
    <w:basedOn w:val="Heading3Char"/>
    <w:link w:val="Heading3numbered"/>
    <w:rsid w:val="00B1110B"/>
    <w:rPr>
      <w:rFonts w:ascii="Arial" w:eastAsiaTheme="majorEastAsia" w:hAnsi="Arial" w:cs="Arial"/>
      <w:b/>
      <w:bCs/>
      <w:color w:val="000000" w:themeColor="text1"/>
      <w:sz w:val="28"/>
      <w:szCs w:val="28"/>
    </w:rPr>
  </w:style>
  <w:style w:type="character" w:customStyle="1" w:styleId="Heading4numberedChar">
    <w:name w:val="Heading 4 numbered Char"/>
    <w:basedOn w:val="Heading4Char"/>
    <w:link w:val="Heading4numbered"/>
    <w:rsid w:val="00B1110B"/>
    <w:rPr>
      <w:rFonts w:ascii="Arial" w:eastAsiaTheme="majorEastAsia" w:hAnsi="Arial" w:cs="Arial"/>
      <w:b/>
      <w:bCs w:val="0"/>
      <w:color w:val="000000" w:themeColor="text1"/>
      <w:sz w:val="24"/>
      <w:szCs w:val="24"/>
    </w:rPr>
  </w:style>
  <w:style w:type="paragraph" w:customStyle="1" w:styleId="Tablebullet1">
    <w:name w:val="Table bullet 1"/>
    <w:basedOn w:val="TableBody"/>
    <w:link w:val="Tablebullet1Char"/>
    <w:qFormat/>
    <w:rsid w:val="00B1110B"/>
    <w:pPr>
      <w:numPr>
        <w:numId w:val="39"/>
      </w:numPr>
    </w:pPr>
  </w:style>
  <w:style w:type="paragraph" w:customStyle="1" w:styleId="Tablebullet2">
    <w:name w:val="Table bullet 2"/>
    <w:basedOn w:val="Tablebullet1"/>
    <w:qFormat/>
    <w:rsid w:val="004C6DF6"/>
    <w:pPr>
      <w:numPr>
        <w:ilvl w:val="1"/>
      </w:numPr>
      <w:ind w:left="947" w:hanging="357"/>
    </w:pPr>
  </w:style>
  <w:style w:type="paragraph" w:customStyle="1" w:styleId="Tablebodyrightalignedfornumbersonly">
    <w:name w:val="Table body right aligned (for numbers only)"/>
    <w:basedOn w:val="TableBody"/>
    <w:qFormat/>
    <w:rsid w:val="00B1110B"/>
    <w:pPr>
      <w:jc w:val="right"/>
    </w:pPr>
  </w:style>
  <w:style w:type="paragraph" w:customStyle="1" w:styleId="Pagenumbers">
    <w:name w:val="Page numbers"/>
    <w:basedOn w:val="Footer"/>
    <w:qFormat/>
    <w:rsid w:val="00C450D5"/>
    <w:pPr>
      <w:pBdr>
        <w:top w:val="single" w:sz="6" w:space="3" w:color="964091" w:themeColor="accent5"/>
      </w:pBdr>
      <w:tabs>
        <w:tab w:val="clear" w:pos="4513"/>
        <w:tab w:val="clear" w:pos="9026"/>
        <w:tab w:val="right" w:pos="9638"/>
      </w:tabs>
    </w:pPr>
    <w:rPr>
      <w:noProof/>
    </w:rPr>
  </w:style>
  <w:style w:type="paragraph" w:customStyle="1" w:styleId="Coverfooter">
    <w:name w:val="Cover footer"/>
    <w:basedOn w:val="Normal"/>
    <w:semiHidden/>
    <w:qFormat/>
    <w:rsid w:val="00B172C3"/>
    <w:pPr>
      <w:tabs>
        <w:tab w:val="right" w:pos="8959"/>
      </w:tabs>
      <w:spacing w:before="120" w:after="0" w:line="240" w:lineRule="auto"/>
    </w:pPr>
    <w:rPr>
      <w:rFonts w:cs="Arial"/>
      <w:b/>
      <w:color w:val="FFFFFF" w:themeColor="background1"/>
      <w:position w:val="-28"/>
      <w:sz w:val="28"/>
    </w:rPr>
  </w:style>
  <w:style w:type="character" w:customStyle="1" w:styleId="Italicspeciesnamesonly">
    <w:name w:val="*Italic (species names only)"/>
    <w:basedOn w:val="DefaultParagraphFont"/>
    <w:uiPriority w:val="1"/>
    <w:semiHidden/>
    <w:qFormat/>
    <w:rsid w:val="00B1110B"/>
    <w:rPr>
      <w:i/>
    </w:rPr>
  </w:style>
  <w:style w:type="character" w:customStyle="1" w:styleId="Bolditalicspeciesnamesonly">
    <w:name w:val="*Bold italic (species names only)"/>
    <w:basedOn w:val="Italicspeciesnamesonly"/>
    <w:uiPriority w:val="1"/>
    <w:semiHidden/>
    <w:qFormat/>
    <w:rsid w:val="00B1110B"/>
    <w:rPr>
      <w:b/>
      <w:i/>
    </w:rPr>
  </w:style>
  <w:style w:type="character" w:customStyle="1" w:styleId="Subscript">
    <w:name w:val="Subscript"/>
    <w:basedOn w:val="Superscript"/>
    <w:uiPriority w:val="1"/>
    <w:qFormat/>
    <w:rsid w:val="00B1110B"/>
    <w:rPr>
      <w:rFonts w:asciiTheme="minorHAnsi" w:hAnsiTheme="minorHAnsi" w:cs="Arial"/>
      <w:vertAlign w:val="subscript"/>
    </w:rPr>
  </w:style>
  <w:style w:type="paragraph" w:styleId="BalloonText">
    <w:name w:val="Balloon Text"/>
    <w:basedOn w:val="Normal"/>
    <w:link w:val="BalloonTextChar"/>
    <w:uiPriority w:val="99"/>
    <w:semiHidden/>
    <w:locked/>
    <w:rsid w:val="00531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95B"/>
    <w:rPr>
      <w:rFonts w:ascii="Segoe UI" w:hAnsi="Segoe UI" w:cs="Segoe UI"/>
      <w:sz w:val="18"/>
      <w:szCs w:val="18"/>
    </w:rPr>
  </w:style>
  <w:style w:type="paragraph" w:customStyle="1" w:styleId="Headingtextbox">
    <w:name w:val="Heading textbox"/>
    <w:basedOn w:val="Heading1"/>
    <w:qFormat/>
    <w:rsid w:val="007234CE"/>
    <w:pPr>
      <w:spacing w:before="0" w:after="120"/>
    </w:pPr>
    <w:rPr>
      <w:sz w:val="32"/>
    </w:rPr>
  </w:style>
  <w:style w:type="paragraph" w:styleId="Quote">
    <w:name w:val="Quote"/>
    <w:basedOn w:val="Normal"/>
    <w:next w:val="Normal"/>
    <w:link w:val="QuoteChar"/>
    <w:uiPriority w:val="29"/>
    <w:qFormat/>
    <w:rsid w:val="00326F3D"/>
    <w:pPr>
      <w:pBdr>
        <w:top w:val="single" w:sz="8" w:space="10" w:color="964091"/>
        <w:bottom w:val="single" w:sz="8" w:space="6" w:color="964091"/>
      </w:pBdr>
      <w:spacing w:before="240" w:after="300"/>
      <w:ind w:left="567" w:right="567"/>
    </w:pPr>
    <w:rPr>
      <w:iCs/>
      <w:color w:val="000000" w:themeColor="text1"/>
    </w:rPr>
  </w:style>
  <w:style w:type="character" w:customStyle="1" w:styleId="QuoteChar">
    <w:name w:val="Quote Char"/>
    <w:basedOn w:val="DefaultParagraphFont"/>
    <w:link w:val="Quote"/>
    <w:uiPriority w:val="29"/>
    <w:rsid w:val="00D541EC"/>
    <w:rPr>
      <w:rFonts w:ascii="Arial" w:hAnsi="Arial"/>
      <w:iCs/>
      <w:color w:val="000000" w:themeColor="text1"/>
      <w:sz w:val="24"/>
    </w:rPr>
  </w:style>
  <w:style w:type="character" w:customStyle="1" w:styleId="yellowhighlight">
    <w:name w:val="*yellow highlight"/>
    <w:basedOn w:val="DefaultParagraphFont"/>
    <w:uiPriority w:val="1"/>
    <w:semiHidden/>
    <w:qFormat/>
    <w:rsid w:val="00B1110B"/>
    <w:rPr>
      <w:bdr w:val="none" w:sz="0" w:space="0" w:color="auto"/>
      <w:shd w:val="clear" w:color="auto" w:fill="FFFF00"/>
    </w:rPr>
  </w:style>
  <w:style w:type="character" w:customStyle="1" w:styleId="Restrictedstatisticstextforpublicationreleases">
    <w:name w:val="*Restricted statistics text (for publication releases)"/>
    <w:basedOn w:val="DefaultParagraphFont"/>
    <w:uiPriority w:val="1"/>
    <w:semiHidden/>
    <w:qFormat/>
    <w:rsid w:val="00B1110B"/>
    <w:rPr>
      <w:b/>
      <w:color w:val="B50000"/>
      <w:sz w:val="28"/>
    </w:rPr>
  </w:style>
  <w:style w:type="character" w:customStyle="1" w:styleId="yellowbold">
    <w:name w:val="*yellow bold"/>
    <w:basedOn w:val="DefaultParagraphFont"/>
    <w:uiPriority w:val="1"/>
    <w:semiHidden/>
    <w:qFormat/>
    <w:rsid w:val="00B1110B"/>
    <w:rPr>
      <w:b/>
      <w:bdr w:val="none" w:sz="0" w:space="0" w:color="auto"/>
      <w:shd w:val="clear" w:color="auto" w:fill="FFFF00"/>
    </w:rPr>
  </w:style>
  <w:style w:type="character" w:customStyle="1" w:styleId="yellowhyperlink">
    <w:name w:val="*yellow hyperlink"/>
    <w:basedOn w:val="DefaultParagraphFont"/>
    <w:uiPriority w:val="1"/>
    <w:semiHidden/>
    <w:qFormat/>
    <w:rsid w:val="00E91BD8"/>
    <w:rPr>
      <w:b/>
      <w:color w:val="43358B"/>
      <w:u w:val="none"/>
      <w:bdr w:val="none" w:sz="0" w:space="0" w:color="auto"/>
      <w:shd w:val="clear" w:color="auto" w:fill="FFFF00"/>
    </w:rPr>
  </w:style>
  <w:style w:type="character" w:customStyle="1" w:styleId="greyhighlight">
    <w:name w:val="*grey highlight"/>
    <w:basedOn w:val="DefaultParagraphFont"/>
    <w:uiPriority w:val="1"/>
    <w:semiHidden/>
    <w:qFormat/>
    <w:rsid w:val="00B1110B"/>
    <w:rPr>
      <w:bdr w:val="none" w:sz="0" w:space="0" w:color="auto"/>
      <w:shd w:val="clear" w:color="auto" w:fill="D9D9D9" w:themeFill="background1" w:themeFillShade="D9"/>
    </w:rPr>
  </w:style>
  <w:style w:type="character" w:customStyle="1" w:styleId="greyhyperlink">
    <w:name w:val="*grey hyperlink"/>
    <w:basedOn w:val="DefaultParagraphFont"/>
    <w:uiPriority w:val="1"/>
    <w:semiHidden/>
    <w:qFormat/>
    <w:rsid w:val="00BC12E9"/>
    <w:rPr>
      <w:b/>
      <w:color w:val="3F3685" w:themeColor="text2"/>
      <w:u w:val="none"/>
      <w:bdr w:val="none" w:sz="0" w:space="0" w:color="auto"/>
      <w:shd w:val="clear" w:color="auto" w:fill="D9D9D9" w:themeFill="background1" w:themeFillShade="D9"/>
    </w:rPr>
  </w:style>
  <w:style w:type="character" w:customStyle="1" w:styleId="greybold">
    <w:name w:val="*grey bold"/>
    <w:basedOn w:val="DefaultParagraphFont"/>
    <w:uiPriority w:val="1"/>
    <w:semiHidden/>
    <w:qFormat/>
    <w:rsid w:val="00B1110B"/>
    <w:rPr>
      <w:b/>
      <w:bdr w:val="none" w:sz="0" w:space="0" w:color="auto"/>
      <w:shd w:val="clear" w:color="auto" w:fill="D9D9D9" w:themeFill="background1" w:themeFillShade="D9"/>
    </w:rPr>
  </w:style>
  <w:style w:type="character" w:styleId="CommentReference">
    <w:name w:val="annotation reference"/>
    <w:basedOn w:val="DefaultParagraphFont"/>
    <w:uiPriority w:val="99"/>
    <w:semiHidden/>
    <w:locked/>
    <w:rsid w:val="005D016F"/>
    <w:rPr>
      <w:sz w:val="16"/>
      <w:szCs w:val="16"/>
    </w:rPr>
  </w:style>
  <w:style w:type="paragraph" w:styleId="CommentText">
    <w:name w:val="annotation text"/>
    <w:basedOn w:val="Normal"/>
    <w:link w:val="CommentTextChar"/>
    <w:uiPriority w:val="99"/>
    <w:semiHidden/>
    <w:locked/>
    <w:rsid w:val="005D016F"/>
    <w:pPr>
      <w:spacing w:line="240" w:lineRule="auto"/>
    </w:pPr>
    <w:rPr>
      <w:sz w:val="20"/>
      <w:szCs w:val="20"/>
    </w:rPr>
  </w:style>
  <w:style w:type="character" w:customStyle="1" w:styleId="CommentTextChar">
    <w:name w:val="Comment Text Char"/>
    <w:basedOn w:val="DefaultParagraphFont"/>
    <w:link w:val="CommentText"/>
    <w:uiPriority w:val="99"/>
    <w:semiHidden/>
    <w:rsid w:val="005D016F"/>
    <w:rPr>
      <w:rFonts w:ascii="Arial" w:hAnsi="Arial"/>
      <w:sz w:val="20"/>
      <w:szCs w:val="20"/>
    </w:rPr>
  </w:style>
  <w:style w:type="paragraph" w:styleId="CommentSubject">
    <w:name w:val="annotation subject"/>
    <w:basedOn w:val="CommentText"/>
    <w:next w:val="CommentText"/>
    <w:link w:val="CommentSubjectChar"/>
    <w:uiPriority w:val="99"/>
    <w:semiHidden/>
    <w:locked/>
    <w:rsid w:val="005D016F"/>
    <w:rPr>
      <w:b/>
      <w:bCs/>
    </w:rPr>
  </w:style>
  <w:style w:type="character" w:customStyle="1" w:styleId="CommentSubjectChar">
    <w:name w:val="Comment Subject Char"/>
    <w:basedOn w:val="CommentTextChar"/>
    <w:link w:val="CommentSubject"/>
    <w:uiPriority w:val="99"/>
    <w:semiHidden/>
    <w:rsid w:val="005D016F"/>
    <w:rPr>
      <w:rFonts w:ascii="Arial" w:hAnsi="Arial"/>
      <w:b/>
      <w:bCs/>
      <w:sz w:val="20"/>
      <w:szCs w:val="20"/>
    </w:rPr>
  </w:style>
  <w:style w:type="paragraph" w:customStyle="1" w:styleId="Tablebulletnumbered1123">
    <w:name w:val="Table bullet numbered 1 (123)"/>
    <w:basedOn w:val="TableBody"/>
    <w:qFormat/>
    <w:rsid w:val="009D3B28"/>
    <w:pPr>
      <w:numPr>
        <w:numId w:val="40"/>
      </w:numPr>
      <w:ind w:left="714" w:hanging="357"/>
    </w:pPr>
  </w:style>
  <w:style w:type="paragraph" w:customStyle="1" w:styleId="Tablebulletnumbered2abc">
    <w:name w:val="Table bullet numbered 2 (abc)"/>
    <w:basedOn w:val="Tablebulletnumbered1123"/>
    <w:qFormat/>
    <w:rsid w:val="004C6DF6"/>
    <w:pPr>
      <w:numPr>
        <w:numId w:val="11"/>
      </w:numPr>
    </w:pPr>
  </w:style>
  <w:style w:type="character" w:customStyle="1" w:styleId="UnresolvedMention2">
    <w:name w:val="Unresolved Mention2"/>
    <w:basedOn w:val="DefaultParagraphFont"/>
    <w:uiPriority w:val="99"/>
    <w:semiHidden/>
    <w:locked/>
    <w:rsid w:val="008B3462"/>
    <w:rPr>
      <w:color w:val="605E5C"/>
      <w:shd w:val="clear" w:color="auto" w:fill="E1DFDD"/>
    </w:rPr>
  </w:style>
  <w:style w:type="paragraph" w:customStyle="1" w:styleId="Bulletnumbered3iii">
    <w:name w:val="Bullet numbered 3 (iii)"/>
    <w:basedOn w:val="Bulletnumbered2abc"/>
    <w:qFormat/>
    <w:rsid w:val="00F76A6D"/>
    <w:pPr>
      <w:numPr>
        <w:ilvl w:val="2"/>
      </w:numPr>
    </w:pPr>
  </w:style>
  <w:style w:type="paragraph" w:styleId="EndnoteText">
    <w:name w:val="endnote text"/>
    <w:basedOn w:val="Normal"/>
    <w:link w:val="EndnoteTextChar"/>
    <w:uiPriority w:val="99"/>
    <w:rsid w:val="00483CAD"/>
    <w:pPr>
      <w:tabs>
        <w:tab w:val="left" w:pos="426"/>
      </w:tabs>
      <w:spacing w:after="120"/>
      <w:ind w:left="284" w:hanging="284"/>
    </w:pPr>
    <w:rPr>
      <w:szCs w:val="24"/>
    </w:rPr>
  </w:style>
  <w:style w:type="character" w:customStyle="1" w:styleId="EndnoteTextChar">
    <w:name w:val="Endnote Text Char"/>
    <w:basedOn w:val="DefaultParagraphFont"/>
    <w:link w:val="EndnoteText"/>
    <w:uiPriority w:val="99"/>
    <w:rsid w:val="00D541EC"/>
    <w:rPr>
      <w:rFonts w:ascii="Arial" w:hAnsi="Arial"/>
      <w:sz w:val="24"/>
      <w:szCs w:val="24"/>
    </w:rPr>
  </w:style>
  <w:style w:type="character" w:styleId="EndnoteReference">
    <w:name w:val="endnote reference"/>
    <w:basedOn w:val="DefaultParagraphFont"/>
    <w:uiPriority w:val="99"/>
    <w:rsid w:val="007C6BAA"/>
    <w:rPr>
      <w:vertAlign w:val="superscript"/>
    </w:rPr>
  </w:style>
  <w:style w:type="paragraph" w:customStyle="1" w:styleId="Default">
    <w:name w:val="Default"/>
    <w:semiHidden/>
    <w:locked/>
    <w:rsid w:val="00AE3D5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locked/>
    <w:rsid w:val="009C69C3"/>
    <w:rPr>
      <w:color w:val="605E5C"/>
      <w:shd w:val="clear" w:color="auto" w:fill="E1DFDD"/>
    </w:rPr>
  </w:style>
  <w:style w:type="table" w:styleId="PlainTable5">
    <w:name w:val="Plain Table 5"/>
    <w:basedOn w:val="TableNormal"/>
    <w:uiPriority w:val="45"/>
    <w:rsid w:val="006857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ageplacement">
    <w:name w:val="*Image placement"/>
    <w:basedOn w:val="Normal"/>
    <w:qFormat/>
    <w:rsid w:val="00CF4140"/>
    <w:pPr>
      <w:spacing w:after="360"/>
      <w:jc w:val="center"/>
    </w:pPr>
    <w:rPr>
      <w:noProof/>
      <w:lang w:eastAsia="en-GB"/>
    </w:rPr>
  </w:style>
  <w:style w:type="paragraph" w:customStyle="1" w:styleId="Textboxnormalleftaligned">
    <w:name w:val="Textbox normal (left aligned)"/>
    <w:basedOn w:val="Normal"/>
    <w:qFormat/>
    <w:rsid w:val="007234CE"/>
    <w:pPr>
      <w:spacing w:after="120"/>
    </w:pPr>
  </w:style>
  <w:style w:type="paragraph" w:customStyle="1" w:styleId="Texboxnormalcentrealigned">
    <w:name w:val="Texbox normal (centre aligned)"/>
    <w:basedOn w:val="Textboxnormalleftaligned"/>
    <w:semiHidden/>
    <w:qFormat/>
    <w:rsid w:val="00A76AB4"/>
    <w:pPr>
      <w:jc w:val="center"/>
    </w:pPr>
  </w:style>
  <w:style w:type="paragraph" w:customStyle="1" w:styleId="Bulletnumbered1">
    <w:name w:val="Bullet numbered 1"/>
    <w:basedOn w:val="Normal"/>
    <w:semiHidden/>
    <w:qFormat/>
    <w:rsid w:val="00D541EC"/>
  </w:style>
  <w:style w:type="character" w:customStyle="1" w:styleId="Tablebullet1Char">
    <w:name w:val="Table bullet 1 Char"/>
    <w:basedOn w:val="TableBodyChar"/>
    <w:link w:val="Tablebullet1"/>
    <w:rsid w:val="00D541EC"/>
    <w:rPr>
      <w:rFonts w:ascii="Arial" w:hAnsi="Arial"/>
      <w:b w:val="0"/>
      <w:color w:val="262626" w:themeColor="text1" w:themeTint="D9"/>
      <w:sz w:val="24"/>
      <w:szCs w:val="24"/>
    </w:rPr>
  </w:style>
  <w:style w:type="character" w:customStyle="1" w:styleId="Tablebodyde-emphasis">
    <w:name w:val="Table body de-emphasis"/>
    <w:basedOn w:val="DefaultParagraphFont"/>
    <w:uiPriority w:val="1"/>
    <w:semiHidden/>
    <w:qFormat/>
    <w:rsid w:val="00C11602"/>
    <w:rPr>
      <w:color w:val="595959"/>
    </w:rPr>
  </w:style>
  <w:style w:type="character" w:customStyle="1" w:styleId="Crossreference">
    <w:name w:val="Cross reference"/>
    <w:basedOn w:val="Hyperlink"/>
    <w:uiPriority w:val="1"/>
    <w:qFormat/>
    <w:rsid w:val="00C11602"/>
    <w:rPr>
      <w:b/>
      <w:bCs/>
      <w:color w:val="43358B"/>
    </w:rPr>
  </w:style>
  <w:style w:type="paragraph" w:styleId="Revision">
    <w:name w:val="Revision"/>
    <w:hidden/>
    <w:uiPriority w:val="99"/>
    <w:semiHidden/>
    <w:rsid w:val="00EB48D2"/>
    <w:pPr>
      <w:spacing w:after="0" w:line="240" w:lineRule="auto"/>
    </w:pPr>
    <w:rPr>
      <w:rFonts w:ascii="Arial" w:hAnsi="Arial"/>
      <w:sz w:val="24"/>
    </w:rPr>
  </w:style>
  <w:style w:type="character" w:styleId="Mention">
    <w:name w:val="Mention"/>
    <w:basedOn w:val="DefaultParagraphFont"/>
    <w:uiPriority w:val="99"/>
    <w:semiHidden/>
    <w:unhideWhenUsed/>
    <w:locked/>
    <w:rsid w:val="00EB48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6556">
      <w:bodyDiv w:val="1"/>
      <w:marLeft w:val="0"/>
      <w:marRight w:val="0"/>
      <w:marTop w:val="0"/>
      <w:marBottom w:val="0"/>
      <w:divBdr>
        <w:top w:val="none" w:sz="0" w:space="0" w:color="auto"/>
        <w:left w:val="none" w:sz="0" w:space="0" w:color="auto"/>
        <w:bottom w:val="none" w:sz="0" w:space="0" w:color="auto"/>
        <w:right w:val="none" w:sz="0" w:space="0" w:color="auto"/>
      </w:divBdr>
    </w:div>
    <w:div w:id="265159997">
      <w:bodyDiv w:val="1"/>
      <w:marLeft w:val="0"/>
      <w:marRight w:val="0"/>
      <w:marTop w:val="0"/>
      <w:marBottom w:val="0"/>
      <w:divBdr>
        <w:top w:val="none" w:sz="0" w:space="0" w:color="auto"/>
        <w:left w:val="none" w:sz="0" w:space="0" w:color="auto"/>
        <w:bottom w:val="none" w:sz="0" w:space="0" w:color="auto"/>
        <w:right w:val="none" w:sz="0" w:space="0" w:color="auto"/>
      </w:divBdr>
    </w:div>
    <w:div w:id="276260430">
      <w:bodyDiv w:val="1"/>
      <w:marLeft w:val="0"/>
      <w:marRight w:val="0"/>
      <w:marTop w:val="0"/>
      <w:marBottom w:val="0"/>
      <w:divBdr>
        <w:top w:val="none" w:sz="0" w:space="0" w:color="auto"/>
        <w:left w:val="none" w:sz="0" w:space="0" w:color="auto"/>
        <w:bottom w:val="none" w:sz="0" w:space="0" w:color="auto"/>
        <w:right w:val="none" w:sz="0" w:space="0" w:color="auto"/>
      </w:divBdr>
    </w:div>
    <w:div w:id="498038987">
      <w:bodyDiv w:val="1"/>
      <w:marLeft w:val="0"/>
      <w:marRight w:val="0"/>
      <w:marTop w:val="0"/>
      <w:marBottom w:val="0"/>
      <w:divBdr>
        <w:top w:val="none" w:sz="0" w:space="0" w:color="auto"/>
        <w:left w:val="none" w:sz="0" w:space="0" w:color="auto"/>
        <w:bottom w:val="none" w:sz="0" w:space="0" w:color="auto"/>
        <w:right w:val="none" w:sz="0" w:space="0" w:color="auto"/>
      </w:divBdr>
    </w:div>
    <w:div w:id="588540093">
      <w:bodyDiv w:val="1"/>
      <w:marLeft w:val="0"/>
      <w:marRight w:val="0"/>
      <w:marTop w:val="0"/>
      <w:marBottom w:val="0"/>
      <w:divBdr>
        <w:top w:val="none" w:sz="0" w:space="0" w:color="auto"/>
        <w:left w:val="none" w:sz="0" w:space="0" w:color="auto"/>
        <w:bottom w:val="none" w:sz="0" w:space="0" w:color="auto"/>
        <w:right w:val="none" w:sz="0" w:space="0" w:color="auto"/>
      </w:divBdr>
    </w:div>
    <w:div w:id="643974668">
      <w:bodyDiv w:val="1"/>
      <w:marLeft w:val="0"/>
      <w:marRight w:val="0"/>
      <w:marTop w:val="0"/>
      <w:marBottom w:val="0"/>
      <w:divBdr>
        <w:top w:val="none" w:sz="0" w:space="0" w:color="auto"/>
        <w:left w:val="none" w:sz="0" w:space="0" w:color="auto"/>
        <w:bottom w:val="none" w:sz="0" w:space="0" w:color="auto"/>
        <w:right w:val="none" w:sz="0" w:space="0" w:color="auto"/>
      </w:divBdr>
    </w:div>
    <w:div w:id="730887533">
      <w:bodyDiv w:val="1"/>
      <w:marLeft w:val="0"/>
      <w:marRight w:val="0"/>
      <w:marTop w:val="0"/>
      <w:marBottom w:val="0"/>
      <w:divBdr>
        <w:top w:val="none" w:sz="0" w:space="0" w:color="auto"/>
        <w:left w:val="none" w:sz="0" w:space="0" w:color="auto"/>
        <w:bottom w:val="none" w:sz="0" w:space="0" w:color="auto"/>
        <w:right w:val="none" w:sz="0" w:space="0" w:color="auto"/>
      </w:divBdr>
    </w:div>
    <w:div w:id="742459058">
      <w:bodyDiv w:val="1"/>
      <w:marLeft w:val="0"/>
      <w:marRight w:val="0"/>
      <w:marTop w:val="0"/>
      <w:marBottom w:val="0"/>
      <w:divBdr>
        <w:top w:val="none" w:sz="0" w:space="0" w:color="auto"/>
        <w:left w:val="none" w:sz="0" w:space="0" w:color="auto"/>
        <w:bottom w:val="none" w:sz="0" w:space="0" w:color="auto"/>
        <w:right w:val="none" w:sz="0" w:space="0" w:color="auto"/>
      </w:divBdr>
    </w:div>
    <w:div w:id="751046448">
      <w:bodyDiv w:val="1"/>
      <w:marLeft w:val="0"/>
      <w:marRight w:val="0"/>
      <w:marTop w:val="0"/>
      <w:marBottom w:val="0"/>
      <w:divBdr>
        <w:top w:val="none" w:sz="0" w:space="0" w:color="auto"/>
        <w:left w:val="none" w:sz="0" w:space="0" w:color="auto"/>
        <w:bottom w:val="none" w:sz="0" w:space="0" w:color="auto"/>
        <w:right w:val="none" w:sz="0" w:space="0" w:color="auto"/>
      </w:divBdr>
    </w:div>
    <w:div w:id="760102287">
      <w:bodyDiv w:val="1"/>
      <w:marLeft w:val="0"/>
      <w:marRight w:val="0"/>
      <w:marTop w:val="0"/>
      <w:marBottom w:val="0"/>
      <w:divBdr>
        <w:top w:val="none" w:sz="0" w:space="0" w:color="auto"/>
        <w:left w:val="none" w:sz="0" w:space="0" w:color="auto"/>
        <w:bottom w:val="none" w:sz="0" w:space="0" w:color="auto"/>
        <w:right w:val="none" w:sz="0" w:space="0" w:color="auto"/>
      </w:divBdr>
    </w:div>
    <w:div w:id="766270235">
      <w:bodyDiv w:val="1"/>
      <w:marLeft w:val="0"/>
      <w:marRight w:val="0"/>
      <w:marTop w:val="0"/>
      <w:marBottom w:val="0"/>
      <w:divBdr>
        <w:top w:val="none" w:sz="0" w:space="0" w:color="auto"/>
        <w:left w:val="none" w:sz="0" w:space="0" w:color="auto"/>
        <w:bottom w:val="none" w:sz="0" w:space="0" w:color="auto"/>
        <w:right w:val="none" w:sz="0" w:space="0" w:color="auto"/>
      </w:divBdr>
    </w:div>
    <w:div w:id="880093233">
      <w:bodyDiv w:val="1"/>
      <w:marLeft w:val="0"/>
      <w:marRight w:val="0"/>
      <w:marTop w:val="0"/>
      <w:marBottom w:val="0"/>
      <w:divBdr>
        <w:top w:val="none" w:sz="0" w:space="0" w:color="auto"/>
        <w:left w:val="none" w:sz="0" w:space="0" w:color="auto"/>
        <w:bottom w:val="none" w:sz="0" w:space="0" w:color="auto"/>
        <w:right w:val="none" w:sz="0" w:space="0" w:color="auto"/>
      </w:divBdr>
    </w:div>
    <w:div w:id="914389643">
      <w:bodyDiv w:val="1"/>
      <w:marLeft w:val="0"/>
      <w:marRight w:val="0"/>
      <w:marTop w:val="0"/>
      <w:marBottom w:val="0"/>
      <w:divBdr>
        <w:top w:val="none" w:sz="0" w:space="0" w:color="auto"/>
        <w:left w:val="none" w:sz="0" w:space="0" w:color="auto"/>
        <w:bottom w:val="none" w:sz="0" w:space="0" w:color="auto"/>
        <w:right w:val="none" w:sz="0" w:space="0" w:color="auto"/>
      </w:divBdr>
    </w:div>
    <w:div w:id="970013244">
      <w:bodyDiv w:val="1"/>
      <w:marLeft w:val="0"/>
      <w:marRight w:val="0"/>
      <w:marTop w:val="0"/>
      <w:marBottom w:val="0"/>
      <w:divBdr>
        <w:top w:val="none" w:sz="0" w:space="0" w:color="auto"/>
        <w:left w:val="none" w:sz="0" w:space="0" w:color="auto"/>
        <w:bottom w:val="none" w:sz="0" w:space="0" w:color="auto"/>
        <w:right w:val="none" w:sz="0" w:space="0" w:color="auto"/>
      </w:divBdr>
    </w:div>
    <w:div w:id="1021735694">
      <w:bodyDiv w:val="1"/>
      <w:marLeft w:val="0"/>
      <w:marRight w:val="0"/>
      <w:marTop w:val="0"/>
      <w:marBottom w:val="0"/>
      <w:divBdr>
        <w:top w:val="none" w:sz="0" w:space="0" w:color="auto"/>
        <w:left w:val="none" w:sz="0" w:space="0" w:color="auto"/>
        <w:bottom w:val="none" w:sz="0" w:space="0" w:color="auto"/>
        <w:right w:val="none" w:sz="0" w:space="0" w:color="auto"/>
      </w:divBdr>
    </w:div>
    <w:div w:id="1021904879">
      <w:bodyDiv w:val="1"/>
      <w:marLeft w:val="0"/>
      <w:marRight w:val="0"/>
      <w:marTop w:val="0"/>
      <w:marBottom w:val="0"/>
      <w:divBdr>
        <w:top w:val="none" w:sz="0" w:space="0" w:color="auto"/>
        <w:left w:val="none" w:sz="0" w:space="0" w:color="auto"/>
        <w:bottom w:val="none" w:sz="0" w:space="0" w:color="auto"/>
        <w:right w:val="none" w:sz="0" w:space="0" w:color="auto"/>
      </w:divBdr>
    </w:div>
    <w:div w:id="1057361773">
      <w:bodyDiv w:val="1"/>
      <w:marLeft w:val="0"/>
      <w:marRight w:val="0"/>
      <w:marTop w:val="0"/>
      <w:marBottom w:val="0"/>
      <w:divBdr>
        <w:top w:val="none" w:sz="0" w:space="0" w:color="auto"/>
        <w:left w:val="none" w:sz="0" w:space="0" w:color="auto"/>
        <w:bottom w:val="none" w:sz="0" w:space="0" w:color="auto"/>
        <w:right w:val="none" w:sz="0" w:space="0" w:color="auto"/>
      </w:divBdr>
    </w:div>
    <w:div w:id="1127896165">
      <w:bodyDiv w:val="1"/>
      <w:marLeft w:val="0"/>
      <w:marRight w:val="0"/>
      <w:marTop w:val="0"/>
      <w:marBottom w:val="0"/>
      <w:divBdr>
        <w:top w:val="none" w:sz="0" w:space="0" w:color="auto"/>
        <w:left w:val="none" w:sz="0" w:space="0" w:color="auto"/>
        <w:bottom w:val="none" w:sz="0" w:space="0" w:color="auto"/>
        <w:right w:val="none" w:sz="0" w:space="0" w:color="auto"/>
      </w:divBdr>
    </w:div>
    <w:div w:id="1273131751">
      <w:bodyDiv w:val="1"/>
      <w:marLeft w:val="0"/>
      <w:marRight w:val="0"/>
      <w:marTop w:val="0"/>
      <w:marBottom w:val="0"/>
      <w:divBdr>
        <w:top w:val="none" w:sz="0" w:space="0" w:color="auto"/>
        <w:left w:val="none" w:sz="0" w:space="0" w:color="auto"/>
        <w:bottom w:val="none" w:sz="0" w:space="0" w:color="auto"/>
        <w:right w:val="none" w:sz="0" w:space="0" w:color="auto"/>
      </w:divBdr>
    </w:div>
    <w:div w:id="1274635748">
      <w:bodyDiv w:val="1"/>
      <w:marLeft w:val="0"/>
      <w:marRight w:val="0"/>
      <w:marTop w:val="0"/>
      <w:marBottom w:val="0"/>
      <w:divBdr>
        <w:top w:val="none" w:sz="0" w:space="0" w:color="auto"/>
        <w:left w:val="none" w:sz="0" w:space="0" w:color="auto"/>
        <w:bottom w:val="none" w:sz="0" w:space="0" w:color="auto"/>
        <w:right w:val="none" w:sz="0" w:space="0" w:color="auto"/>
      </w:divBdr>
    </w:div>
    <w:div w:id="1299798213">
      <w:bodyDiv w:val="1"/>
      <w:marLeft w:val="0"/>
      <w:marRight w:val="0"/>
      <w:marTop w:val="0"/>
      <w:marBottom w:val="0"/>
      <w:divBdr>
        <w:top w:val="none" w:sz="0" w:space="0" w:color="auto"/>
        <w:left w:val="none" w:sz="0" w:space="0" w:color="auto"/>
        <w:bottom w:val="none" w:sz="0" w:space="0" w:color="auto"/>
        <w:right w:val="none" w:sz="0" w:space="0" w:color="auto"/>
      </w:divBdr>
    </w:div>
    <w:div w:id="1348361036">
      <w:bodyDiv w:val="1"/>
      <w:marLeft w:val="0"/>
      <w:marRight w:val="0"/>
      <w:marTop w:val="0"/>
      <w:marBottom w:val="0"/>
      <w:divBdr>
        <w:top w:val="none" w:sz="0" w:space="0" w:color="auto"/>
        <w:left w:val="none" w:sz="0" w:space="0" w:color="auto"/>
        <w:bottom w:val="none" w:sz="0" w:space="0" w:color="auto"/>
        <w:right w:val="none" w:sz="0" w:space="0" w:color="auto"/>
      </w:divBdr>
    </w:div>
    <w:div w:id="1396659524">
      <w:bodyDiv w:val="1"/>
      <w:marLeft w:val="0"/>
      <w:marRight w:val="0"/>
      <w:marTop w:val="0"/>
      <w:marBottom w:val="0"/>
      <w:divBdr>
        <w:top w:val="none" w:sz="0" w:space="0" w:color="auto"/>
        <w:left w:val="none" w:sz="0" w:space="0" w:color="auto"/>
        <w:bottom w:val="none" w:sz="0" w:space="0" w:color="auto"/>
        <w:right w:val="none" w:sz="0" w:space="0" w:color="auto"/>
      </w:divBdr>
    </w:div>
    <w:div w:id="1455565511">
      <w:bodyDiv w:val="1"/>
      <w:marLeft w:val="0"/>
      <w:marRight w:val="0"/>
      <w:marTop w:val="0"/>
      <w:marBottom w:val="0"/>
      <w:divBdr>
        <w:top w:val="none" w:sz="0" w:space="0" w:color="auto"/>
        <w:left w:val="none" w:sz="0" w:space="0" w:color="auto"/>
        <w:bottom w:val="none" w:sz="0" w:space="0" w:color="auto"/>
        <w:right w:val="none" w:sz="0" w:space="0" w:color="auto"/>
      </w:divBdr>
    </w:div>
    <w:div w:id="1551570487">
      <w:bodyDiv w:val="1"/>
      <w:marLeft w:val="0"/>
      <w:marRight w:val="0"/>
      <w:marTop w:val="0"/>
      <w:marBottom w:val="0"/>
      <w:divBdr>
        <w:top w:val="none" w:sz="0" w:space="0" w:color="auto"/>
        <w:left w:val="none" w:sz="0" w:space="0" w:color="auto"/>
        <w:bottom w:val="none" w:sz="0" w:space="0" w:color="auto"/>
        <w:right w:val="none" w:sz="0" w:space="0" w:color="auto"/>
      </w:divBdr>
    </w:div>
    <w:div w:id="1582371974">
      <w:bodyDiv w:val="1"/>
      <w:marLeft w:val="0"/>
      <w:marRight w:val="0"/>
      <w:marTop w:val="0"/>
      <w:marBottom w:val="0"/>
      <w:divBdr>
        <w:top w:val="none" w:sz="0" w:space="0" w:color="auto"/>
        <w:left w:val="none" w:sz="0" w:space="0" w:color="auto"/>
        <w:bottom w:val="none" w:sz="0" w:space="0" w:color="auto"/>
        <w:right w:val="none" w:sz="0" w:space="0" w:color="auto"/>
      </w:divBdr>
    </w:div>
    <w:div w:id="1653480891">
      <w:bodyDiv w:val="1"/>
      <w:marLeft w:val="0"/>
      <w:marRight w:val="0"/>
      <w:marTop w:val="0"/>
      <w:marBottom w:val="0"/>
      <w:divBdr>
        <w:top w:val="none" w:sz="0" w:space="0" w:color="auto"/>
        <w:left w:val="none" w:sz="0" w:space="0" w:color="auto"/>
        <w:bottom w:val="none" w:sz="0" w:space="0" w:color="auto"/>
        <w:right w:val="none" w:sz="0" w:space="0" w:color="auto"/>
      </w:divBdr>
    </w:div>
    <w:div w:id="1657302905">
      <w:bodyDiv w:val="1"/>
      <w:marLeft w:val="0"/>
      <w:marRight w:val="0"/>
      <w:marTop w:val="0"/>
      <w:marBottom w:val="0"/>
      <w:divBdr>
        <w:top w:val="none" w:sz="0" w:space="0" w:color="auto"/>
        <w:left w:val="none" w:sz="0" w:space="0" w:color="auto"/>
        <w:bottom w:val="none" w:sz="0" w:space="0" w:color="auto"/>
        <w:right w:val="none" w:sz="0" w:space="0" w:color="auto"/>
      </w:divBdr>
    </w:div>
    <w:div w:id="1669940352">
      <w:bodyDiv w:val="1"/>
      <w:marLeft w:val="0"/>
      <w:marRight w:val="0"/>
      <w:marTop w:val="0"/>
      <w:marBottom w:val="0"/>
      <w:divBdr>
        <w:top w:val="none" w:sz="0" w:space="0" w:color="auto"/>
        <w:left w:val="none" w:sz="0" w:space="0" w:color="auto"/>
        <w:bottom w:val="none" w:sz="0" w:space="0" w:color="auto"/>
        <w:right w:val="none" w:sz="0" w:space="0" w:color="auto"/>
      </w:divBdr>
    </w:div>
    <w:div w:id="1722822403">
      <w:bodyDiv w:val="1"/>
      <w:marLeft w:val="0"/>
      <w:marRight w:val="0"/>
      <w:marTop w:val="0"/>
      <w:marBottom w:val="0"/>
      <w:divBdr>
        <w:top w:val="none" w:sz="0" w:space="0" w:color="auto"/>
        <w:left w:val="none" w:sz="0" w:space="0" w:color="auto"/>
        <w:bottom w:val="none" w:sz="0" w:space="0" w:color="auto"/>
        <w:right w:val="none" w:sz="0" w:space="0" w:color="auto"/>
      </w:divBdr>
    </w:div>
    <w:div w:id="1725980296">
      <w:bodyDiv w:val="1"/>
      <w:marLeft w:val="0"/>
      <w:marRight w:val="0"/>
      <w:marTop w:val="0"/>
      <w:marBottom w:val="0"/>
      <w:divBdr>
        <w:top w:val="none" w:sz="0" w:space="0" w:color="auto"/>
        <w:left w:val="none" w:sz="0" w:space="0" w:color="auto"/>
        <w:bottom w:val="none" w:sz="0" w:space="0" w:color="auto"/>
        <w:right w:val="none" w:sz="0" w:space="0" w:color="auto"/>
      </w:divBdr>
    </w:div>
    <w:div w:id="1803764316">
      <w:bodyDiv w:val="1"/>
      <w:marLeft w:val="0"/>
      <w:marRight w:val="0"/>
      <w:marTop w:val="0"/>
      <w:marBottom w:val="0"/>
      <w:divBdr>
        <w:top w:val="none" w:sz="0" w:space="0" w:color="auto"/>
        <w:left w:val="none" w:sz="0" w:space="0" w:color="auto"/>
        <w:bottom w:val="none" w:sz="0" w:space="0" w:color="auto"/>
        <w:right w:val="none" w:sz="0" w:space="0" w:color="auto"/>
      </w:divBdr>
    </w:div>
    <w:div w:id="1865971075">
      <w:bodyDiv w:val="1"/>
      <w:marLeft w:val="0"/>
      <w:marRight w:val="0"/>
      <w:marTop w:val="0"/>
      <w:marBottom w:val="0"/>
      <w:divBdr>
        <w:top w:val="none" w:sz="0" w:space="0" w:color="auto"/>
        <w:left w:val="none" w:sz="0" w:space="0" w:color="auto"/>
        <w:bottom w:val="none" w:sz="0" w:space="0" w:color="auto"/>
        <w:right w:val="none" w:sz="0" w:space="0" w:color="auto"/>
      </w:divBdr>
    </w:div>
    <w:div w:id="1873420479">
      <w:bodyDiv w:val="1"/>
      <w:marLeft w:val="0"/>
      <w:marRight w:val="0"/>
      <w:marTop w:val="0"/>
      <w:marBottom w:val="0"/>
      <w:divBdr>
        <w:top w:val="none" w:sz="0" w:space="0" w:color="auto"/>
        <w:left w:val="none" w:sz="0" w:space="0" w:color="auto"/>
        <w:bottom w:val="none" w:sz="0" w:space="0" w:color="auto"/>
        <w:right w:val="none" w:sz="0" w:space="0" w:color="auto"/>
      </w:divBdr>
    </w:div>
    <w:div w:id="1874880697">
      <w:bodyDiv w:val="1"/>
      <w:marLeft w:val="0"/>
      <w:marRight w:val="0"/>
      <w:marTop w:val="0"/>
      <w:marBottom w:val="0"/>
      <w:divBdr>
        <w:top w:val="none" w:sz="0" w:space="0" w:color="auto"/>
        <w:left w:val="none" w:sz="0" w:space="0" w:color="auto"/>
        <w:bottom w:val="none" w:sz="0" w:space="0" w:color="auto"/>
        <w:right w:val="none" w:sz="0" w:space="0" w:color="auto"/>
      </w:divBdr>
    </w:div>
    <w:div w:id="1880391574">
      <w:bodyDiv w:val="1"/>
      <w:marLeft w:val="0"/>
      <w:marRight w:val="0"/>
      <w:marTop w:val="0"/>
      <w:marBottom w:val="0"/>
      <w:divBdr>
        <w:top w:val="none" w:sz="0" w:space="0" w:color="auto"/>
        <w:left w:val="none" w:sz="0" w:space="0" w:color="auto"/>
        <w:bottom w:val="none" w:sz="0" w:space="0" w:color="auto"/>
        <w:right w:val="none" w:sz="0" w:space="0" w:color="auto"/>
      </w:divBdr>
    </w:div>
    <w:div w:id="1915116851">
      <w:bodyDiv w:val="1"/>
      <w:marLeft w:val="0"/>
      <w:marRight w:val="0"/>
      <w:marTop w:val="0"/>
      <w:marBottom w:val="0"/>
      <w:divBdr>
        <w:top w:val="none" w:sz="0" w:space="0" w:color="auto"/>
        <w:left w:val="none" w:sz="0" w:space="0" w:color="auto"/>
        <w:bottom w:val="none" w:sz="0" w:space="0" w:color="auto"/>
        <w:right w:val="none" w:sz="0" w:space="0" w:color="auto"/>
      </w:divBdr>
    </w:div>
    <w:div w:id="2009356883">
      <w:bodyDiv w:val="1"/>
      <w:marLeft w:val="0"/>
      <w:marRight w:val="0"/>
      <w:marTop w:val="0"/>
      <w:marBottom w:val="0"/>
      <w:divBdr>
        <w:top w:val="none" w:sz="0" w:space="0" w:color="auto"/>
        <w:left w:val="none" w:sz="0" w:space="0" w:color="auto"/>
        <w:bottom w:val="none" w:sz="0" w:space="0" w:color="auto"/>
        <w:right w:val="none" w:sz="0" w:space="0" w:color="auto"/>
      </w:divBdr>
    </w:div>
    <w:div w:id="2125228914">
      <w:bodyDiv w:val="1"/>
      <w:marLeft w:val="0"/>
      <w:marRight w:val="0"/>
      <w:marTop w:val="0"/>
      <w:marBottom w:val="0"/>
      <w:divBdr>
        <w:top w:val="none" w:sz="0" w:space="0" w:color="auto"/>
        <w:left w:val="none" w:sz="0" w:space="0" w:color="auto"/>
        <w:bottom w:val="none" w:sz="0" w:space="0" w:color="auto"/>
        <w:right w:val="none" w:sz="0" w:space="0" w:color="auto"/>
      </w:divBdr>
    </w:div>
    <w:div w:id="213925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tagra.scot.nhs.uk/wp-content/uploads/2019/04/TAGRA-29th-Meeting-8-Apri-2019-Minutes-of-previous-meeting.docx" TargetMode="External"/><Relationship Id="rId1" Type="http://schemas.openxmlformats.org/officeDocument/2006/relationships/hyperlink" Target="https://www.tagra.scot.nhs.uk/subgroups/remote-and-rur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c02\Downloads\phs-short-report-word-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BFCA39A43E48BD8CEE867EFD5E0556"/>
        <w:category>
          <w:name w:val="General"/>
          <w:gallery w:val="placeholder"/>
        </w:category>
        <w:types>
          <w:type w:val="bbPlcHdr"/>
        </w:types>
        <w:behaviors>
          <w:behavior w:val="content"/>
        </w:behaviors>
        <w:guid w:val="{F84E79F5-A464-49AD-829C-2597AB9FB903}"/>
      </w:docPartPr>
      <w:docPartBody>
        <w:p w:rsidR="005C1565" w:rsidRDefault="00396FCD">
          <w:pPr>
            <w:pStyle w:val="40BFCA39A43E48BD8CEE867EFD5E0556"/>
          </w:pPr>
          <w:r w:rsidRPr="002519C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CD"/>
    <w:rsid w:val="001F601B"/>
    <w:rsid w:val="0029733D"/>
    <w:rsid w:val="00314465"/>
    <w:rsid w:val="00317CBC"/>
    <w:rsid w:val="00396FCD"/>
    <w:rsid w:val="003B1861"/>
    <w:rsid w:val="003B4C98"/>
    <w:rsid w:val="003C7F13"/>
    <w:rsid w:val="005C1565"/>
    <w:rsid w:val="00A349B6"/>
    <w:rsid w:val="00AC3DAC"/>
    <w:rsid w:val="00AE0BDF"/>
    <w:rsid w:val="00B67BFA"/>
    <w:rsid w:val="00DC27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BFCA39A43E48BD8CEE867EFD5E0556">
    <w:name w:val="40BFCA39A43E48BD8CEE867EFD5E0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trospect">
  <a:themeElements>
    <a:clrScheme name="PHS">
      <a:dk1>
        <a:srgbClr val="000000"/>
      </a:dk1>
      <a:lt1>
        <a:sysClr val="window" lastClr="FFFFFF"/>
      </a:lt1>
      <a:dk2>
        <a:srgbClr val="3F3685"/>
      </a:dk2>
      <a:lt2>
        <a:srgbClr val="FFFFFF"/>
      </a:lt2>
      <a:accent1>
        <a:srgbClr val="0078D4"/>
      </a:accent1>
      <a:accent2>
        <a:srgbClr val="83BB26"/>
      </a:accent2>
      <a:accent3>
        <a:srgbClr val="EDD5EB"/>
      </a:accent3>
      <a:accent4>
        <a:srgbClr val="D5D0ED"/>
      </a:accent4>
      <a:accent5>
        <a:srgbClr val="964091"/>
      </a:accent5>
      <a:accent6>
        <a:srgbClr val="C982C5"/>
      </a:accent6>
      <a:hlink>
        <a:srgbClr val="3F3685"/>
      </a:hlink>
      <a:folHlink>
        <a:srgbClr val="3F3685"/>
      </a:folHlink>
    </a:clrScheme>
    <a:fontScheme name="PHS">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txDef>
      <a:spPr bwMode="auto">
        <a:solidFill>
          <a:schemeClr val="bg1"/>
        </a:solidFill>
        <a:ln w="19050">
          <a:solidFill>
            <a:srgbClr val="964091"/>
          </a:solidFill>
          <a:miter lim="800000"/>
          <a:headEnd/>
          <a:tailEnd/>
        </a:ln>
      </a:spPr>
      <a:bodyPr rot="0" vert="horz" wrap="square" lIns="144000" tIns="144000" rIns="144000" bIns="108000" anchor="t" anchorCtr="0">
        <a:noAutofit/>
      </a:bodyPr>
      <a:lstStyle/>
    </a:txDef>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DBF100CB70243AB23218DAC14F371" ma:contentTypeVersion="4" ma:contentTypeDescription="Create a new document." ma:contentTypeScope="" ma:versionID="64f6c6a7ffe5ef1276bfbf967122669d">
  <xsd:schema xmlns:xsd="http://www.w3.org/2001/XMLSchema" xmlns:xs="http://www.w3.org/2001/XMLSchema" xmlns:p="http://schemas.microsoft.com/office/2006/metadata/properties" xmlns:ns2="a3826f81-0d89-4c84-92ed-abf8725452f5" targetNamespace="http://schemas.microsoft.com/office/2006/metadata/properties" ma:root="true" ma:fieldsID="94549231d181971aac231051b20824f6" ns2:_="">
    <xsd:import namespace="a3826f81-0d89-4c84-92ed-abf8725452f5"/>
    <xsd:element name="properties">
      <xsd:complexType>
        <xsd:sequence>
          <xsd:element name="documentManagement">
            <xsd:complexType>
              <xsd:all>
                <xsd:element ref="ns2:MediaServiceMetadata" minOccurs="0"/>
                <xsd:element ref="ns2:MediaServiceFastMetadata" minOccurs="0"/>
                <xsd:element ref="ns2:Documenttyp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26f81-0d89-4c84-92ed-abf872545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type" ma:index="10" nillable="true" ma:displayName="Document type" ma:description="what type of document is this?" ma:format="Dropdown" ma:internalName="Documenttype">
      <xsd:simpleType>
        <xsd:restriction base="dms:Choice">
          <xsd:enumeration value="SOPs"/>
          <xsd:enumeration value="Planning"/>
          <xsd:enumeration value="Population analysis"/>
          <xsd:enumeration value="R documentation"/>
          <xsd:enumeration value="TAGRA"/>
          <xsd:enumeration value="Presentations"/>
          <xsd:enumeration value="AST"/>
        </xsd:restrictio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a3826f81-0d89-4c84-92ed-abf8725452f5">TAGRA</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B5C02-F5AE-4A27-B23E-BA8F1F789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26f81-0d89-4c84-92ed-abf872545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2688C-114F-4086-A3A1-6C7FB0D8A225}">
  <ds:schemaRefs>
    <ds:schemaRef ds:uri="http://schemas.microsoft.com/office/2006/documentManagement/types"/>
    <ds:schemaRef ds:uri="a3826f81-0d89-4c84-92ed-abf8725452f5"/>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09CB5D3-5BFD-4BBC-9F32-751451F9C34C}">
  <ds:schemaRefs>
    <ds:schemaRef ds:uri="http://schemas.microsoft.com/sharepoint/v3/contenttype/forms"/>
  </ds:schemaRefs>
</ds:datastoreItem>
</file>

<file path=customXml/itemProps4.xml><?xml version="1.0" encoding="utf-8"?>
<ds:datastoreItem xmlns:ds="http://schemas.openxmlformats.org/officeDocument/2006/customXml" ds:itemID="{3849E116-B3D2-4241-A515-0A0CC537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phs-short-report-word-template (1)</Template>
  <TotalTime>3</TotalTime>
  <Pages>9</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NRAC GP out of hours adjustment - update</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NRAC GP out of hours adjustment - update</dc:title>
  <dc:subject/>
  <dc:creator>Natalie Cameron</dc:creator>
  <cp:keywords/>
  <dc:description/>
  <cp:lastModifiedBy>Iona Mayhew</cp:lastModifiedBy>
  <cp:revision>2</cp:revision>
  <cp:lastPrinted>2021-11-12T04:11:00Z</cp:lastPrinted>
  <dcterms:created xsi:type="dcterms:W3CDTF">2023-11-06T10:10:00Z</dcterms:created>
  <dcterms:modified xsi:type="dcterms:W3CDTF">2023-11-06T10:10:00Z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0x0101004A5DBF100CB70243AB23218DAC14F371</vt:lpwstr>
  </property>
</Properties>
</file>