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FD898" w14:textId="7E4C7B3E" w:rsidR="00D541EC" w:rsidRPr="00C41068" w:rsidRDefault="008F2306" w:rsidP="00F3062B">
      <w:pPr>
        <w:pStyle w:val="PublicationTitle"/>
      </w:pPr>
      <w:sdt>
        <w:sdtPr>
          <w:alias w:val="Title"/>
          <w:tag w:val=""/>
          <w:id w:val="1541702955"/>
          <w:placeholder>
            <w:docPart w:val="F578A00D64A04FFB95FBE83698F32AB3"/>
          </w:placeholder>
          <w:dataBinding w:prefixMappings="xmlns:ns0='http://purl.org/dc/elements/1.1/' xmlns:ns1='http://schemas.openxmlformats.org/package/2006/metadata/core-properties' " w:xpath="/ns1:coreProperties[1]/ns0:title[1]" w:storeItemID="{6C3C8BC8-F283-45AE-878A-BAB7291924A1}"/>
          <w:text/>
        </w:sdtPr>
        <w:sdtEndPr/>
        <w:sdtContent>
          <w:r w:rsidR="005A77A7" w:rsidRPr="00E72524">
            <w:t xml:space="preserve">Resource Allocation Formula: </w:t>
          </w:r>
          <w:r w:rsidR="007C1F39">
            <w:t>O</w:t>
          </w:r>
          <w:r w:rsidR="005A77A7" w:rsidRPr="00E72524">
            <w:t xml:space="preserve">ptions for </w:t>
          </w:r>
          <w:r w:rsidR="007C1F39">
            <w:t xml:space="preserve">publication of </w:t>
          </w:r>
          <w:r w:rsidR="005A77A7" w:rsidRPr="00E72524">
            <w:t xml:space="preserve">2025/26 </w:t>
          </w:r>
          <w:r w:rsidR="007C1F39">
            <w:t>shares</w:t>
          </w:r>
        </w:sdtContent>
      </w:sdt>
    </w:p>
    <w:p w14:paraId="5FE10A78" w14:textId="7093F8E7" w:rsidR="003054CF" w:rsidRDefault="003054CF" w:rsidP="0070200E">
      <w:pPr>
        <w:pStyle w:val="Heading1"/>
      </w:pPr>
      <w:bookmarkStart w:id="0" w:name="_Ref67398174"/>
      <w:bookmarkStart w:id="1" w:name="_Toc73509427"/>
      <w:bookmarkStart w:id="2" w:name="_Toc86067438"/>
      <w:bookmarkStart w:id="3" w:name="_Hlk105070119"/>
      <w:r>
        <w:t>TAGRA meeting, June 2023</w:t>
      </w:r>
    </w:p>
    <w:p w14:paraId="79BA6447" w14:textId="070B8459" w:rsidR="00C11602" w:rsidRPr="0053195B" w:rsidRDefault="00E72524" w:rsidP="00C11602">
      <w:pPr>
        <w:pStyle w:val="Heading1numbered"/>
        <w:numPr>
          <w:ilvl w:val="0"/>
          <w:numId w:val="7"/>
        </w:numPr>
      </w:pPr>
      <w:r>
        <w:t>Introduction</w:t>
      </w:r>
      <w:bookmarkEnd w:id="0"/>
      <w:bookmarkEnd w:id="1"/>
      <w:bookmarkEnd w:id="2"/>
    </w:p>
    <w:p w14:paraId="00EE1EA8" w14:textId="0F4D3E64" w:rsidR="004B29F2" w:rsidRDefault="00E72524" w:rsidP="00C11602">
      <w:r w:rsidRPr="00E72524">
        <w:t xml:space="preserve">This paper examines potential options for the timing </w:t>
      </w:r>
      <w:r w:rsidR="004B29F2">
        <w:t xml:space="preserve">and nature </w:t>
      </w:r>
      <w:r w:rsidRPr="00E72524">
        <w:t xml:space="preserve">of the National Resource Allocation </w:t>
      </w:r>
      <w:r w:rsidR="00492D87">
        <w:t>F</w:t>
      </w:r>
      <w:r w:rsidRPr="00E72524">
        <w:t xml:space="preserve">ormula (NRAC) publication by Public Health Scotland (PHS) containing 2025/26 target shares. </w:t>
      </w:r>
      <w:r w:rsidR="000B50A9">
        <w:t>TAGRA is asked to advise on the</w:t>
      </w:r>
      <w:r w:rsidR="002C3F61">
        <w:t>ir preferred option.</w:t>
      </w:r>
    </w:p>
    <w:p w14:paraId="694BA445" w14:textId="215F4817" w:rsidR="004B29F2" w:rsidRDefault="004B29F2" w:rsidP="00C11602">
      <w:r>
        <w:t>CO</w:t>
      </w:r>
      <w:r w:rsidR="00D35CFD">
        <w:t>VID-19</w:t>
      </w:r>
      <w:r w:rsidR="00C139ED">
        <w:t xml:space="preserve"> has impacted</w:t>
      </w:r>
      <w:r w:rsidR="00BC335D">
        <w:t xml:space="preserve"> on the availability of up-to</w:t>
      </w:r>
      <w:r w:rsidR="00524CB2">
        <w:t>-</w:t>
      </w:r>
      <w:r w:rsidR="00BC335D">
        <w:t xml:space="preserve">date </w:t>
      </w:r>
      <w:r w:rsidR="00524CB2">
        <w:t xml:space="preserve">data from key </w:t>
      </w:r>
      <w:r w:rsidR="006544AF">
        <w:t xml:space="preserve">national </w:t>
      </w:r>
      <w:r w:rsidR="00524CB2">
        <w:t xml:space="preserve">datasets that </w:t>
      </w:r>
      <w:r w:rsidR="005A77A7">
        <w:t xml:space="preserve">the </w:t>
      </w:r>
      <w:r w:rsidR="00524CB2">
        <w:t xml:space="preserve">Formula </w:t>
      </w:r>
      <w:r w:rsidR="002B0B3A">
        <w:t xml:space="preserve">traditionally </w:t>
      </w:r>
      <w:r w:rsidR="00524CB2">
        <w:t>relies</w:t>
      </w:r>
      <w:r w:rsidR="002C3F61">
        <w:t xml:space="preserve"> on for input data.</w:t>
      </w:r>
      <w:r w:rsidR="006544AF">
        <w:t xml:space="preserve"> Some </w:t>
      </w:r>
      <w:r w:rsidR="003F7AEC">
        <w:t>datasets have not been updated</w:t>
      </w:r>
      <w:r w:rsidR="008502C9">
        <w:t xml:space="preserve"> since prior to when the pandemic began to impact Scotland</w:t>
      </w:r>
      <w:r w:rsidR="00744200">
        <w:t>.</w:t>
      </w:r>
      <w:r w:rsidR="00A9124A">
        <w:t xml:space="preserve"> Equally</w:t>
      </w:r>
      <w:r w:rsidR="000E5C40">
        <w:t>, where more recent data</w:t>
      </w:r>
      <w:r w:rsidR="00A06986">
        <w:t xml:space="preserve"> are available</w:t>
      </w:r>
      <w:r w:rsidR="00D7643C">
        <w:t xml:space="preserve">, covering </w:t>
      </w:r>
      <w:r w:rsidR="00D74DCB">
        <w:t xml:space="preserve">a </w:t>
      </w:r>
      <w:r w:rsidR="00D7643C">
        <w:t>period</w:t>
      </w:r>
      <w:r w:rsidR="00563AE5">
        <w:t xml:space="preserve"> where the pandemic has</w:t>
      </w:r>
      <w:r w:rsidR="00D74DCB">
        <w:t xml:space="preserve"> severely</w:t>
      </w:r>
      <w:r w:rsidR="00563AE5">
        <w:t xml:space="preserve"> impact</w:t>
      </w:r>
      <w:r w:rsidR="00D74DCB">
        <w:t>ed</w:t>
      </w:r>
      <w:r w:rsidR="004E5A80">
        <w:t xml:space="preserve"> </w:t>
      </w:r>
      <w:r w:rsidR="00563AE5">
        <w:t>services,</w:t>
      </w:r>
      <w:r w:rsidR="000E5C40">
        <w:t xml:space="preserve"> there is the </w:t>
      </w:r>
      <w:r w:rsidR="009654AA">
        <w:t>challenge of</w:t>
      </w:r>
      <w:r w:rsidR="005C7E45">
        <w:t xml:space="preserve"> </w:t>
      </w:r>
      <w:r w:rsidR="00CD3885">
        <w:t xml:space="preserve">whether to </w:t>
      </w:r>
      <w:r w:rsidR="005C7E45">
        <w:t>interpret</w:t>
      </w:r>
      <w:r w:rsidR="00744200">
        <w:t xml:space="preserve"> any changes to trends</w:t>
      </w:r>
      <w:r w:rsidR="007D4E1B">
        <w:t xml:space="preserve"> </w:t>
      </w:r>
      <w:r w:rsidR="00EC665F">
        <w:t xml:space="preserve">or patterns </w:t>
      </w:r>
      <w:r w:rsidR="001B7D92">
        <w:t xml:space="preserve">of healthcare usage </w:t>
      </w:r>
      <w:r w:rsidR="007D4E1B">
        <w:t xml:space="preserve">as a temporary phenomenon or an indication </w:t>
      </w:r>
      <w:r w:rsidR="00564B49">
        <w:t xml:space="preserve">of a </w:t>
      </w:r>
      <w:r w:rsidR="00A06986">
        <w:t xml:space="preserve">longer-term </w:t>
      </w:r>
      <w:r w:rsidR="00564B49">
        <w:t>change that will continue</w:t>
      </w:r>
      <w:r w:rsidR="00F33671">
        <w:t xml:space="preserve"> into 20</w:t>
      </w:r>
      <w:r w:rsidR="00A06986">
        <w:t>25/26</w:t>
      </w:r>
      <w:r w:rsidR="005A77A7">
        <w:t>.</w:t>
      </w:r>
    </w:p>
    <w:p w14:paraId="7EA60075" w14:textId="7289B7F2" w:rsidR="00C11602" w:rsidRDefault="00817A7E" w:rsidP="00C11602">
      <w:r>
        <w:t>Particular attention i</w:t>
      </w:r>
      <w:r w:rsidR="00E97A82">
        <w:t>s</w:t>
      </w:r>
      <w:r>
        <w:t xml:space="preserve"> focused on the key datasets that have the largest influence on the Formu</w:t>
      </w:r>
      <w:r w:rsidR="00E97A82">
        <w:t>la</w:t>
      </w:r>
      <w:r w:rsidR="00B93EE1">
        <w:t xml:space="preserve"> and </w:t>
      </w:r>
      <w:r w:rsidR="000975A9">
        <w:t>the</w:t>
      </w:r>
      <w:r w:rsidR="00B93EE1">
        <w:t xml:space="preserve"> updates to these that will occur in the next </w:t>
      </w:r>
      <w:r w:rsidR="003017C2">
        <w:t>15 months</w:t>
      </w:r>
      <w:r w:rsidR="00E97A82">
        <w:t xml:space="preserve">. </w:t>
      </w:r>
      <w:r w:rsidR="007957B9">
        <w:t xml:space="preserve">The paper assesses the </w:t>
      </w:r>
      <w:r w:rsidR="00AD0C73">
        <w:t>pros and cons of waiting for the</w:t>
      </w:r>
      <w:r w:rsidR="004E35E1">
        <w:t>se updates</w:t>
      </w:r>
      <w:r w:rsidR="00E3787D">
        <w:t xml:space="preserve"> as oppose</w:t>
      </w:r>
      <w:r w:rsidR="005A77A7">
        <w:t>d</w:t>
      </w:r>
      <w:r w:rsidR="00E3787D">
        <w:t xml:space="preserve"> to using what is currently available.</w:t>
      </w:r>
      <w:r w:rsidR="00E3787D" w:rsidDel="007A303B">
        <w:t xml:space="preserve"> </w:t>
      </w:r>
    </w:p>
    <w:p w14:paraId="7AC46C1C" w14:textId="089DCF4F" w:rsidR="00E72524" w:rsidRPr="00E72524" w:rsidRDefault="00E72524" w:rsidP="00E72524">
      <w:pPr>
        <w:pStyle w:val="Heading1numbered"/>
      </w:pPr>
      <w:r>
        <w:lastRenderedPageBreak/>
        <w:t>Options</w:t>
      </w:r>
      <w:r w:rsidR="004D7119">
        <w:t xml:space="preserve"> for 2025/26 run</w:t>
      </w:r>
    </w:p>
    <w:p w14:paraId="13212CE8" w14:textId="3F89EC0C" w:rsidR="00E72524" w:rsidRDefault="00E72524" w:rsidP="00C11602">
      <w:r w:rsidRPr="00E72524">
        <w:t xml:space="preserve">Following discussion between PHS and the Scottish Government, three options are presented </w:t>
      </w:r>
      <w:r w:rsidR="00307DDD">
        <w:t>in table 1</w:t>
      </w:r>
      <w:r w:rsidR="00307DDD" w:rsidRPr="00E72524">
        <w:t xml:space="preserve"> </w:t>
      </w:r>
      <w:r w:rsidRPr="00E72524">
        <w:t xml:space="preserve">for consideration </w:t>
      </w:r>
      <w:r w:rsidR="00C150AB">
        <w:t>by</w:t>
      </w:r>
      <w:r w:rsidRPr="00E72524">
        <w:t xml:space="preserve"> TAGRA </w:t>
      </w:r>
      <w:r w:rsidR="00C150AB">
        <w:t>in respect</w:t>
      </w:r>
      <w:r w:rsidR="00D11109">
        <w:t xml:space="preserve"> of timing of the next run</w:t>
      </w:r>
      <w:r w:rsidR="006832AB">
        <w:t xml:space="preserve"> of the </w:t>
      </w:r>
      <w:r w:rsidR="00492D87">
        <w:t>F</w:t>
      </w:r>
      <w:r w:rsidR="006832AB">
        <w:t>ormula</w:t>
      </w:r>
      <w:r w:rsidRPr="00E72524">
        <w:t>.</w:t>
      </w:r>
      <w:r w:rsidR="00A15500">
        <w:t xml:space="preserve"> All options are based on</w:t>
      </w:r>
      <w:r w:rsidR="00AF0CD3">
        <w:t xml:space="preserve"> when updates to key datasets </w:t>
      </w:r>
      <w:r w:rsidR="00626B26">
        <w:t>become</w:t>
      </w:r>
      <w:r w:rsidR="00AF0CD3">
        <w:t xml:space="preserve"> available:</w:t>
      </w:r>
      <w:r w:rsidR="00A15500">
        <w:t xml:space="preserve"> </w:t>
      </w:r>
      <w:r w:rsidR="00AF0CD3">
        <w:t>o</w:t>
      </w:r>
      <w:r w:rsidR="009C793A">
        <w:t xml:space="preserve">ption </w:t>
      </w:r>
      <w:r w:rsidR="00A5073C">
        <w:t>one</w:t>
      </w:r>
      <w:r w:rsidRPr="00E72524">
        <w:t xml:space="preserve"> shows what components of the formula could be updated now </w:t>
      </w:r>
      <w:r w:rsidR="00195847">
        <w:t>based on currently available data</w:t>
      </w:r>
      <w:r w:rsidRPr="00E72524">
        <w:t xml:space="preserve"> with </w:t>
      </w:r>
      <w:r w:rsidR="00E73C9A">
        <w:t xml:space="preserve">options </w:t>
      </w:r>
      <w:r w:rsidR="00A5073C">
        <w:t>two</w:t>
      </w:r>
      <w:r w:rsidR="00E73C9A">
        <w:t xml:space="preserve"> and </w:t>
      </w:r>
      <w:r w:rsidR="00A5073C">
        <w:t>three</w:t>
      </w:r>
      <w:r w:rsidR="00E73C9A">
        <w:t xml:space="preserve"> </w:t>
      </w:r>
      <w:r w:rsidRPr="00E72524">
        <w:t xml:space="preserve">highlighting what additional information will become available if the update were delayed. The longer the update can be delayed, the more up-to-date information can be incorporated. </w:t>
      </w:r>
      <w:r w:rsidR="00145487">
        <w:t>Each of t</w:t>
      </w:r>
      <w:r w:rsidRPr="00E72524">
        <w:t>hese options</w:t>
      </w:r>
      <w:r w:rsidR="00145487">
        <w:t xml:space="preserve"> and their advantages and disadvantages</w:t>
      </w:r>
      <w:r w:rsidRPr="00E72524">
        <w:t xml:space="preserve"> have been produced based on consideration of the information outlined in the remainder of this document.</w:t>
      </w:r>
    </w:p>
    <w:p w14:paraId="6BB75137" w14:textId="6D7E87FB" w:rsidR="008171BC" w:rsidRDefault="0009363A" w:rsidP="00C11602">
      <w:r>
        <w:t>NRAC</w:t>
      </w:r>
      <w:r w:rsidR="00307DDD">
        <w:t xml:space="preserve"> </w:t>
      </w:r>
      <w:r w:rsidR="00A5073C">
        <w:t>incorporates</w:t>
      </w:r>
      <w:r w:rsidR="00307DDD">
        <w:t xml:space="preserve"> </w:t>
      </w:r>
      <w:r w:rsidR="00A5073C">
        <w:t>data from approximately</w:t>
      </w:r>
      <w:r w:rsidR="00307DDD">
        <w:t xml:space="preserve"> 50</w:t>
      </w:r>
      <w:r w:rsidR="00A5073C">
        <w:t xml:space="preserve"> </w:t>
      </w:r>
      <w:r w:rsidR="008171BC">
        <w:t>individual</w:t>
      </w:r>
      <w:r w:rsidR="00307DDD">
        <w:t xml:space="preserve"> </w:t>
      </w:r>
      <w:r w:rsidR="005E392E">
        <w:t>datasets but</w:t>
      </w:r>
      <w:r w:rsidR="00A5073C">
        <w:t xml:space="preserve"> </w:t>
      </w:r>
      <w:r>
        <w:t xml:space="preserve">the three sources that have the greatest influence on the Formula </w:t>
      </w:r>
      <w:r w:rsidR="008171BC">
        <w:t xml:space="preserve">have been considered when assessing options for the publication date: </w:t>
      </w:r>
    </w:p>
    <w:p w14:paraId="12E75614" w14:textId="2C94A308" w:rsidR="005E392E" w:rsidRDefault="008171BC" w:rsidP="00C11602">
      <w:pPr>
        <w:pStyle w:val="Bulletnumbered1123"/>
        <w:numPr>
          <w:ilvl w:val="0"/>
          <w:numId w:val="12"/>
        </w:numPr>
        <w:ind w:left="714" w:hanging="357"/>
      </w:pPr>
      <w:r>
        <w:t>Population mid-year estimates and projections</w:t>
      </w:r>
      <w:r w:rsidR="00EA2E56">
        <w:t>. The main driver of any weighted capitation formula is the population size of each area and so these data are crucial in calculating the target shares.</w:t>
      </w:r>
    </w:p>
    <w:p w14:paraId="6EA6C0F1" w14:textId="44B62934" w:rsidR="00756700" w:rsidRDefault="00756700" w:rsidP="00C11602">
      <w:pPr>
        <w:pStyle w:val="Bulletnumbered1123"/>
        <w:numPr>
          <w:ilvl w:val="0"/>
          <w:numId w:val="12"/>
        </w:numPr>
        <w:ind w:left="714" w:hanging="357"/>
      </w:pPr>
      <w:r>
        <w:t>Scottish Financial Returns (SFRs)</w:t>
      </w:r>
      <w:r w:rsidR="00EA2E56">
        <w:t xml:space="preserve">. </w:t>
      </w:r>
      <w:r w:rsidR="000115DD">
        <w:t xml:space="preserve">Cost is generally used </w:t>
      </w:r>
      <w:r w:rsidR="000115DD" w:rsidRPr="000115DD">
        <w:t>by the Formula as a proxy for measuring 'need'.</w:t>
      </w:r>
      <w:r w:rsidR="000115DD">
        <w:t xml:space="preserve"> It is used in several components of the Formula including Age-Sex </w:t>
      </w:r>
      <w:r w:rsidR="002F7F79">
        <w:t>where national average healthcare costs are calculated for standard age-sex groupings and used to account for age and sex differences in the cost of delivering NHS services.</w:t>
      </w:r>
    </w:p>
    <w:p w14:paraId="7DB4E9B2" w14:textId="06B38AD7" w:rsidR="00C44E8B" w:rsidRDefault="00C44E8B" w:rsidP="00C11602">
      <w:pPr>
        <w:pStyle w:val="Bulletnumbered1123"/>
        <w:numPr>
          <w:ilvl w:val="0"/>
          <w:numId w:val="12"/>
        </w:numPr>
        <w:ind w:left="714" w:hanging="357"/>
      </w:pPr>
      <w:r>
        <w:t xml:space="preserve">Scottish </w:t>
      </w:r>
      <w:r w:rsidR="00A11F61">
        <w:t>Morbidity</w:t>
      </w:r>
      <w:r>
        <w:t xml:space="preserve"> </w:t>
      </w:r>
      <w:r w:rsidR="00A11F61">
        <w:t>Records (SMRs)</w:t>
      </w:r>
      <w:r w:rsidR="00EA2E56">
        <w:t>. H</w:t>
      </w:r>
      <w:r w:rsidR="00A11F61">
        <w:t>ospital activity information</w:t>
      </w:r>
      <w:r w:rsidR="00EA2E56">
        <w:t xml:space="preserve"> (for example inpatient and outpatient</w:t>
      </w:r>
      <w:r w:rsidR="003E600B">
        <w:t xml:space="preserve"> activity</w:t>
      </w:r>
      <w:r w:rsidR="00EA2E56">
        <w:t xml:space="preserve">) </w:t>
      </w:r>
      <w:r w:rsidR="00A11F61">
        <w:t>that is</w:t>
      </w:r>
      <w:r w:rsidR="002F7F79">
        <w:t xml:space="preserve"> generally used to examine patterns of activity and</w:t>
      </w:r>
      <w:r w:rsidR="00EF50A5">
        <w:t xml:space="preserve"> the associated cost of delivering care to different population groups</w:t>
      </w:r>
      <w:r w:rsidR="00EA2E56">
        <w:t>.</w:t>
      </w:r>
    </w:p>
    <w:p w14:paraId="58888D9B" w14:textId="6A36E6E9" w:rsidR="009D3388" w:rsidRDefault="00307DDD" w:rsidP="00DF39DE">
      <w:pPr>
        <w:pStyle w:val="Bulletnumbered1123"/>
        <w:numPr>
          <w:ilvl w:val="0"/>
          <w:numId w:val="0"/>
        </w:numPr>
        <w:sectPr w:rsidR="009D3388" w:rsidSect="002066C0">
          <w:headerReference w:type="default" r:id="rId11"/>
          <w:footerReference w:type="default" r:id="rId12"/>
          <w:headerReference w:type="first" r:id="rId13"/>
          <w:footerReference w:type="first" r:id="rId14"/>
          <w:endnotePr>
            <w:numFmt w:val="decimal"/>
          </w:endnotePr>
          <w:pgSz w:w="11906" w:h="16838"/>
          <w:pgMar w:top="284" w:right="1304" w:bottom="1418" w:left="1304" w:header="567" w:footer="624" w:gutter="0"/>
          <w:cols w:space="708"/>
          <w:titlePg/>
          <w:docGrid w:linePitch="360"/>
        </w:sectPr>
      </w:pPr>
      <w:r w:rsidRPr="00307DDD">
        <w:t xml:space="preserve">Population estimates and projections are used in the calculation of the population share while the </w:t>
      </w:r>
      <w:r w:rsidR="00EA2E56">
        <w:t>SFRs</w:t>
      </w:r>
      <w:r w:rsidRPr="00307DDD">
        <w:t xml:space="preserve"> and </w:t>
      </w:r>
      <w:r w:rsidR="00EA2E56">
        <w:t>SMRs</w:t>
      </w:r>
      <w:r w:rsidRPr="00307DDD">
        <w:t xml:space="preserve"> are used in each of the remaining components of the </w:t>
      </w:r>
      <w:r w:rsidR="003E600B">
        <w:t>F</w:t>
      </w:r>
      <w:r w:rsidRPr="00307DDD">
        <w:t>ormula: Age</w:t>
      </w:r>
      <w:r w:rsidR="002E2AB6">
        <w:t>-</w:t>
      </w:r>
      <w:r w:rsidRPr="00307DDD">
        <w:t>Sex, Morbidity and Life Circumstances (MLC), and Unavoidable Excess Cost. Given their extensive use</w:t>
      </w:r>
      <w:r w:rsidR="003E600B">
        <w:t xml:space="preserve"> compared to other data</w:t>
      </w:r>
      <w:r w:rsidR="002412DA">
        <w:t xml:space="preserve"> t</w:t>
      </w:r>
      <w:r w:rsidR="003E600B">
        <w:t>hat the Formula uses</w:t>
      </w:r>
      <w:r w:rsidRPr="00307DDD">
        <w:t xml:space="preserve">, </w:t>
      </w:r>
      <w:r w:rsidR="003E600B">
        <w:t>these three datasets are key</w:t>
      </w:r>
      <w:r w:rsidRPr="00307DDD">
        <w:t xml:space="preserve"> when considering potential publication dates for 2025/26 target shares and are the primary focus of this paper.   </w:t>
      </w:r>
    </w:p>
    <w:p w14:paraId="0B36DB3B" w14:textId="0BBC0B92" w:rsidR="00E72524" w:rsidRDefault="00E72524" w:rsidP="00C11602">
      <w:r>
        <w:lastRenderedPageBreak/>
        <w:t>Table 1</w:t>
      </w:r>
      <w:r w:rsidR="00E8047F">
        <w:t>:</w:t>
      </w:r>
      <w:r>
        <w:t xml:space="preserve"> Options for </w:t>
      </w:r>
      <w:r w:rsidR="00E8047F">
        <w:t xml:space="preserve">publication of </w:t>
      </w:r>
      <w:r>
        <w:t>2025/26 NRAC target shares</w:t>
      </w:r>
    </w:p>
    <w:tbl>
      <w:tblPr>
        <w:tblStyle w:val="TableGrid"/>
        <w:tblW w:w="15126" w:type="dxa"/>
        <w:tblLook w:val="04A0" w:firstRow="1" w:lastRow="0" w:firstColumn="1" w:lastColumn="0" w:noHBand="0" w:noVBand="1"/>
      </w:tblPr>
      <w:tblGrid>
        <w:gridCol w:w="847"/>
        <w:gridCol w:w="2248"/>
        <w:gridCol w:w="2644"/>
        <w:gridCol w:w="3235"/>
        <w:gridCol w:w="3076"/>
        <w:gridCol w:w="3076"/>
      </w:tblGrid>
      <w:tr w:rsidR="009D3388" w14:paraId="43C7DAD6" w14:textId="0D4B1D21" w:rsidTr="009D3388">
        <w:trPr>
          <w:cnfStyle w:val="100000000000" w:firstRow="1" w:lastRow="0" w:firstColumn="0" w:lastColumn="0" w:oddVBand="0" w:evenVBand="0" w:oddHBand="0" w:evenHBand="0" w:firstRowFirstColumn="0" w:firstRowLastColumn="0" w:lastRowFirstColumn="0" w:lastRowLastColumn="0"/>
        </w:trPr>
        <w:tc>
          <w:tcPr>
            <w:tcW w:w="847" w:type="dxa"/>
          </w:tcPr>
          <w:p w14:paraId="68ED6664" w14:textId="313B14AE" w:rsidR="009D3388" w:rsidRPr="009D3388" w:rsidRDefault="009D3388" w:rsidP="009D3388">
            <w:r w:rsidRPr="00E72524">
              <w:t>Option</w:t>
            </w:r>
          </w:p>
        </w:tc>
        <w:tc>
          <w:tcPr>
            <w:tcW w:w="2248" w:type="dxa"/>
          </w:tcPr>
          <w:p w14:paraId="767DEB0F" w14:textId="6E5CCA5A" w:rsidR="009D3388" w:rsidRPr="009D3388" w:rsidRDefault="009D3388" w:rsidP="009D3388">
            <w:r>
              <w:t>Month/year of p</w:t>
            </w:r>
            <w:r w:rsidRPr="009D3388">
              <w:t>ublication release</w:t>
            </w:r>
          </w:p>
        </w:tc>
        <w:tc>
          <w:tcPr>
            <w:tcW w:w="2644" w:type="dxa"/>
          </w:tcPr>
          <w:p w14:paraId="57AF8B65" w14:textId="3E97E1B8" w:rsidR="009D3388" w:rsidRPr="009D3388" w:rsidRDefault="009D3388" w:rsidP="009D3388">
            <w:r w:rsidRPr="00E72524">
              <w:t>Formula components updated</w:t>
            </w:r>
          </w:p>
        </w:tc>
        <w:tc>
          <w:tcPr>
            <w:tcW w:w="3235" w:type="dxa"/>
          </w:tcPr>
          <w:p w14:paraId="04837FBB" w14:textId="204058F8" w:rsidR="009D3388" w:rsidRPr="009D3388" w:rsidRDefault="009D3388" w:rsidP="009D3388">
            <w:r w:rsidRPr="00E72524">
              <w:t>Key datasets updated</w:t>
            </w:r>
            <w:r w:rsidRPr="009D3388">
              <w:t xml:space="preserve"> (and period information relates to)</w:t>
            </w:r>
          </w:p>
        </w:tc>
        <w:tc>
          <w:tcPr>
            <w:tcW w:w="3076" w:type="dxa"/>
          </w:tcPr>
          <w:p w14:paraId="57F1D36E" w14:textId="5FA1EE98" w:rsidR="009D3388" w:rsidRPr="009D3388" w:rsidRDefault="009D3388" w:rsidP="009D3388">
            <w:r>
              <w:t>Advantages</w:t>
            </w:r>
          </w:p>
        </w:tc>
        <w:tc>
          <w:tcPr>
            <w:tcW w:w="3076" w:type="dxa"/>
          </w:tcPr>
          <w:p w14:paraId="15A93FC6" w14:textId="624B2884" w:rsidR="009D3388" w:rsidRPr="009D3388" w:rsidRDefault="009D3388" w:rsidP="009D3388">
            <w:r>
              <w:t>Disadvantages</w:t>
            </w:r>
          </w:p>
        </w:tc>
      </w:tr>
      <w:tr w:rsidR="009D3388" w14:paraId="6B3AA12D" w14:textId="48B97AC3" w:rsidTr="009D3388">
        <w:tc>
          <w:tcPr>
            <w:tcW w:w="847" w:type="dxa"/>
          </w:tcPr>
          <w:p w14:paraId="65231C88" w14:textId="50171B2D" w:rsidR="009D3388" w:rsidRPr="009D3388" w:rsidRDefault="009D3388" w:rsidP="009D3388">
            <w:r>
              <w:t>1</w:t>
            </w:r>
          </w:p>
        </w:tc>
        <w:tc>
          <w:tcPr>
            <w:tcW w:w="2248" w:type="dxa"/>
          </w:tcPr>
          <w:p w14:paraId="0F0A709D" w14:textId="486D8214" w:rsidR="009D3388" w:rsidRPr="009D3388" w:rsidRDefault="009D3388" w:rsidP="009D3388">
            <w:r w:rsidRPr="009D3388">
              <w:t>September 2023</w:t>
            </w:r>
          </w:p>
        </w:tc>
        <w:tc>
          <w:tcPr>
            <w:tcW w:w="2644" w:type="dxa"/>
          </w:tcPr>
          <w:p w14:paraId="028351DE" w14:textId="77777777" w:rsidR="008A53B7" w:rsidRDefault="009D3388" w:rsidP="009D3388">
            <w:r>
              <w:t>Population</w:t>
            </w:r>
            <w:r w:rsidRPr="009D3388">
              <w:t xml:space="preserve"> share</w:t>
            </w:r>
            <w:r w:rsidR="00E43134">
              <w:t>.</w:t>
            </w:r>
          </w:p>
          <w:p w14:paraId="1E8EFD65" w14:textId="5135A484" w:rsidR="00E43134" w:rsidRPr="009D3388" w:rsidRDefault="00E4033C" w:rsidP="009D3388">
            <w:r>
              <w:t>(Age</w:t>
            </w:r>
            <w:r w:rsidR="00AE7A4F">
              <w:t>-</w:t>
            </w:r>
            <w:r>
              <w:t>Sex, MLC and Excess Cost</w:t>
            </w:r>
            <w:r w:rsidR="0075356A">
              <w:t xml:space="preserve"> components</w:t>
            </w:r>
            <w:r>
              <w:t xml:space="preserve"> will be updated using </w:t>
            </w:r>
            <w:r w:rsidR="007601BD">
              <w:t xml:space="preserve">the </w:t>
            </w:r>
            <w:r w:rsidR="0075356A">
              <w:t xml:space="preserve">latest </w:t>
            </w:r>
            <w:r>
              <w:t>re</w:t>
            </w:r>
            <w:r w:rsidR="003A2FE6">
              <w:t>-</w:t>
            </w:r>
            <w:r>
              <w:t>based population</w:t>
            </w:r>
            <w:r w:rsidR="00D00543">
              <w:t>s</w:t>
            </w:r>
            <w:r w:rsidR="0075356A">
              <w:t xml:space="preserve"> but no other data will be updated e.g. Age</w:t>
            </w:r>
            <w:r w:rsidR="002E2AB6">
              <w:t>-</w:t>
            </w:r>
            <w:r w:rsidR="0075356A">
              <w:t>Sex costs).</w:t>
            </w:r>
          </w:p>
        </w:tc>
        <w:tc>
          <w:tcPr>
            <w:tcW w:w="3235" w:type="dxa"/>
          </w:tcPr>
          <w:p w14:paraId="5FECC5C5" w14:textId="77777777" w:rsidR="009D3388" w:rsidRDefault="009D3388" w:rsidP="009D3388">
            <w:r>
              <w:t>Population estimates</w:t>
            </w:r>
            <w:r w:rsidRPr="009D3388">
              <w:t xml:space="preserve"> (2021)</w:t>
            </w:r>
            <w:r w:rsidR="008A53B7">
              <w:t>.</w:t>
            </w:r>
          </w:p>
          <w:p w14:paraId="6E9BD4AB" w14:textId="55AFED1D" w:rsidR="008A53B7" w:rsidRPr="009D3388" w:rsidRDefault="008A53B7" w:rsidP="009D3388">
            <w:r>
              <w:t>(Previous run for 2024/25 used 2020 population estimates.)</w:t>
            </w:r>
          </w:p>
        </w:tc>
        <w:tc>
          <w:tcPr>
            <w:tcW w:w="3076" w:type="dxa"/>
          </w:tcPr>
          <w:p w14:paraId="7EE16A47" w14:textId="77777777" w:rsidR="009D3388" w:rsidRPr="009D3388" w:rsidRDefault="009D3388" w:rsidP="009D3388">
            <w:r>
              <w:t>Allows target shares</w:t>
            </w:r>
            <w:r w:rsidRPr="009D3388">
              <w:t xml:space="preserve"> for 2025/26 to be produced as soon as possible to aid planning.</w:t>
            </w:r>
          </w:p>
          <w:p w14:paraId="28B730A3" w14:textId="77777777" w:rsidR="009D3388" w:rsidRDefault="009D3388" w:rsidP="009D3388"/>
          <w:p w14:paraId="302154C5" w14:textId="7D9182FC" w:rsidR="009D3388" w:rsidRPr="009D3388" w:rsidRDefault="009D3388" w:rsidP="009D3388">
            <w:r>
              <w:t xml:space="preserve">Provides </w:t>
            </w:r>
            <w:r w:rsidRPr="009D3388">
              <w:t xml:space="preserve">stability to NRAC shares as </w:t>
            </w:r>
            <w:r w:rsidR="0079694F">
              <w:t xml:space="preserve">will use only one updated data source (population estimates) </w:t>
            </w:r>
            <w:r w:rsidRPr="009D3388">
              <w:t>compared to the 2024/25 run.</w:t>
            </w:r>
          </w:p>
        </w:tc>
        <w:tc>
          <w:tcPr>
            <w:tcW w:w="3076" w:type="dxa"/>
          </w:tcPr>
          <w:p w14:paraId="1D34C0AE" w14:textId="4DDA5648" w:rsidR="002F79DF" w:rsidRDefault="002F79DF" w:rsidP="009D3388">
            <w:r>
              <w:t xml:space="preserve">Population projections used </w:t>
            </w:r>
            <w:r w:rsidR="00A34AB6">
              <w:t>(2018-based)</w:t>
            </w:r>
            <w:r>
              <w:t xml:space="preserve"> </w:t>
            </w:r>
            <w:r w:rsidR="004B6A62">
              <w:t>would be</w:t>
            </w:r>
            <w:r>
              <w:t xml:space="preserve"> </w:t>
            </w:r>
            <w:r w:rsidR="00382952">
              <w:t>seven years behind the target year</w:t>
            </w:r>
            <w:r w:rsidR="00A34AB6">
              <w:t xml:space="preserve"> (2025/26) </w:t>
            </w:r>
            <w:r w:rsidR="00DF2BE8">
              <w:t>which</w:t>
            </w:r>
            <w:r w:rsidR="00A34AB6">
              <w:t xml:space="preserve"> may affect accuracy of </w:t>
            </w:r>
            <w:r w:rsidR="00DF2BE8">
              <w:t xml:space="preserve">the </w:t>
            </w:r>
            <w:r w:rsidR="00A34AB6">
              <w:t>target shares</w:t>
            </w:r>
            <w:r w:rsidR="00382952">
              <w:t>.</w:t>
            </w:r>
            <w:r w:rsidR="00A34AB6">
              <w:t xml:space="preserve"> There would normally be five or six years between projections and the target year.</w:t>
            </w:r>
          </w:p>
          <w:p w14:paraId="5C6C8158" w14:textId="77777777" w:rsidR="002F79DF" w:rsidRDefault="002F79DF" w:rsidP="009D3388"/>
          <w:p w14:paraId="1881002D" w14:textId="4C24E1AB" w:rsidR="00382952" w:rsidRDefault="002F79DF" w:rsidP="009D3388">
            <w:r>
              <w:t>Age</w:t>
            </w:r>
            <w:r w:rsidR="002E2AB6">
              <w:t>-</w:t>
            </w:r>
            <w:r w:rsidRPr="002F79DF">
              <w:t xml:space="preserve">Sex, MLC and Excess Costs components </w:t>
            </w:r>
            <w:r>
              <w:t xml:space="preserve">would be based on the same data used for the 2024/25 run. </w:t>
            </w:r>
            <w:r w:rsidR="00602C91">
              <w:t>Some of these data (i.e. hospital activity and expenditure) pre-date the pandemic and</w:t>
            </w:r>
            <w:r w:rsidR="009D3388" w:rsidRPr="009D3388">
              <w:t xml:space="preserve"> </w:t>
            </w:r>
            <w:r w:rsidR="00602C91">
              <w:t xml:space="preserve">are </w:t>
            </w:r>
            <w:r w:rsidR="009D3388" w:rsidRPr="009D3388">
              <w:t>six</w:t>
            </w:r>
            <w:r w:rsidR="00382952">
              <w:t xml:space="preserve"> </w:t>
            </w:r>
            <w:r w:rsidR="009D3388" w:rsidRPr="009D3388">
              <w:t>years behind the target year</w:t>
            </w:r>
            <w:r w:rsidR="00602C91">
              <w:t>.</w:t>
            </w:r>
          </w:p>
          <w:p w14:paraId="51BB15C0" w14:textId="77777777" w:rsidR="00382952" w:rsidRDefault="00382952" w:rsidP="009D3388"/>
          <w:p w14:paraId="0EA77517" w14:textId="40993EEE" w:rsidR="002F79DF" w:rsidRPr="009D3388" w:rsidRDefault="00602C91" w:rsidP="009D3388">
            <w:r>
              <w:t>There is a r</w:t>
            </w:r>
            <w:r w:rsidR="009D3388" w:rsidRPr="009D3388">
              <w:t>isk that</w:t>
            </w:r>
            <w:r>
              <w:t xml:space="preserve"> using pre-pandemic data to calculate 2025/26 shares</w:t>
            </w:r>
            <w:r w:rsidR="009D3388" w:rsidRPr="009D3388">
              <w:t xml:space="preserve"> will not reflect possible changes in trends caused by impact of </w:t>
            </w:r>
            <w:r>
              <w:t>COVID-19</w:t>
            </w:r>
            <w:r w:rsidR="009D3388" w:rsidRPr="009D3388">
              <w:t>.</w:t>
            </w:r>
          </w:p>
        </w:tc>
      </w:tr>
      <w:tr w:rsidR="009D3388" w14:paraId="1FE3376C" w14:textId="5BCCBF67" w:rsidTr="009D3388">
        <w:tc>
          <w:tcPr>
            <w:tcW w:w="847" w:type="dxa"/>
          </w:tcPr>
          <w:p w14:paraId="43461B55" w14:textId="6607B37B" w:rsidR="009D3388" w:rsidRPr="009D3388" w:rsidRDefault="009D3388" w:rsidP="009D3388">
            <w:r>
              <w:lastRenderedPageBreak/>
              <w:t>2</w:t>
            </w:r>
          </w:p>
        </w:tc>
        <w:tc>
          <w:tcPr>
            <w:tcW w:w="2248" w:type="dxa"/>
          </w:tcPr>
          <w:p w14:paraId="73935994" w14:textId="73F8C6FC" w:rsidR="009D3388" w:rsidRPr="009D3388" w:rsidRDefault="009D3388" w:rsidP="009D3388">
            <w:r w:rsidRPr="003306B8">
              <w:t>May 2024</w:t>
            </w:r>
          </w:p>
        </w:tc>
        <w:tc>
          <w:tcPr>
            <w:tcW w:w="2644" w:type="dxa"/>
          </w:tcPr>
          <w:p w14:paraId="76E06A77" w14:textId="14BF5D9C" w:rsidR="009D3388" w:rsidRPr="009D3388" w:rsidRDefault="009D3388" w:rsidP="009D3388">
            <w:r>
              <w:t>Po</w:t>
            </w:r>
            <w:r w:rsidRPr="009D3388">
              <w:t>pulation share, Age</w:t>
            </w:r>
            <w:r w:rsidR="002E2AB6">
              <w:t>-</w:t>
            </w:r>
            <w:r w:rsidRPr="009D3388">
              <w:t>Sex, MLC, Excess Costs</w:t>
            </w:r>
          </w:p>
        </w:tc>
        <w:tc>
          <w:tcPr>
            <w:tcW w:w="3235" w:type="dxa"/>
          </w:tcPr>
          <w:p w14:paraId="11D882D1" w14:textId="77777777" w:rsidR="009D3388" w:rsidRPr="009D3388" w:rsidRDefault="009D3388" w:rsidP="009D3388">
            <w:r>
              <w:t>Population estimates</w:t>
            </w:r>
            <w:r w:rsidRPr="009D3388">
              <w:t xml:space="preserve"> (2021),</w:t>
            </w:r>
          </w:p>
          <w:p w14:paraId="3A1F5236" w14:textId="77777777" w:rsidR="009D3388" w:rsidRPr="009D3388" w:rsidRDefault="009D3388" w:rsidP="009D3388">
            <w:r>
              <w:t>Scottish Financial Returns (2022/23),</w:t>
            </w:r>
          </w:p>
          <w:p w14:paraId="1A61400F" w14:textId="5EA1A3A1" w:rsidR="009D3388" w:rsidRPr="009D3388" w:rsidRDefault="009D3388" w:rsidP="009D3388">
            <w:r w:rsidRPr="003306B8">
              <w:t>S</w:t>
            </w:r>
            <w:r w:rsidRPr="009D3388">
              <w:t>cottish Morbidity Records (2022/23)</w:t>
            </w:r>
          </w:p>
        </w:tc>
        <w:tc>
          <w:tcPr>
            <w:tcW w:w="3076" w:type="dxa"/>
          </w:tcPr>
          <w:p w14:paraId="7A0F324C" w14:textId="441427E3" w:rsidR="009D3388" w:rsidRPr="009D3388" w:rsidRDefault="009D3388" w:rsidP="009D3388">
            <w:r>
              <w:t>Unlike op</w:t>
            </w:r>
            <w:r w:rsidRPr="009D3388">
              <w:t xml:space="preserve">tion </w:t>
            </w:r>
            <w:r w:rsidR="007718E7">
              <w:t>1</w:t>
            </w:r>
            <w:r w:rsidRPr="009D3388">
              <w:t xml:space="preserve">, </w:t>
            </w:r>
            <w:r w:rsidR="00661753">
              <w:t xml:space="preserve">significant data updates would be available for </w:t>
            </w:r>
            <w:r w:rsidRPr="009D3388">
              <w:t>all formula components</w:t>
            </w:r>
            <w:r w:rsidR="00690C43">
              <w:t>.</w:t>
            </w:r>
          </w:p>
          <w:p w14:paraId="34099382" w14:textId="77777777" w:rsidR="009D3388" w:rsidRDefault="009D3388" w:rsidP="009D3388"/>
          <w:p w14:paraId="6E6CAC7A" w14:textId="57C0C8AF" w:rsidR="009D3388" w:rsidRPr="009D3388" w:rsidRDefault="009D3388" w:rsidP="009D3388">
            <w:r>
              <w:t>Any change</w:t>
            </w:r>
            <w:r w:rsidRPr="009D3388">
              <w:t xml:space="preserve">s in trends caused by pandemic will be captured in </w:t>
            </w:r>
            <w:r w:rsidR="005925C5">
              <w:t>expenditure and hospital activity</w:t>
            </w:r>
            <w:r w:rsidRPr="009D3388">
              <w:t>.</w:t>
            </w:r>
          </w:p>
          <w:p w14:paraId="5A21C4BF" w14:textId="77777777" w:rsidR="009D3388" w:rsidRDefault="009D3388" w:rsidP="009D3388"/>
          <w:p w14:paraId="3F4C7E67" w14:textId="130C5BDB" w:rsidR="009D3388" w:rsidRPr="009D3388" w:rsidRDefault="009D3388" w:rsidP="009D3388"/>
        </w:tc>
        <w:tc>
          <w:tcPr>
            <w:tcW w:w="3076" w:type="dxa"/>
          </w:tcPr>
          <w:p w14:paraId="6E8A6E5C" w14:textId="77777777" w:rsidR="009D3388" w:rsidRDefault="009D3388" w:rsidP="009D3388">
            <w:r>
              <w:t xml:space="preserve">Publication date </w:t>
            </w:r>
            <w:r w:rsidRPr="009D3388">
              <w:t>closer to the target year and further away from the 3-year planning horizon.</w:t>
            </w:r>
          </w:p>
          <w:p w14:paraId="5140B7F8" w14:textId="77777777" w:rsidR="00CB1BCF" w:rsidRDefault="00CB1BCF" w:rsidP="009D3388"/>
          <w:p w14:paraId="6747B62B" w14:textId="561ADB59" w:rsidR="00CB1BCF" w:rsidRDefault="007718E7" w:rsidP="009D3388">
            <w:r>
              <w:t>As with option 1, p</w:t>
            </w:r>
            <w:r w:rsidR="00CB1BCF">
              <w:t>opulation projections seven years behind the 2025/26 target year.</w:t>
            </w:r>
          </w:p>
          <w:p w14:paraId="02DF85B3" w14:textId="77777777" w:rsidR="006E77B9" w:rsidRDefault="006E77B9" w:rsidP="009D3388"/>
          <w:p w14:paraId="58D7C090" w14:textId="7C5157E9" w:rsidR="006E77B9" w:rsidRPr="009D3388" w:rsidRDefault="006E77B9" w:rsidP="009D3388">
            <w:r>
              <w:t xml:space="preserve">Risk that patterns of activity and costs seen in 2022/23 data will not be reflective of those </w:t>
            </w:r>
            <w:r w:rsidR="009A44CC">
              <w:t>that exist</w:t>
            </w:r>
            <w:r>
              <w:t xml:space="preserve"> in 2025/26</w:t>
            </w:r>
            <w:r w:rsidR="00FF3B29">
              <w:t xml:space="preserve"> because the health system is in recovery</w:t>
            </w:r>
            <w:r>
              <w:t>.</w:t>
            </w:r>
          </w:p>
        </w:tc>
      </w:tr>
      <w:tr w:rsidR="009D3388" w14:paraId="0FADEADD" w14:textId="21260FD7" w:rsidTr="009D3388">
        <w:tc>
          <w:tcPr>
            <w:tcW w:w="847" w:type="dxa"/>
          </w:tcPr>
          <w:p w14:paraId="6AD1F802" w14:textId="4A32D09C" w:rsidR="009D3388" w:rsidRPr="009D3388" w:rsidRDefault="009D3388" w:rsidP="009D3388">
            <w:r>
              <w:t xml:space="preserve">3 </w:t>
            </w:r>
          </w:p>
        </w:tc>
        <w:tc>
          <w:tcPr>
            <w:tcW w:w="2248" w:type="dxa"/>
          </w:tcPr>
          <w:p w14:paraId="14245366" w14:textId="25477242" w:rsidR="009D3388" w:rsidRPr="009D3388" w:rsidRDefault="00A20AB4" w:rsidP="009D3388">
            <w:r>
              <w:t xml:space="preserve">October </w:t>
            </w:r>
            <w:r w:rsidR="009D3388">
              <w:t>2024</w:t>
            </w:r>
            <w:r w:rsidR="009D3388" w:rsidRPr="009D3388">
              <w:t xml:space="preserve"> </w:t>
            </w:r>
            <w:r w:rsidR="00060862">
              <w:t>at the earliest</w:t>
            </w:r>
            <w:r w:rsidR="009D3388" w:rsidRPr="009D3388">
              <w:t xml:space="preserve"> (approximate, depends on population projection release date)</w:t>
            </w:r>
          </w:p>
        </w:tc>
        <w:tc>
          <w:tcPr>
            <w:tcW w:w="2644" w:type="dxa"/>
          </w:tcPr>
          <w:p w14:paraId="50A02E78" w14:textId="48AF99B9" w:rsidR="009D3388" w:rsidRPr="009D3388" w:rsidRDefault="009D3388" w:rsidP="009D3388">
            <w:r>
              <w:t>Po</w:t>
            </w:r>
            <w:r w:rsidRPr="009D3388">
              <w:t>pulation share, Age</w:t>
            </w:r>
            <w:r w:rsidR="002E2AB6">
              <w:t>-</w:t>
            </w:r>
            <w:r w:rsidRPr="009D3388">
              <w:t>Sex, MLC, Excess Costs</w:t>
            </w:r>
          </w:p>
        </w:tc>
        <w:tc>
          <w:tcPr>
            <w:tcW w:w="3235" w:type="dxa"/>
          </w:tcPr>
          <w:p w14:paraId="18E9BBC5" w14:textId="77777777" w:rsidR="009D3388" w:rsidRPr="009D3388" w:rsidRDefault="009D3388" w:rsidP="009D3388">
            <w:r>
              <w:t>Population estimates (2022)</w:t>
            </w:r>
            <w:r w:rsidRPr="009D3388">
              <w:t>,</w:t>
            </w:r>
          </w:p>
          <w:p w14:paraId="59D532AE" w14:textId="77777777" w:rsidR="009D3388" w:rsidRPr="009D3388" w:rsidRDefault="009D3388" w:rsidP="009D3388">
            <w:r>
              <w:t>Population projections</w:t>
            </w:r>
            <w:r w:rsidRPr="009D3388">
              <w:t xml:space="preserve"> (2021-based),</w:t>
            </w:r>
          </w:p>
          <w:p w14:paraId="63062D4D" w14:textId="77777777" w:rsidR="009D3388" w:rsidRPr="009D3388" w:rsidRDefault="009D3388" w:rsidP="009D3388">
            <w:r>
              <w:t xml:space="preserve">Scottish </w:t>
            </w:r>
            <w:r w:rsidRPr="009D3388">
              <w:t>Financial Returns (2022/23),</w:t>
            </w:r>
          </w:p>
          <w:p w14:paraId="6C6C3EB1" w14:textId="7F04D8FB" w:rsidR="009D3388" w:rsidRPr="009D3388" w:rsidRDefault="009D3388" w:rsidP="009D3388">
            <w:r w:rsidRPr="003306B8">
              <w:t>S</w:t>
            </w:r>
            <w:r w:rsidRPr="009D3388">
              <w:t>cottish Morbidity Records (2022/23)</w:t>
            </w:r>
          </w:p>
        </w:tc>
        <w:tc>
          <w:tcPr>
            <w:tcW w:w="3076" w:type="dxa"/>
          </w:tcPr>
          <w:p w14:paraId="7805189B" w14:textId="5B488F05" w:rsidR="009D3388" w:rsidRPr="009D3388" w:rsidRDefault="00FC61C3" w:rsidP="009D3388">
            <w:r>
              <w:t>Identical</w:t>
            </w:r>
            <w:r w:rsidR="009D3388">
              <w:t xml:space="preserve"> to optio</w:t>
            </w:r>
            <w:r w:rsidR="009D3388" w:rsidRPr="009D3388">
              <w:t xml:space="preserve">n </w:t>
            </w:r>
            <w:r w:rsidR="007718E7">
              <w:t>two</w:t>
            </w:r>
            <w:r w:rsidR="009D3388" w:rsidRPr="009D3388">
              <w:t xml:space="preserve"> </w:t>
            </w:r>
            <w:r>
              <w:t>except it</w:t>
            </w:r>
            <w:r w:rsidR="009D3388" w:rsidRPr="009D3388">
              <w:t xml:space="preserve"> will include more recent population estimates (202</w:t>
            </w:r>
            <w:r w:rsidR="003C7C58">
              <w:t>2</w:t>
            </w:r>
            <w:r w:rsidR="009D3388" w:rsidRPr="009D3388">
              <w:t xml:space="preserve"> instead of 202</w:t>
            </w:r>
            <w:r w:rsidR="003C7C58">
              <w:t>1</w:t>
            </w:r>
            <w:r w:rsidR="009D3388" w:rsidRPr="009D3388">
              <w:t>) and projections (2021-based instead of 2018-based).</w:t>
            </w:r>
          </w:p>
          <w:p w14:paraId="768DE339" w14:textId="77777777" w:rsidR="009D3388" w:rsidRDefault="009D3388" w:rsidP="009D3388"/>
          <w:p w14:paraId="3C52F7B8" w14:textId="425AA00C" w:rsidR="009D3388" w:rsidRPr="009D3388" w:rsidRDefault="009D3388" w:rsidP="009D3388">
            <w:r>
              <w:t xml:space="preserve">Population </w:t>
            </w:r>
            <w:r w:rsidRPr="009D3388">
              <w:t xml:space="preserve">estimates and projections will factor in </w:t>
            </w:r>
            <w:r w:rsidR="00886ED8">
              <w:t xml:space="preserve">2022 </w:t>
            </w:r>
            <w:r w:rsidRPr="009D3388">
              <w:t>census data.</w:t>
            </w:r>
          </w:p>
          <w:p w14:paraId="55F62AFB" w14:textId="77777777" w:rsidR="009D3388" w:rsidRDefault="009D3388" w:rsidP="009D3388"/>
          <w:p w14:paraId="41C0AA36" w14:textId="1FF8CFCF" w:rsidR="009D3388" w:rsidRPr="009D3388" w:rsidRDefault="009D3388" w:rsidP="009D3388"/>
        </w:tc>
        <w:tc>
          <w:tcPr>
            <w:tcW w:w="3076" w:type="dxa"/>
          </w:tcPr>
          <w:p w14:paraId="0A111B78" w14:textId="545D5491" w:rsidR="009D3388" w:rsidRPr="009D3388" w:rsidRDefault="009D3388" w:rsidP="009D3388">
            <w:r>
              <w:t>Publication date likely to be to</w:t>
            </w:r>
            <w:r w:rsidRPr="009D3388">
              <w:t xml:space="preserve">o close to the target year for planning purposes. This </w:t>
            </w:r>
            <w:r w:rsidR="00804635">
              <w:t>may</w:t>
            </w:r>
            <w:r w:rsidRPr="009D3388">
              <w:t xml:space="preserve"> outweigh the advantage gained from waiting for population estimates and projections.</w:t>
            </w:r>
          </w:p>
          <w:p w14:paraId="4D5782F0" w14:textId="77777777" w:rsidR="009D3388" w:rsidRDefault="009D3388" w:rsidP="009D3388"/>
          <w:p w14:paraId="4C3A7B94" w14:textId="4CB6783D" w:rsidR="009D3388" w:rsidRPr="009D3388" w:rsidRDefault="009D3388" w:rsidP="009D3388">
            <w:r>
              <w:t xml:space="preserve">Population projection release date is uncertain </w:t>
            </w:r>
            <w:r w:rsidRPr="009D3388">
              <w:t xml:space="preserve">and so NRAC publication could be delayed beyond </w:t>
            </w:r>
            <w:r w:rsidR="001F061C">
              <w:t>October</w:t>
            </w:r>
            <w:r w:rsidRPr="009D3388">
              <w:t xml:space="preserve"> 2024.</w:t>
            </w:r>
          </w:p>
        </w:tc>
      </w:tr>
    </w:tbl>
    <w:p w14:paraId="09AD4D60" w14:textId="31F32BCF" w:rsidR="002F79DF" w:rsidRDefault="002F79DF" w:rsidP="00C11602">
      <w:pPr>
        <w:sectPr w:rsidR="002F79DF" w:rsidSect="009D3388">
          <w:headerReference w:type="first" r:id="rId15"/>
          <w:endnotePr>
            <w:numFmt w:val="decimal"/>
          </w:endnotePr>
          <w:pgSz w:w="16838" w:h="11906" w:orient="landscape" w:code="9"/>
          <w:pgMar w:top="1304" w:right="284" w:bottom="1304" w:left="1418" w:header="567" w:footer="624" w:gutter="0"/>
          <w:cols w:space="708"/>
          <w:titlePg/>
          <w:docGrid w:linePitch="360"/>
        </w:sectPr>
      </w:pPr>
    </w:p>
    <w:p w14:paraId="07213AAD" w14:textId="5F6ECF44" w:rsidR="00E07FA9" w:rsidRDefault="00E07FA9" w:rsidP="00B728CE">
      <w:pPr>
        <w:pStyle w:val="Heading1numbered"/>
      </w:pPr>
      <w:r>
        <w:lastRenderedPageBreak/>
        <w:t>Discussion</w:t>
      </w:r>
    </w:p>
    <w:p w14:paraId="0FD32375" w14:textId="4CCD5B9E" w:rsidR="00557A56" w:rsidRPr="00E07FA9" w:rsidRDefault="00E07FA9" w:rsidP="0070200E">
      <w:r>
        <w:t>T</w:t>
      </w:r>
      <w:r w:rsidR="00557A56">
        <w:t xml:space="preserve">he remaining sections </w:t>
      </w:r>
      <w:r w:rsidR="001A1099">
        <w:t>examine</w:t>
      </w:r>
      <w:r w:rsidR="00557A56">
        <w:t xml:space="preserve"> the points raised above in more detail</w:t>
      </w:r>
      <w:r w:rsidR="001A1099">
        <w:t>, such as:</w:t>
      </w:r>
      <w:r w:rsidR="00557A56">
        <w:t xml:space="preserve"> the impact of the COVID-19 pandemic</w:t>
      </w:r>
      <w:r w:rsidR="00D97FE5">
        <w:t xml:space="preserve"> on data that the NRAC model uses; descriptions of each component of the Formula including data requirements and data availability;</w:t>
      </w:r>
      <w:r w:rsidR="000D7E49">
        <w:t xml:space="preserve"> </w:t>
      </w:r>
      <w:r w:rsidR="00B26664">
        <w:t>and</w:t>
      </w:r>
      <w:r w:rsidR="00E544F1">
        <w:t xml:space="preserve"> </w:t>
      </w:r>
      <w:r w:rsidR="001A1099">
        <w:t>general discussion</w:t>
      </w:r>
      <w:r w:rsidR="00E95091">
        <w:t xml:space="preserve"> that led to the assessment</w:t>
      </w:r>
      <w:r w:rsidR="001A1099">
        <w:t xml:space="preserve"> of the advantages and disadvantages of each publication date, as summarised in </w:t>
      </w:r>
      <w:r w:rsidR="00E95091">
        <w:t>section 2</w:t>
      </w:r>
      <w:r w:rsidR="001A1099">
        <w:t>.</w:t>
      </w:r>
    </w:p>
    <w:p w14:paraId="61C6354A" w14:textId="41EEF45C" w:rsidR="00B728CE" w:rsidRDefault="00B728CE" w:rsidP="00B728CE">
      <w:pPr>
        <w:pStyle w:val="Heading1numbered"/>
      </w:pPr>
      <w:r>
        <w:t>Impact of COVID-19</w:t>
      </w:r>
    </w:p>
    <w:p w14:paraId="1E27DA3D" w14:textId="38385C1E" w:rsidR="00B728CE" w:rsidRDefault="003D2A68" w:rsidP="00B728CE">
      <w:r>
        <w:t>The COVID-19 pandemic had a huge impact on the provision of NHS services</w:t>
      </w:r>
      <w:r w:rsidR="00A65AAD">
        <w:t xml:space="preserve"> and subsequently on </w:t>
      </w:r>
      <w:r w:rsidR="007F4EA9">
        <w:t xml:space="preserve">hospital </w:t>
      </w:r>
      <w:r w:rsidR="00A65AAD">
        <w:t>activity trends</w:t>
      </w:r>
      <w:r w:rsidR="007F4EA9">
        <w:t xml:space="preserve"> and</w:t>
      </w:r>
      <w:r w:rsidR="00A65AAD">
        <w:t xml:space="preserve"> expenditure</w:t>
      </w:r>
      <w:r w:rsidR="007F4EA9">
        <w:t xml:space="preserve">. </w:t>
      </w:r>
      <w:r w:rsidR="00452EDF">
        <w:t xml:space="preserve">Prior to COVID-19, </w:t>
      </w:r>
      <w:r w:rsidR="007E24ED">
        <w:t xml:space="preserve">year-to-year </w:t>
      </w:r>
      <w:r w:rsidR="00452EDF">
        <w:t>patterns of service use</w:t>
      </w:r>
      <w:r w:rsidR="00E65C09">
        <w:t xml:space="preserve"> and expenditure</w:t>
      </w:r>
      <w:r w:rsidR="00452EDF">
        <w:t xml:space="preserve"> were generally quite stable and without </w:t>
      </w:r>
      <w:r w:rsidR="00232BAA">
        <w:t>the</w:t>
      </w:r>
      <w:r w:rsidR="00452EDF">
        <w:t xml:space="preserve"> significant changes experienced </w:t>
      </w:r>
      <w:r w:rsidR="00843CB5">
        <w:t xml:space="preserve">at a national level </w:t>
      </w:r>
      <w:r w:rsidR="00452EDF">
        <w:t>during the COVID-19 period (2020/21 and 2021/22).</w:t>
      </w:r>
      <w:r w:rsidR="00232BAA">
        <w:t xml:space="preserve"> </w:t>
      </w:r>
      <w:r w:rsidR="00A11354">
        <w:t>Since then, activity levels have increased but have not yet returned to pre-pandemic levels</w:t>
      </w:r>
      <w:r w:rsidR="003F6FE8">
        <w:t xml:space="preserve"> and, while </w:t>
      </w:r>
      <w:r w:rsidR="007F4EA9">
        <w:t xml:space="preserve">total </w:t>
      </w:r>
      <w:r w:rsidR="003F6FE8">
        <w:t xml:space="preserve">expenditure increased during the pandemic, 2022/23 </w:t>
      </w:r>
      <w:r w:rsidR="007F4EA9">
        <w:t xml:space="preserve">expenditure will not be </w:t>
      </w:r>
      <w:r w:rsidR="002922D0">
        <w:t>known until data becomes</w:t>
      </w:r>
      <w:r w:rsidR="007F4EA9">
        <w:t xml:space="preserve"> available </w:t>
      </w:r>
      <w:r w:rsidR="002922D0">
        <w:t>in</w:t>
      </w:r>
      <w:r w:rsidR="003F6FE8">
        <w:t xml:space="preserve"> February 2024.</w:t>
      </w:r>
    </w:p>
    <w:p w14:paraId="0E4C8986" w14:textId="77D69C8D" w:rsidR="002922D0" w:rsidRDefault="002922D0" w:rsidP="002922D0">
      <w:r>
        <w:t xml:space="preserve">COVID-19 has impacted various national data collections. Some data required by the Formula could not be collected at the level of detail required for NRAC, </w:t>
      </w:r>
      <w:r w:rsidR="0099290F">
        <w:t>including</w:t>
      </w:r>
      <w:r>
        <w:t xml:space="preserve"> expenditure, while, due to significant changes in trends</w:t>
      </w:r>
      <w:r w:rsidR="0099290F">
        <w:t xml:space="preserve"> such as those</w:t>
      </w:r>
      <w:r w:rsidR="00E53152">
        <w:t xml:space="preserve"> described above</w:t>
      </w:r>
      <w:r>
        <w:t>, using other data relating to the COVID-19 period could produce skewed results for future target years.</w:t>
      </w:r>
      <w:r w:rsidR="00484F1F">
        <w:t xml:space="preserve"> This </w:t>
      </w:r>
      <w:r w:rsidR="00094401">
        <w:t xml:space="preserve">latter point </w:t>
      </w:r>
      <w:r w:rsidR="00484F1F">
        <w:t xml:space="preserve">remains a potential issue </w:t>
      </w:r>
      <w:r w:rsidR="00E50103">
        <w:t>with</w:t>
      </w:r>
      <w:r w:rsidR="00A26C3E">
        <w:t xml:space="preserve"> data collected </w:t>
      </w:r>
      <w:r w:rsidR="00E50103">
        <w:t>for</w:t>
      </w:r>
      <w:r w:rsidR="00484F1F">
        <w:t xml:space="preserve"> 2022/23 as it is unclear whether </w:t>
      </w:r>
      <w:r w:rsidR="00094401">
        <w:t>the</w:t>
      </w:r>
      <w:r w:rsidR="00484F1F">
        <w:t xml:space="preserve"> period</w:t>
      </w:r>
      <w:r w:rsidR="00094401">
        <w:t xml:space="preserve"> immediately following the pandemic</w:t>
      </w:r>
      <w:r w:rsidR="00484F1F">
        <w:t xml:space="preserve"> will be reflective of patterns of need in 2025/26 or </w:t>
      </w:r>
      <w:r w:rsidR="00A26C3E">
        <w:t>more reflective of a health system that is in recovery.</w:t>
      </w:r>
      <w:r w:rsidR="00170F12">
        <w:t xml:space="preserve"> </w:t>
      </w:r>
    </w:p>
    <w:p w14:paraId="111B6F38" w14:textId="6385D798" w:rsidR="00170F12" w:rsidRDefault="00170F12" w:rsidP="002922D0">
      <w:r>
        <w:t>Some of these issues are discussed in more detail below but until more data is available for a full NRAC run then the potential impact on target shares will remain uncertain.</w:t>
      </w:r>
    </w:p>
    <w:p w14:paraId="34D8EDB3" w14:textId="40D0C623" w:rsidR="00C22E1A" w:rsidRDefault="00C22E1A" w:rsidP="00C22E1A">
      <w:pPr>
        <w:pStyle w:val="Heading1numbered"/>
      </w:pPr>
      <w:r>
        <w:lastRenderedPageBreak/>
        <w:t>Population share</w:t>
      </w:r>
    </w:p>
    <w:p w14:paraId="3912CCB6" w14:textId="7DB82FBE" w:rsidR="00E72524" w:rsidRPr="00E72524" w:rsidRDefault="00E72524" w:rsidP="00E72524">
      <w:pPr>
        <w:pStyle w:val="Heading2numbered"/>
      </w:pPr>
      <w:r>
        <w:t>Data</w:t>
      </w:r>
      <w:r w:rsidR="00F96B11">
        <w:t xml:space="preserve"> required/</w:t>
      </w:r>
      <w:r w:rsidR="00896C5F">
        <w:t>available</w:t>
      </w:r>
    </w:p>
    <w:p w14:paraId="2ACD3CEA" w14:textId="05C0157F" w:rsidR="00561979" w:rsidRDefault="00CA5950" w:rsidP="00561979">
      <w:r>
        <w:t xml:space="preserve">The </w:t>
      </w:r>
      <w:r w:rsidR="000431C9">
        <w:t xml:space="preserve">population share is calculated using </w:t>
      </w:r>
      <w:r>
        <w:t>re-based population projections which</w:t>
      </w:r>
      <w:r w:rsidR="000431C9">
        <w:t xml:space="preserve"> </w:t>
      </w:r>
      <w:r>
        <w:t xml:space="preserve">are </w:t>
      </w:r>
      <w:r w:rsidR="000431C9">
        <w:t>derived from</w:t>
      </w:r>
      <w:r>
        <w:t xml:space="preserve"> mid-year </w:t>
      </w:r>
      <w:r w:rsidR="000431C9">
        <w:t xml:space="preserve">population </w:t>
      </w:r>
      <w:r>
        <w:t>estimates</w:t>
      </w:r>
      <w:r w:rsidR="00F309BD">
        <w:t xml:space="preserve"> (MYEs)</w:t>
      </w:r>
      <w:r>
        <w:t xml:space="preserve"> and projections. </w:t>
      </w:r>
      <w:r w:rsidR="00F309BD">
        <w:t xml:space="preserve">This involves adjusting the population projection for the target year using </w:t>
      </w:r>
      <w:r w:rsidR="00561979">
        <w:t>the latest</w:t>
      </w:r>
      <w:r w:rsidR="00F309BD">
        <w:t xml:space="preserve"> mid-year estimate</w:t>
      </w:r>
      <w:r w:rsidR="00561979">
        <w:t xml:space="preserve"> </w:t>
      </w:r>
      <w:r w:rsidR="00F309BD">
        <w:t>to account for any over</w:t>
      </w:r>
      <w:r w:rsidR="007C3505">
        <w:t>-</w:t>
      </w:r>
      <w:r w:rsidR="00F309BD">
        <w:t xml:space="preserve"> or under-estimation of the projection.</w:t>
      </w:r>
    </w:p>
    <w:p w14:paraId="341054E2" w14:textId="3B2D8275" w:rsidR="00024F67" w:rsidRDefault="00556C01" w:rsidP="00E72524">
      <w:r>
        <w:t xml:space="preserve">National Records of Scotland (NRS) </w:t>
      </w:r>
      <w:r w:rsidR="00013D80">
        <w:t xml:space="preserve">normally </w:t>
      </w:r>
      <w:r>
        <w:t>produce MYEs annually and population projections every two years</w:t>
      </w:r>
      <w:r w:rsidR="00024F67">
        <w:t xml:space="preserve">. </w:t>
      </w:r>
      <w:r w:rsidR="00E72524">
        <w:t xml:space="preserve">The NRAC formula requires </w:t>
      </w:r>
      <w:r>
        <w:t>MYEs</w:t>
      </w:r>
      <w:r w:rsidR="00E72524">
        <w:t xml:space="preserve"> at data zone level and population projections at sub-national level.</w:t>
      </w:r>
      <w:r w:rsidR="00024F67">
        <w:t xml:space="preserve"> MYEs have continued to be published annually but </w:t>
      </w:r>
      <w:r w:rsidR="00972CE2">
        <w:t>the most recent projections (2020-based)</w:t>
      </w:r>
      <w:r w:rsidR="00024F67">
        <w:t xml:space="preserve"> were only released at national level</w:t>
      </w:r>
      <w:r w:rsidR="00972CE2">
        <w:t xml:space="preserve">. This was due to the period of uncertainty in the mid-2020 base year and in setting long-term demographic assumptions following the onset of the COVID-19 pandemic. </w:t>
      </w:r>
    </w:p>
    <w:p w14:paraId="70375A5F" w14:textId="71AB3B1E" w:rsidR="006D5E62" w:rsidRDefault="006D5E62" w:rsidP="00E72524">
      <w:r>
        <w:t xml:space="preserve">Target shares for 2024/25 were produced using 2020 MYEs and 2018-based projections. 2021 MYEs </w:t>
      </w:r>
      <w:r w:rsidR="00D4603D">
        <w:t xml:space="preserve">are now available </w:t>
      </w:r>
      <w:r>
        <w:t>but 2018-based projections remain the most up-to-date projections available</w:t>
      </w:r>
      <w:r w:rsidR="00D4603D">
        <w:t xml:space="preserve"> at sub-national level</w:t>
      </w:r>
      <w:r>
        <w:t xml:space="preserve">. </w:t>
      </w:r>
    </w:p>
    <w:p w14:paraId="7C6BB9C7" w14:textId="6FF3AEAD" w:rsidR="00E72524" w:rsidRDefault="00E72524" w:rsidP="00E72524">
      <w:r>
        <w:t xml:space="preserve">NRS estimate that 2022 </w:t>
      </w:r>
      <w:r w:rsidR="00C41774">
        <w:t>MYEs</w:t>
      </w:r>
      <w:r w:rsidR="006D5E62">
        <w:t xml:space="preserve"> </w:t>
      </w:r>
      <w:r w:rsidR="00C41774">
        <w:t>for data zones</w:t>
      </w:r>
      <w:r>
        <w:t xml:space="preserve"> will be </w:t>
      </w:r>
      <w:r w:rsidR="00C41774">
        <w:t>released</w:t>
      </w:r>
      <w:r>
        <w:t xml:space="preserve"> in summer 2024 but this is still to be confirmed. </w:t>
      </w:r>
      <w:r w:rsidR="00C41774">
        <w:t xml:space="preserve">This release date is later than normal </w:t>
      </w:r>
      <w:r>
        <w:t>because the estimates will incorporate the latest</w:t>
      </w:r>
      <w:r w:rsidR="00E31F9D">
        <w:t xml:space="preserve"> UK</w:t>
      </w:r>
      <w:r w:rsidR="00725536">
        <w:t>-wide</w:t>
      </w:r>
      <w:r>
        <w:t xml:space="preserve"> census data at data zone level</w:t>
      </w:r>
      <w:r w:rsidR="009F7E56">
        <w:t xml:space="preserve"> </w:t>
      </w:r>
      <w:r w:rsidR="00727C8F">
        <w:t>but</w:t>
      </w:r>
      <w:r w:rsidR="009F7E56">
        <w:t xml:space="preserve"> their</w:t>
      </w:r>
      <w:r>
        <w:t xml:space="preserve"> publication</w:t>
      </w:r>
      <w:r w:rsidR="00C41774">
        <w:t xml:space="preserve"> </w:t>
      </w:r>
      <w:r>
        <w:t xml:space="preserve">date </w:t>
      </w:r>
      <w:r w:rsidR="00C41774">
        <w:t>is still to be</w:t>
      </w:r>
      <w:r>
        <w:t xml:space="preserve"> announced. </w:t>
      </w:r>
    </w:p>
    <w:p w14:paraId="4BC2FC68" w14:textId="62E39B0E" w:rsidR="00E72524" w:rsidRDefault="00E72524" w:rsidP="00E72524">
      <w:r>
        <w:t>2021-based projections</w:t>
      </w:r>
      <w:r w:rsidR="00DC3A8E">
        <w:t xml:space="preserve"> at sub-national level</w:t>
      </w:r>
      <w:r>
        <w:t xml:space="preserve"> may be available in </w:t>
      </w:r>
      <w:r w:rsidR="00735C76">
        <w:t>August</w:t>
      </w:r>
      <w:r>
        <w:t xml:space="preserve"> 2024 but this release date is </w:t>
      </w:r>
      <w:r w:rsidR="00DA5F44">
        <w:t xml:space="preserve">very </w:t>
      </w:r>
      <w:r>
        <w:t xml:space="preserve">uncertain. Work to produce the projections is led by the Office for National Statistics (ONS) </w:t>
      </w:r>
      <w:r w:rsidR="00AA2CB1">
        <w:t>and</w:t>
      </w:r>
      <w:r>
        <w:t xml:space="preserve"> has been delayed - an update is expected from ONS in June 2023. 2021-based projections will include the latest census data from England, Wales and Northern Ireland but not Scotland.</w:t>
      </w:r>
    </w:p>
    <w:p w14:paraId="208CDAA5" w14:textId="021004AE" w:rsidR="00E72524" w:rsidRDefault="00E72524" w:rsidP="00E72524">
      <w:r>
        <w:t xml:space="preserve">Currently, any NRAC </w:t>
      </w:r>
      <w:r w:rsidR="007F2CF5">
        <w:t>publication</w:t>
      </w:r>
      <w:r>
        <w:t xml:space="preserve"> prior to </w:t>
      </w:r>
      <w:r w:rsidR="007F2CF5">
        <w:t>October</w:t>
      </w:r>
      <w:r>
        <w:t xml:space="preserve"> 2024 </w:t>
      </w:r>
      <w:r w:rsidR="00C30006">
        <w:t>will</w:t>
      </w:r>
      <w:r>
        <w:t xml:space="preserve"> require the use of population projections based on 2018 data which are seven years behind the NRAC forecast year (2025/26).</w:t>
      </w:r>
    </w:p>
    <w:p w14:paraId="4EDC7F73" w14:textId="1A82F9FA" w:rsidR="00E72524" w:rsidRPr="00E72524" w:rsidRDefault="00E72524" w:rsidP="00E72524">
      <w:pPr>
        <w:pStyle w:val="Heading2numbered"/>
      </w:pPr>
      <w:r>
        <w:lastRenderedPageBreak/>
        <w:t>Considerations for 2025/26 run</w:t>
      </w:r>
    </w:p>
    <w:p w14:paraId="65D5FC80" w14:textId="00FCC625" w:rsidR="00E72524" w:rsidRDefault="00E72524" w:rsidP="00E72524">
      <w:r>
        <w:t>Population projections incorporate the best information available at the time but, given the nature of forecasts, they are prone to change (see chart 1 below). It is always preferable to use the most up-to-date population projections (and mid-year estimates) available to ensure the re</w:t>
      </w:r>
      <w:r w:rsidR="006C72EB">
        <w:t>-</w:t>
      </w:r>
      <w:r>
        <w:t>based populations are as accurate as possible.</w:t>
      </w:r>
    </w:p>
    <w:p w14:paraId="44024457" w14:textId="5BF29659" w:rsidR="00EE0914" w:rsidRDefault="00EE0914" w:rsidP="00E72524">
      <w:r>
        <w:t>Chart 1</w:t>
      </w:r>
      <w:r w:rsidR="00E8047F">
        <w:t>:</w:t>
      </w:r>
      <w:r>
        <w:t xml:space="preserve"> Comparison of </w:t>
      </w:r>
      <w:r w:rsidR="00F85538">
        <w:t xml:space="preserve">Scotland </w:t>
      </w:r>
      <w:r>
        <w:t>population projections and mid-year estimates</w:t>
      </w:r>
      <w:r w:rsidR="00EB2478">
        <w:t>.</w:t>
      </w:r>
    </w:p>
    <w:p w14:paraId="067B58D7" w14:textId="2F087F2B" w:rsidR="00EE0914" w:rsidRDefault="00EE0914" w:rsidP="00E72524">
      <w:r w:rsidRPr="00EE0914">
        <w:rPr>
          <w:noProof/>
        </w:rPr>
        <w:drawing>
          <wp:inline distT="0" distB="0" distL="0" distR="0" wp14:anchorId="0B7466E6" wp14:editId="69B9E214">
            <wp:extent cx="5904230" cy="3858895"/>
            <wp:effectExtent l="0" t="0" r="1270" b="8255"/>
            <wp:docPr id="6" name="Picture 6" descr="Chart 1 shows a comparison of Scotland level population projections which were produced in years 2014, 2016, 2018 and 2020. This comparison highlights how projections with a different base year can vary for the same projection year from one release to the next. 2020 mid-year estimates are also prese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1 shows a comparison of Scotland level population projections which were produced in years 2014, 2016, 2018 and 2020. This comparison highlights how projections with a different base year can vary for the same projection year from one release to the next. 2020 mid-year estimates are also presen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04230" cy="3858895"/>
                    </a:xfrm>
                    <a:prstGeom prst="rect">
                      <a:avLst/>
                    </a:prstGeom>
                    <a:noFill/>
                    <a:ln>
                      <a:noFill/>
                    </a:ln>
                  </pic:spPr>
                </pic:pic>
              </a:graphicData>
            </a:graphic>
          </wp:inline>
        </w:drawing>
      </w:r>
    </w:p>
    <w:p w14:paraId="74035C40" w14:textId="0314B242" w:rsidR="0025006E" w:rsidRDefault="0025006E" w:rsidP="00E72524">
      <w:r>
        <w:t>1. Please note that only national level projections are available for 2020.</w:t>
      </w:r>
    </w:p>
    <w:p w14:paraId="0BC701ED" w14:textId="20BDF91A" w:rsidR="00B81385" w:rsidRDefault="00C223B7" w:rsidP="00E72524">
      <w:r>
        <w:t>It was assumed</w:t>
      </w:r>
      <w:r w:rsidR="00EE0914">
        <w:t xml:space="preserve"> that </w:t>
      </w:r>
      <w:r w:rsidR="005144C0">
        <w:t>the 2018-based sub-national population projections currently available w</w:t>
      </w:r>
      <w:r w:rsidR="00B242DB">
        <w:t>ould</w:t>
      </w:r>
      <w:r w:rsidR="005144C0">
        <w:t xml:space="preserve"> not account for the </w:t>
      </w:r>
      <w:r w:rsidR="00481DC0">
        <w:t xml:space="preserve">possible </w:t>
      </w:r>
      <w:r w:rsidR="005144C0">
        <w:t>impact of COVID-19 on future population trends</w:t>
      </w:r>
      <w:r w:rsidR="00B81385">
        <w:t xml:space="preserve"> but that any potential impact would be factored into 2021-based projections</w:t>
      </w:r>
      <w:r w:rsidR="005144C0">
        <w:t xml:space="preserve">. For example, the </w:t>
      </w:r>
      <w:r w:rsidR="00237ECF">
        <w:t xml:space="preserve">impact of </w:t>
      </w:r>
      <w:r w:rsidR="004B52F7">
        <w:t xml:space="preserve">the </w:t>
      </w:r>
      <w:r w:rsidR="005144C0">
        <w:t xml:space="preserve">higher number of excess deaths recorded during the COVID-19 period and any changes in migration, such as a potentially increasing number of people moving to more rural areas. </w:t>
      </w:r>
      <w:r w:rsidR="00B81385">
        <w:t>This would have strengthened the argument to delay the formula run until 2021-based projections were available.</w:t>
      </w:r>
    </w:p>
    <w:p w14:paraId="30122216" w14:textId="330A0D06" w:rsidR="00B242DB" w:rsidRDefault="00B242DB" w:rsidP="00E72524">
      <w:bookmarkStart w:id="4" w:name="_Hlk136009959"/>
      <w:r>
        <w:lastRenderedPageBreak/>
        <w:t xml:space="preserve">However, </w:t>
      </w:r>
      <w:r w:rsidR="00C03135">
        <w:t xml:space="preserve">the </w:t>
      </w:r>
      <w:r>
        <w:t xml:space="preserve">projections are </w:t>
      </w:r>
      <w:r w:rsidR="00C03135">
        <w:t xml:space="preserve">designed to focus on </w:t>
      </w:r>
      <w:r>
        <w:t xml:space="preserve">medium to long-term trends </w:t>
      </w:r>
      <w:r w:rsidR="00C03135">
        <w:t>more</w:t>
      </w:r>
      <w:r>
        <w:t xml:space="preserve"> than</w:t>
      </w:r>
      <w:r w:rsidR="00131057">
        <w:t xml:space="preserve"> </w:t>
      </w:r>
      <w:r>
        <w:t>short-term trend</w:t>
      </w:r>
      <w:r w:rsidR="00566323">
        <w:t>s</w:t>
      </w:r>
      <w:r w:rsidR="00D718E6">
        <w:t>,</w:t>
      </w:r>
      <w:r w:rsidR="00534297">
        <w:t xml:space="preserve"> which the </w:t>
      </w:r>
      <w:r w:rsidR="00CE6AD3">
        <w:t>effect of</w:t>
      </w:r>
      <w:r>
        <w:t xml:space="preserve"> </w:t>
      </w:r>
      <w:r w:rsidR="00C03135">
        <w:t>COVID-19</w:t>
      </w:r>
      <w:r w:rsidR="000F164B">
        <w:t xml:space="preserve"> on mortality rates</w:t>
      </w:r>
      <w:r w:rsidR="00534297">
        <w:t xml:space="preserve"> is considered to be</w:t>
      </w:r>
      <w:r w:rsidR="00566323">
        <w:t>,</w:t>
      </w:r>
      <w:r w:rsidR="00CE6AD3">
        <w:t xml:space="preserve"> and so</w:t>
      </w:r>
      <w:r w:rsidR="00C03135">
        <w:t xml:space="preserve"> </w:t>
      </w:r>
      <w:r w:rsidR="000F164B">
        <w:t xml:space="preserve">COVID-19 </w:t>
      </w:r>
      <w:r w:rsidR="00C03135">
        <w:t>is not likely to significant</w:t>
      </w:r>
      <w:r w:rsidR="00B81385">
        <w:t>ly</w:t>
      </w:r>
      <w:r w:rsidR="00C03135">
        <w:t xml:space="preserve"> </w:t>
      </w:r>
      <w:r w:rsidR="00B81385">
        <w:t>impact</w:t>
      </w:r>
      <w:r w:rsidR="00C03135">
        <w:t xml:space="preserve"> 2021-based projections.</w:t>
      </w:r>
      <w:r w:rsidR="008607BF">
        <w:t xml:space="preserve"> The main benefit of using 2021-based </w:t>
      </w:r>
      <w:r w:rsidR="00131057">
        <w:t xml:space="preserve">sub-national </w:t>
      </w:r>
      <w:r w:rsidR="008607BF">
        <w:t xml:space="preserve">projections would </w:t>
      </w:r>
      <w:r w:rsidR="00566323">
        <w:t>be to</w:t>
      </w:r>
      <w:r w:rsidR="00CE3B3A">
        <w:t xml:space="preserve"> use the most up-to-date population information possible and</w:t>
      </w:r>
      <w:r w:rsidR="00566323">
        <w:t xml:space="preserve"> incorporate </w:t>
      </w:r>
      <w:r w:rsidR="00131057">
        <w:t xml:space="preserve">any changes in patterns since the release of the 2018-based sub-national projections, such as the </w:t>
      </w:r>
      <w:r w:rsidR="00534297">
        <w:t xml:space="preserve">impact of </w:t>
      </w:r>
      <w:r w:rsidR="00131057">
        <w:t>falling fertility rates observed in the 2020-based national projections.</w:t>
      </w:r>
    </w:p>
    <w:p w14:paraId="2C855BE0" w14:textId="6EFF4BA7" w:rsidR="00237ECF" w:rsidRDefault="00E736EF" w:rsidP="00E72524">
      <w:bookmarkStart w:id="5" w:name="_Hlk136009974"/>
      <w:bookmarkEnd w:id="4"/>
      <w:r>
        <w:t>A</w:t>
      </w:r>
      <w:r w:rsidR="00AC12EA">
        <w:t xml:space="preserve">nalysis </w:t>
      </w:r>
      <w:r w:rsidR="00B81385">
        <w:t>presented</w:t>
      </w:r>
      <w:r w:rsidR="00AC12EA">
        <w:t xml:space="preserve"> in chart 2 below</w:t>
      </w:r>
      <w:r w:rsidR="00A2267D">
        <w:t xml:space="preserve"> </w:t>
      </w:r>
      <w:r w:rsidR="000973E2">
        <w:t xml:space="preserve">indicates </w:t>
      </w:r>
      <w:r w:rsidR="00A2267D">
        <w:t>th</w:t>
      </w:r>
      <w:r w:rsidR="009B4A94">
        <w:t xml:space="preserve">at, overall, COVID-19 </w:t>
      </w:r>
      <w:r w:rsidR="000973E2">
        <w:t xml:space="preserve">does </w:t>
      </w:r>
      <w:r w:rsidR="009B4A94">
        <w:t>not</w:t>
      </w:r>
      <w:r w:rsidR="000973E2">
        <w:t xml:space="preserve"> look to have</w:t>
      </w:r>
      <w:r w:rsidR="009B4A94">
        <w:t xml:space="preserve"> adversely affected the accuracy of population projections</w:t>
      </w:r>
      <w:r w:rsidR="00964C05">
        <w:t xml:space="preserve">. </w:t>
      </w:r>
      <w:bookmarkEnd w:id="5"/>
      <w:r w:rsidR="00237ECF">
        <w:t xml:space="preserve">2018-based projections </w:t>
      </w:r>
      <w:r w:rsidR="00763928">
        <w:t>for 2019, 2020 and 2021</w:t>
      </w:r>
      <w:r w:rsidR="00237ECF">
        <w:t xml:space="preserve"> were </w:t>
      </w:r>
      <w:r w:rsidR="00763928">
        <w:t>subtracted from</w:t>
      </w:r>
      <w:r w:rsidR="00237ECF">
        <w:t xml:space="preserve"> the</w:t>
      </w:r>
      <w:r w:rsidR="00763928">
        <w:t>ir corresponding</w:t>
      </w:r>
      <w:r w:rsidR="00237ECF">
        <w:t xml:space="preserve"> MYEs </w:t>
      </w:r>
      <w:r w:rsidR="004B52F7">
        <w:t xml:space="preserve">to </w:t>
      </w:r>
      <w:r w:rsidR="00763928">
        <w:t>calculate the</w:t>
      </w:r>
      <w:r w:rsidR="004B52F7">
        <w:t xml:space="preserve"> difference </w:t>
      </w:r>
      <w:r w:rsidR="00763928">
        <w:t>between the projection and the MYE</w:t>
      </w:r>
      <w:r w:rsidR="004B52F7">
        <w:t xml:space="preserve"> </w:t>
      </w:r>
      <w:r w:rsidR="00763928">
        <w:t xml:space="preserve">for each </w:t>
      </w:r>
      <w:r w:rsidR="004B52F7">
        <w:t xml:space="preserve">year </w:t>
      </w:r>
      <w:r w:rsidR="00763928">
        <w:t>and</w:t>
      </w:r>
      <w:r w:rsidR="004B52F7">
        <w:t xml:space="preserve"> each NHS Board. </w:t>
      </w:r>
      <w:r w:rsidR="00763928">
        <w:t xml:space="preserve">The difference was then calculated as a percentage with respect to the MYE to determine the percentage </w:t>
      </w:r>
      <w:r w:rsidR="006D63F3">
        <w:t>difference</w:t>
      </w:r>
      <w:r w:rsidR="00763928">
        <w:t xml:space="preserve"> </w:t>
      </w:r>
      <w:r w:rsidR="00E47610">
        <w:t>between the</w:t>
      </w:r>
      <w:r w:rsidR="00763928">
        <w:t xml:space="preserve"> projection </w:t>
      </w:r>
      <w:r w:rsidR="00E47610">
        <w:t>and</w:t>
      </w:r>
      <w:r w:rsidR="00763928">
        <w:t xml:space="preserve"> the MYE.</w:t>
      </w:r>
      <w:r w:rsidR="004B52F7">
        <w:t xml:space="preserve"> The same calculatio</w:t>
      </w:r>
      <w:r w:rsidR="00763928">
        <w:t>ns</w:t>
      </w:r>
      <w:r w:rsidR="004B52F7">
        <w:t xml:space="preserve"> w</w:t>
      </w:r>
      <w:r w:rsidR="00763928">
        <w:t>ere</w:t>
      </w:r>
      <w:r w:rsidR="004B52F7">
        <w:t xml:space="preserve"> performed for 2014-based projections and MYEs in 2015, 2016 and 2017, and for 2016-based projections and MYEs in 2017, 2018 and 2019. The average </w:t>
      </w:r>
      <w:r w:rsidR="006D63F3">
        <w:t xml:space="preserve">percentage </w:t>
      </w:r>
      <w:r w:rsidR="004B52F7">
        <w:t>difference</w:t>
      </w:r>
      <w:r w:rsidR="004257E8">
        <w:t xml:space="preserve"> per NHS Board</w:t>
      </w:r>
      <w:r w:rsidR="004B52F7">
        <w:t xml:space="preserve"> f</w:t>
      </w:r>
      <w:r w:rsidR="004257E8">
        <w:t>or each set of projections and MYEs is presented in chart 2.</w:t>
      </w:r>
      <w:r w:rsidR="006D63F3">
        <w:t xml:space="preserve"> </w:t>
      </w:r>
      <w:r w:rsidR="000C0376">
        <w:t>Please note all percentage differences are shown as positive values to allow comparison</w:t>
      </w:r>
      <w:r w:rsidR="00C83512">
        <w:t xml:space="preserve"> of how much the projection differs to the MYE.</w:t>
      </w:r>
    </w:p>
    <w:p w14:paraId="5AE5D2A8" w14:textId="099FAFCB" w:rsidR="004257E8" w:rsidRDefault="004257E8" w:rsidP="00E72524">
      <w:r>
        <w:t>Chart 2</w:t>
      </w:r>
      <w:r w:rsidR="00E8047F">
        <w:t>:</w:t>
      </w:r>
      <w:r>
        <w:t xml:space="preserve"> </w:t>
      </w:r>
      <w:r w:rsidR="00983E89">
        <w:t>A</w:t>
      </w:r>
      <w:r>
        <w:t>verage</w:t>
      </w:r>
      <w:r w:rsidR="00A90956">
        <w:t xml:space="preserve"> percentage</w:t>
      </w:r>
      <w:r>
        <w:t xml:space="preserve"> difference per NHS Board (projection v</w:t>
      </w:r>
      <w:r w:rsidR="00E848B3">
        <w:t>ersus</w:t>
      </w:r>
      <w:r>
        <w:t xml:space="preserve"> mid-year estimate)</w:t>
      </w:r>
      <w:r w:rsidR="00897549">
        <w:t xml:space="preserve">. </w:t>
      </w:r>
    </w:p>
    <w:p w14:paraId="5E7D601B" w14:textId="12A9AEB7" w:rsidR="004257E8" w:rsidRDefault="005231E7" w:rsidP="00E72524">
      <w:r w:rsidRPr="005231E7">
        <w:rPr>
          <w:noProof/>
        </w:rPr>
        <w:drawing>
          <wp:inline distT="0" distB="0" distL="0" distR="0" wp14:anchorId="044B99D0" wp14:editId="6A549306">
            <wp:extent cx="5845175" cy="2989580"/>
            <wp:effectExtent l="0" t="0" r="3175" b="1270"/>
            <wp:docPr id="1" name="Picture 1" descr="Chart 2 shows the average percentage difference per NHS Board when comparing population projections to mid-year estimates. Percentage differences have been calculated when comparing 2014-based projections for years 2015, 2016 and 2017 to mid-year estimates in those same years, and the same for 2016-based projections for years 2017, 2018 and 2019, and 2018-based projections for 2019, 2020 and 2021. 2018-based projections show the smallest change compared to the mid-year estimate aside from in ye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2 shows the average percentage difference per NHS Board when comparing population projections to mid-year estimates. Percentage differences have been calculated when comparing 2014-based projections for years 2015, 2016 and 2017 to mid-year estimates in those same years, and the same for 2016-based projections for years 2017, 2018 and 2019, and 2018-based projections for 2019, 2020 and 2021. 2018-based projections show the smallest change compared to the mid-year estimate aside from in year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45175" cy="2989580"/>
                    </a:xfrm>
                    <a:prstGeom prst="rect">
                      <a:avLst/>
                    </a:prstGeom>
                    <a:noFill/>
                    <a:ln>
                      <a:noFill/>
                    </a:ln>
                  </pic:spPr>
                </pic:pic>
              </a:graphicData>
            </a:graphic>
          </wp:inline>
        </w:drawing>
      </w:r>
    </w:p>
    <w:p w14:paraId="30BE75F3" w14:textId="1C8FEF89" w:rsidR="000C0376" w:rsidRDefault="000C0376" w:rsidP="00E72524">
      <w:r>
        <w:lastRenderedPageBreak/>
        <w:t>1. 2014-based projections: Year 1 = 2015, Year 2= 2016, Year 3 = 2017.</w:t>
      </w:r>
    </w:p>
    <w:p w14:paraId="58E520D4" w14:textId="286DC61B" w:rsidR="000C0376" w:rsidRDefault="00EE6C6F" w:rsidP="00E72524">
      <w:r>
        <w:t xml:space="preserve">2. </w:t>
      </w:r>
      <w:r w:rsidR="000C0376">
        <w:t>201</w:t>
      </w:r>
      <w:r>
        <w:t>6</w:t>
      </w:r>
      <w:r w:rsidR="000C0376">
        <w:t>-based projections: Year 1 = 201</w:t>
      </w:r>
      <w:r>
        <w:t>7</w:t>
      </w:r>
      <w:r w:rsidR="000C0376">
        <w:t>, Year 2= 201</w:t>
      </w:r>
      <w:r>
        <w:t>8</w:t>
      </w:r>
      <w:r w:rsidR="000C0376">
        <w:t>, Year 3 = 201</w:t>
      </w:r>
      <w:r>
        <w:t>9</w:t>
      </w:r>
      <w:r w:rsidR="000C0376">
        <w:t>.</w:t>
      </w:r>
    </w:p>
    <w:p w14:paraId="2880C6CC" w14:textId="358C4F9F" w:rsidR="00EE6C6F" w:rsidRDefault="00EE6C6F" w:rsidP="00E72524">
      <w:r>
        <w:t>3. 2018-based projections: Year 1 = 2019, Year 2= 2020, Year 3 = 2021.</w:t>
      </w:r>
    </w:p>
    <w:p w14:paraId="6DF5A31F" w14:textId="33381DE6" w:rsidR="004257E8" w:rsidRDefault="0061447B" w:rsidP="00E72524">
      <w:bookmarkStart w:id="6" w:name="_Hlk136240742"/>
      <w:r>
        <w:t xml:space="preserve">On average, the 2018-based projections are </w:t>
      </w:r>
      <w:r w:rsidR="00886C64">
        <w:t xml:space="preserve">more in line with </w:t>
      </w:r>
      <w:r>
        <w:t xml:space="preserve">MYEs </w:t>
      </w:r>
      <w:r w:rsidR="00EF3DA5">
        <w:t>than previous years' projections and MYE</w:t>
      </w:r>
      <w:r w:rsidR="00EE6B16">
        <w:t>s</w:t>
      </w:r>
      <w:r w:rsidR="00EF3DA5">
        <w:t xml:space="preserve"> </w:t>
      </w:r>
      <w:r>
        <w:t xml:space="preserve">which provides </w:t>
      </w:r>
      <w:r w:rsidR="00A9691E">
        <w:t>a degree of</w:t>
      </w:r>
      <w:r>
        <w:t xml:space="preserve"> confidence that</w:t>
      </w:r>
      <w:r w:rsidR="00ED5595">
        <w:t>, so far,</w:t>
      </w:r>
      <w:r>
        <w:t xml:space="preserve"> </w:t>
      </w:r>
      <w:r w:rsidR="00205815">
        <w:t xml:space="preserve">the impact of </w:t>
      </w:r>
      <w:r>
        <w:t xml:space="preserve">COVID-19 </w:t>
      </w:r>
      <w:r w:rsidR="00205815">
        <w:t>has not caused a bigger divergence than normal</w:t>
      </w:r>
      <w:r w:rsidR="009B4A94">
        <w:t xml:space="preserve"> between projections and MYEs</w:t>
      </w:r>
      <w:r w:rsidR="00205815">
        <w:t>. There is variation at individual NHS Board level but this has always been the case in previous NRAC runs.</w:t>
      </w:r>
    </w:p>
    <w:bookmarkEnd w:id="6"/>
    <w:p w14:paraId="6225B59E" w14:textId="735AFCB6" w:rsidR="00E72524" w:rsidRDefault="00C06766" w:rsidP="00E72524">
      <w:r>
        <w:t>H</w:t>
      </w:r>
      <w:r w:rsidR="00DA0FD9">
        <w:t xml:space="preserve">owever, </w:t>
      </w:r>
      <w:r>
        <w:t xml:space="preserve">MYEs are not yet available after 2021 to allow comparisons with </w:t>
      </w:r>
      <w:r w:rsidR="00E94E3C">
        <w:t xml:space="preserve">projections in </w:t>
      </w:r>
      <w:r>
        <w:t xml:space="preserve">other years, and </w:t>
      </w:r>
      <w:r w:rsidR="00353341">
        <w:t>it is not certain that</w:t>
      </w:r>
      <w:r>
        <w:t xml:space="preserve"> the above trend will continue</w:t>
      </w:r>
      <w:r w:rsidR="001A3808">
        <w:t xml:space="preserve"> up to 2025/26. Projections and MYEs will generally diverge further from each other the longer</w:t>
      </w:r>
      <w:r w:rsidR="00A67590">
        <w:t xml:space="preserve"> you</w:t>
      </w:r>
      <w:r w:rsidR="001A3808">
        <w:t xml:space="preserve"> project into the future. Running the NRAC formula based on 2021-based projections should therefore </w:t>
      </w:r>
      <w:r w:rsidR="00041E16">
        <w:t xml:space="preserve">still </w:t>
      </w:r>
      <w:r w:rsidR="001A3808">
        <w:t xml:space="preserve">provide more accurate target shares for 2025/26 </w:t>
      </w:r>
      <w:r w:rsidR="00C5130E">
        <w:t xml:space="preserve">but </w:t>
      </w:r>
      <w:r w:rsidR="001A3808">
        <w:t xml:space="preserve">the formula could be run now using 2018-based projections with less concern </w:t>
      </w:r>
      <w:r w:rsidR="00E94E3C">
        <w:t>than may have been expected regarding</w:t>
      </w:r>
      <w:r w:rsidR="001A3808">
        <w:t xml:space="preserve"> the impact of COVID-19.</w:t>
      </w:r>
      <w:r w:rsidR="00C5130E">
        <w:t xml:space="preserve"> Please note this applies to the total population only and not the </w:t>
      </w:r>
      <w:r w:rsidR="002E2AB6">
        <w:t>A</w:t>
      </w:r>
      <w:r w:rsidR="00C5130E">
        <w:t>ge</w:t>
      </w:r>
      <w:r w:rsidR="002E2AB6">
        <w:t>-S</w:t>
      </w:r>
      <w:r w:rsidR="00C5130E">
        <w:t xml:space="preserve">ex adjustment which is discussed in section </w:t>
      </w:r>
      <w:r w:rsidR="003B23A9">
        <w:t>6.</w:t>
      </w:r>
    </w:p>
    <w:p w14:paraId="513FE05A" w14:textId="5B5A4509" w:rsidR="00506769" w:rsidRDefault="00F96B11" w:rsidP="00506769">
      <w:pPr>
        <w:pStyle w:val="Heading1numbered"/>
      </w:pPr>
      <w:r>
        <w:t>Age</w:t>
      </w:r>
      <w:r w:rsidR="002E2AB6">
        <w:t>-S</w:t>
      </w:r>
      <w:r>
        <w:t>ex adjustment</w:t>
      </w:r>
    </w:p>
    <w:p w14:paraId="1A8EB424" w14:textId="71F2EDC6" w:rsidR="00506769" w:rsidRPr="00E72524" w:rsidRDefault="00506769" w:rsidP="00506769">
      <w:pPr>
        <w:pStyle w:val="Heading2numbered"/>
      </w:pPr>
      <w:r>
        <w:t xml:space="preserve">Data </w:t>
      </w:r>
      <w:r w:rsidR="00F96B11">
        <w:t>required/available</w:t>
      </w:r>
    </w:p>
    <w:p w14:paraId="5F32339F" w14:textId="18AC2A82" w:rsidR="00F96B11" w:rsidRDefault="00F96B11" w:rsidP="00506769">
      <w:r>
        <w:t xml:space="preserve">The </w:t>
      </w:r>
      <w:r w:rsidR="00201029">
        <w:t xml:space="preserve">key datasets required for the calculation of the </w:t>
      </w:r>
      <w:r w:rsidR="002E2AB6">
        <w:t>A</w:t>
      </w:r>
      <w:r>
        <w:t>ge</w:t>
      </w:r>
      <w:r w:rsidR="002E2AB6">
        <w:t>-S</w:t>
      </w:r>
      <w:r>
        <w:t xml:space="preserve">ex </w:t>
      </w:r>
      <w:r w:rsidR="00201029">
        <w:t>adjustment</w:t>
      </w:r>
      <w:r>
        <w:t xml:space="preserve"> </w:t>
      </w:r>
      <w:r w:rsidR="00201029">
        <w:t>are</w:t>
      </w:r>
      <w:r>
        <w:t xml:space="preserve"> the </w:t>
      </w:r>
      <w:r w:rsidR="00506769">
        <w:t>Scottish Financial Returns (SFRs)</w:t>
      </w:r>
      <w:r w:rsidR="00201029">
        <w:t xml:space="preserve"> </w:t>
      </w:r>
      <w:r w:rsidR="00073C15">
        <w:t xml:space="preserve">- </w:t>
      </w:r>
      <w:r w:rsidR="00201029">
        <w:t xml:space="preserve">which </w:t>
      </w:r>
      <w:r w:rsidR="005D4D5A">
        <w:t>contain expenditure</w:t>
      </w:r>
      <w:r w:rsidR="00201029">
        <w:t xml:space="preserve"> collected</w:t>
      </w:r>
      <w:r w:rsidR="00896C5F">
        <w:t xml:space="preserve"> for the </w:t>
      </w:r>
      <w:hyperlink r:id="rId18" w:history="1">
        <w:r w:rsidR="00896C5F" w:rsidRPr="00455A9B">
          <w:rPr>
            <w:rStyle w:val="Hyperlink"/>
          </w:rPr>
          <w:t>Scottish Health Service Costs</w:t>
        </w:r>
      </w:hyperlink>
      <w:r w:rsidR="00896C5F">
        <w:t xml:space="preserve"> publication (Cost Book)</w:t>
      </w:r>
      <w:r w:rsidR="00073C15">
        <w:t xml:space="preserve"> -</w:t>
      </w:r>
      <w:r>
        <w:t xml:space="preserve"> and </w:t>
      </w:r>
      <w:r w:rsidR="00896C5F">
        <w:t xml:space="preserve">data </w:t>
      </w:r>
      <w:r>
        <w:t xml:space="preserve">from Scottish Morbidity </w:t>
      </w:r>
      <w:r w:rsidR="00896C5F">
        <w:t>R</w:t>
      </w:r>
      <w:r>
        <w:t>ecords (SMRs).</w:t>
      </w:r>
      <w:r w:rsidR="00F10243">
        <w:t xml:space="preserve"> </w:t>
      </w:r>
      <w:r w:rsidR="00C41A83">
        <w:t xml:space="preserve">The </w:t>
      </w:r>
      <w:r w:rsidR="002E2AB6">
        <w:t>A</w:t>
      </w:r>
      <w:r w:rsidR="00C41A83">
        <w:t>ge</w:t>
      </w:r>
      <w:r w:rsidR="002E2AB6">
        <w:t>-S</w:t>
      </w:r>
      <w:r w:rsidR="00C41A83">
        <w:t>ex component was last updated for the 2023/24 target shares using</w:t>
      </w:r>
      <w:r w:rsidR="005D4D5A">
        <w:t xml:space="preserve"> data from</w:t>
      </w:r>
      <w:r w:rsidR="00C41A83">
        <w:t xml:space="preserve"> </w:t>
      </w:r>
      <w:r w:rsidR="00F10243">
        <w:t>2019/20 SFRs and SMRs</w:t>
      </w:r>
      <w:r w:rsidR="00C41A83">
        <w:t>.</w:t>
      </w:r>
      <w:r w:rsidR="00F10243">
        <w:t xml:space="preserve"> </w:t>
      </w:r>
    </w:p>
    <w:p w14:paraId="2004B79D" w14:textId="460091C5" w:rsidR="00506769" w:rsidRDefault="00506769" w:rsidP="00506769">
      <w:r>
        <w:t xml:space="preserve">Due to the impact of the COVID-19 pandemic, most NHS Boards were unable to submit the full set of SFRs (essential for NRAC) for 2020/21 and 2021/22 but a full data collection will resume in 2022/23. This means 2019/20 data </w:t>
      </w:r>
      <w:r w:rsidR="003D3B50">
        <w:t>is</w:t>
      </w:r>
      <w:r>
        <w:t xml:space="preserve"> the most recent </w:t>
      </w:r>
      <w:r w:rsidR="005A7C01">
        <w:lastRenderedPageBreak/>
        <w:t>expenditure</w:t>
      </w:r>
      <w:r>
        <w:t xml:space="preserve"> currently available for use within the NRAC formula. </w:t>
      </w:r>
      <w:r w:rsidR="005A7C01">
        <w:t xml:space="preserve">Cost information from </w:t>
      </w:r>
      <w:r>
        <w:t xml:space="preserve">2022/23 </w:t>
      </w:r>
      <w:r w:rsidR="005A7C01">
        <w:t>SFRs</w:t>
      </w:r>
      <w:r>
        <w:t xml:space="preserve"> will be available by the end of February 2024.</w:t>
      </w:r>
    </w:p>
    <w:p w14:paraId="3324C4CF" w14:textId="453E01C2" w:rsidR="00073C15" w:rsidRDefault="00896C5F" w:rsidP="002B5005">
      <w:r>
        <w:t>SMRs are patient-level hospital activity records that are submitted by NHS Boards to PHS and include information for: acute inpatients and day cases; mental health, maternity and geriatric long stay inpatients; and outpatients. SMR data is currently available for 2021/22 and complete 2022/23 information will be available in summer 2023.</w:t>
      </w:r>
      <w:r w:rsidR="005A7C01">
        <w:t xml:space="preserve"> </w:t>
      </w:r>
      <w:r w:rsidR="002B5005">
        <w:t xml:space="preserve">However, the formula needs hospital activity and expenditure data from the same year and so, </w:t>
      </w:r>
      <w:r w:rsidR="005A7C01" w:rsidRPr="005A7C01">
        <w:t>if running the formula before February 2024, the most recent year of SMR data that could be used is 2019/20, or 2022/23 data if running the formula after this date.</w:t>
      </w:r>
    </w:p>
    <w:p w14:paraId="2302B48A" w14:textId="77777777" w:rsidR="00506769" w:rsidRPr="00E72524" w:rsidRDefault="00506769" w:rsidP="00506769">
      <w:pPr>
        <w:pStyle w:val="Heading2numbered"/>
      </w:pPr>
      <w:r>
        <w:t>Considerations for 2025/26 run</w:t>
      </w:r>
    </w:p>
    <w:p w14:paraId="771658A3" w14:textId="78AA5A40" w:rsidR="00506769" w:rsidRDefault="00506769" w:rsidP="00506769">
      <w:bookmarkStart w:id="7" w:name="_Hlk136283971"/>
      <w:r>
        <w:t xml:space="preserve">The </w:t>
      </w:r>
      <w:r w:rsidR="002E2AB6">
        <w:t>A</w:t>
      </w:r>
      <w:r>
        <w:t>ge</w:t>
      </w:r>
      <w:r w:rsidR="002E2AB6">
        <w:t>-S</w:t>
      </w:r>
      <w:r>
        <w:t xml:space="preserve">ex component of NRAC accounts for age and sex differences in the cost of delivering NHS services. National average </w:t>
      </w:r>
      <w:r w:rsidR="00D75C3B">
        <w:t>a</w:t>
      </w:r>
      <w:r w:rsidR="002E2AB6">
        <w:t>ge-</w:t>
      </w:r>
      <w:r w:rsidR="00D75C3B">
        <w:t>s</w:t>
      </w:r>
      <w:r>
        <w:t xml:space="preserve">ex costs are calculated by marrying expenditure from SFRs - such as inpatients (SFR 5.3) and day cases (SFR 5.5) - to activity data available in SMRs. </w:t>
      </w:r>
      <w:r w:rsidR="00340CDF">
        <w:t>They are</w:t>
      </w:r>
      <w:r>
        <w:t xml:space="preserve"> applied to the projected population structure for the NRAC forecast year, aggregating up from data zone level and standard </w:t>
      </w:r>
      <w:r w:rsidR="0040597C">
        <w:t>a</w:t>
      </w:r>
      <w:r>
        <w:t>ge</w:t>
      </w:r>
      <w:r w:rsidR="002E2AB6">
        <w:t>-</w:t>
      </w:r>
      <w:r w:rsidR="0040597C">
        <w:t>s</w:t>
      </w:r>
      <w:r>
        <w:t xml:space="preserve">ex groupings to a total NHS Board share. Chart </w:t>
      </w:r>
      <w:r w:rsidR="00DC6C02">
        <w:t>3</w:t>
      </w:r>
      <w:r>
        <w:t xml:space="preserve"> below shows the national average cost per head for each </w:t>
      </w:r>
      <w:r w:rsidR="0040597C">
        <w:t>a</w:t>
      </w:r>
      <w:r>
        <w:t>ge</w:t>
      </w:r>
      <w:r w:rsidR="002E2AB6">
        <w:t>-</w:t>
      </w:r>
      <w:r w:rsidR="0040597C">
        <w:t>s</w:t>
      </w:r>
      <w:r>
        <w:t>ex grouping</w:t>
      </w:r>
      <w:r w:rsidR="00E2172C">
        <w:t xml:space="preserve"> in the acute care programme</w:t>
      </w:r>
      <w:r>
        <w:t xml:space="preserve"> for the 2022/23 target shares - prior to COVID-19 the distribution of activity and costs between these groupings remained stable from year-to-year.</w:t>
      </w:r>
    </w:p>
    <w:bookmarkEnd w:id="7"/>
    <w:p w14:paraId="5E9C92F7" w14:textId="77777777" w:rsidR="0040597C" w:rsidRDefault="0040597C" w:rsidP="00506769"/>
    <w:p w14:paraId="336A4AD5" w14:textId="77777777" w:rsidR="0040597C" w:rsidRDefault="0040597C" w:rsidP="00506769"/>
    <w:p w14:paraId="28AD8F0F" w14:textId="77777777" w:rsidR="0040597C" w:rsidRDefault="0040597C" w:rsidP="00506769"/>
    <w:p w14:paraId="6CB5B782" w14:textId="77777777" w:rsidR="0040597C" w:rsidRDefault="0040597C" w:rsidP="00506769"/>
    <w:p w14:paraId="4FFFD93B" w14:textId="77777777" w:rsidR="0040597C" w:rsidRDefault="0040597C" w:rsidP="00506769"/>
    <w:p w14:paraId="443B1E44" w14:textId="77777777" w:rsidR="0040597C" w:rsidRDefault="0040597C" w:rsidP="00506769"/>
    <w:p w14:paraId="7C4BDB9D" w14:textId="253D859A" w:rsidR="001A64D3" w:rsidRDefault="001A64D3" w:rsidP="00506769">
      <w:r>
        <w:lastRenderedPageBreak/>
        <w:t>Chart 3</w:t>
      </w:r>
      <w:r w:rsidR="00E8047F">
        <w:t>:</w:t>
      </w:r>
      <w:r>
        <w:t xml:space="preserve"> </w:t>
      </w:r>
      <w:r w:rsidR="0040597C">
        <w:t>A</w:t>
      </w:r>
      <w:r w:rsidR="00E8047F">
        <w:t>v</w:t>
      </w:r>
      <w:r>
        <w:t xml:space="preserve">erage </w:t>
      </w:r>
      <w:r w:rsidR="00E8047F">
        <w:t>c</w:t>
      </w:r>
      <w:r w:rsidR="00AD13BB">
        <w:t xml:space="preserve">ost per </w:t>
      </w:r>
      <w:r w:rsidR="00060862">
        <w:t>h</w:t>
      </w:r>
      <w:r w:rsidR="00AD13BB">
        <w:t xml:space="preserve">ead </w:t>
      </w:r>
      <w:r w:rsidR="00705312">
        <w:t>for</w:t>
      </w:r>
      <w:r w:rsidR="002600DE">
        <w:t xml:space="preserve"> </w:t>
      </w:r>
      <w:r w:rsidR="00E8047F">
        <w:t xml:space="preserve">each </w:t>
      </w:r>
      <w:r w:rsidR="0040597C">
        <w:t>a</w:t>
      </w:r>
      <w:r w:rsidR="002600DE" w:rsidRPr="002600DE">
        <w:t>ge-</w:t>
      </w:r>
      <w:r w:rsidR="0040597C">
        <w:t>s</w:t>
      </w:r>
      <w:r w:rsidR="002600DE" w:rsidRPr="002600DE">
        <w:t>ex group</w:t>
      </w:r>
      <w:r w:rsidR="002600DE">
        <w:t xml:space="preserve"> </w:t>
      </w:r>
      <w:r w:rsidR="00E8047F">
        <w:t>for</w:t>
      </w:r>
      <w:r w:rsidR="00705312">
        <w:t xml:space="preserve"> the 2</w:t>
      </w:r>
      <w:r w:rsidR="005773ED">
        <w:t>0</w:t>
      </w:r>
      <w:r w:rsidR="008A5869">
        <w:t xml:space="preserve">22/23 NRAC </w:t>
      </w:r>
      <w:r w:rsidR="00E8047F">
        <w:t>s</w:t>
      </w:r>
      <w:r w:rsidR="00E4436E">
        <w:t>hares</w:t>
      </w:r>
      <w:r w:rsidR="00C751A8">
        <w:t>,</w:t>
      </w:r>
      <w:r w:rsidR="002600DE">
        <w:t xml:space="preserve"> </w:t>
      </w:r>
      <w:r w:rsidR="00E8047F">
        <w:t>acute care programme</w:t>
      </w:r>
    </w:p>
    <w:p w14:paraId="22F64A1D" w14:textId="52D564DE" w:rsidR="00506769" w:rsidRDefault="00506769" w:rsidP="00506769">
      <w:r w:rsidRPr="00506769">
        <w:rPr>
          <w:noProof/>
        </w:rPr>
        <w:drawing>
          <wp:inline distT="0" distB="0" distL="0" distR="0" wp14:anchorId="79F6CD7F" wp14:editId="41B6E628">
            <wp:extent cx="6104255" cy="3757629"/>
            <wp:effectExtent l="0" t="0" r="0" b="0"/>
            <wp:docPr id="2" name="Picture 2" descr="Chart 3 shows the average cost per head for each age and sex grouping for the acute care programme when calculating the 2022/23 target NRAC shares. The average cost is high for people aged 0 to 1 year old and shows a steep increase among people aged 65 and over. These trends are the same for both males and fe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3 shows the average cost per head for each age and sex grouping for the acute care programme when calculating the 2022/23 target NRAC shares. The average cost is high for people aged 0 to 1 year old and shows a steep increase among people aged 65 and over. These trends are the same for both males and females."/>
                    <pic:cNvPicPr>
                      <a:picLocks noChangeAspect="1" noChangeArrowheads="1"/>
                    </pic:cNvPicPr>
                  </pic:nvPicPr>
                  <pic:blipFill rotWithShape="1">
                    <a:blip r:embed="rId19">
                      <a:extLst>
                        <a:ext uri="{28A0092B-C50C-407E-A947-70E740481C1C}">
                          <a14:useLocalDpi xmlns:a14="http://schemas.microsoft.com/office/drawing/2010/main" val="0"/>
                        </a:ext>
                      </a:extLst>
                    </a:blip>
                    <a:srcRect t="5651"/>
                    <a:stretch/>
                  </pic:blipFill>
                  <pic:spPr bwMode="auto">
                    <a:xfrm>
                      <a:off x="0" y="0"/>
                      <a:ext cx="6129808" cy="3773359"/>
                    </a:xfrm>
                    <a:prstGeom prst="rect">
                      <a:avLst/>
                    </a:prstGeom>
                    <a:noFill/>
                    <a:ln>
                      <a:noFill/>
                    </a:ln>
                    <a:extLst>
                      <a:ext uri="{53640926-AAD7-44D8-BBD7-CCE9431645EC}">
                        <a14:shadowObscured xmlns:a14="http://schemas.microsoft.com/office/drawing/2010/main"/>
                      </a:ext>
                    </a:extLst>
                  </pic:spPr>
                </pic:pic>
              </a:graphicData>
            </a:graphic>
          </wp:inline>
        </w:drawing>
      </w:r>
    </w:p>
    <w:p w14:paraId="2DD644ED" w14:textId="1B164792" w:rsidR="00506769" w:rsidRDefault="00506769" w:rsidP="00506769">
      <w:r>
        <w:t>Generally, it is more expensive to deliver services to older people and therefore NHS Boards with older populations will have a greater age</w:t>
      </w:r>
      <w:r w:rsidR="002E2AB6">
        <w:t>-</w:t>
      </w:r>
      <w:r>
        <w:t>sex share.</w:t>
      </w:r>
    </w:p>
    <w:p w14:paraId="0F767E9A" w14:textId="107149A4" w:rsidR="00506769" w:rsidRDefault="00506769" w:rsidP="00506769">
      <w:r>
        <w:t xml:space="preserve">The COVID-19 pandemic has clearly had a </w:t>
      </w:r>
      <w:r w:rsidR="00B31234">
        <w:t>large</w:t>
      </w:r>
      <w:r>
        <w:t xml:space="preserve"> impact on the delivery of NHS services. Both activity and expenditure changed during this period and continue to be different as we enter the recovery phase. Until we have access to more up-to-date cost information, it is not clear </w:t>
      </w:r>
      <w:r w:rsidR="00E2172C">
        <w:t>if</w:t>
      </w:r>
      <w:r>
        <w:t xml:space="preserve"> the cost curves presented above have changed.</w:t>
      </w:r>
    </w:p>
    <w:p w14:paraId="6E683BA7" w14:textId="69D8BE01" w:rsidR="00203FA9" w:rsidRPr="00203FA9" w:rsidRDefault="00C86606" w:rsidP="00203FA9">
      <w:r w:rsidRPr="00C86606">
        <w:t xml:space="preserve">For example, </w:t>
      </w:r>
      <w:r w:rsidR="00DB19C3">
        <w:t xml:space="preserve">anecdotal </w:t>
      </w:r>
      <w:r w:rsidRPr="00C86606">
        <w:t>evidence suggest</w:t>
      </w:r>
      <w:r w:rsidR="00DB19C3">
        <w:t>s</w:t>
      </w:r>
      <w:r w:rsidRPr="00C86606">
        <w:t xml:space="preserve"> that older people have been disproportionately affected by the impact of COVID-19, with access to treatment delayed during the pandemic</w:t>
      </w:r>
      <w:r w:rsidR="003C66C6">
        <w:t>, and</w:t>
      </w:r>
      <w:r w:rsidRPr="00C86606">
        <w:t xml:space="preserve"> where they are now living with more complex needs. </w:t>
      </w:r>
      <w:r>
        <w:t>This could result in</w:t>
      </w:r>
      <w:r w:rsidRPr="00C86606">
        <w:t xml:space="preserve"> the average cost per head increasing at a faster rate in the older population compared to other age groups</w:t>
      </w:r>
      <w:r w:rsidR="00DB19C3">
        <w:t xml:space="preserve">. </w:t>
      </w:r>
      <w:r w:rsidR="00203FA9" w:rsidRPr="00203FA9">
        <w:t xml:space="preserve">Using 2022/23 </w:t>
      </w:r>
      <w:r w:rsidR="00FB1BB1">
        <w:t>expenditure</w:t>
      </w:r>
      <w:r w:rsidR="00203FA9" w:rsidRPr="00203FA9">
        <w:t xml:space="preserve"> rather than 2019/20 data </w:t>
      </w:r>
      <w:r w:rsidR="00E84C08">
        <w:t>could therefore</w:t>
      </w:r>
      <w:r w:rsidR="00203FA9" w:rsidRPr="00203FA9">
        <w:t xml:space="preserve"> help reflect any changes</w:t>
      </w:r>
      <w:r w:rsidR="00A36786">
        <w:t xml:space="preserve"> </w:t>
      </w:r>
      <w:r w:rsidR="00203FA9" w:rsidRPr="00203FA9">
        <w:t xml:space="preserve">that may have occurred in patterns of expenditure </w:t>
      </w:r>
      <w:r w:rsidR="00203FA9">
        <w:t>following the pandemic</w:t>
      </w:r>
      <w:r w:rsidR="009A44CC">
        <w:t xml:space="preserve"> but as mentioned previously, it is uncertain whether such trends will remain reflective of need in 2025/26. T</w:t>
      </w:r>
      <w:r w:rsidR="003C66C6">
        <w:t xml:space="preserve">his </w:t>
      </w:r>
      <w:r w:rsidR="009A44CC">
        <w:t xml:space="preserve">is </w:t>
      </w:r>
      <w:r w:rsidR="009A44CC">
        <w:lastRenderedPageBreak/>
        <w:t>particularly</w:t>
      </w:r>
      <w:r w:rsidR="00340CDF">
        <w:t xml:space="preserve"> important as the average age</w:t>
      </w:r>
      <w:r w:rsidR="002E2AB6">
        <w:t>-</w:t>
      </w:r>
      <w:r w:rsidR="00340CDF">
        <w:t xml:space="preserve">sex costs are </w:t>
      </w:r>
      <w:r w:rsidR="00340CDF" w:rsidRPr="00340CDF">
        <w:t xml:space="preserve">calculated </w:t>
      </w:r>
      <w:r w:rsidR="00F91BB7">
        <w:t>using</w:t>
      </w:r>
      <w:r w:rsidR="00340CDF" w:rsidRPr="00340CDF">
        <w:t xml:space="preserve"> </w:t>
      </w:r>
      <w:r w:rsidR="00340CDF">
        <w:t xml:space="preserve">only </w:t>
      </w:r>
      <w:r w:rsidR="00340CDF" w:rsidRPr="00340CDF">
        <w:t>the most recent year of available SFR and SMR data</w:t>
      </w:r>
      <w:r w:rsidR="00340CDF">
        <w:t>.</w:t>
      </w:r>
    </w:p>
    <w:p w14:paraId="129658A0" w14:textId="5BB90B9A" w:rsidR="00506769" w:rsidRDefault="007B0470" w:rsidP="00506769">
      <w:pPr>
        <w:pStyle w:val="Heading1numbered"/>
      </w:pPr>
      <w:r>
        <w:t>Morbidity and Life Circumstances adjustment</w:t>
      </w:r>
    </w:p>
    <w:p w14:paraId="2CD2ADFF" w14:textId="3ACDD0C8" w:rsidR="00506769" w:rsidRPr="00E72524" w:rsidRDefault="00506769" w:rsidP="00506769">
      <w:pPr>
        <w:pStyle w:val="Heading2numbered"/>
      </w:pPr>
      <w:r>
        <w:t xml:space="preserve">Data </w:t>
      </w:r>
      <w:r w:rsidR="007B0470">
        <w:t>required/</w:t>
      </w:r>
      <w:r>
        <w:t>availab</w:t>
      </w:r>
      <w:r w:rsidR="007B0470">
        <w:t>le</w:t>
      </w:r>
    </w:p>
    <w:p w14:paraId="77C72C0A" w14:textId="34E54D9C" w:rsidR="00506769" w:rsidRDefault="00AF021E" w:rsidP="00506769">
      <w:r>
        <w:t xml:space="preserve">As with the </w:t>
      </w:r>
      <w:r w:rsidR="002E2AB6">
        <w:t>A</w:t>
      </w:r>
      <w:r>
        <w:t>ge</w:t>
      </w:r>
      <w:r w:rsidR="002E2AB6">
        <w:t>-S</w:t>
      </w:r>
      <w:r>
        <w:t xml:space="preserve">ex </w:t>
      </w:r>
      <w:r w:rsidR="008D0B18">
        <w:t>component</w:t>
      </w:r>
      <w:r>
        <w:t xml:space="preserve">, the main data </w:t>
      </w:r>
      <w:r w:rsidR="00F91BB7">
        <w:t>needed</w:t>
      </w:r>
      <w:r>
        <w:t xml:space="preserve"> for the calculation of the MLC adjustment are expenditure from SFRs and hospital activity from SMRs. </w:t>
      </w:r>
      <w:r w:rsidR="0052031A">
        <w:t xml:space="preserve">Please see section </w:t>
      </w:r>
      <w:r w:rsidR="003B23A9">
        <w:t>6</w:t>
      </w:r>
      <w:r w:rsidR="0052031A">
        <w:t xml:space="preserve"> above for more information regarding </w:t>
      </w:r>
      <w:r w:rsidR="00635A49">
        <w:t xml:space="preserve">current </w:t>
      </w:r>
      <w:r w:rsidR="0052031A">
        <w:t>data availability</w:t>
      </w:r>
      <w:r w:rsidR="00A65B07">
        <w:t xml:space="preserve"> for these two datasets</w:t>
      </w:r>
      <w:r w:rsidR="0052031A">
        <w:t>.</w:t>
      </w:r>
      <w:r w:rsidR="00125061">
        <w:t xml:space="preserve"> The MLC component was last updated for the 2022/23 target shares using data from 2018/19 SFRs and SMRs.</w:t>
      </w:r>
    </w:p>
    <w:p w14:paraId="39AA8337" w14:textId="1FDC4D2D" w:rsidR="00AF021E" w:rsidRDefault="003F185E" w:rsidP="00506769">
      <w:r>
        <w:t>A range of other data are also used including</w:t>
      </w:r>
      <w:r w:rsidR="00F82E43">
        <w:t>:</w:t>
      </w:r>
      <w:r>
        <w:t xml:space="preserve"> </w:t>
      </w:r>
      <w:r w:rsidR="00F82E43">
        <w:t xml:space="preserve">NRS deaths information; </w:t>
      </w:r>
      <w:r>
        <w:t>Scottish index of multiple deprivation (SIMD) crime and employment data</w:t>
      </w:r>
      <w:r w:rsidR="00F82E43">
        <w:t>;</w:t>
      </w:r>
      <w:r>
        <w:t xml:space="preserve"> average house prices</w:t>
      </w:r>
      <w:r w:rsidR="00F82E43">
        <w:t>;</w:t>
      </w:r>
      <w:r>
        <w:t xml:space="preserve"> and limiting long-term illness (LLTI)</w:t>
      </w:r>
      <w:r w:rsidR="007B581B">
        <w:t xml:space="preserve"> information</w:t>
      </w:r>
      <w:r>
        <w:t>.</w:t>
      </w:r>
      <w:r w:rsidR="00FE028A">
        <w:t xml:space="preserve"> Current data availability varies from 2011 for LLTI (based on census, will be updated </w:t>
      </w:r>
      <w:r w:rsidR="007B581B">
        <w:t>once 2022 census information becomes available) to 2022/23 (NRS deaths).</w:t>
      </w:r>
    </w:p>
    <w:p w14:paraId="4D8A5C45" w14:textId="17768807" w:rsidR="00A36786" w:rsidRDefault="00506769" w:rsidP="00D13CD4">
      <w:pPr>
        <w:pStyle w:val="Heading2numbered"/>
      </w:pPr>
      <w:r>
        <w:t>Considerations for 2025/26 run</w:t>
      </w:r>
    </w:p>
    <w:p w14:paraId="4903598F" w14:textId="70D2D32C" w:rsidR="00A76FA4" w:rsidRDefault="00B30CA4" w:rsidP="00D13CD4">
      <w:r>
        <w:t>The MLC component adjusts shares based on a set of factors (</w:t>
      </w:r>
      <w:r w:rsidR="0015650C">
        <w:t>'</w:t>
      </w:r>
      <w:r>
        <w:t xml:space="preserve">indicators of need') which </w:t>
      </w:r>
      <w:r w:rsidR="0015650C">
        <w:t>help explain</w:t>
      </w:r>
      <w:r>
        <w:t xml:space="preserve"> variation in healthcare use </w:t>
      </w:r>
      <w:r w:rsidR="00E77EE1">
        <w:t>over and above</w:t>
      </w:r>
      <w:r>
        <w:t xml:space="preserve"> the age and sex profile of the population</w:t>
      </w:r>
      <w:r w:rsidR="00E77EE1">
        <w:t xml:space="preserve">. </w:t>
      </w:r>
      <w:r w:rsidR="0015650C">
        <w:t xml:space="preserve">Different indicators of need are </w:t>
      </w:r>
      <w:r w:rsidR="003F258C">
        <w:t>used</w:t>
      </w:r>
      <w:r w:rsidR="0015650C">
        <w:t xml:space="preserve"> for different care programmes and</w:t>
      </w:r>
      <w:r w:rsidR="003F258C">
        <w:t xml:space="preserve"> among others</w:t>
      </w:r>
      <w:r w:rsidR="0015650C">
        <w:t xml:space="preserve"> </w:t>
      </w:r>
      <w:r w:rsidR="00E77EE1">
        <w:t xml:space="preserve">include premature </w:t>
      </w:r>
      <w:r w:rsidR="0015650C">
        <w:t>mortality, LLTI rates</w:t>
      </w:r>
      <w:r w:rsidR="003F258C">
        <w:t xml:space="preserve"> and</w:t>
      </w:r>
      <w:r w:rsidR="0015650C">
        <w:t xml:space="preserve"> hospital admissions due to alcohol</w:t>
      </w:r>
      <w:r w:rsidR="00904C5D">
        <w:t>.</w:t>
      </w:r>
    </w:p>
    <w:p w14:paraId="0697739A" w14:textId="444B844E" w:rsidR="004F210C" w:rsidRDefault="00A76FA4" w:rsidP="00D13CD4">
      <w:r>
        <w:t>Linear regression is used to establish a relationship between the indicators of need and the healthcare cost</w:t>
      </w:r>
      <w:r w:rsidR="00830652">
        <w:t xml:space="preserve"> and</w:t>
      </w:r>
      <w:r>
        <w:t xml:space="preserve"> predicts a cost ratio: the ratio of the actual cost to </w:t>
      </w:r>
      <w:r w:rsidR="00830652">
        <w:t xml:space="preserve">the cost that is expected based only on the age and sex structure of the population. A cost ratio greater than </w:t>
      </w:r>
      <w:r w:rsidR="00643CF1">
        <w:t>one</w:t>
      </w:r>
      <w:r w:rsidR="00830652">
        <w:t xml:space="preserve"> indicates greater use of healthcare services than the age and sex of the population alone would predict, and vice versa for a cost ratio less than </w:t>
      </w:r>
      <w:r w:rsidR="00643CF1">
        <w:t>one</w:t>
      </w:r>
      <w:r w:rsidR="00830652">
        <w:t>.</w:t>
      </w:r>
    </w:p>
    <w:p w14:paraId="6E5901C2" w14:textId="4687F204" w:rsidR="00FA67B6" w:rsidRDefault="00054807" w:rsidP="00D13CD4">
      <w:r>
        <w:lastRenderedPageBreak/>
        <w:t>Many of the indicators of need are based on SMR</w:t>
      </w:r>
      <w:r w:rsidR="00C97C79">
        <w:t xml:space="preserve"> activity data</w:t>
      </w:r>
      <w:r>
        <w:t xml:space="preserve"> </w:t>
      </w:r>
      <w:r w:rsidR="00D361BD">
        <w:t xml:space="preserve">that </w:t>
      </w:r>
      <w:r>
        <w:t xml:space="preserve">could </w:t>
      </w:r>
      <w:r w:rsidR="00643CF1">
        <w:t xml:space="preserve">soon </w:t>
      </w:r>
      <w:r>
        <w:t xml:space="preserve">be updated </w:t>
      </w:r>
      <w:r w:rsidR="006E7177">
        <w:t>using more recent</w:t>
      </w:r>
      <w:r w:rsidR="00961A39">
        <w:t xml:space="preserve"> </w:t>
      </w:r>
      <w:r w:rsidR="00785D84">
        <w:t>(2022/23)</w:t>
      </w:r>
      <w:r w:rsidR="006E7177">
        <w:t xml:space="preserve"> information</w:t>
      </w:r>
      <w:r w:rsidR="008373FD">
        <w:t>. However, the MLC adjustment is dependent on the relationship between the i</w:t>
      </w:r>
      <w:r w:rsidR="00067ADC">
        <w:t>ndicators of need and</w:t>
      </w:r>
      <w:r w:rsidR="009067CD">
        <w:t xml:space="preserve"> associated </w:t>
      </w:r>
      <w:r w:rsidR="00067ADC">
        <w:t>cost</w:t>
      </w:r>
      <w:r w:rsidR="009067CD">
        <w:t>s</w:t>
      </w:r>
      <w:r w:rsidR="00067ADC">
        <w:t xml:space="preserve"> and expenditure is </w:t>
      </w:r>
      <w:r w:rsidR="00961A39">
        <w:t xml:space="preserve">currently </w:t>
      </w:r>
      <w:r w:rsidR="00067ADC">
        <w:t>only available until 2019/20</w:t>
      </w:r>
      <w:r w:rsidR="00E50234">
        <w:t>. This mean</w:t>
      </w:r>
      <w:r w:rsidR="009069ED">
        <w:t>s</w:t>
      </w:r>
      <w:r w:rsidR="00E50234">
        <w:t xml:space="preserve"> MLC cannot be updated </w:t>
      </w:r>
      <w:r w:rsidR="0048232E">
        <w:t xml:space="preserve">with </w:t>
      </w:r>
      <w:r w:rsidR="00E50234">
        <w:t>2022/23</w:t>
      </w:r>
      <w:r w:rsidR="00961A39">
        <w:t xml:space="preserve"> </w:t>
      </w:r>
      <w:r w:rsidR="0048232E">
        <w:t xml:space="preserve">data until expenditure for that period become </w:t>
      </w:r>
      <w:r w:rsidR="00E50234">
        <w:t>available in February 2024.</w:t>
      </w:r>
    </w:p>
    <w:p w14:paraId="3C041883" w14:textId="768EFCC5" w:rsidR="00054807" w:rsidRDefault="009069ED" w:rsidP="00D13CD4">
      <w:r>
        <w:t xml:space="preserve">Using expenditure and hospital activity from this period may be important as it </w:t>
      </w:r>
      <w:r w:rsidR="00325634">
        <w:t xml:space="preserve">would </w:t>
      </w:r>
      <w:r w:rsidR="005873EA">
        <w:t xml:space="preserve">help </w:t>
      </w:r>
      <w:r w:rsidR="00325634">
        <w:t>reflect any</w:t>
      </w:r>
      <w:r>
        <w:t xml:space="preserve"> changes</w:t>
      </w:r>
      <w:r w:rsidR="00FA67B6">
        <w:t xml:space="preserve"> in</w:t>
      </w:r>
      <w:r w:rsidR="005873EA">
        <w:t xml:space="preserve"> levels of</w:t>
      </w:r>
      <w:r>
        <w:t xml:space="preserve"> healthcare </w:t>
      </w:r>
      <w:r w:rsidR="005873EA">
        <w:t>need</w:t>
      </w:r>
      <w:r w:rsidR="00E4403B">
        <w:t xml:space="preserve"> </w:t>
      </w:r>
      <w:r w:rsidR="005873EA">
        <w:t>in local populations</w:t>
      </w:r>
      <w:r w:rsidR="00FA67B6">
        <w:t xml:space="preserve"> that may have occurred</w:t>
      </w:r>
      <w:r w:rsidR="00E4403B">
        <w:t xml:space="preserve"> </w:t>
      </w:r>
      <w:r w:rsidR="007C3505">
        <w:t>following</w:t>
      </w:r>
      <w:r>
        <w:t xml:space="preserve"> the pandemic. </w:t>
      </w:r>
      <w:r w:rsidR="00FA67B6">
        <w:t xml:space="preserve">For example, one of the indicators of need for the mental health and learning difficulties care programme is hospital admissions due to alcohol. Alcohol consumption is reported to have increased among certain cohorts of people during the pandemic which, if continued, could </w:t>
      </w:r>
      <w:r w:rsidR="00A600D0">
        <w:t>disproportionately</w:t>
      </w:r>
      <w:r w:rsidR="00FA67B6">
        <w:t xml:space="preserve"> impact populations in particular parts of the country e.g. more deprived areas.</w:t>
      </w:r>
    </w:p>
    <w:p w14:paraId="180C106F" w14:textId="4872F72A" w:rsidR="00643CF1" w:rsidRDefault="00643CF1" w:rsidP="00D13CD4">
      <w:r>
        <w:t>It is worth noting that the MLC component uses three years of SMR and expenditure data rather than a si</w:t>
      </w:r>
      <w:r w:rsidR="00D50974">
        <w:t>ngle year like the Age</w:t>
      </w:r>
      <w:r w:rsidR="002E2AB6">
        <w:t>-</w:t>
      </w:r>
      <w:r w:rsidR="00D50974">
        <w:t xml:space="preserve">Sex adjustment. As expenditure is not available at the required level for the COVID-19 period, the next MLC update will use </w:t>
      </w:r>
      <w:r w:rsidR="007C3505">
        <w:t xml:space="preserve">a mixture of pre- and post-pandemic </w:t>
      </w:r>
      <w:r w:rsidR="00D50974">
        <w:t xml:space="preserve">data </w:t>
      </w:r>
      <w:r w:rsidR="007C3505">
        <w:t>(</w:t>
      </w:r>
      <w:r w:rsidR="00D50974">
        <w:t>2018/19, 2019/20 and 2022/23</w:t>
      </w:r>
      <w:r w:rsidR="007C3505">
        <w:t>)</w:t>
      </w:r>
      <w:r w:rsidR="00D50974">
        <w:t>.</w:t>
      </w:r>
      <w:r w:rsidR="007C3505">
        <w:t xml:space="preserve"> </w:t>
      </w:r>
    </w:p>
    <w:p w14:paraId="1B5C673C" w14:textId="26EF5DCC" w:rsidR="006B14E4" w:rsidRDefault="006B14E4" w:rsidP="006B14E4">
      <w:pPr>
        <w:pStyle w:val="Heading1numbered"/>
      </w:pPr>
      <w:r>
        <w:t>U</w:t>
      </w:r>
      <w:r w:rsidR="00D2759D">
        <w:t>navoidable e</w:t>
      </w:r>
      <w:r>
        <w:t>xcess costs adjustment</w:t>
      </w:r>
    </w:p>
    <w:p w14:paraId="42F139B8" w14:textId="77777777" w:rsidR="006B14E4" w:rsidRPr="00E72524" w:rsidRDefault="006B14E4" w:rsidP="006B14E4">
      <w:pPr>
        <w:pStyle w:val="Heading2numbered"/>
      </w:pPr>
      <w:r>
        <w:t>Data required/available</w:t>
      </w:r>
    </w:p>
    <w:p w14:paraId="3B402847" w14:textId="66770165" w:rsidR="006B14E4" w:rsidRDefault="006B14E4" w:rsidP="006B14E4">
      <w:r>
        <w:t xml:space="preserve">As with the </w:t>
      </w:r>
      <w:r w:rsidR="002E2AB6">
        <w:t>Age-S</w:t>
      </w:r>
      <w:r>
        <w:t>ex</w:t>
      </w:r>
      <w:r w:rsidR="000A0EC3">
        <w:t xml:space="preserve"> and MLC</w:t>
      </w:r>
      <w:r>
        <w:t xml:space="preserve"> component</w:t>
      </w:r>
      <w:r w:rsidR="000A0EC3">
        <w:t>s</w:t>
      </w:r>
      <w:r>
        <w:t xml:space="preserve">, </w:t>
      </w:r>
      <w:r w:rsidR="000A0EC3">
        <w:t>two of the</w:t>
      </w:r>
      <w:r>
        <w:t xml:space="preserve"> main data</w:t>
      </w:r>
      <w:r w:rsidR="000A0EC3">
        <w:t>sets</w:t>
      </w:r>
      <w:r>
        <w:t xml:space="preserve"> needed for the calculation of </w:t>
      </w:r>
      <w:r w:rsidR="000A0EC3">
        <w:t>the Unavoidable Excess Costs</w:t>
      </w:r>
      <w:r>
        <w:t xml:space="preserve"> adjustment are expenditure from SFRs and hospital activity from SMRs. Please see section </w:t>
      </w:r>
      <w:r w:rsidR="003B23A9">
        <w:t xml:space="preserve">6 </w:t>
      </w:r>
      <w:r>
        <w:t>above for more information regarding current data availability.</w:t>
      </w:r>
      <w:r w:rsidR="00381884">
        <w:t xml:space="preserve"> The Excess Cost component was last updated for the 2022/23 target shares using data from 2018/19 SFRs and SMRs.</w:t>
      </w:r>
    </w:p>
    <w:p w14:paraId="28D298A8" w14:textId="77777777" w:rsidR="006B14E4" w:rsidRDefault="006B14E4" w:rsidP="006B14E4">
      <w:pPr>
        <w:pStyle w:val="Heading2numbered"/>
      </w:pPr>
      <w:r>
        <w:lastRenderedPageBreak/>
        <w:t>Considerations for 2025/26 run</w:t>
      </w:r>
    </w:p>
    <w:p w14:paraId="4C82E364" w14:textId="2C4CC09C" w:rsidR="00051918" w:rsidRDefault="00051918" w:rsidP="006B14E4">
      <w:r>
        <w:t xml:space="preserve">The </w:t>
      </w:r>
      <w:r w:rsidR="00CF3653">
        <w:t xml:space="preserve">Excess Cost </w:t>
      </w:r>
      <w:r>
        <w:t>adjustment accounts for the cost of providing NHS services in different urban</w:t>
      </w:r>
      <w:r w:rsidR="00A94276">
        <w:t>-</w:t>
      </w:r>
      <w:r>
        <w:t>rural areas</w:t>
      </w:r>
      <w:r w:rsidR="00CB69F6">
        <w:t>, giving greater weight</w:t>
      </w:r>
      <w:r w:rsidR="006072E9">
        <w:t xml:space="preserve"> to areas</w:t>
      </w:r>
      <w:r w:rsidR="00CB69F6">
        <w:t xml:space="preserve"> where there is evidence of unavoidable excess costs </w:t>
      </w:r>
      <w:r w:rsidR="006072E9">
        <w:t>in</w:t>
      </w:r>
      <w:r w:rsidR="00CB69F6">
        <w:t xml:space="preserve"> delivering </w:t>
      </w:r>
      <w:r w:rsidR="006072E9">
        <w:t>services</w:t>
      </w:r>
      <w:r w:rsidR="00CB69F6">
        <w:t>.</w:t>
      </w:r>
      <w:r w:rsidR="00664ECA">
        <w:t xml:space="preserve"> This adjustment is </w:t>
      </w:r>
      <w:r w:rsidR="006072E9">
        <w:t>calculated</w:t>
      </w:r>
      <w:r w:rsidR="00664ECA">
        <w:t xml:space="preserve"> differently for hospital care programmes and the community care programme</w:t>
      </w:r>
      <w:r w:rsidR="004415A8">
        <w:t xml:space="preserve"> but the information below focuses on hospital care only as that programmes uses data from the SFRs and SMRs</w:t>
      </w:r>
      <w:r w:rsidR="00664ECA">
        <w:t>.</w:t>
      </w:r>
    </w:p>
    <w:p w14:paraId="6F26C501" w14:textId="3C3FC33A" w:rsidR="0064553E" w:rsidRDefault="00FC0155" w:rsidP="0064553E">
      <w:r>
        <w:t>I</w:t>
      </w:r>
      <w:r w:rsidR="00D31A03">
        <w:t>n a similar way to the MLC adjustment, a</w:t>
      </w:r>
      <w:r w:rsidR="006072E9">
        <w:t xml:space="preserve"> cost ratio is calculated for the hospital care programme</w:t>
      </w:r>
      <w:r w:rsidR="00D31A03">
        <w:t>: the ratio of the actual cost to the expected cost, based on national average unit costs</w:t>
      </w:r>
      <w:r w:rsidR="00A94276">
        <w:t xml:space="preserve">. Cost ratios are calculated at data zone level and averaged across urban-rural categories so that only the additional cost associated with remoteness and rurality </w:t>
      </w:r>
      <w:bookmarkEnd w:id="3"/>
      <w:r w:rsidR="00381884">
        <w:t>is considered.</w:t>
      </w:r>
    </w:p>
    <w:p w14:paraId="111E9AE8" w14:textId="27857B75" w:rsidR="00AF0DC0" w:rsidRDefault="009026D6" w:rsidP="00AF0DC0">
      <w:r>
        <w:t>L</w:t>
      </w:r>
      <w:r w:rsidR="00381884">
        <w:t>ike the MLC adjustment, this calculation depends on the availability of expenditure from SFRs and hospital activity from SMRs</w:t>
      </w:r>
      <w:r w:rsidR="00AF0DC0">
        <w:t xml:space="preserve"> and so cannot be updated with 2022/23 data until expenditure for that period become available in February 2024.</w:t>
      </w:r>
      <w:r w:rsidR="00325634">
        <w:t xml:space="preserve"> It </w:t>
      </w:r>
      <w:r w:rsidR="00F50F6E">
        <w:t>may</w:t>
      </w:r>
      <w:r w:rsidR="00325634">
        <w:t xml:space="preserve"> be beneficial to include data from this period as it would help reflect any </w:t>
      </w:r>
      <w:r w:rsidR="00FC0155">
        <w:t>potential changes</w:t>
      </w:r>
      <w:r w:rsidR="00E22446">
        <w:t xml:space="preserve"> that may have occurred since 2019/20</w:t>
      </w:r>
      <w:r w:rsidR="00180301">
        <w:t xml:space="preserve"> </w:t>
      </w:r>
      <w:r w:rsidR="00FC0155">
        <w:t>in</w:t>
      </w:r>
      <w:r w:rsidR="00556849">
        <w:t xml:space="preserve"> the cost of delivering</w:t>
      </w:r>
      <w:r w:rsidR="00E22446">
        <w:t xml:space="preserve"> health</w:t>
      </w:r>
      <w:r w:rsidR="00556849">
        <w:t xml:space="preserve"> services </w:t>
      </w:r>
      <w:r w:rsidR="00E22446">
        <w:t>in each</w:t>
      </w:r>
      <w:r w:rsidR="00556849">
        <w:t xml:space="preserve"> urban-rural category.</w:t>
      </w:r>
    </w:p>
    <w:p w14:paraId="097A9AA5" w14:textId="4D463DA1" w:rsidR="00AF0DC0" w:rsidRDefault="009A0DD6" w:rsidP="00AF0DC0">
      <w:r>
        <w:t>Again, like MLC, t</w:t>
      </w:r>
      <w:r w:rsidR="00AF0DC0">
        <w:t>he Excess Costs component uses three years of SMR and expenditure dat</w:t>
      </w:r>
      <w:r>
        <w:t>a</w:t>
      </w:r>
      <w:r w:rsidR="00AF0DC0">
        <w:t xml:space="preserve">. </w:t>
      </w:r>
      <w:r w:rsidR="00FC0155">
        <w:t>As expenditure is not available at the required level for the COVID-19 period, the next Excess Costs update will use a mixture of pre- and post-pandemic data (2018/19, 2019/20 and 2022/23).</w:t>
      </w:r>
    </w:p>
    <w:p w14:paraId="6FA97357" w14:textId="57277F24" w:rsidR="00381884" w:rsidRDefault="00381884" w:rsidP="0064553E"/>
    <w:sectPr w:rsidR="00381884" w:rsidSect="002066C0">
      <w:endnotePr>
        <w:numFmt w:val="decimal"/>
      </w:endnotePr>
      <w:pgSz w:w="11906" w:h="16838"/>
      <w:pgMar w:top="284" w:right="1304" w:bottom="1418" w:left="1304"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4A5CC" w14:textId="77777777" w:rsidR="0076648A" w:rsidRDefault="0076648A" w:rsidP="00151D33">
      <w:r>
        <w:separator/>
      </w:r>
    </w:p>
  </w:endnote>
  <w:endnote w:type="continuationSeparator" w:id="0">
    <w:p w14:paraId="36B51292" w14:textId="77777777" w:rsidR="0076648A" w:rsidRDefault="0076648A" w:rsidP="00151D33">
      <w:r>
        <w:continuationSeparator/>
      </w:r>
    </w:p>
    <w:p w14:paraId="5B9643C1" w14:textId="77777777" w:rsidR="0076648A" w:rsidRDefault="0076648A" w:rsidP="00151D33"/>
    <w:p w14:paraId="2EB21F5A" w14:textId="77777777" w:rsidR="0076648A" w:rsidRDefault="0076648A"/>
  </w:endnote>
  <w:endnote w:type="continuationNotice" w:id="1">
    <w:p w14:paraId="25E6A8F5" w14:textId="77777777" w:rsidR="0076648A" w:rsidRDefault="007664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560219"/>
      <w:docPartObj>
        <w:docPartGallery w:val="Page Numbers (Bottom of Page)"/>
        <w:docPartUnique/>
      </w:docPartObj>
    </w:sdtPr>
    <w:sdtEndPr/>
    <w:sdtContent>
      <w:sdt>
        <w:sdtPr>
          <w:id w:val="-493872660"/>
          <w:docPartObj>
            <w:docPartGallery w:val="Page Numbers (Top of Page)"/>
            <w:docPartUnique/>
          </w:docPartObj>
        </w:sdtPr>
        <w:sdtEndPr/>
        <w:sdtContent>
          <w:p w14:paraId="6DCAF428" w14:textId="77777777" w:rsidR="002066C0" w:rsidRPr="00C11602" w:rsidRDefault="00C11602" w:rsidP="00C11602">
            <w:pPr>
              <w:pStyle w:val="Pagenumbers"/>
            </w:pPr>
            <w:r>
              <w:tab/>
            </w:r>
            <w:r>
              <w:rPr>
                <w:szCs w:val="24"/>
              </w:rPr>
              <w:fldChar w:fldCharType="begin"/>
            </w:r>
            <w:r>
              <w:instrText xml:space="preserve"> PAGE </w:instrText>
            </w:r>
            <w:r>
              <w:rPr>
                <w:szCs w:val="24"/>
              </w:rPr>
              <w:fldChar w:fldCharType="separate"/>
            </w:r>
            <w:r>
              <w:t>1</w:t>
            </w:r>
            <w:r>
              <w:rPr>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CFE1" w14:textId="77777777" w:rsidR="002956E7" w:rsidRPr="00D541EC" w:rsidRDefault="00053E63" w:rsidP="00D541EC">
    <w:pPr>
      <w:pStyle w:val="Pagenumbers"/>
    </w:pPr>
    <w:r w:rsidRPr="00294C86">
      <mc:AlternateContent>
        <mc:Choice Requires="wps">
          <w:drawing>
            <wp:anchor distT="0" distB="0" distL="114300" distR="114300" simplePos="0" relativeHeight="251659264" behindDoc="0" locked="0" layoutInCell="1" allowOverlap="1" wp14:anchorId="2DC67032" wp14:editId="30CB0AC7">
              <wp:simplePos x="0" y="0"/>
              <wp:positionH relativeFrom="page">
                <wp:align>right</wp:align>
              </wp:positionH>
              <wp:positionV relativeFrom="page">
                <wp:align>bottom</wp:align>
              </wp:positionV>
              <wp:extent cx="449119" cy="1259840"/>
              <wp:effectExtent l="0" t="0" r="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49119" cy="12598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AF38C1" w14:textId="77777777" w:rsidR="00053E63" w:rsidRPr="00E234F4" w:rsidRDefault="00151040" w:rsidP="00053E63">
                          <w:pPr>
                            <w:jc w:val="right"/>
                            <w:rPr>
                              <w:vanish/>
                              <w:color w:val="000000" w:themeColor="text1"/>
                              <w:sz w:val="16"/>
                              <w:szCs w:val="16"/>
                            </w:rPr>
                          </w:pPr>
                          <w:r>
                            <w:rPr>
                              <w:vanish/>
                              <w:color w:val="000000" w:themeColor="text1"/>
                              <w:sz w:val="16"/>
                              <w:szCs w:val="16"/>
                            </w:rPr>
                            <w:t>Simple</w:t>
                          </w:r>
                          <w:r w:rsidR="00053E63">
                            <w:rPr>
                              <w:vanish/>
                              <w:color w:val="000000" w:themeColor="text1"/>
                              <w:sz w:val="16"/>
                              <w:szCs w:val="16"/>
                            </w:rPr>
                            <w:t xml:space="preserve"> v</w:t>
                          </w:r>
                          <w:r>
                            <w:rPr>
                              <w:vanish/>
                              <w:color w:val="000000" w:themeColor="text1"/>
                              <w:sz w:val="16"/>
                              <w:szCs w:val="16"/>
                            </w:rPr>
                            <w:t>1</w:t>
                          </w:r>
                        </w:p>
                      </w:txbxContent>
                    </wps:txbx>
                    <wps:bodyPr rot="0" spcFirstLastPara="0" vertOverflow="overflow" horzOverflow="overflow" vert="vert" wrap="square" lIns="91440" tIns="45720" rIns="9144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67032" id="Rectangle 13" o:spid="_x0000_s1026" alt="&quot;&quot;" style="position:absolute;margin-left:-15.85pt;margin-top:0;width:35.35pt;height:99.2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" filled="f" stroked="f" strokeweight="1.25pt">
              <v:textbox style="layout-flow:vertical" inset=",,,4mm">
                <w:txbxContent>
                  <w:p w14:paraId="70AF38C1" w14:textId="77777777" w:rsidR="00053E63" w:rsidRPr="00E234F4" w:rsidRDefault="00151040" w:rsidP="00053E63">
                    <w:pPr>
                      <w:jc w:val="right"/>
                      <w:rPr>
                        <w:vanish/>
                        <w:color w:val="000000" w:themeColor="text1"/>
                        <w:sz w:val="16"/>
                        <w:szCs w:val="16"/>
                      </w:rPr>
                    </w:pPr>
                    <w:r>
                      <w:rPr>
                        <w:vanish/>
                        <w:color w:val="000000" w:themeColor="text1"/>
                        <w:sz w:val="16"/>
                        <w:szCs w:val="16"/>
                      </w:rPr>
                      <w:t>Simple</w:t>
                    </w:r>
                    <w:r w:rsidR="00053E63">
                      <w:rPr>
                        <w:vanish/>
                        <w:color w:val="000000" w:themeColor="text1"/>
                        <w:sz w:val="16"/>
                        <w:szCs w:val="16"/>
                      </w:rPr>
                      <w:t xml:space="preserve"> v</w:t>
                    </w:r>
                    <w:r>
                      <w:rPr>
                        <w:vanish/>
                        <w:color w:val="000000" w:themeColor="text1"/>
                        <w:sz w:val="16"/>
                        <w:szCs w:val="16"/>
                      </w:rPr>
                      <w:t>1</w:t>
                    </w:r>
                  </w:p>
                </w:txbxContent>
              </v:textbox>
              <w10:wrap anchorx="page" anchory="page"/>
            </v:rect>
          </w:pict>
        </mc:Fallback>
      </mc:AlternateContent>
    </w:r>
    <w:sdt>
      <w:sdtPr>
        <w:id w:val="1846744731"/>
        <w:docPartObj>
          <w:docPartGallery w:val="Page Numbers (Bottom of Page)"/>
          <w:docPartUnique/>
        </w:docPartObj>
      </w:sdtPr>
      <w:sdtEndPr/>
      <w:sdtContent>
        <w:sdt>
          <w:sdtPr>
            <w:id w:val="-2033028812"/>
            <w:docPartObj>
              <w:docPartGallery w:val="Page Numbers (Top of Page)"/>
              <w:docPartUnique/>
            </w:docPartObj>
          </w:sdtPr>
          <w:sdtEndPr/>
          <w:sdtContent>
            <w:r w:rsidR="002956E7">
              <w:tab/>
            </w:r>
            <w:r w:rsidR="002956E7">
              <w:rPr>
                <w:szCs w:val="24"/>
              </w:rPr>
              <w:fldChar w:fldCharType="begin"/>
            </w:r>
            <w:r w:rsidR="002956E7">
              <w:instrText xml:space="preserve"> PAGE </w:instrText>
            </w:r>
            <w:r w:rsidR="002956E7">
              <w:rPr>
                <w:szCs w:val="24"/>
              </w:rPr>
              <w:fldChar w:fldCharType="separate"/>
            </w:r>
            <w:r w:rsidR="002956E7">
              <w:rPr>
                <w:szCs w:val="24"/>
              </w:rPr>
              <w:t>1</w:t>
            </w:r>
            <w:r w:rsidR="002956E7">
              <w:rPr>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0BD8D" w14:textId="77777777" w:rsidR="0076648A" w:rsidRDefault="0076648A">
      <w:r>
        <w:separator/>
      </w:r>
    </w:p>
  </w:footnote>
  <w:footnote w:type="continuationSeparator" w:id="0">
    <w:p w14:paraId="4148F910" w14:textId="77777777" w:rsidR="0076648A" w:rsidRDefault="0076648A" w:rsidP="00151D33">
      <w:r>
        <w:continuationSeparator/>
      </w:r>
    </w:p>
    <w:p w14:paraId="2787BEEB" w14:textId="77777777" w:rsidR="0076648A" w:rsidRDefault="0076648A" w:rsidP="00151D33"/>
    <w:p w14:paraId="1DB40AA0" w14:textId="77777777" w:rsidR="0076648A" w:rsidRDefault="0076648A"/>
  </w:footnote>
  <w:footnote w:type="continuationNotice" w:id="1">
    <w:p w14:paraId="1E7226A5" w14:textId="77777777" w:rsidR="0076648A" w:rsidRDefault="007664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3B80" w14:textId="77777777" w:rsidR="002066C0" w:rsidRDefault="002066C0">
    <w:pPr>
      <w:pStyle w:val="Header"/>
    </w:pPr>
  </w:p>
  <w:p w14:paraId="56324FED" w14:textId="77777777" w:rsidR="002066C0" w:rsidRDefault="002066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682FB" w14:textId="77777777" w:rsidR="002066C0" w:rsidRPr="0040598E" w:rsidRDefault="002066C0" w:rsidP="002066C0">
    <w:pPr>
      <w:pStyle w:val="Header"/>
    </w:pPr>
    <w:r>
      <w:drawing>
        <wp:anchor distT="0" distB="0" distL="114300" distR="114300" simplePos="0" relativeHeight="251657216" behindDoc="1" locked="0" layoutInCell="1" allowOverlap="1" wp14:anchorId="2A5F0883" wp14:editId="1AD664B5">
          <wp:simplePos x="0" y="0"/>
          <wp:positionH relativeFrom="page">
            <wp:posOffset>0</wp:posOffset>
          </wp:positionH>
          <wp:positionV relativeFrom="paragraph">
            <wp:posOffset>-334770</wp:posOffset>
          </wp:positionV>
          <wp:extent cx="7559686" cy="1469261"/>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86" cy="1469261"/>
                  </a:xfrm>
                  <a:prstGeom prst="rect">
                    <a:avLst/>
                  </a:prstGeom>
                </pic:spPr>
              </pic:pic>
            </a:graphicData>
          </a:graphic>
          <wp14:sizeRelH relativeFrom="margin">
            <wp14:pctWidth>0</wp14:pctWidth>
          </wp14:sizeRelH>
          <wp14:sizeRelV relativeFrom="margin">
            <wp14:pctHeight>0</wp14:pctHeight>
          </wp14:sizeRelV>
        </wp:anchor>
      </w:drawing>
    </w:r>
    <w:r>
      <w:tab/>
    </w:r>
    <w:r w:rsidRPr="007246EA">
      <w:drawing>
        <wp:inline distT="0" distB="0" distL="0" distR="0" wp14:anchorId="2DE22270" wp14:editId="574FDC62">
          <wp:extent cx="2160000" cy="779465"/>
          <wp:effectExtent l="0" t="0" r="0" b="1905"/>
          <wp:docPr id="9" name="Picture 9" descr="Public Health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ublic Health Scotland logo"/>
                  <pic:cNvPicPr/>
                </pic:nvPicPr>
                <pic:blipFill>
                  <a:blip r:embed="rId2">
                    <a:extLst>
                      <a:ext uri="{28A0092B-C50C-407E-A947-70E740481C1C}">
                        <a14:useLocalDpi xmlns:a14="http://schemas.microsoft.com/office/drawing/2010/main" val="0"/>
                      </a:ext>
                    </a:extLst>
                  </a:blip>
                  <a:stretch>
                    <a:fillRect/>
                  </a:stretch>
                </pic:blipFill>
                <pic:spPr>
                  <a:xfrm>
                    <a:off x="0" y="0"/>
                    <a:ext cx="2160000" cy="779465"/>
                  </a:xfrm>
                  <a:prstGeom prst="rect">
                    <a:avLst/>
                  </a:prstGeom>
                </pic:spPr>
              </pic:pic>
            </a:graphicData>
          </a:graphic>
        </wp:inline>
      </w:drawing>
    </w:r>
  </w:p>
  <w:p w14:paraId="245BAAA8" w14:textId="77777777" w:rsidR="002066C0" w:rsidRDefault="002066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152DF" w14:textId="2BD4F172" w:rsidR="009D3388" w:rsidRPr="0040598E" w:rsidRDefault="009D3388" w:rsidP="002066C0">
    <w:pPr>
      <w:pStyle w:val="Header"/>
    </w:pPr>
    <w:r>
      <w:tab/>
    </w:r>
  </w:p>
  <w:p w14:paraId="38552435" w14:textId="77777777" w:rsidR="009D3388" w:rsidRDefault="009D33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D2621"/>
    <w:multiLevelType w:val="hybridMultilevel"/>
    <w:tmpl w:val="5706E262"/>
    <w:lvl w:ilvl="0" w:tplc="D56636FE">
      <w:start w:val="1"/>
      <w:numFmt w:val="bullet"/>
      <w:pStyle w:val="Bullet3"/>
      <w:lvlText w:val=""/>
      <w:lvlJc w:val="left"/>
      <w:pPr>
        <w:ind w:left="2194" w:hanging="360"/>
      </w:pPr>
      <w:rPr>
        <w:rFonts w:ascii="Wingdings" w:hAnsi="Wingdings" w:hint="default"/>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abstractNum w:abstractNumId="1" w15:restartNumberingAfterBreak="0">
    <w:nsid w:val="169465B8"/>
    <w:multiLevelType w:val="hybridMultilevel"/>
    <w:tmpl w:val="1884E41C"/>
    <w:lvl w:ilvl="0" w:tplc="145670EE">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41493E"/>
    <w:multiLevelType w:val="hybridMultilevel"/>
    <w:tmpl w:val="023C2486"/>
    <w:lvl w:ilvl="0" w:tplc="2CCABE02">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A636E7"/>
    <w:multiLevelType w:val="hybridMultilevel"/>
    <w:tmpl w:val="57D26738"/>
    <w:lvl w:ilvl="0" w:tplc="328CA71A">
      <w:start w:val="1"/>
      <w:numFmt w:val="decimal"/>
      <w:pStyle w:val="Tablebulletnumbered1123"/>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586727"/>
    <w:multiLevelType w:val="hybridMultilevel"/>
    <w:tmpl w:val="B4883DBA"/>
    <w:lvl w:ilvl="0" w:tplc="81809D90">
      <w:start w:val="1"/>
      <w:numFmt w:val="bullet"/>
      <w:pStyle w:val="Tablebullet1"/>
      <w:lvlText w:val=""/>
      <w:lvlJc w:val="left"/>
      <w:pPr>
        <w:ind w:left="720" w:hanging="360"/>
      </w:pPr>
      <w:rPr>
        <w:rFonts w:ascii="Symbol" w:hAnsi="Symbol" w:hint="default"/>
      </w:rPr>
    </w:lvl>
    <w:lvl w:ilvl="1" w:tplc="76ECB9A6">
      <w:start w:val="1"/>
      <w:numFmt w:val="bullet"/>
      <w:pStyle w:val="Tablebulle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6E0223"/>
    <w:multiLevelType w:val="multilevel"/>
    <w:tmpl w:val="F0FED7E2"/>
    <w:lvl w:ilvl="0">
      <w:start w:val="1"/>
      <w:numFmt w:val="decimal"/>
      <w:pStyle w:val="Bulletnumbered1123"/>
      <w:lvlText w:val="%1."/>
      <w:lvlJc w:val="left"/>
      <w:pPr>
        <w:ind w:left="720" w:hanging="360"/>
      </w:pPr>
      <w:rPr>
        <w:rFonts w:hint="default"/>
      </w:rPr>
    </w:lvl>
    <w:lvl w:ilvl="1">
      <w:start w:val="1"/>
      <w:numFmt w:val="lowerLetter"/>
      <w:pStyle w:val="Bulletnumbered2abc"/>
      <w:lvlText w:val="%2."/>
      <w:lvlJc w:val="left"/>
      <w:pPr>
        <w:ind w:left="1440" w:hanging="360"/>
      </w:pPr>
      <w:rPr>
        <w:rFonts w:hint="default"/>
      </w:rPr>
    </w:lvl>
    <w:lvl w:ilvl="2">
      <w:start w:val="1"/>
      <w:numFmt w:val="lowerRoman"/>
      <w:pStyle w:val="Bulletnumbered3iii"/>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EFA7177"/>
    <w:multiLevelType w:val="multilevel"/>
    <w:tmpl w:val="D23CD3DC"/>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7" w15:restartNumberingAfterBreak="0">
    <w:nsid w:val="35A7009D"/>
    <w:multiLevelType w:val="multilevel"/>
    <w:tmpl w:val="7456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B606F"/>
    <w:multiLevelType w:val="hybridMultilevel"/>
    <w:tmpl w:val="89D8B262"/>
    <w:lvl w:ilvl="0" w:tplc="F98E485E">
      <w:start w:val="1"/>
      <w:numFmt w:val="lowerLetter"/>
      <w:pStyle w:val="Tablebulletnumbered2abc"/>
      <w:lvlText w:val="%1."/>
      <w:lvlJc w:val="left"/>
      <w:pPr>
        <w:ind w:left="947" w:hanging="360"/>
      </w:p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9" w15:restartNumberingAfterBreak="0">
    <w:nsid w:val="6C2A55E7"/>
    <w:multiLevelType w:val="hybridMultilevel"/>
    <w:tmpl w:val="806AFC4A"/>
    <w:lvl w:ilvl="0" w:tplc="6D806ABC">
      <w:start w:val="1"/>
      <w:numFmt w:val="bullet"/>
      <w:pStyle w:val="Bullet2"/>
      <w:lvlText w:val="o"/>
      <w:lvlJc w:val="left"/>
      <w:pPr>
        <w:ind w:left="1854" w:hanging="360"/>
      </w:pPr>
      <w:rPr>
        <w:rFonts w:ascii="Courier New" w:hAnsi="Courier New" w:cs="Courier New" w:hint="default"/>
      </w:rPr>
    </w:lvl>
    <w:lvl w:ilvl="1" w:tplc="D2A80396">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739348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2644019">
    <w:abstractNumId w:val="8"/>
    <w:lvlOverride w:ilvl="0">
      <w:startOverride w:val="1"/>
    </w:lvlOverride>
  </w:num>
  <w:num w:numId="3" w16cid:durableId="9208725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0611214">
    <w:abstractNumId w:val="2"/>
  </w:num>
  <w:num w:numId="5" w16cid:durableId="1272586731">
    <w:abstractNumId w:val="9"/>
  </w:num>
  <w:num w:numId="6" w16cid:durableId="1146161411">
    <w:abstractNumId w:val="1"/>
  </w:num>
  <w:num w:numId="7" w16cid:durableId="592134035">
    <w:abstractNumId w:val="6"/>
  </w:num>
  <w:num w:numId="8" w16cid:durableId="1400206895">
    <w:abstractNumId w:val="0"/>
  </w:num>
  <w:num w:numId="9" w16cid:durableId="281421983">
    <w:abstractNumId w:val="4"/>
  </w:num>
  <w:num w:numId="10" w16cid:durableId="764767261">
    <w:abstractNumId w:val="3"/>
  </w:num>
  <w:num w:numId="11" w16cid:durableId="962074295">
    <w:abstractNumId w:val="8"/>
  </w:num>
  <w:num w:numId="12" w16cid:durableId="1790582997">
    <w:abstractNumId w:val="5"/>
  </w:num>
  <w:num w:numId="13" w16cid:durableId="207450727">
    <w:abstractNumId w:val="2"/>
  </w:num>
  <w:num w:numId="14" w16cid:durableId="128744904">
    <w:abstractNumId w:val="9"/>
  </w:num>
  <w:num w:numId="15" w16cid:durableId="291719090">
    <w:abstractNumId w:val="1"/>
  </w:num>
  <w:num w:numId="16" w16cid:durableId="614481611">
    <w:abstractNumId w:val="6"/>
  </w:num>
  <w:num w:numId="17" w16cid:durableId="1237785154">
    <w:abstractNumId w:val="6"/>
  </w:num>
  <w:num w:numId="18" w16cid:durableId="264969615">
    <w:abstractNumId w:val="6"/>
  </w:num>
  <w:num w:numId="19" w16cid:durableId="1522354215">
    <w:abstractNumId w:val="6"/>
  </w:num>
  <w:num w:numId="20" w16cid:durableId="997004451">
    <w:abstractNumId w:val="0"/>
  </w:num>
  <w:num w:numId="21" w16cid:durableId="809782324">
    <w:abstractNumId w:val="5"/>
  </w:num>
  <w:num w:numId="22" w16cid:durableId="1294290924">
    <w:abstractNumId w:val="5"/>
  </w:num>
  <w:num w:numId="23" w16cid:durableId="14617350">
    <w:abstractNumId w:val="4"/>
  </w:num>
  <w:num w:numId="24" w16cid:durableId="1255165216">
    <w:abstractNumId w:val="4"/>
  </w:num>
  <w:num w:numId="25" w16cid:durableId="1661273608">
    <w:abstractNumId w:val="3"/>
  </w:num>
  <w:num w:numId="26" w16cid:durableId="1181745547">
    <w:abstractNumId w:val="8"/>
  </w:num>
  <w:num w:numId="27" w16cid:durableId="1188757990">
    <w:abstractNumId w:val="5"/>
  </w:num>
  <w:num w:numId="28" w16cid:durableId="573205398">
    <w:abstractNumId w:val="2"/>
  </w:num>
  <w:num w:numId="29" w16cid:durableId="763720156">
    <w:abstractNumId w:val="9"/>
  </w:num>
  <w:num w:numId="30" w16cid:durableId="606933914">
    <w:abstractNumId w:val="1"/>
  </w:num>
  <w:num w:numId="31" w16cid:durableId="1114859550">
    <w:abstractNumId w:val="6"/>
  </w:num>
  <w:num w:numId="32" w16cid:durableId="1629117992">
    <w:abstractNumId w:val="6"/>
  </w:num>
  <w:num w:numId="33" w16cid:durableId="1089080234">
    <w:abstractNumId w:val="6"/>
  </w:num>
  <w:num w:numId="34" w16cid:durableId="1226260714">
    <w:abstractNumId w:val="6"/>
  </w:num>
  <w:num w:numId="35" w16cid:durableId="497431019">
    <w:abstractNumId w:val="0"/>
  </w:num>
  <w:num w:numId="36" w16cid:durableId="661156860">
    <w:abstractNumId w:val="5"/>
  </w:num>
  <w:num w:numId="37" w16cid:durableId="205992028">
    <w:abstractNumId w:val="5"/>
  </w:num>
  <w:num w:numId="38" w16cid:durableId="1711615041">
    <w:abstractNumId w:val="4"/>
  </w:num>
  <w:num w:numId="39" w16cid:durableId="151992901">
    <w:abstractNumId w:val="4"/>
  </w:num>
  <w:num w:numId="40" w16cid:durableId="1691639244">
    <w:abstractNumId w:val="3"/>
  </w:num>
  <w:num w:numId="41" w16cid:durableId="1793941943">
    <w:abstractNumId w:val="8"/>
  </w:num>
  <w:num w:numId="42" w16cid:durableId="1374430007">
    <w:abstractNumId w:val="5"/>
  </w:num>
  <w:num w:numId="43" w16cid:durableId="1539615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458866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5939590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attachedTemplate r:id="rId1"/>
  <w:stylePaneSortMethod w:val="0000"/>
  <w:documentProtection w:formatting="1" w:enforcement="1"/>
  <w:styleLockTheme/>
  <w:styleLockQFSet/>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0C1"/>
    <w:rsid w:val="000013E0"/>
    <w:rsid w:val="00004EA7"/>
    <w:rsid w:val="000050A7"/>
    <w:rsid w:val="00006C8B"/>
    <w:rsid w:val="000072C2"/>
    <w:rsid w:val="00011476"/>
    <w:rsid w:val="000115DD"/>
    <w:rsid w:val="00012968"/>
    <w:rsid w:val="00013D80"/>
    <w:rsid w:val="00021AE4"/>
    <w:rsid w:val="000230C1"/>
    <w:rsid w:val="00023BE2"/>
    <w:rsid w:val="00024F67"/>
    <w:rsid w:val="00025D78"/>
    <w:rsid w:val="00041E16"/>
    <w:rsid w:val="000431C9"/>
    <w:rsid w:val="00043625"/>
    <w:rsid w:val="000436B0"/>
    <w:rsid w:val="000447DC"/>
    <w:rsid w:val="00045D32"/>
    <w:rsid w:val="00050116"/>
    <w:rsid w:val="00051918"/>
    <w:rsid w:val="00053E63"/>
    <w:rsid w:val="00054807"/>
    <w:rsid w:val="00054AC2"/>
    <w:rsid w:val="000555C7"/>
    <w:rsid w:val="00057D7C"/>
    <w:rsid w:val="00060862"/>
    <w:rsid w:val="0006090C"/>
    <w:rsid w:val="00063DCE"/>
    <w:rsid w:val="00065CAC"/>
    <w:rsid w:val="00066A78"/>
    <w:rsid w:val="00067ADC"/>
    <w:rsid w:val="00073C15"/>
    <w:rsid w:val="000767E0"/>
    <w:rsid w:val="000828FC"/>
    <w:rsid w:val="00082A45"/>
    <w:rsid w:val="00083E5D"/>
    <w:rsid w:val="000855DD"/>
    <w:rsid w:val="00086CDB"/>
    <w:rsid w:val="0008721E"/>
    <w:rsid w:val="000874CA"/>
    <w:rsid w:val="00087655"/>
    <w:rsid w:val="0009363A"/>
    <w:rsid w:val="00093ABF"/>
    <w:rsid w:val="00094401"/>
    <w:rsid w:val="000973E2"/>
    <w:rsid w:val="000975A9"/>
    <w:rsid w:val="000A0EC3"/>
    <w:rsid w:val="000A1DFC"/>
    <w:rsid w:val="000B0D20"/>
    <w:rsid w:val="000B107E"/>
    <w:rsid w:val="000B226C"/>
    <w:rsid w:val="000B30EE"/>
    <w:rsid w:val="000B50A9"/>
    <w:rsid w:val="000B59E0"/>
    <w:rsid w:val="000C0376"/>
    <w:rsid w:val="000C30D0"/>
    <w:rsid w:val="000C46BC"/>
    <w:rsid w:val="000C5B36"/>
    <w:rsid w:val="000D1F42"/>
    <w:rsid w:val="000D233D"/>
    <w:rsid w:val="000D322E"/>
    <w:rsid w:val="000D7E49"/>
    <w:rsid w:val="000E2511"/>
    <w:rsid w:val="000E5C40"/>
    <w:rsid w:val="000E7E11"/>
    <w:rsid w:val="000F1161"/>
    <w:rsid w:val="000F164B"/>
    <w:rsid w:val="000F7599"/>
    <w:rsid w:val="001005DA"/>
    <w:rsid w:val="00100E33"/>
    <w:rsid w:val="00104775"/>
    <w:rsid w:val="00106D18"/>
    <w:rsid w:val="0010755E"/>
    <w:rsid w:val="00114283"/>
    <w:rsid w:val="00123B8D"/>
    <w:rsid w:val="001243DF"/>
    <w:rsid w:val="00125061"/>
    <w:rsid w:val="001271AD"/>
    <w:rsid w:val="00127891"/>
    <w:rsid w:val="00127C74"/>
    <w:rsid w:val="00131057"/>
    <w:rsid w:val="00132DCC"/>
    <w:rsid w:val="00134246"/>
    <w:rsid w:val="00145487"/>
    <w:rsid w:val="001458FA"/>
    <w:rsid w:val="001461B6"/>
    <w:rsid w:val="00147F2E"/>
    <w:rsid w:val="00151040"/>
    <w:rsid w:val="00151A9B"/>
    <w:rsid w:val="00151D33"/>
    <w:rsid w:val="00155101"/>
    <w:rsid w:val="0015650C"/>
    <w:rsid w:val="00157FB3"/>
    <w:rsid w:val="001619A1"/>
    <w:rsid w:val="00161C76"/>
    <w:rsid w:val="00166C1C"/>
    <w:rsid w:val="00170F12"/>
    <w:rsid w:val="001743F7"/>
    <w:rsid w:val="00174930"/>
    <w:rsid w:val="00175DCE"/>
    <w:rsid w:val="00176E7E"/>
    <w:rsid w:val="00180301"/>
    <w:rsid w:val="00181D4B"/>
    <w:rsid w:val="00186528"/>
    <w:rsid w:val="00191339"/>
    <w:rsid w:val="00195847"/>
    <w:rsid w:val="00195AA5"/>
    <w:rsid w:val="001A1099"/>
    <w:rsid w:val="001A136F"/>
    <w:rsid w:val="001A3808"/>
    <w:rsid w:val="001A64D3"/>
    <w:rsid w:val="001A7A92"/>
    <w:rsid w:val="001B2728"/>
    <w:rsid w:val="001B2888"/>
    <w:rsid w:val="001B3301"/>
    <w:rsid w:val="001B5051"/>
    <w:rsid w:val="001B5FD5"/>
    <w:rsid w:val="001B6A9F"/>
    <w:rsid w:val="001B7246"/>
    <w:rsid w:val="001B7659"/>
    <w:rsid w:val="001B7D92"/>
    <w:rsid w:val="001C438F"/>
    <w:rsid w:val="001C5A98"/>
    <w:rsid w:val="001E1158"/>
    <w:rsid w:val="001E6299"/>
    <w:rsid w:val="001F01DC"/>
    <w:rsid w:val="001F061C"/>
    <w:rsid w:val="001F1C8D"/>
    <w:rsid w:val="001F49A4"/>
    <w:rsid w:val="00200199"/>
    <w:rsid w:val="00201029"/>
    <w:rsid w:val="002026FE"/>
    <w:rsid w:val="00203FA9"/>
    <w:rsid w:val="00204BF4"/>
    <w:rsid w:val="00205815"/>
    <w:rsid w:val="002066C0"/>
    <w:rsid w:val="00213D76"/>
    <w:rsid w:val="00213FEF"/>
    <w:rsid w:val="00216E69"/>
    <w:rsid w:val="00226C77"/>
    <w:rsid w:val="00232BAA"/>
    <w:rsid w:val="00236CD0"/>
    <w:rsid w:val="00237ECF"/>
    <w:rsid w:val="002412DA"/>
    <w:rsid w:val="00243283"/>
    <w:rsid w:val="00244B79"/>
    <w:rsid w:val="002461AF"/>
    <w:rsid w:val="0025006E"/>
    <w:rsid w:val="00251846"/>
    <w:rsid w:val="00253256"/>
    <w:rsid w:val="002533A1"/>
    <w:rsid w:val="002600DE"/>
    <w:rsid w:val="002615F3"/>
    <w:rsid w:val="00261A17"/>
    <w:rsid w:val="0026234C"/>
    <w:rsid w:val="0026239F"/>
    <w:rsid w:val="00266295"/>
    <w:rsid w:val="00270452"/>
    <w:rsid w:val="00280C82"/>
    <w:rsid w:val="0028278E"/>
    <w:rsid w:val="00283814"/>
    <w:rsid w:val="00283DF5"/>
    <w:rsid w:val="00287452"/>
    <w:rsid w:val="002922D0"/>
    <w:rsid w:val="00293429"/>
    <w:rsid w:val="00294C86"/>
    <w:rsid w:val="002956E7"/>
    <w:rsid w:val="002961B4"/>
    <w:rsid w:val="002B0AC8"/>
    <w:rsid w:val="002B0B3A"/>
    <w:rsid w:val="002B0F53"/>
    <w:rsid w:val="002B3872"/>
    <w:rsid w:val="002B4394"/>
    <w:rsid w:val="002B4C5B"/>
    <w:rsid w:val="002B5005"/>
    <w:rsid w:val="002C2E69"/>
    <w:rsid w:val="002C3F61"/>
    <w:rsid w:val="002C7A57"/>
    <w:rsid w:val="002D0580"/>
    <w:rsid w:val="002D75D9"/>
    <w:rsid w:val="002E0489"/>
    <w:rsid w:val="002E2AB6"/>
    <w:rsid w:val="002E5691"/>
    <w:rsid w:val="002E7E60"/>
    <w:rsid w:val="002F087B"/>
    <w:rsid w:val="002F1E34"/>
    <w:rsid w:val="002F1FB4"/>
    <w:rsid w:val="002F5BA2"/>
    <w:rsid w:val="002F5E83"/>
    <w:rsid w:val="002F5E96"/>
    <w:rsid w:val="002F6A72"/>
    <w:rsid w:val="002F79DF"/>
    <w:rsid w:val="002F7F79"/>
    <w:rsid w:val="0030130B"/>
    <w:rsid w:val="0030134D"/>
    <w:rsid w:val="003017C2"/>
    <w:rsid w:val="00303BB4"/>
    <w:rsid w:val="003054CF"/>
    <w:rsid w:val="00307DDD"/>
    <w:rsid w:val="00320A17"/>
    <w:rsid w:val="00322799"/>
    <w:rsid w:val="0032290E"/>
    <w:rsid w:val="00325634"/>
    <w:rsid w:val="00326DE4"/>
    <w:rsid w:val="00326F3D"/>
    <w:rsid w:val="003306B8"/>
    <w:rsid w:val="003310A9"/>
    <w:rsid w:val="00332F6A"/>
    <w:rsid w:val="0033574C"/>
    <w:rsid w:val="003366D6"/>
    <w:rsid w:val="00340CDF"/>
    <w:rsid w:val="00343343"/>
    <w:rsid w:val="00345C8A"/>
    <w:rsid w:val="00346BC5"/>
    <w:rsid w:val="00347946"/>
    <w:rsid w:val="003504BB"/>
    <w:rsid w:val="00351589"/>
    <w:rsid w:val="00352B63"/>
    <w:rsid w:val="00353341"/>
    <w:rsid w:val="003544DE"/>
    <w:rsid w:val="00360D58"/>
    <w:rsid w:val="003618A8"/>
    <w:rsid w:val="00363452"/>
    <w:rsid w:val="0036622B"/>
    <w:rsid w:val="00370391"/>
    <w:rsid w:val="00373FB0"/>
    <w:rsid w:val="00376685"/>
    <w:rsid w:val="00376EA6"/>
    <w:rsid w:val="00381884"/>
    <w:rsid w:val="00382689"/>
    <w:rsid w:val="00382952"/>
    <w:rsid w:val="00382D4A"/>
    <w:rsid w:val="003835DB"/>
    <w:rsid w:val="00390095"/>
    <w:rsid w:val="00392DCE"/>
    <w:rsid w:val="003943D5"/>
    <w:rsid w:val="0039641C"/>
    <w:rsid w:val="003A082D"/>
    <w:rsid w:val="003A2D93"/>
    <w:rsid w:val="003A2FE6"/>
    <w:rsid w:val="003B1F13"/>
    <w:rsid w:val="003B23A9"/>
    <w:rsid w:val="003B2541"/>
    <w:rsid w:val="003B25C2"/>
    <w:rsid w:val="003C0A7B"/>
    <w:rsid w:val="003C1493"/>
    <w:rsid w:val="003C549D"/>
    <w:rsid w:val="003C66C6"/>
    <w:rsid w:val="003C6DEB"/>
    <w:rsid w:val="003C7C58"/>
    <w:rsid w:val="003D10DF"/>
    <w:rsid w:val="003D2A68"/>
    <w:rsid w:val="003D30D7"/>
    <w:rsid w:val="003D3B50"/>
    <w:rsid w:val="003D60EC"/>
    <w:rsid w:val="003E0D14"/>
    <w:rsid w:val="003E4247"/>
    <w:rsid w:val="003E600B"/>
    <w:rsid w:val="003F0678"/>
    <w:rsid w:val="003F185E"/>
    <w:rsid w:val="003F258C"/>
    <w:rsid w:val="003F5177"/>
    <w:rsid w:val="003F6B44"/>
    <w:rsid w:val="003F6FE8"/>
    <w:rsid w:val="003F7AEC"/>
    <w:rsid w:val="004000AB"/>
    <w:rsid w:val="0040116C"/>
    <w:rsid w:val="00404D54"/>
    <w:rsid w:val="0040597C"/>
    <w:rsid w:val="0040598E"/>
    <w:rsid w:val="00406D35"/>
    <w:rsid w:val="0041390C"/>
    <w:rsid w:val="00417446"/>
    <w:rsid w:val="0042012F"/>
    <w:rsid w:val="00422DED"/>
    <w:rsid w:val="0042318C"/>
    <w:rsid w:val="004257E8"/>
    <w:rsid w:val="00427D8B"/>
    <w:rsid w:val="004415A8"/>
    <w:rsid w:val="004426ED"/>
    <w:rsid w:val="00452EDF"/>
    <w:rsid w:val="00457042"/>
    <w:rsid w:val="00457377"/>
    <w:rsid w:val="00463CC9"/>
    <w:rsid w:val="00464E5D"/>
    <w:rsid w:val="00465506"/>
    <w:rsid w:val="004659DB"/>
    <w:rsid w:val="00465D53"/>
    <w:rsid w:val="00466C83"/>
    <w:rsid w:val="00476FBC"/>
    <w:rsid w:val="004772FC"/>
    <w:rsid w:val="004809DA"/>
    <w:rsid w:val="00481DC0"/>
    <w:rsid w:val="0048232E"/>
    <w:rsid w:val="00483CAD"/>
    <w:rsid w:val="00484F1F"/>
    <w:rsid w:val="00487600"/>
    <w:rsid w:val="00487E7B"/>
    <w:rsid w:val="00492978"/>
    <w:rsid w:val="00492D87"/>
    <w:rsid w:val="00494478"/>
    <w:rsid w:val="00494DFE"/>
    <w:rsid w:val="004A2807"/>
    <w:rsid w:val="004A2E4E"/>
    <w:rsid w:val="004A55AE"/>
    <w:rsid w:val="004B0473"/>
    <w:rsid w:val="004B27A3"/>
    <w:rsid w:val="004B29F2"/>
    <w:rsid w:val="004B361B"/>
    <w:rsid w:val="004B52F7"/>
    <w:rsid w:val="004B6A62"/>
    <w:rsid w:val="004C1A7E"/>
    <w:rsid w:val="004C697A"/>
    <w:rsid w:val="004C6DF6"/>
    <w:rsid w:val="004C7C18"/>
    <w:rsid w:val="004D68D4"/>
    <w:rsid w:val="004D7119"/>
    <w:rsid w:val="004E0576"/>
    <w:rsid w:val="004E1B4E"/>
    <w:rsid w:val="004E2853"/>
    <w:rsid w:val="004E35E1"/>
    <w:rsid w:val="004E5A80"/>
    <w:rsid w:val="004E69B8"/>
    <w:rsid w:val="004E79A4"/>
    <w:rsid w:val="004E7A32"/>
    <w:rsid w:val="004F0D2C"/>
    <w:rsid w:val="004F10C3"/>
    <w:rsid w:val="004F1922"/>
    <w:rsid w:val="004F210C"/>
    <w:rsid w:val="004F3F88"/>
    <w:rsid w:val="004F6DDD"/>
    <w:rsid w:val="00503EEB"/>
    <w:rsid w:val="00506769"/>
    <w:rsid w:val="005144C0"/>
    <w:rsid w:val="005170CE"/>
    <w:rsid w:val="0052031A"/>
    <w:rsid w:val="005231E7"/>
    <w:rsid w:val="00524CB2"/>
    <w:rsid w:val="00526937"/>
    <w:rsid w:val="00531601"/>
    <w:rsid w:val="0053195B"/>
    <w:rsid w:val="00532940"/>
    <w:rsid w:val="00534297"/>
    <w:rsid w:val="00536C8A"/>
    <w:rsid w:val="00537A9C"/>
    <w:rsid w:val="00537F47"/>
    <w:rsid w:val="0054180F"/>
    <w:rsid w:val="00542C15"/>
    <w:rsid w:val="005434A4"/>
    <w:rsid w:val="00547B85"/>
    <w:rsid w:val="00551213"/>
    <w:rsid w:val="00556849"/>
    <w:rsid w:val="00556C01"/>
    <w:rsid w:val="00557A56"/>
    <w:rsid w:val="00560CD7"/>
    <w:rsid w:val="00561979"/>
    <w:rsid w:val="00563AE5"/>
    <w:rsid w:val="00564B49"/>
    <w:rsid w:val="00564CE7"/>
    <w:rsid w:val="005659C3"/>
    <w:rsid w:val="00566323"/>
    <w:rsid w:val="00571F04"/>
    <w:rsid w:val="00573795"/>
    <w:rsid w:val="005739B4"/>
    <w:rsid w:val="005773ED"/>
    <w:rsid w:val="005840FE"/>
    <w:rsid w:val="005858D9"/>
    <w:rsid w:val="005873EA"/>
    <w:rsid w:val="00587532"/>
    <w:rsid w:val="005925C5"/>
    <w:rsid w:val="00595083"/>
    <w:rsid w:val="0059515B"/>
    <w:rsid w:val="005A03F8"/>
    <w:rsid w:val="005A5DCC"/>
    <w:rsid w:val="005A611A"/>
    <w:rsid w:val="005A77A7"/>
    <w:rsid w:val="005A7C01"/>
    <w:rsid w:val="005B3B0D"/>
    <w:rsid w:val="005C7E45"/>
    <w:rsid w:val="005D016F"/>
    <w:rsid w:val="005D4D5A"/>
    <w:rsid w:val="005D5FCA"/>
    <w:rsid w:val="005E3548"/>
    <w:rsid w:val="005E392E"/>
    <w:rsid w:val="005E6E55"/>
    <w:rsid w:val="005F02D6"/>
    <w:rsid w:val="005F48DA"/>
    <w:rsid w:val="005F6E1A"/>
    <w:rsid w:val="00602C91"/>
    <w:rsid w:val="00604284"/>
    <w:rsid w:val="006072E9"/>
    <w:rsid w:val="006126E7"/>
    <w:rsid w:val="0061447B"/>
    <w:rsid w:val="00621052"/>
    <w:rsid w:val="00623800"/>
    <w:rsid w:val="00623B94"/>
    <w:rsid w:val="00625760"/>
    <w:rsid w:val="00626B26"/>
    <w:rsid w:val="00631835"/>
    <w:rsid w:val="006319ED"/>
    <w:rsid w:val="006343DE"/>
    <w:rsid w:val="00634FB8"/>
    <w:rsid w:val="00635836"/>
    <w:rsid w:val="00635A49"/>
    <w:rsid w:val="00641A7B"/>
    <w:rsid w:val="00643CF1"/>
    <w:rsid w:val="00644414"/>
    <w:rsid w:val="0064553E"/>
    <w:rsid w:val="00651079"/>
    <w:rsid w:val="00652EB3"/>
    <w:rsid w:val="00653496"/>
    <w:rsid w:val="006544AF"/>
    <w:rsid w:val="00656994"/>
    <w:rsid w:val="00657E13"/>
    <w:rsid w:val="006605A3"/>
    <w:rsid w:val="00661753"/>
    <w:rsid w:val="00664373"/>
    <w:rsid w:val="00664ECA"/>
    <w:rsid w:val="00665243"/>
    <w:rsid w:val="006667E8"/>
    <w:rsid w:val="006675C0"/>
    <w:rsid w:val="006722DE"/>
    <w:rsid w:val="006729B9"/>
    <w:rsid w:val="00672F99"/>
    <w:rsid w:val="00673205"/>
    <w:rsid w:val="00675503"/>
    <w:rsid w:val="00677E3B"/>
    <w:rsid w:val="00680EA3"/>
    <w:rsid w:val="00682EA7"/>
    <w:rsid w:val="006832AB"/>
    <w:rsid w:val="00683C6C"/>
    <w:rsid w:val="006851B6"/>
    <w:rsid w:val="00685479"/>
    <w:rsid w:val="00685741"/>
    <w:rsid w:val="00686443"/>
    <w:rsid w:val="00690C43"/>
    <w:rsid w:val="00694993"/>
    <w:rsid w:val="00694A13"/>
    <w:rsid w:val="00696B22"/>
    <w:rsid w:val="00696EA8"/>
    <w:rsid w:val="00697E3D"/>
    <w:rsid w:val="006B14E4"/>
    <w:rsid w:val="006B2A9F"/>
    <w:rsid w:val="006C0A22"/>
    <w:rsid w:val="006C1D69"/>
    <w:rsid w:val="006C306E"/>
    <w:rsid w:val="006C5189"/>
    <w:rsid w:val="006C72EB"/>
    <w:rsid w:val="006D5E62"/>
    <w:rsid w:val="006D63F3"/>
    <w:rsid w:val="006E0659"/>
    <w:rsid w:val="006E2BD8"/>
    <w:rsid w:val="006E4771"/>
    <w:rsid w:val="006E5519"/>
    <w:rsid w:val="006E5DFB"/>
    <w:rsid w:val="006E69C8"/>
    <w:rsid w:val="006E7177"/>
    <w:rsid w:val="006E77B9"/>
    <w:rsid w:val="006F2BAE"/>
    <w:rsid w:val="006F408C"/>
    <w:rsid w:val="006F6F5F"/>
    <w:rsid w:val="0070200E"/>
    <w:rsid w:val="007034F3"/>
    <w:rsid w:val="00703613"/>
    <w:rsid w:val="00705312"/>
    <w:rsid w:val="0070639E"/>
    <w:rsid w:val="00710AA6"/>
    <w:rsid w:val="00721D2D"/>
    <w:rsid w:val="007234CE"/>
    <w:rsid w:val="0072428A"/>
    <w:rsid w:val="007246EA"/>
    <w:rsid w:val="00725536"/>
    <w:rsid w:val="00727C8F"/>
    <w:rsid w:val="00731EDC"/>
    <w:rsid w:val="00732746"/>
    <w:rsid w:val="00732BF7"/>
    <w:rsid w:val="00733D25"/>
    <w:rsid w:val="00735C76"/>
    <w:rsid w:val="007416CF"/>
    <w:rsid w:val="00744200"/>
    <w:rsid w:val="00747161"/>
    <w:rsid w:val="0075356A"/>
    <w:rsid w:val="00753D36"/>
    <w:rsid w:val="00755BFE"/>
    <w:rsid w:val="00755FA6"/>
    <w:rsid w:val="00756700"/>
    <w:rsid w:val="007601BD"/>
    <w:rsid w:val="00760EFC"/>
    <w:rsid w:val="00761E87"/>
    <w:rsid w:val="00762816"/>
    <w:rsid w:val="00763928"/>
    <w:rsid w:val="00765656"/>
    <w:rsid w:val="00765C97"/>
    <w:rsid w:val="00765DB7"/>
    <w:rsid w:val="0076648A"/>
    <w:rsid w:val="007718E7"/>
    <w:rsid w:val="007742E6"/>
    <w:rsid w:val="00780900"/>
    <w:rsid w:val="0078138B"/>
    <w:rsid w:val="00782489"/>
    <w:rsid w:val="007830C7"/>
    <w:rsid w:val="00785D84"/>
    <w:rsid w:val="007867C4"/>
    <w:rsid w:val="00787317"/>
    <w:rsid w:val="007957B9"/>
    <w:rsid w:val="0079694F"/>
    <w:rsid w:val="00797039"/>
    <w:rsid w:val="007A2AD9"/>
    <w:rsid w:val="007A303B"/>
    <w:rsid w:val="007A64D9"/>
    <w:rsid w:val="007B0470"/>
    <w:rsid w:val="007B1C63"/>
    <w:rsid w:val="007B495C"/>
    <w:rsid w:val="007B581B"/>
    <w:rsid w:val="007B6273"/>
    <w:rsid w:val="007B707B"/>
    <w:rsid w:val="007B7F95"/>
    <w:rsid w:val="007C0A25"/>
    <w:rsid w:val="007C1F39"/>
    <w:rsid w:val="007C3505"/>
    <w:rsid w:val="007C44A5"/>
    <w:rsid w:val="007C48DB"/>
    <w:rsid w:val="007C6BAA"/>
    <w:rsid w:val="007D0448"/>
    <w:rsid w:val="007D4E1B"/>
    <w:rsid w:val="007E11A6"/>
    <w:rsid w:val="007E1608"/>
    <w:rsid w:val="007E24ED"/>
    <w:rsid w:val="007E2D14"/>
    <w:rsid w:val="007E48DB"/>
    <w:rsid w:val="007E796D"/>
    <w:rsid w:val="007F02EC"/>
    <w:rsid w:val="007F124C"/>
    <w:rsid w:val="007F23D8"/>
    <w:rsid w:val="007F2CF5"/>
    <w:rsid w:val="007F3F46"/>
    <w:rsid w:val="007F4EA9"/>
    <w:rsid w:val="007F64D4"/>
    <w:rsid w:val="007F73AF"/>
    <w:rsid w:val="00804635"/>
    <w:rsid w:val="00806CFD"/>
    <w:rsid w:val="008134E8"/>
    <w:rsid w:val="0081355D"/>
    <w:rsid w:val="00813E17"/>
    <w:rsid w:val="008171BC"/>
    <w:rsid w:val="00817A7E"/>
    <w:rsid w:val="00823FA2"/>
    <w:rsid w:val="00825E17"/>
    <w:rsid w:val="008269DF"/>
    <w:rsid w:val="00830652"/>
    <w:rsid w:val="00830FD4"/>
    <w:rsid w:val="0083597A"/>
    <w:rsid w:val="00836043"/>
    <w:rsid w:val="008373FD"/>
    <w:rsid w:val="00837C67"/>
    <w:rsid w:val="00843CB5"/>
    <w:rsid w:val="008502C9"/>
    <w:rsid w:val="008560BE"/>
    <w:rsid w:val="008607BF"/>
    <w:rsid w:val="00862414"/>
    <w:rsid w:val="00864E87"/>
    <w:rsid w:val="008701A4"/>
    <w:rsid w:val="00871378"/>
    <w:rsid w:val="00871BD2"/>
    <w:rsid w:val="00872C49"/>
    <w:rsid w:val="008730D7"/>
    <w:rsid w:val="008769D3"/>
    <w:rsid w:val="0088186C"/>
    <w:rsid w:val="0088210E"/>
    <w:rsid w:val="008852E0"/>
    <w:rsid w:val="00886C64"/>
    <w:rsid w:val="00886ED8"/>
    <w:rsid w:val="00887154"/>
    <w:rsid w:val="008872C2"/>
    <w:rsid w:val="00890545"/>
    <w:rsid w:val="0089325A"/>
    <w:rsid w:val="00894CD9"/>
    <w:rsid w:val="00894E68"/>
    <w:rsid w:val="00895106"/>
    <w:rsid w:val="00896C5F"/>
    <w:rsid w:val="00896D49"/>
    <w:rsid w:val="00897549"/>
    <w:rsid w:val="00897914"/>
    <w:rsid w:val="008A1339"/>
    <w:rsid w:val="008A53B7"/>
    <w:rsid w:val="008A5869"/>
    <w:rsid w:val="008B00C6"/>
    <w:rsid w:val="008B1E76"/>
    <w:rsid w:val="008B3462"/>
    <w:rsid w:val="008B7465"/>
    <w:rsid w:val="008C14EF"/>
    <w:rsid w:val="008C7BCC"/>
    <w:rsid w:val="008C7F64"/>
    <w:rsid w:val="008D09BF"/>
    <w:rsid w:val="008D0B18"/>
    <w:rsid w:val="008D2E33"/>
    <w:rsid w:val="008D7CA5"/>
    <w:rsid w:val="008E12EF"/>
    <w:rsid w:val="008E23F1"/>
    <w:rsid w:val="008E5C1C"/>
    <w:rsid w:val="008F2306"/>
    <w:rsid w:val="008F2CB3"/>
    <w:rsid w:val="008F47F4"/>
    <w:rsid w:val="008F590E"/>
    <w:rsid w:val="008F6A11"/>
    <w:rsid w:val="008F6B84"/>
    <w:rsid w:val="008F719C"/>
    <w:rsid w:val="008F7A93"/>
    <w:rsid w:val="00900A5D"/>
    <w:rsid w:val="009011A3"/>
    <w:rsid w:val="009026D6"/>
    <w:rsid w:val="00903E88"/>
    <w:rsid w:val="00904C5D"/>
    <w:rsid w:val="00904F78"/>
    <w:rsid w:val="009067CD"/>
    <w:rsid w:val="009069ED"/>
    <w:rsid w:val="00912474"/>
    <w:rsid w:val="00913187"/>
    <w:rsid w:val="00913A94"/>
    <w:rsid w:val="00916C61"/>
    <w:rsid w:val="00916CA6"/>
    <w:rsid w:val="00923306"/>
    <w:rsid w:val="009260C0"/>
    <w:rsid w:val="00927498"/>
    <w:rsid w:val="00931D90"/>
    <w:rsid w:val="00934348"/>
    <w:rsid w:val="00936CEE"/>
    <w:rsid w:val="009415F6"/>
    <w:rsid w:val="00943BFC"/>
    <w:rsid w:val="00946494"/>
    <w:rsid w:val="00955259"/>
    <w:rsid w:val="00956C3D"/>
    <w:rsid w:val="009576BE"/>
    <w:rsid w:val="00961A39"/>
    <w:rsid w:val="009628A2"/>
    <w:rsid w:val="009640A9"/>
    <w:rsid w:val="00964212"/>
    <w:rsid w:val="00964C05"/>
    <w:rsid w:val="009654AA"/>
    <w:rsid w:val="0096560A"/>
    <w:rsid w:val="00970F35"/>
    <w:rsid w:val="00972CE2"/>
    <w:rsid w:val="00975AFA"/>
    <w:rsid w:val="00980CEF"/>
    <w:rsid w:val="00983E89"/>
    <w:rsid w:val="00983F18"/>
    <w:rsid w:val="00984DFC"/>
    <w:rsid w:val="009907C1"/>
    <w:rsid w:val="00991BB8"/>
    <w:rsid w:val="009927BC"/>
    <w:rsid w:val="0099290F"/>
    <w:rsid w:val="0099733E"/>
    <w:rsid w:val="009A0DD6"/>
    <w:rsid w:val="009A2E89"/>
    <w:rsid w:val="009A44CC"/>
    <w:rsid w:val="009A5D0F"/>
    <w:rsid w:val="009A7D6E"/>
    <w:rsid w:val="009B2604"/>
    <w:rsid w:val="009B4A94"/>
    <w:rsid w:val="009B4D72"/>
    <w:rsid w:val="009C3564"/>
    <w:rsid w:val="009C38B8"/>
    <w:rsid w:val="009C69C3"/>
    <w:rsid w:val="009C793A"/>
    <w:rsid w:val="009D09D6"/>
    <w:rsid w:val="009D275C"/>
    <w:rsid w:val="009D288E"/>
    <w:rsid w:val="009D3388"/>
    <w:rsid w:val="009D3B28"/>
    <w:rsid w:val="009D4B64"/>
    <w:rsid w:val="009D5B72"/>
    <w:rsid w:val="009D5EDE"/>
    <w:rsid w:val="009E17D0"/>
    <w:rsid w:val="009E3CDF"/>
    <w:rsid w:val="009E79C4"/>
    <w:rsid w:val="009F7E56"/>
    <w:rsid w:val="00A0326B"/>
    <w:rsid w:val="00A03C2A"/>
    <w:rsid w:val="00A047DB"/>
    <w:rsid w:val="00A06986"/>
    <w:rsid w:val="00A11354"/>
    <w:rsid w:val="00A11F61"/>
    <w:rsid w:val="00A1525D"/>
    <w:rsid w:val="00A15500"/>
    <w:rsid w:val="00A165DF"/>
    <w:rsid w:val="00A17961"/>
    <w:rsid w:val="00A20535"/>
    <w:rsid w:val="00A20AB4"/>
    <w:rsid w:val="00A20ED1"/>
    <w:rsid w:val="00A220B8"/>
    <w:rsid w:val="00A2267D"/>
    <w:rsid w:val="00A22DAA"/>
    <w:rsid w:val="00A26C3E"/>
    <w:rsid w:val="00A34AB6"/>
    <w:rsid w:val="00A36705"/>
    <w:rsid w:val="00A36786"/>
    <w:rsid w:val="00A36D0E"/>
    <w:rsid w:val="00A448FD"/>
    <w:rsid w:val="00A47BC9"/>
    <w:rsid w:val="00A5073C"/>
    <w:rsid w:val="00A50AE7"/>
    <w:rsid w:val="00A51CE9"/>
    <w:rsid w:val="00A562DE"/>
    <w:rsid w:val="00A578D8"/>
    <w:rsid w:val="00A57DFC"/>
    <w:rsid w:val="00A600D0"/>
    <w:rsid w:val="00A61614"/>
    <w:rsid w:val="00A6499F"/>
    <w:rsid w:val="00A65AAD"/>
    <w:rsid w:val="00A65B07"/>
    <w:rsid w:val="00A67590"/>
    <w:rsid w:val="00A70E7E"/>
    <w:rsid w:val="00A76AB4"/>
    <w:rsid w:val="00A76FA4"/>
    <w:rsid w:val="00A7759C"/>
    <w:rsid w:val="00A81F77"/>
    <w:rsid w:val="00A826B5"/>
    <w:rsid w:val="00A8772C"/>
    <w:rsid w:val="00A9032D"/>
    <w:rsid w:val="00A905C5"/>
    <w:rsid w:val="00A90956"/>
    <w:rsid w:val="00A9124A"/>
    <w:rsid w:val="00A93276"/>
    <w:rsid w:val="00A94276"/>
    <w:rsid w:val="00A94395"/>
    <w:rsid w:val="00A94E4F"/>
    <w:rsid w:val="00A9534B"/>
    <w:rsid w:val="00A9599E"/>
    <w:rsid w:val="00A9691E"/>
    <w:rsid w:val="00A96A96"/>
    <w:rsid w:val="00A97BB6"/>
    <w:rsid w:val="00AA2212"/>
    <w:rsid w:val="00AA2CB1"/>
    <w:rsid w:val="00AA4A5F"/>
    <w:rsid w:val="00AB5108"/>
    <w:rsid w:val="00AB636D"/>
    <w:rsid w:val="00AC1291"/>
    <w:rsid w:val="00AC12EA"/>
    <w:rsid w:val="00AC591E"/>
    <w:rsid w:val="00AD0C73"/>
    <w:rsid w:val="00AD13BB"/>
    <w:rsid w:val="00AD3C9A"/>
    <w:rsid w:val="00AD3D51"/>
    <w:rsid w:val="00AD47DE"/>
    <w:rsid w:val="00AD4986"/>
    <w:rsid w:val="00AE0BC6"/>
    <w:rsid w:val="00AE1348"/>
    <w:rsid w:val="00AE3374"/>
    <w:rsid w:val="00AE3D5E"/>
    <w:rsid w:val="00AE4ECF"/>
    <w:rsid w:val="00AE72A5"/>
    <w:rsid w:val="00AE7A4F"/>
    <w:rsid w:val="00AF021E"/>
    <w:rsid w:val="00AF0CD3"/>
    <w:rsid w:val="00AF0DC0"/>
    <w:rsid w:val="00AF3122"/>
    <w:rsid w:val="00AF3409"/>
    <w:rsid w:val="00AF489A"/>
    <w:rsid w:val="00AF793C"/>
    <w:rsid w:val="00B00DDA"/>
    <w:rsid w:val="00B010A2"/>
    <w:rsid w:val="00B1110B"/>
    <w:rsid w:val="00B12D41"/>
    <w:rsid w:val="00B12FB4"/>
    <w:rsid w:val="00B13906"/>
    <w:rsid w:val="00B147B5"/>
    <w:rsid w:val="00B172C3"/>
    <w:rsid w:val="00B242DB"/>
    <w:rsid w:val="00B24DA0"/>
    <w:rsid w:val="00B25F0C"/>
    <w:rsid w:val="00B26664"/>
    <w:rsid w:val="00B271DB"/>
    <w:rsid w:val="00B3006D"/>
    <w:rsid w:val="00B304DB"/>
    <w:rsid w:val="00B3056E"/>
    <w:rsid w:val="00B30CA4"/>
    <w:rsid w:val="00B31234"/>
    <w:rsid w:val="00B3628D"/>
    <w:rsid w:val="00B365CF"/>
    <w:rsid w:val="00B442DF"/>
    <w:rsid w:val="00B45C8B"/>
    <w:rsid w:val="00B47437"/>
    <w:rsid w:val="00B513BE"/>
    <w:rsid w:val="00B55604"/>
    <w:rsid w:val="00B559F4"/>
    <w:rsid w:val="00B55D3D"/>
    <w:rsid w:val="00B600BD"/>
    <w:rsid w:val="00B605B1"/>
    <w:rsid w:val="00B607CE"/>
    <w:rsid w:val="00B63C45"/>
    <w:rsid w:val="00B659E1"/>
    <w:rsid w:val="00B67A5F"/>
    <w:rsid w:val="00B728CE"/>
    <w:rsid w:val="00B7772D"/>
    <w:rsid w:val="00B80081"/>
    <w:rsid w:val="00B809BD"/>
    <w:rsid w:val="00B81385"/>
    <w:rsid w:val="00B83EB7"/>
    <w:rsid w:val="00B86294"/>
    <w:rsid w:val="00B90816"/>
    <w:rsid w:val="00B93EE1"/>
    <w:rsid w:val="00BA0672"/>
    <w:rsid w:val="00BA59B2"/>
    <w:rsid w:val="00BA7C58"/>
    <w:rsid w:val="00BB5B98"/>
    <w:rsid w:val="00BB62B9"/>
    <w:rsid w:val="00BB7CD9"/>
    <w:rsid w:val="00BC10E1"/>
    <w:rsid w:val="00BC12E9"/>
    <w:rsid w:val="00BC1957"/>
    <w:rsid w:val="00BC19FE"/>
    <w:rsid w:val="00BC2FD4"/>
    <w:rsid w:val="00BC335D"/>
    <w:rsid w:val="00BC68F5"/>
    <w:rsid w:val="00BD5FFB"/>
    <w:rsid w:val="00BE2FA4"/>
    <w:rsid w:val="00BE3553"/>
    <w:rsid w:val="00BF1E43"/>
    <w:rsid w:val="00BF269E"/>
    <w:rsid w:val="00BF2BEC"/>
    <w:rsid w:val="00C0290E"/>
    <w:rsid w:val="00C02CB1"/>
    <w:rsid w:val="00C03135"/>
    <w:rsid w:val="00C036C0"/>
    <w:rsid w:val="00C04846"/>
    <w:rsid w:val="00C05805"/>
    <w:rsid w:val="00C06766"/>
    <w:rsid w:val="00C06ABA"/>
    <w:rsid w:val="00C11602"/>
    <w:rsid w:val="00C1389C"/>
    <w:rsid w:val="00C139ED"/>
    <w:rsid w:val="00C147DD"/>
    <w:rsid w:val="00C150AB"/>
    <w:rsid w:val="00C15DA4"/>
    <w:rsid w:val="00C21935"/>
    <w:rsid w:val="00C223B7"/>
    <w:rsid w:val="00C22E1A"/>
    <w:rsid w:val="00C267FD"/>
    <w:rsid w:val="00C276F7"/>
    <w:rsid w:val="00C30006"/>
    <w:rsid w:val="00C30306"/>
    <w:rsid w:val="00C31B6E"/>
    <w:rsid w:val="00C35F6A"/>
    <w:rsid w:val="00C4063C"/>
    <w:rsid w:val="00C4131E"/>
    <w:rsid w:val="00C41565"/>
    <w:rsid w:val="00C41774"/>
    <w:rsid w:val="00C41A83"/>
    <w:rsid w:val="00C43B37"/>
    <w:rsid w:val="00C44E8B"/>
    <w:rsid w:val="00C450D5"/>
    <w:rsid w:val="00C458DC"/>
    <w:rsid w:val="00C46227"/>
    <w:rsid w:val="00C470E2"/>
    <w:rsid w:val="00C5130E"/>
    <w:rsid w:val="00C51D79"/>
    <w:rsid w:val="00C53D99"/>
    <w:rsid w:val="00C56A0C"/>
    <w:rsid w:val="00C57A90"/>
    <w:rsid w:val="00C61587"/>
    <w:rsid w:val="00C64128"/>
    <w:rsid w:val="00C669FB"/>
    <w:rsid w:val="00C672E8"/>
    <w:rsid w:val="00C72752"/>
    <w:rsid w:val="00C751A8"/>
    <w:rsid w:val="00C75584"/>
    <w:rsid w:val="00C77994"/>
    <w:rsid w:val="00C81DA4"/>
    <w:rsid w:val="00C82C78"/>
    <w:rsid w:val="00C83512"/>
    <w:rsid w:val="00C8623A"/>
    <w:rsid w:val="00C86606"/>
    <w:rsid w:val="00C909CA"/>
    <w:rsid w:val="00C927A9"/>
    <w:rsid w:val="00C97C79"/>
    <w:rsid w:val="00CA0570"/>
    <w:rsid w:val="00CA50ED"/>
    <w:rsid w:val="00CA5950"/>
    <w:rsid w:val="00CA736E"/>
    <w:rsid w:val="00CB1BCF"/>
    <w:rsid w:val="00CB69F6"/>
    <w:rsid w:val="00CB7F2F"/>
    <w:rsid w:val="00CC489C"/>
    <w:rsid w:val="00CC621F"/>
    <w:rsid w:val="00CC7DBD"/>
    <w:rsid w:val="00CD04AA"/>
    <w:rsid w:val="00CD3885"/>
    <w:rsid w:val="00CD528A"/>
    <w:rsid w:val="00CD6F89"/>
    <w:rsid w:val="00CE0113"/>
    <w:rsid w:val="00CE3309"/>
    <w:rsid w:val="00CE3B3A"/>
    <w:rsid w:val="00CE470A"/>
    <w:rsid w:val="00CE6AD3"/>
    <w:rsid w:val="00CE74B1"/>
    <w:rsid w:val="00CF13E5"/>
    <w:rsid w:val="00CF17DA"/>
    <w:rsid w:val="00CF1954"/>
    <w:rsid w:val="00CF1F47"/>
    <w:rsid w:val="00CF3653"/>
    <w:rsid w:val="00CF3FFF"/>
    <w:rsid w:val="00CF4140"/>
    <w:rsid w:val="00CF6275"/>
    <w:rsid w:val="00D00543"/>
    <w:rsid w:val="00D00B9A"/>
    <w:rsid w:val="00D00D5D"/>
    <w:rsid w:val="00D051B8"/>
    <w:rsid w:val="00D07340"/>
    <w:rsid w:val="00D11109"/>
    <w:rsid w:val="00D126E5"/>
    <w:rsid w:val="00D13CD4"/>
    <w:rsid w:val="00D152EB"/>
    <w:rsid w:val="00D15596"/>
    <w:rsid w:val="00D21E30"/>
    <w:rsid w:val="00D22FA5"/>
    <w:rsid w:val="00D257F8"/>
    <w:rsid w:val="00D2759D"/>
    <w:rsid w:val="00D27B32"/>
    <w:rsid w:val="00D31A03"/>
    <w:rsid w:val="00D324A8"/>
    <w:rsid w:val="00D32C8E"/>
    <w:rsid w:val="00D35CFD"/>
    <w:rsid w:val="00D361BD"/>
    <w:rsid w:val="00D41667"/>
    <w:rsid w:val="00D44A48"/>
    <w:rsid w:val="00D4603D"/>
    <w:rsid w:val="00D46698"/>
    <w:rsid w:val="00D50974"/>
    <w:rsid w:val="00D52D5D"/>
    <w:rsid w:val="00D541EC"/>
    <w:rsid w:val="00D574DA"/>
    <w:rsid w:val="00D600AF"/>
    <w:rsid w:val="00D61E86"/>
    <w:rsid w:val="00D64C2B"/>
    <w:rsid w:val="00D66289"/>
    <w:rsid w:val="00D662DF"/>
    <w:rsid w:val="00D67DC9"/>
    <w:rsid w:val="00D7058E"/>
    <w:rsid w:val="00D70DD1"/>
    <w:rsid w:val="00D718E6"/>
    <w:rsid w:val="00D740E6"/>
    <w:rsid w:val="00D74DCB"/>
    <w:rsid w:val="00D75C3B"/>
    <w:rsid w:val="00D7643C"/>
    <w:rsid w:val="00D76A16"/>
    <w:rsid w:val="00D76C00"/>
    <w:rsid w:val="00D91E46"/>
    <w:rsid w:val="00D96374"/>
    <w:rsid w:val="00D96D94"/>
    <w:rsid w:val="00D97634"/>
    <w:rsid w:val="00D976AE"/>
    <w:rsid w:val="00D97FE5"/>
    <w:rsid w:val="00DA0FD9"/>
    <w:rsid w:val="00DA5F44"/>
    <w:rsid w:val="00DA7DD8"/>
    <w:rsid w:val="00DB19C3"/>
    <w:rsid w:val="00DB6880"/>
    <w:rsid w:val="00DC2CFB"/>
    <w:rsid w:val="00DC3A8E"/>
    <w:rsid w:val="00DC432E"/>
    <w:rsid w:val="00DC6C02"/>
    <w:rsid w:val="00DD07D4"/>
    <w:rsid w:val="00DD12BD"/>
    <w:rsid w:val="00DD3F90"/>
    <w:rsid w:val="00DD41D2"/>
    <w:rsid w:val="00DD5523"/>
    <w:rsid w:val="00DD5DA7"/>
    <w:rsid w:val="00DD6742"/>
    <w:rsid w:val="00DD7817"/>
    <w:rsid w:val="00DD7DF6"/>
    <w:rsid w:val="00DE2C51"/>
    <w:rsid w:val="00DE6596"/>
    <w:rsid w:val="00DF29B6"/>
    <w:rsid w:val="00DF2BE8"/>
    <w:rsid w:val="00DF39DE"/>
    <w:rsid w:val="00DF5348"/>
    <w:rsid w:val="00E00787"/>
    <w:rsid w:val="00E07FA9"/>
    <w:rsid w:val="00E121AD"/>
    <w:rsid w:val="00E14CC4"/>
    <w:rsid w:val="00E14FD4"/>
    <w:rsid w:val="00E2172C"/>
    <w:rsid w:val="00E2205F"/>
    <w:rsid w:val="00E22446"/>
    <w:rsid w:val="00E228D8"/>
    <w:rsid w:val="00E230B7"/>
    <w:rsid w:val="00E250F7"/>
    <w:rsid w:val="00E262F7"/>
    <w:rsid w:val="00E3017D"/>
    <w:rsid w:val="00E319B6"/>
    <w:rsid w:val="00E31F9D"/>
    <w:rsid w:val="00E323CE"/>
    <w:rsid w:val="00E34ECD"/>
    <w:rsid w:val="00E35FBA"/>
    <w:rsid w:val="00E36232"/>
    <w:rsid w:val="00E3787D"/>
    <w:rsid w:val="00E4033C"/>
    <w:rsid w:val="00E41345"/>
    <w:rsid w:val="00E417F3"/>
    <w:rsid w:val="00E42681"/>
    <w:rsid w:val="00E42D6A"/>
    <w:rsid w:val="00E43134"/>
    <w:rsid w:val="00E4345C"/>
    <w:rsid w:val="00E43F96"/>
    <w:rsid w:val="00E4403B"/>
    <w:rsid w:val="00E4436E"/>
    <w:rsid w:val="00E463A2"/>
    <w:rsid w:val="00E47610"/>
    <w:rsid w:val="00E50103"/>
    <w:rsid w:val="00E50234"/>
    <w:rsid w:val="00E50813"/>
    <w:rsid w:val="00E50D98"/>
    <w:rsid w:val="00E53152"/>
    <w:rsid w:val="00E544F1"/>
    <w:rsid w:val="00E55B58"/>
    <w:rsid w:val="00E64829"/>
    <w:rsid w:val="00E65C09"/>
    <w:rsid w:val="00E66E1A"/>
    <w:rsid w:val="00E67D30"/>
    <w:rsid w:val="00E70E71"/>
    <w:rsid w:val="00E72524"/>
    <w:rsid w:val="00E736EF"/>
    <w:rsid w:val="00E73C9A"/>
    <w:rsid w:val="00E77EE1"/>
    <w:rsid w:val="00E8047F"/>
    <w:rsid w:val="00E848B3"/>
    <w:rsid w:val="00E84C08"/>
    <w:rsid w:val="00E86660"/>
    <w:rsid w:val="00E877C8"/>
    <w:rsid w:val="00E91BD8"/>
    <w:rsid w:val="00E92F30"/>
    <w:rsid w:val="00E93762"/>
    <w:rsid w:val="00E94E3C"/>
    <w:rsid w:val="00E95091"/>
    <w:rsid w:val="00E979CD"/>
    <w:rsid w:val="00E97A82"/>
    <w:rsid w:val="00EA04E9"/>
    <w:rsid w:val="00EA2DAD"/>
    <w:rsid w:val="00EA2E56"/>
    <w:rsid w:val="00EA2F66"/>
    <w:rsid w:val="00EA2F82"/>
    <w:rsid w:val="00EA3602"/>
    <w:rsid w:val="00EB050F"/>
    <w:rsid w:val="00EB2478"/>
    <w:rsid w:val="00EB2619"/>
    <w:rsid w:val="00EB348A"/>
    <w:rsid w:val="00EC15B0"/>
    <w:rsid w:val="00EC2D32"/>
    <w:rsid w:val="00EC665F"/>
    <w:rsid w:val="00EC73B2"/>
    <w:rsid w:val="00ED1427"/>
    <w:rsid w:val="00ED2ED7"/>
    <w:rsid w:val="00ED339D"/>
    <w:rsid w:val="00ED5595"/>
    <w:rsid w:val="00ED5CD6"/>
    <w:rsid w:val="00ED6BA2"/>
    <w:rsid w:val="00EE001D"/>
    <w:rsid w:val="00EE0133"/>
    <w:rsid w:val="00EE0914"/>
    <w:rsid w:val="00EE09CC"/>
    <w:rsid w:val="00EE232E"/>
    <w:rsid w:val="00EE3788"/>
    <w:rsid w:val="00EE6B16"/>
    <w:rsid w:val="00EE6C6F"/>
    <w:rsid w:val="00EE6E30"/>
    <w:rsid w:val="00EE7E77"/>
    <w:rsid w:val="00EF2E70"/>
    <w:rsid w:val="00EF3DA5"/>
    <w:rsid w:val="00EF4128"/>
    <w:rsid w:val="00EF50A5"/>
    <w:rsid w:val="00EF670B"/>
    <w:rsid w:val="00EF7AF6"/>
    <w:rsid w:val="00EF7C0C"/>
    <w:rsid w:val="00F00A8F"/>
    <w:rsid w:val="00F01B1C"/>
    <w:rsid w:val="00F04EA8"/>
    <w:rsid w:val="00F07603"/>
    <w:rsid w:val="00F10243"/>
    <w:rsid w:val="00F26DF8"/>
    <w:rsid w:val="00F3062B"/>
    <w:rsid w:val="00F309BD"/>
    <w:rsid w:val="00F32530"/>
    <w:rsid w:val="00F32995"/>
    <w:rsid w:val="00F33671"/>
    <w:rsid w:val="00F37E7A"/>
    <w:rsid w:val="00F44284"/>
    <w:rsid w:val="00F46366"/>
    <w:rsid w:val="00F50F6E"/>
    <w:rsid w:val="00F51A36"/>
    <w:rsid w:val="00F54263"/>
    <w:rsid w:val="00F57652"/>
    <w:rsid w:val="00F60292"/>
    <w:rsid w:val="00F65E55"/>
    <w:rsid w:val="00F73B93"/>
    <w:rsid w:val="00F76290"/>
    <w:rsid w:val="00F76A6D"/>
    <w:rsid w:val="00F821FC"/>
    <w:rsid w:val="00F82E43"/>
    <w:rsid w:val="00F833CA"/>
    <w:rsid w:val="00F83BBC"/>
    <w:rsid w:val="00F84D49"/>
    <w:rsid w:val="00F85538"/>
    <w:rsid w:val="00F864AD"/>
    <w:rsid w:val="00F86A1F"/>
    <w:rsid w:val="00F86D02"/>
    <w:rsid w:val="00F90CC6"/>
    <w:rsid w:val="00F91BB7"/>
    <w:rsid w:val="00F94106"/>
    <w:rsid w:val="00F96B11"/>
    <w:rsid w:val="00FA67B6"/>
    <w:rsid w:val="00FA6847"/>
    <w:rsid w:val="00FB161A"/>
    <w:rsid w:val="00FB16D4"/>
    <w:rsid w:val="00FB1BB1"/>
    <w:rsid w:val="00FB26E8"/>
    <w:rsid w:val="00FB31B9"/>
    <w:rsid w:val="00FB42E1"/>
    <w:rsid w:val="00FB4733"/>
    <w:rsid w:val="00FB6451"/>
    <w:rsid w:val="00FB6707"/>
    <w:rsid w:val="00FB6D78"/>
    <w:rsid w:val="00FC0155"/>
    <w:rsid w:val="00FC2C90"/>
    <w:rsid w:val="00FC32C9"/>
    <w:rsid w:val="00FC61C3"/>
    <w:rsid w:val="00FC7BED"/>
    <w:rsid w:val="00FD10BB"/>
    <w:rsid w:val="00FD1758"/>
    <w:rsid w:val="00FD67A5"/>
    <w:rsid w:val="00FE028A"/>
    <w:rsid w:val="00FE2203"/>
    <w:rsid w:val="00FF0673"/>
    <w:rsid w:val="00FF3B29"/>
    <w:rsid w:val="00FF5537"/>
    <w:rsid w:val="00FF72EC"/>
    <w:rsid w:val="00FF75A6"/>
    <w:rsid w:val="00FF7F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7CAD8"/>
  <w15:chartTrackingRefBased/>
  <w15:docId w15:val="{0511E169-AC96-411C-81DC-B259AED3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40" w:line="360"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uiPriority="39"/>
    <w:lsdException w:name="toc 4" w:locked="0"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locked="0" w:semiHidden="1"/>
    <w:lsdException w:name="annotation text" w:semiHidden="1"/>
    <w:lsdException w:name="header" w:locked="0" w:semiHidden="1" w:unhideWhenUsed="1"/>
    <w:lsdException w:name="footer" w:locked="0"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locked="0" w:semiHidden="1"/>
    <w:lsdException w:name="annotation reference" w:semiHidden="1"/>
    <w:lsdException w:name="line number" w:semiHidden="1"/>
    <w:lsdException w:name="page number" w:semiHidden="1"/>
    <w:lsdException w:name="endnote reference" w:locked="0" w:semiHidden="1"/>
    <w:lsdException w:name="endnote text" w:locked="0"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lsdException w:name="FollowedHyperlink" w:locked="0"/>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2BD"/>
    <w:rPr>
      <w:rFonts w:ascii="Arial" w:hAnsi="Arial"/>
      <w:sz w:val="24"/>
    </w:rPr>
  </w:style>
  <w:style w:type="paragraph" w:styleId="Heading1">
    <w:name w:val="heading 1"/>
    <w:basedOn w:val="Normal"/>
    <w:next w:val="Normal"/>
    <w:link w:val="Heading1Char"/>
    <w:uiPriority w:val="9"/>
    <w:qFormat/>
    <w:rsid w:val="00B1110B"/>
    <w:pPr>
      <w:keepNext/>
      <w:keepLines/>
      <w:spacing w:before="720"/>
      <w:outlineLvl w:val="0"/>
    </w:pPr>
    <w:rPr>
      <w:rFonts w:eastAsiaTheme="majorEastAsia" w:cstheme="majorBidi"/>
      <w:b/>
      <w:color w:val="43358B"/>
      <w:sz w:val="36"/>
      <w:szCs w:val="36"/>
    </w:rPr>
  </w:style>
  <w:style w:type="paragraph" w:styleId="Heading2">
    <w:name w:val="heading 2"/>
    <w:basedOn w:val="Normal"/>
    <w:next w:val="Normal"/>
    <w:link w:val="Heading2Char"/>
    <w:uiPriority w:val="9"/>
    <w:qFormat/>
    <w:rsid w:val="00B1110B"/>
    <w:pPr>
      <w:keepNext/>
      <w:keepLines/>
      <w:spacing w:before="480"/>
      <w:outlineLvl w:val="1"/>
    </w:pPr>
    <w:rPr>
      <w:rFonts w:eastAsiaTheme="majorEastAsia" w:cstheme="majorBidi"/>
      <w:b/>
      <w:color w:val="43358B"/>
      <w:sz w:val="32"/>
      <w:szCs w:val="32"/>
    </w:rPr>
  </w:style>
  <w:style w:type="paragraph" w:styleId="Heading3">
    <w:name w:val="heading 3"/>
    <w:basedOn w:val="Heading2"/>
    <w:next w:val="Normal"/>
    <w:link w:val="Heading3Char"/>
    <w:uiPriority w:val="9"/>
    <w:qFormat/>
    <w:rsid w:val="00B1110B"/>
    <w:pPr>
      <w:outlineLvl w:val="2"/>
    </w:pPr>
    <w:rPr>
      <w:rFonts w:cs="Arial"/>
      <w:bCs/>
      <w:color w:val="000000" w:themeColor="text1"/>
      <w:sz w:val="28"/>
      <w:szCs w:val="28"/>
    </w:rPr>
  </w:style>
  <w:style w:type="paragraph" w:styleId="Heading4">
    <w:name w:val="heading 4"/>
    <w:basedOn w:val="Heading3"/>
    <w:next w:val="Normal"/>
    <w:link w:val="Heading4Char"/>
    <w:uiPriority w:val="9"/>
    <w:qFormat/>
    <w:rsid w:val="00B1110B"/>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ationTitle">
    <w:name w:val="Publication Title"/>
    <w:basedOn w:val="Normal"/>
    <w:autoRedefine/>
    <w:qFormat/>
    <w:rsid w:val="00F3062B"/>
    <w:pPr>
      <w:spacing w:before="840" w:line="312" w:lineRule="auto"/>
    </w:pPr>
    <w:rPr>
      <w:b/>
      <w:color w:val="43358B"/>
      <w:spacing w:val="-20"/>
      <w:sz w:val="52"/>
    </w:rPr>
  </w:style>
  <w:style w:type="paragraph" w:customStyle="1" w:styleId="Publicationsubtitle">
    <w:name w:val="Publication subtitle"/>
    <w:basedOn w:val="PublicationTitle"/>
    <w:autoRedefine/>
    <w:semiHidden/>
    <w:qFormat/>
    <w:rsid w:val="00B1110B"/>
    <w:pPr>
      <w:spacing w:line="360" w:lineRule="exact"/>
    </w:pPr>
    <w:rPr>
      <w:spacing w:val="0"/>
      <w:sz w:val="36"/>
    </w:rPr>
  </w:style>
  <w:style w:type="paragraph" w:customStyle="1" w:styleId="Publicationdate">
    <w:name w:val="Publication date"/>
    <w:basedOn w:val="PublicationTitle"/>
    <w:autoRedefine/>
    <w:semiHidden/>
    <w:qFormat/>
    <w:rsid w:val="00B1110B"/>
    <w:pPr>
      <w:spacing w:line="360" w:lineRule="exact"/>
    </w:pPr>
    <w:rPr>
      <w:b w:val="0"/>
      <w:color w:val="auto"/>
      <w:spacing w:val="0"/>
      <w:sz w:val="36"/>
    </w:rPr>
  </w:style>
  <w:style w:type="character" w:styleId="PlaceholderText">
    <w:name w:val="Placeholder Text"/>
    <w:basedOn w:val="DefaultParagraphFont"/>
    <w:uiPriority w:val="99"/>
    <w:semiHidden/>
    <w:locked/>
    <w:rsid w:val="00677E3B"/>
    <w:rPr>
      <w:color w:val="808080"/>
    </w:rPr>
  </w:style>
  <w:style w:type="paragraph" w:styleId="Header">
    <w:name w:val="header"/>
    <w:basedOn w:val="Normal"/>
    <w:link w:val="HeaderChar"/>
    <w:uiPriority w:val="99"/>
    <w:rsid w:val="009927BC"/>
    <w:pPr>
      <w:tabs>
        <w:tab w:val="right" w:pos="10035"/>
      </w:tabs>
      <w:spacing w:after="0"/>
    </w:pPr>
    <w:rPr>
      <w:noProof/>
    </w:rPr>
  </w:style>
  <w:style w:type="character" w:customStyle="1" w:styleId="HeaderChar">
    <w:name w:val="Header Char"/>
    <w:basedOn w:val="DefaultParagraphFont"/>
    <w:link w:val="Header"/>
    <w:uiPriority w:val="99"/>
    <w:rsid w:val="009927BC"/>
    <w:rPr>
      <w:rFonts w:ascii="Arial" w:hAnsi="Arial"/>
      <w:noProof/>
      <w:sz w:val="24"/>
    </w:rPr>
  </w:style>
  <w:style w:type="paragraph" w:styleId="Footer">
    <w:name w:val="footer"/>
    <w:basedOn w:val="Normal"/>
    <w:link w:val="FooterChar"/>
    <w:uiPriority w:val="99"/>
    <w:rsid w:val="00045D32"/>
    <w:pPr>
      <w:tabs>
        <w:tab w:val="center" w:pos="4513"/>
        <w:tab w:val="right" w:pos="9026"/>
      </w:tabs>
      <w:spacing w:after="0"/>
    </w:pPr>
  </w:style>
  <w:style w:type="character" w:customStyle="1" w:styleId="FooterChar">
    <w:name w:val="Footer Char"/>
    <w:basedOn w:val="DefaultParagraphFont"/>
    <w:link w:val="Footer"/>
    <w:uiPriority w:val="99"/>
    <w:rsid w:val="007867C4"/>
    <w:rPr>
      <w:rFonts w:ascii="Arial" w:hAnsi="Arial"/>
      <w:sz w:val="24"/>
    </w:rPr>
  </w:style>
  <w:style w:type="paragraph" w:customStyle="1" w:styleId="TableHead">
    <w:name w:val="Table Head"/>
    <w:basedOn w:val="Normal"/>
    <w:link w:val="TableHeadChar"/>
    <w:qFormat/>
    <w:rsid w:val="00B1110B"/>
    <w:pPr>
      <w:spacing w:before="20" w:after="20" w:line="288" w:lineRule="auto"/>
    </w:pPr>
    <w:rPr>
      <w:b/>
      <w:color w:val="FFFFFF" w:themeColor="background1"/>
      <w:szCs w:val="24"/>
    </w:rPr>
  </w:style>
  <w:style w:type="paragraph" w:customStyle="1" w:styleId="TableBody">
    <w:name w:val="Table Body"/>
    <w:basedOn w:val="TableHead"/>
    <w:link w:val="TableBodyChar"/>
    <w:qFormat/>
    <w:rsid w:val="00B1110B"/>
    <w:rPr>
      <w:b w:val="0"/>
      <w:color w:val="262626" w:themeColor="text1" w:themeTint="D9"/>
    </w:rPr>
  </w:style>
  <w:style w:type="paragraph" w:customStyle="1" w:styleId="ContentsHeader">
    <w:name w:val="Contents Header"/>
    <w:basedOn w:val="Heading1"/>
    <w:link w:val="ContentsHeaderChar"/>
    <w:semiHidden/>
    <w:qFormat/>
    <w:locked/>
    <w:rsid w:val="00B1110B"/>
    <w:pPr>
      <w:spacing w:before="480" w:line="320" w:lineRule="exact"/>
    </w:pPr>
    <w:rPr>
      <w:szCs w:val="28"/>
    </w:rPr>
  </w:style>
  <w:style w:type="character" w:customStyle="1" w:styleId="ContentsHeaderChar">
    <w:name w:val="Contents Header Char"/>
    <w:basedOn w:val="Heading1Char"/>
    <w:link w:val="ContentsHeader"/>
    <w:semiHidden/>
    <w:rsid w:val="00B1110B"/>
    <w:rPr>
      <w:rFonts w:ascii="Arial" w:eastAsiaTheme="majorEastAsia" w:hAnsi="Arial" w:cstheme="majorBidi"/>
      <w:b/>
      <w:color w:val="43358B"/>
      <w:sz w:val="36"/>
      <w:szCs w:val="28"/>
    </w:rPr>
  </w:style>
  <w:style w:type="character" w:customStyle="1" w:styleId="TableHeadChar">
    <w:name w:val="Table Head Char"/>
    <w:basedOn w:val="DefaultParagraphFont"/>
    <w:link w:val="TableHead"/>
    <w:rsid w:val="00B1110B"/>
    <w:rPr>
      <w:rFonts w:ascii="Arial" w:hAnsi="Arial"/>
      <w:b/>
      <w:color w:val="FFFFFF" w:themeColor="background1"/>
      <w:sz w:val="24"/>
      <w:szCs w:val="24"/>
    </w:rPr>
  </w:style>
  <w:style w:type="character" w:customStyle="1" w:styleId="TableBodyChar">
    <w:name w:val="Table Body Char"/>
    <w:basedOn w:val="TableHeadChar"/>
    <w:link w:val="TableBody"/>
    <w:rsid w:val="00B1110B"/>
    <w:rPr>
      <w:rFonts w:ascii="Arial" w:hAnsi="Arial"/>
      <w:b w:val="0"/>
      <w:color w:val="262626" w:themeColor="text1" w:themeTint="D9"/>
      <w:sz w:val="24"/>
      <w:szCs w:val="24"/>
    </w:rPr>
  </w:style>
  <w:style w:type="character" w:customStyle="1" w:styleId="Heading1Char">
    <w:name w:val="Heading 1 Char"/>
    <w:basedOn w:val="DefaultParagraphFont"/>
    <w:link w:val="Heading1"/>
    <w:uiPriority w:val="9"/>
    <w:rsid w:val="00B1110B"/>
    <w:rPr>
      <w:rFonts w:ascii="Arial" w:eastAsiaTheme="majorEastAsia" w:hAnsi="Arial" w:cstheme="majorBidi"/>
      <w:b/>
      <w:color w:val="43358B"/>
      <w:sz w:val="36"/>
      <w:szCs w:val="36"/>
    </w:rPr>
  </w:style>
  <w:style w:type="character" w:customStyle="1" w:styleId="Heading2Char">
    <w:name w:val="Heading 2 Char"/>
    <w:basedOn w:val="DefaultParagraphFont"/>
    <w:link w:val="Heading2"/>
    <w:uiPriority w:val="9"/>
    <w:rsid w:val="00B1110B"/>
    <w:rPr>
      <w:rFonts w:ascii="Arial" w:eastAsiaTheme="majorEastAsia" w:hAnsi="Arial" w:cstheme="majorBidi"/>
      <w:b/>
      <w:color w:val="43358B"/>
      <w:sz w:val="32"/>
      <w:szCs w:val="32"/>
    </w:rPr>
  </w:style>
  <w:style w:type="character" w:customStyle="1" w:styleId="Heading3Char">
    <w:name w:val="Heading 3 Char"/>
    <w:basedOn w:val="DefaultParagraphFont"/>
    <w:link w:val="Heading3"/>
    <w:uiPriority w:val="9"/>
    <w:rsid w:val="00B1110B"/>
    <w:rPr>
      <w:rFonts w:ascii="Arial" w:eastAsiaTheme="majorEastAsia" w:hAnsi="Arial" w:cs="Arial"/>
      <w:b/>
      <w:bCs/>
      <w:color w:val="000000" w:themeColor="text1"/>
      <w:sz w:val="28"/>
      <w:szCs w:val="28"/>
    </w:rPr>
  </w:style>
  <w:style w:type="character" w:customStyle="1" w:styleId="Heading4Char">
    <w:name w:val="Heading 4 Char"/>
    <w:basedOn w:val="DefaultParagraphFont"/>
    <w:link w:val="Heading4"/>
    <w:uiPriority w:val="9"/>
    <w:rsid w:val="00B1110B"/>
    <w:rPr>
      <w:rFonts w:ascii="Arial" w:eastAsiaTheme="majorEastAsia" w:hAnsi="Arial" w:cs="Arial"/>
      <w:b/>
      <w:bCs/>
      <w:color w:val="000000" w:themeColor="text1"/>
      <w:sz w:val="24"/>
      <w:szCs w:val="24"/>
    </w:rPr>
  </w:style>
  <w:style w:type="table" w:styleId="TableGrid">
    <w:name w:val="Table Grid"/>
    <w:aliases w:val="PHS table"/>
    <w:basedOn w:val="TableNormal"/>
    <w:uiPriority w:val="39"/>
    <w:rsid w:val="009D3B2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68" w:type="dxa"/>
        <w:right w:w="68" w:type="dxa"/>
      </w:tblCellMar>
    </w:tblPr>
    <w:tblStylePr w:type="firstRow">
      <w:pPr>
        <w:jc w:val="left"/>
      </w:pPr>
      <w:rPr>
        <w:rFonts w:ascii="Arial" w:hAnsi="Arial"/>
        <w:b w:val="0"/>
        <w:i w:val="0"/>
        <w:color w:val="FFFFFF" w:themeColor="background1"/>
        <w:sz w:val="22"/>
        <w:u w:val="none"/>
      </w:rPr>
      <w:tblPr/>
      <w:trPr>
        <w:tblHeader/>
      </w:trPr>
      <w:tcPr>
        <w:shd w:val="clear" w:color="auto" w:fill="43358B"/>
      </w:tcPr>
    </w:tblStylePr>
    <w:tblStylePr w:type="lastRow">
      <w:rPr>
        <w:b/>
      </w:rPr>
    </w:tblStylePr>
  </w:style>
  <w:style w:type="paragraph" w:customStyle="1" w:styleId="Tableorchartcaption">
    <w:name w:val="Table or chart caption"/>
    <w:basedOn w:val="Normal"/>
    <w:qFormat/>
    <w:rsid w:val="00B1110B"/>
    <w:pPr>
      <w:spacing w:before="360" w:after="0"/>
    </w:pPr>
    <w:rPr>
      <w:rFonts w:eastAsia="Times New Roman" w:cs="Arial"/>
      <w:b/>
      <w:color w:val="43358B"/>
      <w:sz w:val="28"/>
      <w:szCs w:val="28"/>
      <w:lang w:eastAsia="en-GB"/>
    </w:rPr>
  </w:style>
  <w:style w:type="character" w:customStyle="1" w:styleId="Superscript">
    <w:name w:val="Superscript"/>
    <w:basedOn w:val="DefaultParagraphFont"/>
    <w:uiPriority w:val="1"/>
    <w:qFormat/>
    <w:rsid w:val="00B1110B"/>
    <w:rPr>
      <w:rFonts w:cs="Arial"/>
      <w:vertAlign w:val="superscript"/>
    </w:rPr>
  </w:style>
  <w:style w:type="paragraph" w:styleId="ListParagraph">
    <w:name w:val="List Paragraph"/>
    <w:basedOn w:val="Normal"/>
    <w:uiPriority w:val="34"/>
    <w:semiHidden/>
    <w:qFormat/>
    <w:locked/>
    <w:rsid w:val="00B1110B"/>
    <w:pPr>
      <w:ind w:left="720"/>
      <w:contextualSpacing/>
    </w:pPr>
  </w:style>
  <w:style w:type="paragraph" w:customStyle="1" w:styleId="Bullet1">
    <w:name w:val="Bullet 1"/>
    <w:basedOn w:val="ListParagraph"/>
    <w:qFormat/>
    <w:rsid w:val="002961B4"/>
    <w:pPr>
      <w:numPr>
        <w:numId w:val="28"/>
      </w:numPr>
      <w:ind w:left="680" w:hanging="340"/>
      <w:contextualSpacing w:val="0"/>
    </w:pPr>
  </w:style>
  <w:style w:type="paragraph" w:customStyle="1" w:styleId="Bullet2">
    <w:name w:val="Bullet 2"/>
    <w:basedOn w:val="Bullet1"/>
    <w:qFormat/>
    <w:rsid w:val="003504BB"/>
    <w:pPr>
      <w:numPr>
        <w:numId w:val="29"/>
      </w:numPr>
      <w:ind w:left="1247" w:hanging="340"/>
    </w:pPr>
  </w:style>
  <w:style w:type="character" w:customStyle="1" w:styleId="Bold">
    <w:name w:val="Bold"/>
    <w:basedOn w:val="DefaultParagraphFont"/>
    <w:uiPriority w:val="1"/>
    <w:qFormat/>
    <w:rsid w:val="00B1110B"/>
    <w:rPr>
      <w:rFonts w:cs="Arial"/>
      <w:b/>
      <w:color w:val="auto"/>
    </w:rPr>
  </w:style>
  <w:style w:type="paragraph" w:customStyle="1" w:styleId="Hyperlink1">
    <w:name w:val="Hyperlink1"/>
    <w:basedOn w:val="Normal"/>
    <w:next w:val="Normal"/>
    <w:link w:val="hyperlinkChar"/>
    <w:autoRedefine/>
    <w:semiHidden/>
    <w:qFormat/>
    <w:locked/>
    <w:rsid w:val="00B1110B"/>
    <w:pPr>
      <w:spacing w:after="120" w:line="320" w:lineRule="exact"/>
    </w:pPr>
    <w:rPr>
      <w:color w:val="964091"/>
      <w:u w:val="single"/>
    </w:rPr>
  </w:style>
  <w:style w:type="character" w:customStyle="1" w:styleId="hyperlinkChar">
    <w:name w:val="hyperlink Char"/>
    <w:basedOn w:val="DefaultParagraphFont"/>
    <w:link w:val="Hyperlink1"/>
    <w:semiHidden/>
    <w:rsid w:val="00B1110B"/>
    <w:rPr>
      <w:rFonts w:ascii="Arial" w:hAnsi="Arial"/>
      <w:color w:val="964091"/>
      <w:sz w:val="24"/>
      <w:u w:val="single"/>
    </w:rPr>
  </w:style>
  <w:style w:type="paragraph" w:customStyle="1" w:styleId="Coverdisclaimer">
    <w:name w:val="Cover disclaimer"/>
    <w:basedOn w:val="Normal"/>
    <w:semiHidden/>
    <w:qFormat/>
    <w:rsid w:val="004C6DF6"/>
    <w:pPr>
      <w:spacing w:after="0"/>
    </w:pPr>
    <w:rPr>
      <w:rFonts w:cs="Arial"/>
      <w:bCs/>
    </w:rPr>
  </w:style>
  <w:style w:type="paragraph" w:styleId="TOCHeading">
    <w:name w:val="TOC Heading"/>
    <w:basedOn w:val="Heading1"/>
    <w:next w:val="Normal"/>
    <w:uiPriority w:val="39"/>
    <w:semiHidden/>
    <w:qFormat/>
    <w:rsid w:val="00FB6451"/>
    <w:pPr>
      <w:spacing w:before="0" w:after="120"/>
      <w:outlineLvl w:val="9"/>
    </w:pPr>
    <w:rPr>
      <w:sz w:val="32"/>
      <w:szCs w:val="32"/>
      <w:lang w:val="en-US"/>
    </w:rPr>
  </w:style>
  <w:style w:type="character" w:styleId="Hyperlink">
    <w:name w:val="Hyperlink"/>
    <w:basedOn w:val="DefaultParagraphFont"/>
    <w:uiPriority w:val="99"/>
    <w:rsid w:val="003A082D"/>
    <w:rPr>
      <w:b/>
      <w:bCs/>
      <w:color w:val="43358B"/>
    </w:rPr>
  </w:style>
  <w:style w:type="character" w:customStyle="1" w:styleId="UnresolvedMention1">
    <w:name w:val="Unresolved Mention1"/>
    <w:basedOn w:val="DefaultParagraphFont"/>
    <w:uiPriority w:val="99"/>
    <w:semiHidden/>
    <w:locked/>
    <w:rsid w:val="007F23D8"/>
    <w:rPr>
      <w:color w:val="605E5C"/>
      <w:shd w:val="clear" w:color="auto" w:fill="E1DFDD"/>
    </w:rPr>
  </w:style>
  <w:style w:type="paragraph" w:styleId="TOC1">
    <w:name w:val="toc 1"/>
    <w:basedOn w:val="Normal"/>
    <w:next w:val="TOC2"/>
    <w:autoRedefine/>
    <w:uiPriority w:val="39"/>
    <w:semiHidden/>
    <w:rsid w:val="00D541EC"/>
    <w:pPr>
      <w:tabs>
        <w:tab w:val="right" w:pos="8902"/>
      </w:tabs>
      <w:spacing w:after="160" w:line="288" w:lineRule="auto"/>
      <w:ind w:right="1134"/>
    </w:pPr>
    <w:rPr>
      <w:noProof/>
    </w:rPr>
  </w:style>
  <w:style w:type="paragraph" w:styleId="TOC2">
    <w:name w:val="toc 2"/>
    <w:basedOn w:val="TOC1"/>
    <w:next w:val="TOC3"/>
    <w:autoRedefine/>
    <w:uiPriority w:val="39"/>
    <w:semiHidden/>
    <w:rsid w:val="00D97634"/>
    <w:pPr>
      <w:ind w:left="240"/>
    </w:pPr>
  </w:style>
  <w:style w:type="paragraph" w:styleId="TOC3">
    <w:name w:val="toc 3"/>
    <w:basedOn w:val="TOC2"/>
    <w:next w:val="TOC4"/>
    <w:autoRedefine/>
    <w:uiPriority w:val="39"/>
    <w:semiHidden/>
    <w:rsid w:val="000D322E"/>
    <w:pPr>
      <w:ind w:left="480"/>
    </w:pPr>
  </w:style>
  <w:style w:type="paragraph" w:styleId="TOC4">
    <w:name w:val="toc 4"/>
    <w:basedOn w:val="TOC3"/>
    <w:autoRedefine/>
    <w:uiPriority w:val="39"/>
    <w:semiHidden/>
    <w:rsid w:val="000D322E"/>
    <w:pPr>
      <w:ind w:left="720"/>
    </w:pPr>
  </w:style>
  <w:style w:type="paragraph" w:customStyle="1" w:styleId="Heading1numbered">
    <w:name w:val="Heading 1 numbered"/>
    <w:basedOn w:val="Heading1"/>
    <w:next w:val="Normal"/>
    <w:link w:val="Heading1numberedChar"/>
    <w:qFormat/>
    <w:rsid w:val="00B1110B"/>
    <w:pPr>
      <w:numPr>
        <w:numId w:val="34"/>
      </w:numPr>
    </w:pPr>
  </w:style>
  <w:style w:type="paragraph" w:customStyle="1" w:styleId="Heading2numbered">
    <w:name w:val="Heading 2 numbered"/>
    <w:basedOn w:val="Heading2"/>
    <w:next w:val="Normal"/>
    <w:link w:val="Heading2numberedChar"/>
    <w:qFormat/>
    <w:rsid w:val="00B1110B"/>
    <w:pPr>
      <w:numPr>
        <w:ilvl w:val="1"/>
        <w:numId w:val="34"/>
      </w:numPr>
    </w:pPr>
  </w:style>
  <w:style w:type="paragraph" w:customStyle="1" w:styleId="Normalindented">
    <w:name w:val="Normal indented"/>
    <w:basedOn w:val="Normal"/>
    <w:qFormat/>
    <w:rsid w:val="00B1110B"/>
    <w:pPr>
      <w:ind w:left="851"/>
    </w:pPr>
  </w:style>
  <w:style w:type="paragraph" w:customStyle="1" w:styleId="Heading3numbered">
    <w:name w:val="Heading 3 numbered"/>
    <w:basedOn w:val="Heading3"/>
    <w:next w:val="Normal"/>
    <w:link w:val="Heading3numberedChar"/>
    <w:qFormat/>
    <w:rsid w:val="00B1110B"/>
    <w:pPr>
      <w:numPr>
        <w:ilvl w:val="2"/>
        <w:numId w:val="34"/>
      </w:numPr>
    </w:pPr>
  </w:style>
  <w:style w:type="paragraph" w:customStyle="1" w:styleId="Heading4numbered">
    <w:name w:val="Heading 4 numbered"/>
    <w:basedOn w:val="Heading4"/>
    <w:next w:val="Normal"/>
    <w:link w:val="Heading4numberedChar"/>
    <w:qFormat/>
    <w:rsid w:val="00B1110B"/>
    <w:pPr>
      <w:numPr>
        <w:ilvl w:val="3"/>
        <w:numId w:val="34"/>
      </w:numPr>
    </w:pPr>
    <w:rPr>
      <w:bCs w:val="0"/>
    </w:rPr>
  </w:style>
  <w:style w:type="paragraph" w:styleId="FootnoteText">
    <w:name w:val="footnote text"/>
    <w:basedOn w:val="Normal"/>
    <w:link w:val="FootnoteTextChar"/>
    <w:uiPriority w:val="99"/>
    <w:rsid w:val="003310A9"/>
    <w:pPr>
      <w:tabs>
        <w:tab w:val="left" w:pos="284"/>
      </w:tabs>
      <w:spacing w:after="120"/>
      <w:ind w:left="340" w:hanging="340"/>
    </w:pPr>
    <w:rPr>
      <w:sz w:val="22"/>
      <w:szCs w:val="24"/>
    </w:rPr>
  </w:style>
  <w:style w:type="character" w:customStyle="1" w:styleId="FootnoteTextChar">
    <w:name w:val="Footnote Text Char"/>
    <w:basedOn w:val="DefaultParagraphFont"/>
    <w:link w:val="FootnoteText"/>
    <w:uiPriority w:val="99"/>
    <w:rsid w:val="003310A9"/>
    <w:rPr>
      <w:rFonts w:ascii="Arial" w:hAnsi="Arial"/>
      <w:szCs w:val="24"/>
    </w:rPr>
  </w:style>
  <w:style w:type="character" w:styleId="FootnoteReference">
    <w:name w:val="footnote reference"/>
    <w:basedOn w:val="DefaultParagraphFont"/>
    <w:uiPriority w:val="99"/>
    <w:rsid w:val="00526937"/>
    <w:rPr>
      <w:vertAlign w:val="superscript"/>
    </w:rPr>
  </w:style>
  <w:style w:type="paragraph" w:customStyle="1" w:styleId="Bullet3">
    <w:name w:val="Bullet 3"/>
    <w:basedOn w:val="Bullet2"/>
    <w:qFormat/>
    <w:rsid w:val="003504BB"/>
    <w:pPr>
      <w:numPr>
        <w:numId w:val="35"/>
      </w:numPr>
      <w:ind w:left="1814" w:hanging="340"/>
    </w:pPr>
  </w:style>
  <w:style w:type="paragraph" w:customStyle="1" w:styleId="Bulletnumbered1123">
    <w:name w:val="Bullet numbered 1 (123)"/>
    <w:basedOn w:val="Normal"/>
    <w:qFormat/>
    <w:rsid w:val="00F76A6D"/>
    <w:pPr>
      <w:numPr>
        <w:numId w:val="42"/>
      </w:numPr>
      <w:ind w:left="714" w:hanging="357"/>
    </w:pPr>
  </w:style>
  <w:style w:type="paragraph" w:customStyle="1" w:styleId="Bulletnumbered2abc">
    <w:name w:val="Bullet numbered 2 (abc)"/>
    <w:basedOn w:val="Bulletnumbered1123"/>
    <w:qFormat/>
    <w:rsid w:val="00F76A6D"/>
    <w:pPr>
      <w:numPr>
        <w:ilvl w:val="1"/>
        <w:numId w:val="12"/>
      </w:numPr>
    </w:pPr>
  </w:style>
  <w:style w:type="character" w:styleId="FollowedHyperlink">
    <w:name w:val="FollowedHyperlink"/>
    <w:basedOn w:val="Hyperlink"/>
    <w:uiPriority w:val="99"/>
    <w:rsid w:val="003A082D"/>
    <w:rPr>
      <w:b/>
      <w:bCs/>
      <w:color w:val="43358B"/>
    </w:rPr>
  </w:style>
  <w:style w:type="character" w:customStyle="1" w:styleId="Heading1numberedChar">
    <w:name w:val="Heading 1 numbered Char"/>
    <w:basedOn w:val="Heading1Char"/>
    <w:link w:val="Heading1numbered"/>
    <w:rsid w:val="00B1110B"/>
    <w:rPr>
      <w:rFonts w:ascii="Arial" w:eastAsiaTheme="majorEastAsia" w:hAnsi="Arial" w:cstheme="majorBidi"/>
      <w:b/>
      <w:color w:val="43358B"/>
      <w:sz w:val="36"/>
      <w:szCs w:val="36"/>
    </w:rPr>
  </w:style>
  <w:style w:type="character" w:customStyle="1" w:styleId="Heading2numberedChar">
    <w:name w:val="Heading 2 numbered Char"/>
    <w:basedOn w:val="Heading2Char"/>
    <w:link w:val="Heading2numbered"/>
    <w:rsid w:val="00B1110B"/>
    <w:rPr>
      <w:rFonts w:ascii="Arial" w:eastAsiaTheme="majorEastAsia" w:hAnsi="Arial" w:cstheme="majorBidi"/>
      <w:b/>
      <w:color w:val="43358B"/>
      <w:sz w:val="32"/>
      <w:szCs w:val="32"/>
    </w:rPr>
  </w:style>
  <w:style w:type="character" w:customStyle="1" w:styleId="Heading3numberedChar">
    <w:name w:val="Heading 3 numbered Char"/>
    <w:basedOn w:val="Heading3Char"/>
    <w:link w:val="Heading3numbered"/>
    <w:rsid w:val="00B1110B"/>
    <w:rPr>
      <w:rFonts w:ascii="Arial" w:eastAsiaTheme="majorEastAsia" w:hAnsi="Arial" w:cs="Arial"/>
      <w:b/>
      <w:bCs/>
      <w:color w:val="000000" w:themeColor="text1"/>
      <w:sz w:val="28"/>
      <w:szCs w:val="28"/>
    </w:rPr>
  </w:style>
  <w:style w:type="character" w:customStyle="1" w:styleId="Heading4numberedChar">
    <w:name w:val="Heading 4 numbered Char"/>
    <w:basedOn w:val="Heading4Char"/>
    <w:link w:val="Heading4numbered"/>
    <w:rsid w:val="00B1110B"/>
    <w:rPr>
      <w:rFonts w:ascii="Arial" w:eastAsiaTheme="majorEastAsia" w:hAnsi="Arial" w:cs="Arial"/>
      <w:b/>
      <w:bCs w:val="0"/>
      <w:color w:val="000000" w:themeColor="text1"/>
      <w:sz w:val="24"/>
      <w:szCs w:val="24"/>
    </w:rPr>
  </w:style>
  <w:style w:type="paragraph" w:customStyle="1" w:styleId="Tablebullet1">
    <w:name w:val="Table bullet 1"/>
    <w:basedOn w:val="TableBody"/>
    <w:link w:val="Tablebullet1Char"/>
    <w:qFormat/>
    <w:rsid w:val="00B1110B"/>
    <w:pPr>
      <w:numPr>
        <w:numId w:val="39"/>
      </w:numPr>
    </w:pPr>
  </w:style>
  <w:style w:type="paragraph" w:customStyle="1" w:styleId="Tablebullet2">
    <w:name w:val="Table bullet 2"/>
    <w:basedOn w:val="Tablebullet1"/>
    <w:qFormat/>
    <w:rsid w:val="004C6DF6"/>
    <w:pPr>
      <w:numPr>
        <w:ilvl w:val="1"/>
      </w:numPr>
      <w:ind w:left="947" w:hanging="357"/>
    </w:pPr>
  </w:style>
  <w:style w:type="paragraph" w:customStyle="1" w:styleId="Tablebodyrightalignedfornumbersonly">
    <w:name w:val="Table body right aligned (for numbers only)"/>
    <w:basedOn w:val="TableBody"/>
    <w:qFormat/>
    <w:rsid w:val="00B1110B"/>
    <w:pPr>
      <w:jc w:val="right"/>
    </w:pPr>
  </w:style>
  <w:style w:type="paragraph" w:customStyle="1" w:styleId="Pagenumbers">
    <w:name w:val="Page numbers"/>
    <w:basedOn w:val="Footer"/>
    <w:qFormat/>
    <w:rsid w:val="00C450D5"/>
    <w:pPr>
      <w:pBdr>
        <w:top w:val="single" w:sz="6" w:space="3" w:color="964091" w:themeColor="accent5"/>
      </w:pBdr>
      <w:tabs>
        <w:tab w:val="clear" w:pos="4513"/>
        <w:tab w:val="clear" w:pos="9026"/>
        <w:tab w:val="right" w:pos="9638"/>
      </w:tabs>
    </w:pPr>
    <w:rPr>
      <w:noProof/>
    </w:rPr>
  </w:style>
  <w:style w:type="paragraph" w:customStyle="1" w:styleId="Coverfooter">
    <w:name w:val="Cover footer"/>
    <w:basedOn w:val="Normal"/>
    <w:semiHidden/>
    <w:qFormat/>
    <w:rsid w:val="00B172C3"/>
    <w:pPr>
      <w:tabs>
        <w:tab w:val="right" w:pos="8959"/>
      </w:tabs>
      <w:spacing w:before="120" w:after="0" w:line="240" w:lineRule="auto"/>
    </w:pPr>
    <w:rPr>
      <w:rFonts w:cs="Arial"/>
      <w:b/>
      <w:color w:val="FFFFFF" w:themeColor="background1"/>
      <w:position w:val="-28"/>
      <w:sz w:val="28"/>
    </w:rPr>
  </w:style>
  <w:style w:type="character" w:customStyle="1" w:styleId="Italicspeciesnamesonly">
    <w:name w:val="*Italic (species names only)"/>
    <w:basedOn w:val="DefaultParagraphFont"/>
    <w:uiPriority w:val="1"/>
    <w:semiHidden/>
    <w:qFormat/>
    <w:rsid w:val="00B1110B"/>
    <w:rPr>
      <w:i/>
    </w:rPr>
  </w:style>
  <w:style w:type="character" w:customStyle="1" w:styleId="Bolditalicspeciesnamesonly">
    <w:name w:val="*Bold italic (species names only)"/>
    <w:basedOn w:val="Italicspeciesnamesonly"/>
    <w:uiPriority w:val="1"/>
    <w:semiHidden/>
    <w:qFormat/>
    <w:rsid w:val="00B1110B"/>
    <w:rPr>
      <w:b/>
      <w:i/>
    </w:rPr>
  </w:style>
  <w:style w:type="character" w:customStyle="1" w:styleId="Subscript">
    <w:name w:val="Subscript"/>
    <w:basedOn w:val="Superscript"/>
    <w:uiPriority w:val="1"/>
    <w:qFormat/>
    <w:rsid w:val="00B1110B"/>
    <w:rPr>
      <w:rFonts w:asciiTheme="minorHAnsi" w:hAnsiTheme="minorHAnsi" w:cs="Arial"/>
      <w:vertAlign w:val="subscript"/>
    </w:rPr>
  </w:style>
  <w:style w:type="paragraph" w:styleId="BalloonText">
    <w:name w:val="Balloon Text"/>
    <w:basedOn w:val="Normal"/>
    <w:link w:val="BalloonTextChar"/>
    <w:uiPriority w:val="99"/>
    <w:semiHidden/>
    <w:locked/>
    <w:rsid w:val="005319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95B"/>
    <w:rPr>
      <w:rFonts w:ascii="Segoe UI" w:hAnsi="Segoe UI" w:cs="Segoe UI"/>
      <w:sz w:val="18"/>
      <w:szCs w:val="18"/>
    </w:rPr>
  </w:style>
  <w:style w:type="paragraph" w:customStyle="1" w:styleId="Headingtextbox">
    <w:name w:val="Heading textbox"/>
    <w:basedOn w:val="Heading1"/>
    <w:qFormat/>
    <w:rsid w:val="007234CE"/>
    <w:pPr>
      <w:spacing w:before="0" w:after="120"/>
    </w:pPr>
    <w:rPr>
      <w:sz w:val="32"/>
    </w:rPr>
  </w:style>
  <w:style w:type="paragraph" w:styleId="Quote">
    <w:name w:val="Quote"/>
    <w:basedOn w:val="Normal"/>
    <w:next w:val="Normal"/>
    <w:link w:val="QuoteChar"/>
    <w:uiPriority w:val="29"/>
    <w:qFormat/>
    <w:rsid w:val="00326F3D"/>
    <w:pPr>
      <w:pBdr>
        <w:top w:val="single" w:sz="8" w:space="10" w:color="964091"/>
        <w:bottom w:val="single" w:sz="8" w:space="6" w:color="964091"/>
      </w:pBdr>
      <w:spacing w:before="240" w:after="300"/>
      <w:ind w:left="567" w:right="567"/>
    </w:pPr>
    <w:rPr>
      <w:iCs/>
      <w:color w:val="000000" w:themeColor="text1"/>
    </w:rPr>
  </w:style>
  <w:style w:type="character" w:customStyle="1" w:styleId="QuoteChar">
    <w:name w:val="Quote Char"/>
    <w:basedOn w:val="DefaultParagraphFont"/>
    <w:link w:val="Quote"/>
    <w:uiPriority w:val="29"/>
    <w:rsid w:val="00D541EC"/>
    <w:rPr>
      <w:rFonts w:ascii="Arial" w:hAnsi="Arial"/>
      <w:iCs/>
      <w:color w:val="000000" w:themeColor="text1"/>
      <w:sz w:val="24"/>
    </w:rPr>
  </w:style>
  <w:style w:type="character" w:customStyle="1" w:styleId="yellowhighlight">
    <w:name w:val="*yellow highlight"/>
    <w:basedOn w:val="DefaultParagraphFont"/>
    <w:uiPriority w:val="1"/>
    <w:semiHidden/>
    <w:qFormat/>
    <w:rsid w:val="00B1110B"/>
    <w:rPr>
      <w:bdr w:val="none" w:sz="0" w:space="0" w:color="auto"/>
      <w:shd w:val="clear" w:color="auto" w:fill="FFFF00"/>
    </w:rPr>
  </w:style>
  <w:style w:type="character" w:customStyle="1" w:styleId="Restrictedstatisticstextforpublicationreleases">
    <w:name w:val="*Restricted statistics text (for publication releases)"/>
    <w:basedOn w:val="DefaultParagraphFont"/>
    <w:uiPriority w:val="1"/>
    <w:semiHidden/>
    <w:qFormat/>
    <w:rsid w:val="00B1110B"/>
    <w:rPr>
      <w:b/>
      <w:color w:val="B50000"/>
      <w:sz w:val="28"/>
    </w:rPr>
  </w:style>
  <w:style w:type="character" w:customStyle="1" w:styleId="yellowbold">
    <w:name w:val="*yellow bold"/>
    <w:basedOn w:val="DefaultParagraphFont"/>
    <w:uiPriority w:val="1"/>
    <w:semiHidden/>
    <w:qFormat/>
    <w:rsid w:val="00B1110B"/>
    <w:rPr>
      <w:b/>
      <w:bdr w:val="none" w:sz="0" w:space="0" w:color="auto"/>
      <w:shd w:val="clear" w:color="auto" w:fill="FFFF00"/>
    </w:rPr>
  </w:style>
  <w:style w:type="character" w:customStyle="1" w:styleId="yellowhyperlink">
    <w:name w:val="*yellow hyperlink"/>
    <w:basedOn w:val="DefaultParagraphFont"/>
    <w:uiPriority w:val="1"/>
    <w:semiHidden/>
    <w:qFormat/>
    <w:rsid w:val="00E91BD8"/>
    <w:rPr>
      <w:b/>
      <w:color w:val="43358B"/>
      <w:u w:val="none"/>
      <w:bdr w:val="none" w:sz="0" w:space="0" w:color="auto"/>
      <w:shd w:val="clear" w:color="auto" w:fill="FFFF00"/>
    </w:rPr>
  </w:style>
  <w:style w:type="character" w:customStyle="1" w:styleId="greyhighlight">
    <w:name w:val="*grey highlight"/>
    <w:basedOn w:val="DefaultParagraphFont"/>
    <w:uiPriority w:val="1"/>
    <w:semiHidden/>
    <w:qFormat/>
    <w:rsid w:val="00B1110B"/>
    <w:rPr>
      <w:bdr w:val="none" w:sz="0" w:space="0" w:color="auto"/>
      <w:shd w:val="clear" w:color="auto" w:fill="D9D9D9" w:themeFill="background1" w:themeFillShade="D9"/>
    </w:rPr>
  </w:style>
  <w:style w:type="character" w:customStyle="1" w:styleId="greyhyperlink">
    <w:name w:val="*grey hyperlink"/>
    <w:basedOn w:val="DefaultParagraphFont"/>
    <w:uiPriority w:val="1"/>
    <w:semiHidden/>
    <w:qFormat/>
    <w:rsid w:val="00BC12E9"/>
    <w:rPr>
      <w:b/>
      <w:color w:val="3F3685" w:themeColor="text2"/>
      <w:u w:val="none"/>
      <w:bdr w:val="none" w:sz="0" w:space="0" w:color="auto"/>
      <w:shd w:val="clear" w:color="auto" w:fill="D9D9D9" w:themeFill="background1" w:themeFillShade="D9"/>
    </w:rPr>
  </w:style>
  <w:style w:type="character" w:customStyle="1" w:styleId="greybold">
    <w:name w:val="*grey bold"/>
    <w:basedOn w:val="DefaultParagraphFont"/>
    <w:uiPriority w:val="1"/>
    <w:semiHidden/>
    <w:qFormat/>
    <w:rsid w:val="00B1110B"/>
    <w:rPr>
      <w:b/>
      <w:bdr w:val="none" w:sz="0" w:space="0" w:color="auto"/>
      <w:shd w:val="clear" w:color="auto" w:fill="D9D9D9" w:themeFill="background1" w:themeFillShade="D9"/>
    </w:rPr>
  </w:style>
  <w:style w:type="character" w:styleId="CommentReference">
    <w:name w:val="annotation reference"/>
    <w:basedOn w:val="DefaultParagraphFont"/>
    <w:uiPriority w:val="99"/>
    <w:semiHidden/>
    <w:locked/>
    <w:rsid w:val="005D016F"/>
    <w:rPr>
      <w:sz w:val="16"/>
      <w:szCs w:val="16"/>
    </w:rPr>
  </w:style>
  <w:style w:type="paragraph" w:styleId="CommentText">
    <w:name w:val="annotation text"/>
    <w:basedOn w:val="Normal"/>
    <w:link w:val="CommentTextChar"/>
    <w:uiPriority w:val="99"/>
    <w:semiHidden/>
    <w:locked/>
    <w:rsid w:val="005D016F"/>
    <w:pPr>
      <w:spacing w:line="240" w:lineRule="auto"/>
    </w:pPr>
    <w:rPr>
      <w:sz w:val="20"/>
      <w:szCs w:val="20"/>
    </w:rPr>
  </w:style>
  <w:style w:type="character" w:customStyle="1" w:styleId="CommentTextChar">
    <w:name w:val="Comment Text Char"/>
    <w:basedOn w:val="DefaultParagraphFont"/>
    <w:link w:val="CommentText"/>
    <w:uiPriority w:val="99"/>
    <w:semiHidden/>
    <w:rsid w:val="005D016F"/>
    <w:rPr>
      <w:rFonts w:ascii="Arial" w:hAnsi="Arial"/>
      <w:sz w:val="20"/>
      <w:szCs w:val="20"/>
    </w:rPr>
  </w:style>
  <w:style w:type="paragraph" w:styleId="CommentSubject">
    <w:name w:val="annotation subject"/>
    <w:basedOn w:val="CommentText"/>
    <w:next w:val="CommentText"/>
    <w:link w:val="CommentSubjectChar"/>
    <w:uiPriority w:val="99"/>
    <w:semiHidden/>
    <w:locked/>
    <w:rsid w:val="005D016F"/>
    <w:rPr>
      <w:b/>
      <w:bCs/>
    </w:rPr>
  </w:style>
  <w:style w:type="character" w:customStyle="1" w:styleId="CommentSubjectChar">
    <w:name w:val="Comment Subject Char"/>
    <w:basedOn w:val="CommentTextChar"/>
    <w:link w:val="CommentSubject"/>
    <w:uiPriority w:val="99"/>
    <w:semiHidden/>
    <w:rsid w:val="005D016F"/>
    <w:rPr>
      <w:rFonts w:ascii="Arial" w:hAnsi="Arial"/>
      <w:b/>
      <w:bCs/>
      <w:sz w:val="20"/>
      <w:szCs w:val="20"/>
    </w:rPr>
  </w:style>
  <w:style w:type="paragraph" w:customStyle="1" w:styleId="Tablebulletnumbered1123">
    <w:name w:val="Table bullet numbered 1 (123)"/>
    <w:basedOn w:val="TableBody"/>
    <w:qFormat/>
    <w:rsid w:val="009D3B28"/>
    <w:pPr>
      <w:numPr>
        <w:numId w:val="40"/>
      </w:numPr>
      <w:ind w:left="714" w:hanging="357"/>
    </w:pPr>
  </w:style>
  <w:style w:type="paragraph" w:customStyle="1" w:styleId="Tablebulletnumbered2abc">
    <w:name w:val="Table bullet numbered 2 (abc)"/>
    <w:basedOn w:val="Tablebulletnumbered1123"/>
    <w:qFormat/>
    <w:rsid w:val="004C6DF6"/>
    <w:pPr>
      <w:numPr>
        <w:numId w:val="11"/>
      </w:numPr>
    </w:pPr>
  </w:style>
  <w:style w:type="character" w:customStyle="1" w:styleId="UnresolvedMention2">
    <w:name w:val="Unresolved Mention2"/>
    <w:basedOn w:val="DefaultParagraphFont"/>
    <w:uiPriority w:val="99"/>
    <w:semiHidden/>
    <w:locked/>
    <w:rsid w:val="008B3462"/>
    <w:rPr>
      <w:color w:val="605E5C"/>
      <w:shd w:val="clear" w:color="auto" w:fill="E1DFDD"/>
    </w:rPr>
  </w:style>
  <w:style w:type="paragraph" w:customStyle="1" w:styleId="Bulletnumbered3iii">
    <w:name w:val="Bullet numbered 3 (iii)"/>
    <w:basedOn w:val="Bulletnumbered2abc"/>
    <w:qFormat/>
    <w:rsid w:val="00F76A6D"/>
    <w:pPr>
      <w:numPr>
        <w:ilvl w:val="2"/>
      </w:numPr>
    </w:pPr>
  </w:style>
  <w:style w:type="paragraph" w:styleId="EndnoteText">
    <w:name w:val="endnote text"/>
    <w:basedOn w:val="Normal"/>
    <w:link w:val="EndnoteTextChar"/>
    <w:uiPriority w:val="99"/>
    <w:rsid w:val="00483CAD"/>
    <w:pPr>
      <w:tabs>
        <w:tab w:val="left" w:pos="426"/>
      </w:tabs>
      <w:spacing w:after="120"/>
      <w:ind w:left="284" w:hanging="284"/>
    </w:pPr>
    <w:rPr>
      <w:szCs w:val="24"/>
    </w:rPr>
  </w:style>
  <w:style w:type="character" w:customStyle="1" w:styleId="EndnoteTextChar">
    <w:name w:val="Endnote Text Char"/>
    <w:basedOn w:val="DefaultParagraphFont"/>
    <w:link w:val="EndnoteText"/>
    <w:uiPriority w:val="99"/>
    <w:rsid w:val="00D541EC"/>
    <w:rPr>
      <w:rFonts w:ascii="Arial" w:hAnsi="Arial"/>
      <w:sz w:val="24"/>
      <w:szCs w:val="24"/>
    </w:rPr>
  </w:style>
  <w:style w:type="character" w:styleId="EndnoteReference">
    <w:name w:val="endnote reference"/>
    <w:basedOn w:val="DefaultParagraphFont"/>
    <w:uiPriority w:val="99"/>
    <w:rsid w:val="007C6BAA"/>
    <w:rPr>
      <w:vertAlign w:val="superscript"/>
    </w:rPr>
  </w:style>
  <w:style w:type="paragraph" w:customStyle="1" w:styleId="Default">
    <w:name w:val="Default"/>
    <w:semiHidden/>
    <w:locked/>
    <w:rsid w:val="00AE3D5E"/>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locked/>
    <w:rsid w:val="009C69C3"/>
    <w:rPr>
      <w:color w:val="605E5C"/>
      <w:shd w:val="clear" w:color="auto" w:fill="E1DFDD"/>
    </w:rPr>
  </w:style>
  <w:style w:type="table" w:styleId="PlainTable5">
    <w:name w:val="Plain Table 5"/>
    <w:basedOn w:val="TableNormal"/>
    <w:uiPriority w:val="45"/>
    <w:rsid w:val="0068574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mageplacement">
    <w:name w:val="*Image placement"/>
    <w:basedOn w:val="Normal"/>
    <w:qFormat/>
    <w:rsid w:val="00CF4140"/>
    <w:pPr>
      <w:spacing w:after="360"/>
      <w:jc w:val="center"/>
    </w:pPr>
    <w:rPr>
      <w:noProof/>
      <w:lang w:eastAsia="en-GB"/>
    </w:rPr>
  </w:style>
  <w:style w:type="paragraph" w:customStyle="1" w:styleId="Textboxnormalleftaligned">
    <w:name w:val="Textbox normal (left aligned)"/>
    <w:basedOn w:val="Normal"/>
    <w:qFormat/>
    <w:rsid w:val="007234CE"/>
    <w:pPr>
      <w:spacing w:after="120"/>
    </w:pPr>
  </w:style>
  <w:style w:type="paragraph" w:customStyle="1" w:styleId="Texboxnormalcentrealigned">
    <w:name w:val="Texbox normal (centre aligned)"/>
    <w:basedOn w:val="Textboxnormalleftaligned"/>
    <w:semiHidden/>
    <w:qFormat/>
    <w:rsid w:val="00A76AB4"/>
    <w:pPr>
      <w:jc w:val="center"/>
    </w:pPr>
  </w:style>
  <w:style w:type="paragraph" w:customStyle="1" w:styleId="Bulletnumbered1">
    <w:name w:val="Bullet numbered 1"/>
    <w:basedOn w:val="Normal"/>
    <w:semiHidden/>
    <w:qFormat/>
    <w:rsid w:val="00D541EC"/>
  </w:style>
  <w:style w:type="character" w:customStyle="1" w:styleId="Tablebullet1Char">
    <w:name w:val="Table bullet 1 Char"/>
    <w:basedOn w:val="TableBodyChar"/>
    <w:link w:val="Tablebullet1"/>
    <w:rsid w:val="00D541EC"/>
    <w:rPr>
      <w:rFonts w:ascii="Arial" w:hAnsi="Arial"/>
      <w:b w:val="0"/>
      <w:color w:val="262626" w:themeColor="text1" w:themeTint="D9"/>
      <w:sz w:val="24"/>
      <w:szCs w:val="24"/>
    </w:rPr>
  </w:style>
  <w:style w:type="character" w:customStyle="1" w:styleId="Tablebodyde-emphasis">
    <w:name w:val="Table body de-emphasis"/>
    <w:basedOn w:val="DefaultParagraphFont"/>
    <w:uiPriority w:val="1"/>
    <w:semiHidden/>
    <w:qFormat/>
    <w:rsid w:val="00C11602"/>
    <w:rPr>
      <w:color w:val="595959"/>
    </w:rPr>
  </w:style>
  <w:style w:type="character" w:customStyle="1" w:styleId="Crossreference">
    <w:name w:val="Cross reference"/>
    <w:basedOn w:val="Hyperlink"/>
    <w:uiPriority w:val="1"/>
    <w:qFormat/>
    <w:rsid w:val="00C11602"/>
    <w:rPr>
      <w:b/>
      <w:bCs/>
      <w:color w:val="43358B"/>
    </w:rPr>
  </w:style>
  <w:style w:type="paragraph" w:styleId="Revision">
    <w:name w:val="Revision"/>
    <w:hidden/>
    <w:uiPriority w:val="99"/>
    <w:semiHidden/>
    <w:rsid w:val="002C2E69"/>
    <w:pPr>
      <w:spacing w:after="0" w:line="240" w:lineRule="auto"/>
    </w:pPr>
    <w:rPr>
      <w:rFonts w:ascii="Arial" w:hAnsi="Arial"/>
      <w:sz w:val="24"/>
    </w:rPr>
  </w:style>
  <w:style w:type="character" w:styleId="Mention">
    <w:name w:val="Mention"/>
    <w:basedOn w:val="DefaultParagraphFont"/>
    <w:uiPriority w:val="99"/>
    <w:semiHidden/>
    <w:unhideWhenUsed/>
    <w:locked/>
    <w:rsid w:val="00980CE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540093">
      <w:bodyDiv w:val="1"/>
      <w:marLeft w:val="0"/>
      <w:marRight w:val="0"/>
      <w:marTop w:val="0"/>
      <w:marBottom w:val="0"/>
      <w:divBdr>
        <w:top w:val="none" w:sz="0" w:space="0" w:color="auto"/>
        <w:left w:val="none" w:sz="0" w:space="0" w:color="auto"/>
        <w:bottom w:val="none" w:sz="0" w:space="0" w:color="auto"/>
        <w:right w:val="none" w:sz="0" w:space="0" w:color="auto"/>
      </w:divBdr>
    </w:div>
    <w:div w:id="742459058">
      <w:bodyDiv w:val="1"/>
      <w:marLeft w:val="0"/>
      <w:marRight w:val="0"/>
      <w:marTop w:val="0"/>
      <w:marBottom w:val="0"/>
      <w:divBdr>
        <w:top w:val="none" w:sz="0" w:space="0" w:color="auto"/>
        <w:left w:val="none" w:sz="0" w:space="0" w:color="auto"/>
        <w:bottom w:val="none" w:sz="0" w:space="0" w:color="auto"/>
        <w:right w:val="none" w:sz="0" w:space="0" w:color="auto"/>
      </w:divBdr>
    </w:div>
    <w:div w:id="751046448">
      <w:bodyDiv w:val="1"/>
      <w:marLeft w:val="0"/>
      <w:marRight w:val="0"/>
      <w:marTop w:val="0"/>
      <w:marBottom w:val="0"/>
      <w:divBdr>
        <w:top w:val="none" w:sz="0" w:space="0" w:color="auto"/>
        <w:left w:val="none" w:sz="0" w:space="0" w:color="auto"/>
        <w:bottom w:val="none" w:sz="0" w:space="0" w:color="auto"/>
        <w:right w:val="none" w:sz="0" w:space="0" w:color="auto"/>
      </w:divBdr>
    </w:div>
    <w:div w:id="914389643">
      <w:bodyDiv w:val="1"/>
      <w:marLeft w:val="0"/>
      <w:marRight w:val="0"/>
      <w:marTop w:val="0"/>
      <w:marBottom w:val="0"/>
      <w:divBdr>
        <w:top w:val="none" w:sz="0" w:space="0" w:color="auto"/>
        <w:left w:val="none" w:sz="0" w:space="0" w:color="auto"/>
        <w:bottom w:val="none" w:sz="0" w:space="0" w:color="auto"/>
        <w:right w:val="none" w:sz="0" w:space="0" w:color="auto"/>
      </w:divBdr>
    </w:div>
    <w:div w:id="1274635748">
      <w:bodyDiv w:val="1"/>
      <w:marLeft w:val="0"/>
      <w:marRight w:val="0"/>
      <w:marTop w:val="0"/>
      <w:marBottom w:val="0"/>
      <w:divBdr>
        <w:top w:val="none" w:sz="0" w:space="0" w:color="auto"/>
        <w:left w:val="none" w:sz="0" w:space="0" w:color="auto"/>
        <w:bottom w:val="none" w:sz="0" w:space="0" w:color="auto"/>
        <w:right w:val="none" w:sz="0" w:space="0" w:color="auto"/>
      </w:divBdr>
    </w:div>
    <w:div w:id="1348361036">
      <w:bodyDiv w:val="1"/>
      <w:marLeft w:val="0"/>
      <w:marRight w:val="0"/>
      <w:marTop w:val="0"/>
      <w:marBottom w:val="0"/>
      <w:divBdr>
        <w:top w:val="none" w:sz="0" w:space="0" w:color="auto"/>
        <w:left w:val="none" w:sz="0" w:space="0" w:color="auto"/>
        <w:bottom w:val="none" w:sz="0" w:space="0" w:color="auto"/>
        <w:right w:val="none" w:sz="0" w:space="0" w:color="auto"/>
      </w:divBdr>
    </w:div>
    <w:div w:id="1374497777">
      <w:bodyDiv w:val="1"/>
      <w:marLeft w:val="0"/>
      <w:marRight w:val="0"/>
      <w:marTop w:val="0"/>
      <w:marBottom w:val="0"/>
      <w:divBdr>
        <w:top w:val="none" w:sz="0" w:space="0" w:color="auto"/>
        <w:left w:val="none" w:sz="0" w:space="0" w:color="auto"/>
        <w:bottom w:val="none" w:sz="0" w:space="0" w:color="auto"/>
        <w:right w:val="none" w:sz="0" w:space="0" w:color="auto"/>
      </w:divBdr>
    </w:div>
    <w:div w:id="1657302905">
      <w:bodyDiv w:val="1"/>
      <w:marLeft w:val="0"/>
      <w:marRight w:val="0"/>
      <w:marTop w:val="0"/>
      <w:marBottom w:val="0"/>
      <w:divBdr>
        <w:top w:val="none" w:sz="0" w:space="0" w:color="auto"/>
        <w:left w:val="none" w:sz="0" w:space="0" w:color="auto"/>
        <w:bottom w:val="none" w:sz="0" w:space="0" w:color="auto"/>
        <w:right w:val="none" w:sz="0" w:space="0" w:color="auto"/>
      </w:divBdr>
    </w:div>
    <w:div w:id="1669940352">
      <w:bodyDiv w:val="1"/>
      <w:marLeft w:val="0"/>
      <w:marRight w:val="0"/>
      <w:marTop w:val="0"/>
      <w:marBottom w:val="0"/>
      <w:divBdr>
        <w:top w:val="none" w:sz="0" w:space="0" w:color="auto"/>
        <w:left w:val="none" w:sz="0" w:space="0" w:color="auto"/>
        <w:bottom w:val="none" w:sz="0" w:space="0" w:color="auto"/>
        <w:right w:val="none" w:sz="0" w:space="0" w:color="auto"/>
      </w:divBdr>
    </w:div>
    <w:div w:id="1725980296">
      <w:bodyDiv w:val="1"/>
      <w:marLeft w:val="0"/>
      <w:marRight w:val="0"/>
      <w:marTop w:val="0"/>
      <w:marBottom w:val="0"/>
      <w:divBdr>
        <w:top w:val="none" w:sz="0" w:space="0" w:color="auto"/>
        <w:left w:val="none" w:sz="0" w:space="0" w:color="auto"/>
        <w:bottom w:val="none" w:sz="0" w:space="0" w:color="auto"/>
        <w:right w:val="none" w:sz="0" w:space="0" w:color="auto"/>
      </w:divBdr>
    </w:div>
    <w:div w:id="1803764316">
      <w:bodyDiv w:val="1"/>
      <w:marLeft w:val="0"/>
      <w:marRight w:val="0"/>
      <w:marTop w:val="0"/>
      <w:marBottom w:val="0"/>
      <w:divBdr>
        <w:top w:val="none" w:sz="0" w:space="0" w:color="auto"/>
        <w:left w:val="none" w:sz="0" w:space="0" w:color="auto"/>
        <w:bottom w:val="none" w:sz="0" w:space="0" w:color="auto"/>
        <w:right w:val="none" w:sz="0" w:space="0" w:color="auto"/>
      </w:divBdr>
    </w:div>
    <w:div w:id="1865971075">
      <w:bodyDiv w:val="1"/>
      <w:marLeft w:val="0"/>
      <w:marRight w:val="0"/>
      <w:marTop w:val="0"/>
      <w:marBottom w:val="0"/>
      <w:divBdr>
        <w:top w:val="none" w:sz="0" w:space="0" w:color="auto"/>
        <w:left w:val="none" w:sz="0" w:space="0" w:color="auto"/>
        <w:bottom w:val="none" w:sz="0" w:space="0" w:color="auto"/>
        <w:right w:val="none" w:sz="0" w:space="0" w:color="auto"/>
      </w:divBdr>
    </w:div>
    <w:div w:id="212522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publichealthscotland.scot/publications/scottish-health-service-costs/scottish-health-service-costs-high-level-costs-summary-2021-to-2022/"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m04\Downloads\phs-short-report-word-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78A00D64A04FFB95FBE83698F32AB3"/>
        <w:category>
          <w:name w:val="General"/>
          <w:gallery w:val="placeholder"/>
        </w:category>
        <w:types>
          <w:type w:val="bbPlcHdr"/>
        </w:types>
        <w:behaviors>
          <w:behavior w:val="content"/>
        </w:behaviors>
        <w:guid w:val="{FDF1D48B-88BB-453F-A6FB-55D2D38AB0A2}"/>
      </w:docPartPr>
      <w:docPartBody>
        <w:p w:rsidR="003925E4" w:rsidRDefault="003925E4">
          <w:pPr>
            <w:pStyle w:val="F578A00D64A04FFB95FBE83698F32AB3"/>
          </w:pPr>
          <w:r w:rsidRPr="002519C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5E4"/>
    <w:rsid w:val="00050383"/>
    <w:rsid w:val="003925E4"/>
    <w:rsid w:val="00761B58"/>
    <w:rsid w:val="00960E8B"/>
    <w:rsid w:val="009632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578A00D64A04FFB95FBE83698F32AB3">
    <w:name w:val="F578A00D64A04FFB95FBE83698F32A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etrospect">
  <a:themeElements>
    <a:clrScheme name="PHS">
      <a:dk1>
        <a:srgbClr val="000000"/>
      </a:dk1>
      <a:lt1>
        <a:sysClr val="window" lastClr="FFFFFF"/>
      </a:lt1>
      <a:dk2>
        <a:srgbClr val="3F3685"/>
      </a:dk2>
      <a:lt2>
        <a:srgbClr val="FFFFFF"/>
      </a:lt2>
      <a:accent1>
        <a:srgbClr val="0078D4"/>
      </a:accent1>
      <a:accent2>
        <a:srgbClr val="83BB26"/>
      </a:accent2>
      <a:accent3>
        <a:srgbClr val="EDD5EB"/>
      </a:accent3>
      <a:accent4>
        <a:srgbClr val="D5D0ED"/>
      </a:accent4>
      <a:accent5>
        <a:srgbClr val="964091"/>
      </a:accent5>
      <a:accent6>
        <a:srgbClr val="C982C5"/>
      </a:accent6>
      <a:hlink>
        <a:srgbClr val="3F3685"/>
      </a:hlink>
      <a:folHlink>
        <a:srgbClr val="3F3685"/>
      </a:folHlink>
    </a:clrScheme>
    <a:fontScheme name="PHS">
      <a:majorFont>
        <a:latin typeface="Arial"/>
        <a:ea typeface=""/>
        <a:cs typeface=""/>
      </a:majorFont>
      <a:minorFont>
        <a:latin typeface="Arial"/>
        <a:ea typeface=""/>
        <a:cs typeface=""/>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txDef>
      <a:spPr bwMode="auto">
        <a:solidFill>
          <a:schemeClr val="bg1"/>
        </a:solidFill>
        <a:ln w="19050">
          <a:solidFill>
            <a:srgbClr val="964091"/>
          </a:solidFill>
          <a:miter lim="800000"/>
          <a:headEnd/>
          <a:tailEnd/>
        </a:ln>
      </a:spPr>
      <a:bodyPr rot="0" vert="horz" wrap="square" lIns="144000" tIns="144000" rIns="144000" bIns="108000" anchor="t" anchorCtr="0">
        <a:noAutofit/>
      </a:bodyPr>
      <a:lstStyle/>
    </a:txDef>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a3826f81-0d89-4c84-92ed-abf8725452f5">TAGRA</Document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5DBF100CB70243AB23218DAC14F371" ma:contentTypeVersion="3" ma:contentTypeDescription="Create a new document." ma:contentTypeScope="" ma:versionID="d51af1df8f3ad689282ef76d3f6b2025">
  <xsd:schema xmlns:xsd="http://www.w3.org/2001/XMLSchema" xmlns:xs="http://www.w3.org/2001/XMLSchema" xmlns:p="http://schemas.microsoft.com/office/2006/metadata/properties" xmlns:ns2="a3826f81-0d89-4c84-92ed-abf8725452f5" targetNamespace="http://schemas.microsoft.com/office/2006/metadata/properties" ma:root="true" ma:fieldsID="a83e14bab3def42116765c76207e1ade" ns2:_="">
    <xsd:import namespace="a3826f81-0d89-4c84-92ed-abf8725452f5"/>
    <xsd:element name="properties">
      <xsd:complexType>
        <xsd:sequence>
          <xsd:element name="documentManagement">
            <xsd:complexType>
              <xsd:all>
                <xsd:element ref="ns2:MediaServiceMetadata" minOccurs="0"/>
                <xsd:element ref="ns2:MediaServiceFastMetadata" minOccurs="0"/>
                <xsd:element ref="ns2: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26f81-0d89-4c84-92ed-abf872545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type" ma:index="10" nillable="true" ma:displayName="Document type" ma:description="what type of document is this?" ma:format="Dropdown" ma:internalName="Documenttype">
      <xsd:simpleType>
        <xsd:restriction base="dms:Choice">
          <xsd:enumeration value="SOPs"/>
          <xsd:enumeration value="Planning"/>
          <xsd:enumeration value="Population analysis"/>
          <xsd:enumeration value="R documentation"/>
          <xsd:enumeration value="TAGR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2688C-114F-4086-A3A1-6C7FB0D8A225}">
  <ds:schemaRefs>
    <ds:schemaRef ds:uri="http://purl.org/dc/term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a3826f81-0d89-4c84-92ed-abf8725452f5"/>
    <ds:schemaRef ds:uri="http://purl.org/dc/dcmitype/"/>
  </ds:schemaRefs>
</ds:datastoreItem>
</file>

<file path=customXml/itemProps2.xml><?xml version="1.0" encoding="utf-8"?>
<ds:datastoreItem xmlns:ds="http://schemas.openxmlformats.org/officeDocument/2006/customXml" ds:itemID="{909CB5D3-5BFD-4BBC-9F32-751451F9C34C}">
  <ds:schemaRefs>
    <ds:schemaRef ds:uri="http://schemas.microsoft.com/sharepoint/v3/contenttype/forms"/>
  </ds:schemaRefs>
</ds:datastoreItem>
</file>

<file path=customXml/itemProps3.xml><?xml version="1.0" encoding="utf-8"?>
<ds:datastoreItem xmlns:ds="http://schemas.openxmlformats.org/officeDocument/2006/customXml" ds:itemID="{E4AF7F6F-C449-4A8D-860E-1176286F9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26f81-0d89-4c84-92ed-abf872545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49E116-B3D2-4241-A515-0A0CC537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phs-short-report-word-template (1)</Template>
  <TotalTime>0</TotalTime>
  <Pages>14</Pages>
  <Words>3352</Words>
  <Characters>19112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Resource Allocation Formula: Options for publication of 2025/26 shares</vt:lpstr>
    </vt:vector>
  </TitlesOfParts>
  <Company/>
  <LinksUpToDate>false</LinksUpToDate>
  <CharactersWithSpaces>22420</CharactersWithSpaces>
  <SharedDoc>false</SharedDoc>
  <HLinks>
    <vt:vector size="24" baseType="variant">
      <vt:variant>
        <vt:i4>1900545</vt:i4>
      </vt:variant>
      <vt:variant>
        <vt:i4>3</vt:i4>
      </vt:variant>
      <vt:variant>
        <vt:i4>0</vt:i4>
      </vt:variant>
      <vt:variant>
        <vt:i4>5</vt:i4>
      </vt:variant>
      <vt:variant>
        <vt:lpwstr>https://publichealthscotland.scot/publications/scottish-health-service-costs/scottish-health-service-costs-high-level-costs-summary-2021-to-2022/</vt:lpwstr>
      </vt:variant>
      <vt:variant>
        <vt:lpwstr/>
      </vt:variant>
      <vt:variant>
        <vt:i4>1900545</vt:i4>
      </vt:variant>
      <vt:variant>
        <vt:i4>0</vt:i4>
      </vt:variant>
      <vt:variant>
        <vt:i4>0</vt:i4>
      </vt:variant>
      <vt:variant>
        <vt:i4>5</vt:i4>
      </vt:variant>
      <vt:variant>
        <vt:lpwstr>https://publichealthscotland.scot/publications/scottish-health-service-costs/scottish-health-service-costs-high-level-costs-summary-2021-to-2022/</vt:lpwstr>
      </vt:variant>
      <vt:variant>
        <vt:lpwstr/>
      </vt:variant>
      <vt:variant>
        <vt:i4>393332</vt:i4>
      </vt:variant>
      <vt:variant>
        <vt:i4>3</vt:i4>
      </vt:variant>
      <vt:variant>
        <vt:i4>0</vt:i4>
      </vt:variant>
      <vt:variant>
        <vt:i4>5</vt:i4>
      </vt:variant>
      <vt:variant>
        <vt:lpwstr>https://www.ageuk.org.uk/globalassets/age-uk/documents/reports-and-publications/reports-and-briefings/health--wellbeing/the-impact-of-covid-19-on-older-people_age-uk.pdf</vt:lpwstr>
      </vt:variant>
      <vt:variant>
        <vt:lpwstr/>
      </vt:variant>
      <vt:variant>
        <vt:i4>4390951</vt:i4>
      </vt:variant>
      <vt:variant>
        <vt:i4>0</vt:i4>
      </vt:variant>
      <vt:variant>
        <vt:i4>0</vt:i4>
      </vt:variant>
      <vt:variant>
        <vt:i4>5</vt:i4>
      </vt:variant>
      <vt:variant>
        <vt:lpwstr>mailto:Martin.Mckenna@phs.scot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Allocation Formula: Options for publication of 2025/26 shares</dc:title>
  <dc:subject/>
  <dc:creator>Martin McKenna</dc:creator>
  <cp:keywords/>
  <dc:description/>
  <cp:lastModifiedBy>Iona Mayhew</cp:lastModifiedBy>
  <cp:revision>2</cp:revision>
  <cp:lastPrinted>2021-11-12T20:11:00Z</cp:lastPrinted>
  <dcterms:created xsi:type="dcterms:W3CDTF">2023-05-31T08:22:00Z</dcterms:created>
  <dcterms:modified xsi:type="dcterms:W3CDTF">2023-05-31T08:22:00Z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0x0101004A5DBF100CB70243AB23218DAC14F371</vt:lpwstr>
  </property>
</Properties>
</file>