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31" w:rsidRDefault="00CC1C82" w:rsidP="00E36759">
      <w:pPr>
        <w:rPr>
          <w:b/>
        </w:rPr>
      </w:pPr>
      <w:r w:rsidRPr="00CC1C82">
        <w:rPr>
          <w:b/>
        </w:rPr>
        <w:t xml:space="preserve">De </w:t>
      </w:r>
      <w:proofErr w:type="spellStart"/>
      <w:r w:rsidRPr="00CC1C82">
        <w:rPr>
          <w:b/>
        </w:rPr>
        <w:t>Minimis</w:t>
      </w:r>
      <w:proofErr w:type="spellEnd"/>
      <w:r w:rsidR="00D37F31">
        <w:rPr>
          <w:b/>
        </w:rPr>
        <w:t xml:space="preserve"> Costs of Healthcare Services in the NRAC Formula</w:t>
      </w:r>
    </w:p>
    <w:p w:rsidR="00AE4C30" w:rsidRDefault="00AE4C30" w:rsidP="00E36759">
      <w:pPr>
        <w:rPr>
          <w:b/>
        </w:rPr>
      </w:pPr>
      <w:r>
        <w:rPr>
          <w:b/>
        </w:rPr>
        <w:t>Paper TAGRA(2013)11</w:t>
      </w:r>
      <w:bookmarkStart w:id="0" w:name="_GoBack"/>
      <w:bookmarkEnd w:id="0"/>
    </w:p>
    <w:p w:rsidR="00CC1C82" w:rsidRPr="00D37F31" w:rsidRDefault="00CC1C82" w:rsidP="00E36759"/>
    <w:p w:rsidR="00D37F31" w:rsidRDefault="00D37F31" w:rsidP="00D37F31">
      <w:pPr>
        <w:numPr>
          <w:ilvl w:val="0"/>
          <w:numId w:val="5"/>
        </w:numPr>
        <w:tabs>
          <w:tab w:val="clear" w:pos="720"/>
          <w:tab w:val="clear" w:pos="1440"/>
          <w:tab w:val="clear" w:pos="2160"/>
          <w:tab w:val="clear" w:pos="2880"/>
          <w:tab w:val="clear" w:pos="4680"/>
          <w:tab w:val="clear" w:pos="5400"/>
          <w:tab w:val="clear" w:pos="9000"/>
        </w:tabs>
        <w:spacing w:line="240" w:lineRule="auto"/>
      </w:pPr>
      <w:r>
        <w:t xml:space="preserve">This note describes how de </w:t>
      </w:r>
      <w:proofErr w:type="spellStart"/>
      <w:r>
        <w:t>minimis</w:t>
      </w:r>
      <w:proofErr w:type="spellEnd"/>
      <w:r>
        <w:t xml:space="preserve"> costs (or quasi fixed costs) of healthcare services are captured in the NRAC formula.  </w:t>
      </w:r>
    </w:p>
    <w:p w:rsidR="00D37F31" w:rsidRDefault="00D37F31" w:rsidP="00D37F31"/>
    <w:p w:rsidR="00D37F31" w:rsidRDefault="00D37F31" w:rsidP="00D37F31">
      <w:pPr>
        <w:pStyle w:val="ListParagraph"/>
        <w:numPr>
          <w:ilvl w:val="0"/>
          <w:numId w:val="5"/>
        </w:numPr>
      </w:pPr>
      <w:r>
        <w:t>The fundamental point is that the costs of healthcare services, including staff and overheads, are included in the calculation of the average unit costs of patient treatment.  These average unit costs (by data zone) are the basis of the Unavoidable Excess Costs Adjustment (</w:t>
      </w:r>
      <w:proofErr w:type="spellStart"/>
      <w:r>
        <w:t>UECA</w:t>
      </w:r>
      <w:proofErr w:type="spellEnd"/>
      <w:r>
        <w:t xml:space="preserve">) element of the formula.  </w:t>
      </w:r>
    </w:p>
    <w:p w:rsidR="00D37F31" w:rsidRDefault="00D37F31" w:rsidP="00D37F31"/>
    <w:p w:rsidR="00D37F31" w:rsidRDefault="00D37F31" w:rsidP="00D37F31">
      <w:pPr>
        <w:pStyle w:val="ListParagraph"/>
        <w:numPr>
          <w:ilvl w:val="0"/>
          <w:numId w:val="5"/>
        </w:numPr>
      </w:pPr>
      <w:r>
        <w:t xml:space="preserve">This note provides a brief description of the </w:t>
      </w:r>
      <w:proofErr w:type="spellStart"/>
      <w:r>
        <w:t>UECA</w:t>
      </w:r>
      <w:proofErr w:type="spellEnd"/>
      <w:r>
        <w:t xml:space="preserve">.  It then </w:t>
      </w:r>
      <w:r w:rsidR="00566C0A">
        <w:t>considers</w:t>
      </w:r>
      <w:r>
        <w:t xml:space="preserve"> the derivation of hospital unit costs</w:t>
      </w:r>
      <w:r w:rsidR="00F4163E">
        <w:t>,</w:t>
      </w:r>
      <w:r>
        <w:t xml:space="preserve"> which are the focus of the interest in de </w:t>
      </w:r>
      <w:proofErr w:type="spellStart"/>
      <w:r>
        <w:t>minimis</w:t>
      </w:r>
      <w:proofErr w:type="spellEnd"/>
      <w:r>
        <w:t xml:space="preserve">.  It includes a simple numerical example to demonstrate the way in which costs feed through to the </w:t>
      </w:r>
      <w:proofErr w:type="spellStart"/>
      <w:r>
        <w:t>UECA</w:t>
      </w:r>
      <w:proofErr w:type="spellEnd"/>
      <w:r>
        <w:t xml:space="preserve">, and how the </w:t>
      </w:r>
      <w:proofErr w:type="spellStart"/>
      <w:r>
        <w:t>UECA</w:t>
      </w:r>
      <w:proofErr w:type="spellEnd"/>
      <w:r>
        <w:t xml:space="preserve"> and board target shares adjust to changes in costs. </w:t>
      </w:r>
    </w:p>
    <w:p w:rsidR="00D37F31" w:rsidRDefault="00D37F31" w:rsidP="00D37F31"/>
    <w:p w:rsidR="00D37F31" w:rsidRPr="00D37F31" w:rsidRDefault="00D37F31" w:rsidP="00D37F31">
      <w:pPr>
        <w:rPr>
          <w:b/>
        </w:rPr>
      </w:pPr>
      <w:r w:rsidRPr="00D37F31">
        <w:rPr>
          <w:b/>
        </w:rPr>
        <w:t>Unavoidable Excess Cost Adjustment – background</w:t>
      </w:r>
    </w:p>
    <w:p w:rsidR="00D37F31" w:rsidRDefault="00D37F31" w:rsidP="00D37F31">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unavoidable excess cost of supply adjustment is intended to account for variation in the cost of delivering health services in different urban-rural geographies.  It is defined as a pure unit cost effect, separate from any expenditure variation generated by differences in case-mix and length of stay etc.  These latter are captured by the additional needs adjustment in the morbidity and life circumstances element of the formula.  The adjustment is estimated for each of the </w:t>
      </w:r>
      <w:r w:rsidR="00566C0A">
        <w:rPr>
          <w:rFonts w:cs="Arial"/>
        </w:rPr>
        <w:t>Urban-Rural Categories (</w:t>
      </w:r>
      <w:proofErr w:type="spellStart"/>
      <w:r>
        <w:rPr>
          <w:rFonts w:cs="Arial"/>
        </w:rPr>
        <w:t>URC</w:t>
      </w:r>
      <w:proofErr w:type="spellEnd"/>
      <w:r w:rsidR="00566C0A">
        <w:rPr>
          <w:rFonts w:cs="Arial"/>
        </w:rPr>
        <w:t xml:space="preserve">) and each data zone within a </w:t>
      </w:r>
      <w:proofErr w:type="spellStart"/>
      <w:r>
        <w:rPr>
          <w:rFonts w:cs="Arial"/>
        </w:rPr>
        <w:t>URC</w:t>
      </w:r>
      <w:proofErr w:type="spellEnd"/>
      <w:r>
        <w:rPr>
          <w:rFonts w:cs="Arial"/>
        </w:rPr>
        <w:t xml:space="preserve"> will have the same value.  </w:t>
      </w:r>
    </w:p>
    <w:p w:rsidR="00D37F31" w:rsidRDefault="00D37F31" w:rsidP="00D37F31">
      <w:pPr>
        <w:rPr>
          <w:rFonts w:cs="Arial"/>
        </w:rPr>
      </w:pPr>
    </w:p>
    <w:p w:rsidR="00CC1C82" w:rsidRPr="00F4163E" w:rsidRDefault="00CC1C82" w:rsidP="00F4163E">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There are four elements within the unavoidable excess cost adjustment: hospital services; clinic-based community services; travel-based community services; and, prescribing.  An overview of </w:t>
      </w:r>
      <w:r w:rsidR="00F4163E">
        <w:rPr>
          <w:rFonts w:cs="Arial"/>
        </w:rPr>
        <w:t xml:space="preserve">each </w:t>
      </w:r>
      <w:r>
        <w:rPr>
          <w:rFonts w:cs="Arial"/>
        </w:rPr>
        <w:t xml:space="preserve">these elements is provided in Annex 1.  </w:t>
      </w:r>
      <w:r w:rsidRPr="00F4163E">
        <w:rPr>
          <w:rFonts w:cs="Arial"/>
        </w:rPr>
        <w:t xml:space="preserve">However, as the issue of de </w:t>
      </w:r>
      <w:proofErr w:type="spellStart"/>
      <w:r w:rsidRPr="00F4163E">
        <w:rPr>
          <w:rFonts w:cs="Arial"/>
        </w:rPr>
        <w:t>minimis</w:t>
      </w:r>
      <w:proofErr w:type="spellEnd"/>
      <w:r w:rsidRPr="00F4163E">
        <w:rPr>
          <w:rFonts w:cs="Arial"/>
        </w:rPr>
        <w:t xml:space="preserve"> costs is raised in relation to hospital services – this note will focus on the excess cost adjustment for hospital services.   </w:t>
      </w:r>
    </w:p>
    <w:p w:rsidR="00CC1C82" w:rsidRDefault="00CC1C82" w:rsidP="00CC1C82">
      <w:pPr>
        <w:tabs>
          <w:tab w:val="clear" w:pos="720"/>
          <w:tab w:val="clear" w:pos="1440"/>
          <w:tab w:val="clear" w:pos="2160"/>
          <w:tab w:val="clear" w:pos="2880"/>
          <w:tab w:val="clear" w:pos="4680"/>
          <w:tab w:val="clear" w:pos="5400"/>
          <w:tab w:val="clear" w:pos="9000"/>
        </w:tabs>
        <w:spacing w:line="240" w:lineRule="auto"/>
        <w:rPr>
          <w:rFonts w:cs="Arial"/>
        </w:rPr>
      </w:pPr>
    </w:p>
    <w:p w:rsidR="00540FC9" w:rsidRDefault="00540FC9"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sidRPr="00F4163E">
        <w:rPr>
          <w:rFonts w:cs="Arial"/>
        </w:rPr>
        <w:t xml:space="preserve">There are two main parts to the </w:t>
      </w:r>
      <w:proofErr w:type="spellStart"/>
      <w:r w:rsidRPr="00F4163E">
        <w:rPr>
          <w:rFonts w:cs="Arial"/>
        </w:rPr>
        <w:t>ECA</w:t>
      </w:r>
      <w:proofErr w:type="spellEnd"/>
      <w:r w:rsidRPr="00F4163E">
        <w:rPr>
          <w:rFonts w:cs="Arial"/>
        </w:rPr>
        <w:t xml:space="preserve"> method for hospital services: first, the calculation of the cost ratios at the data zone level; second, the estimation of the average cost ratios for the urban/rural categories.  </w:t>
      </w:r>
      <w:r w:rsidR="00F4163E" w:rsidRPr="00F4163E">
        <w:rPr>
          <w:rFonts w:cs="Arial"/>
        </w:rPr>
        <w:t xml:space="preserve">Again, as the issue under consideration is whether de </w:t>
      </w:r>
      <w:proofErr w:type="spellStart"/>
      <w:r w:rsidR="00F4163E" w:rsidRPr="00F4163E">
        <w:rPr>
          <w:rFonts w:cs="Arial"/>
        </w:rPr>
        <w:t>minimis</w:t>
      </w:r>
      <w:proofErr w:type="spellEnd"/>
      <w:r w:rsidR="00F4163E" w:rsidRPr="00F4163E">
        <w:rPr>
          <w:rFonts w:cs="Arial"/>
        </w:rPr>
        <w:t xml:space="preserve"> costs are captured in the formula the rest of the note will focus on the calculation of the cost ratios.  </w:t>
      </w:r>
    </w:p>
    <w:p w:rsidR="00F4163E" w:rsidRPr="00F4163E" w:rsidRDefault="00F4163E" w:rsidP="00F4163E">
      <w:pPr>
        <w:tabs>
          <w:tab w:val="clear" w:pos="720"/>
          <w:tab w:val="clear" w:pos="1440"/>
          <w:tab w:val="clear" w:pos="2160"/>
          <w:tab w:val="clear" w:pos="2880"/>
          <w:tab w:val="clear" w:pos="4680"/>
          <w:tab w:val="clear" w:pos="5400"/>
          <w:tab w:val="clear" w:pos="9000"/>
        </w:tabs>
        <w:spacing w:line="240" w:lineRule="auto"/>
        <w:rPr>
          <w:rFonts w:cs="Arial"/>
        </w:rPr>
      </w:pPr>
    </w:p>
    <w:p w:rsidR="00540FC9" w:rsidRPr="005A3D0A" w:rsidRDefault="00F4163E" w:rsidP="00540FC9">
      <w:pPr>
        <w:rPr>
          <w:rFonts w:cs="Arial"/>
          <w:b/>
        </w:rPr>
      </w:pPr>
      <w:r>
        <w:rPr>
          <w:rFonts w:cs="Arial"/>
          <w:b/>
        </w:rPr>
        <w:t xml:space="preserve">Unavoidable </w:t>
      </w:r>
      <w:r w:rsidR="00540FC9" w:rsidRPr="005A3D0A">
        <w:rPr>
          <w:rFonts w:cs="Arial"/>
          <w:b/>
        </w:rPr>
        <w:t xml:space="preserve">Excess </w:t>
      </w:r>
      <w:r>
        <w:rPr>
          <w:rFonts w:cs="Arial"/>
          <w:b/>
        </w:rPr>
        <w:t>Cost A</w:t>
      </w:r>
      <w:r w:rsidR="00540FC9" w:rsidRPr="005A3D0A">
        <w:rPr>
          <w:rFonts w:cs="Arial"/>
          <w:b/>
        </w:rPr>
        <w:t xml:space="preserve">djustment – </w:t>
      </w:r>
      <w:r w:rsidR="00540FC9">
        <w:rPr>
          <w:rFonts w:cs="Arial"/>
          <w:b/>
        </w:rPr>
        <w:t>calculating local cost ratios:</w:t>
      </w:r>
    </w:p>
    <w:p w:rsidR="00540FC9" w:rsidRDefault="00540FC9"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hospital </w:t>
      </w:r>
      <w:proofErr w:type="spellStart"/>
      <w:r w:rsidR="00F4163E">
        <w:rPr>
          <w:rFonts w:cs="Arial"/>
        </w:rPr>
        <w:t>U</w:t>
      </w:r>
      <w:r>
        <w:rPr>
          <w:rFonts w:cs="Arial"/>
        </w:rPr>
        <w:t>ECA</w:t>
      </w:r>
      <w:proofErr w:type="spellEnd"/>
      <w:r>
        <w:rPr>
          <w:rFonts w:cs="Arial"/>
        </w:rPr>
        <w:t xml:space="preserve"> compares the actual costs of treating patients in a data zone with the cost of treating them had the unit costs of care been national average unit costs (rather than the actual costs).  That is, it calculates the ratio of actual treatment costs to national average costs (at the speciality level)</w:t>
      </w:r>
      <w:r>
        <w:rPr>
          <w:rStyle w:val="FootnoteReference"/>
          <w:rFonts w:cs="Arial"/>
        </w:rPr>
        <w:footnoteReference w:id="1"/>
      </w:r>
      <w:r>
        <w:rPr>
          <w:rFonts w:cs="Arial"/>
        </w:rPr>
        <w:t xml:space="preserve">.  Details of the cost ratio calculation approach from NRAC Technical Report E are presented in Annex </w:t>
      </w:r>
      <w:r w:rsidR="00566C0A">
        <w:rPr>
          <w:rFonts w:cs="Arial"/>
        </w:rPr>
        <w:t xml:space="preserve">2 </w:t>
      </w:r>
      <w:r>
        <w:rPr>
          <w:rFonts w:cs="Arial"/>
        </w:rPr>
        <w:t xml:space="preserve">for reference. </w:t>
      </w:r>
    </w:p>
    <w:p w:rsidR="00540FC9" w:rsidRDefault="00540FC9" w:rsidP="00540FC9">
      <w:pPr>
        <w:rPr>
          <w:rFonts w:cs="Arial"/>
        </w:rPr>
      </w:pPr>
    </w:p>
    <w:p w:rsidR="00540FC9" w:rsidRDefault="00540FC9"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 specific data used for the hospital costs ratio combines activity data (SMR) with the speciality level cost data in SFR 5.2.  Thus the unit costs will encompass all the costs</w:t>
      </w:r>
      <w:r>
        <w:rPr>
          <w:rStyle w:val="FootnoteReference"/>
          <w:rFonts w:cs="Arial"/>
        </w:rPr>
        <w:footnoteReference w:id="2"/>
      </w:r>
      <w:r>
        <w:rPr>
          <w:rFonts w:cs="Arial"/>
        </w:rPr>
        <w:t xml:space="preserve"> of treating patients at a board including the fixed costs of the board and the hospital – which are allocated to patient treatment services.  </w:t>
      </w:r>
    </w:p>
    <w:p w:rsidR="00540FC9" w:rsidRDefault="00540FC9" w:rsidP="00540FC9">
      <w:pPr>
        <w:rPr>
          <w:rFonts w:cs="Arial"/>
        </w:rPr>
      </w:pPr>
    </w:p>
    <w:p w:rsidR="00540FC9" w:rsidRDefault="00540FC9"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basic expenditure source used for the calculation of costs is the Costs Book.  See the following link to the Costs Book Manual (and reconciliation to the Annual Accounts) for definitions of the cost data.  </w:t>
      </w:r>
      <w:hyperlink r:id="rId9" w:history="1">
        <w:r w:rsidRPr="00223CF9">
          <w:rPr>
            <w:rStyle w:val="Hyperlink"/>
            <w:rFonts w:cs="Arial"/>
            <w:sz w:val="22"/>
            <w:szCs w:val="22"/>
          </w:rPr>
          <w:t>http://www.isdscotland.org/Health-Topics/Finance/Costs/Reference-Information.asp</w:t>
        </w:r>
      </w:hyperlink>
    </w:p>
    <w:p w:rsidR="00540FC9" w:rsidRDefault="00540FC9" w:rsidP="00540FC9">
      <w:pPr>
        <w:rPr>
          <w:rFonts w:cs="Arial"/>
        </w:rPr>
      </w:pPr>
    </w:p>
    <w:p w:rsidR="00540FC9" w:rsidRDefault="00540FC9"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A board which had to maintain a large hospital or number of hospital beds or hospital staff, relative to its number of patients (because it had a small population), will have a high average cost per patient.  That is, it will have a high cost per patient compared to the national average cost – and this will be captured as high cost ratio.  </w:t>
      </w:r>
    </w:p>
    <w:p w:rsidR="00540FC9" w:rsidRDefault="00540FC9" w:rsidP="00540FC9">
      <w:pPr>
        <w:rPr>
          <w:rFonts w:cs="Arial"/>
        </w:rPr>
      </w:pPr>
    </w:p>
    <w:p w:rsidR="00540FC9" w:rsidRDefault="00540FC9"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In practice there are cross (health board) border transfers of patients and the </w:t>
      </w:r>
      <w:proofErr w:type="spellStart"/>
      <w:r>
        <w:rPr>
          <w:rFonts w:cs="Arial"/>
        </w:rPr>
        <w:t>ECA</w:t>
      </w:r>
      <w:proofErr w:type="spellEnd"/>
      <w:r>
        <w:rPr>
          <w:rFonts w:cs="Arial"/>
        </w:rPr>
        <w:t xml:space="preserve"> average cost of treating the patients in a data zone reflects this: it is the cost of treatment for data zone residents irrespective of where the treatment occurs.  The cost ratio for the data zone will reflect an average of the costs of the board of residence for patients treated in the home board and the costs of the board of treatment for patients treated in another board.  </w:t>
      </w:r>
    </w:p>
    <w:p w:rsidR="00540FC9" w:rsidRDefault="00540FC9" w:rsidP="00540FC9">
      <w:pPr>
        <w:rPr>
          <w:rFonts w:cs="Arial"/>
        </w:rPr>
      </w:pPr>
    </w:p>
    <w:p w:rsidR="00540FC9" w:rsidRDefault="00540FC9"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That ensures that the estimated cost ratio reflects the average cost to the board of treating its resident population, ceteris paribus</w:t>
      </w:r>
      <w:r w:rsidR="00566C0A">
        <w:rPr>
          <w:rFonts w:cs="Arial"/>
        </w:rPr>
        <w:t xml:space="preserve">.  </w:t>
      </w:r>
      <w:r>
        <w:rPr>
          <w:rFonts w:cs="Arial"/>
        </w:rPr>
        <w:t xml:space="preserve">Note that the methodology for estimating the unit costs of </w:t>
      </w:r>
      <w:r w:rsidR="00566C0A">
        <w:rPr>
          <w:rFonts w:cs="Arial"/>
        </w:rPr>
        <w:t xml:space="preserve">hospital </w:t>
      </w:r>
      <w:r>
        <w:rPr>
          <w:rFonts w:cs="Arial"/>
        </w:rPr>
        <w:t xml:space="preserve">treatment </w:t>
      </w:r>
      <w:r w:rsidR="00566C0A">
        <w:rPr>
          <w:rFonts w:cs="Arial"/>
        </w:rPr>
        <w:t>is under review</w:t>
      </w:r>
      <w:r>
        <w:rPr>
          <w:rFonts w:cs="Arial"/>
        </w:rPr>
        <w:t xml:space="preserve"> as part of TAGRA’s work programme. </w:t>
      </w:r>
    </w:p>
    <w:p w:rsidR="0089719D" w:rsidRDefault="0089719D" w:rsidP="0089719D">
      <w:pPr>
        <w:tabs>
          <w:tab w:val="clear" w:pos="720"/>
          <w:tab w:val="clear" w:pos="1440"/>
          <w:tab w:val="clear" w:pos="2160"/>
          <w:tab w:val="clear" w:pos="2880"/>
          <w:tab w:val="clear" w:pos="4680"/>
          <w:tab w:val="clear" w:pos="5400"/>
          <w:tab w:val="clear" w:pos="9000"/>
        </w:tabs>
        <w:spacing w:line="240" w:lineRule="auto"/>
        <w:rPr>
          <w:rFonts w:cs="Arial"/>
        </w:rPr>
      </w:pPr>
    </w:p>
    <w:p w:rsidR="0089719D" w:rsidRPr="0089719D" w:rsidRDefault="0089719D" w:rsidP="0089719D">
      <w:pPr>
        <w:tabs>
          <w:tab w:val="clear" w:pos="720"/>
          <w:tab w:val="clear" w:pos="1440"/>
          <w:tab w:val="clear" w:pos="2160"/>
          <w:tab w:val="clear" w:pos="2880"/>
          <w:tab w:val="clear" w:pos="4680"/>
          <w:tab w:val="clear" w:pos="5400"/>
          <w:tab w:val="clear" w:pos="9000"/>
        </w:tabs>
        <w:spacing w:line="240" w:lineRule="auto"/>
        <w:rPr>
          <w:rFonts w:cs="Arial"/>
          <w:b/>
        </w:rPr>
      </w:pPr>
      <w:r w:rsidRPr="0089719D">
        <w:rPr>
          <w:rFonts w:cs="Arial"/>
          <w:b/>
        </w:rPr>
        <w:t xml:space="preserve">Unavoidable Excess Cost Adjustment – </w:t>
      </w:r>
      <w:r>
        <w:rPr>
          <w:rFonts w:cs="Arial"/>
          <w:b/>
        </w:rPr>
        <w:t>a numerical example</w:t>
      </w:r>
      <w:r w:rsidRPr="0089719D">
        <w:rPr>
          <w:rFonts w:cs="Arial"/>
          <w:b/>
        </w:rPr>
        <w:t>:</w:t>
      </w:r>
    </w:p>
    <w:p w:rsidR="0089719D" w:rsidRDefault="00EE5F42" w:rsidP="00540FC9">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In this section we use a worked example to demonstrate how the </w:t>
      </w:r>
      <w:proofErr w:type="spellStart"/>
      <w:r>
        <w:rPr>
          <w:rFonts w:cs="Arial"/>
        </w:rPr>
        <w:t>UECA</w:t>
      </w:r>
      <w:proofErr w:type="spellEnd"/>
      <w:r>
        <w:rPr>
          <w:rFonts w:cs="Arial"/>
        </w:rPr>
        <w:t xml:space="preserve"> </w:t>
      </w:r>
      <w:r w:rsidR="00566C0A">
        <w:rPr>
          <w:rFonts w:cs="Arial"/>
        </w:rPr>
        <w:t>reflects differences</w:t>
      </w:r>
      <w:r>
        <w:rPr>
          <w:rFonts w:cs="Arial"/>
        </w:rPr>
        <w:t xml:space="preserve"> in costs.  For transparency we use a simple model which assumes:</w:t>
      </w:r>
    </w:p>
    <w:p w:rsidR="009A20B8" w:rsidRDefault="00EE5F42" w:rsidP="009A20B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there are two boards (Remote and Central);</w:t>
      </w:r>
      <w:r w:rsidR="009A20B8" w:rsidRPr="009A20B8">
        <w:rPr>
          <w:rFonts w:cs="Arial"/>
        </w:rPr>
        <w:t xml:space="preserve"> </w:t>
      </w:r>
    </w:p>
    <w:p w:rsidR="00EE5F42" w:rsidRPr="009A20B8" w:rsidRDefault="009A20B8" w:rsidP="009A20B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 characteristics of Central are generally 10 times</w:t>
      </w:r>
      <w:r w:rsidR="00566C0A">
        <w:rPr>
          <w:rFonts w:cs="Arial"/>
        </w:rPr>
        <w:t xml:space="preserve"> larger</w:t>
      </w:r>
      <w:r>
        <w:rPr>
          <w:rFonts w:cs="Arial"/>
        </w:rPr>
        <w:t xml:space="preserve"> those of Remote, but the hospital costs are only 5 times that of Remote;</w:t>
      </w:r>
    </w:p>
    <w:p w:rsidR="00EE5F42" w:rsidRDefault="00EE5F42" w:rsidP="00EE5F42">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each board has one hospital;</w:t>
      </w:r>
    </w:p>
    <w:p w:rsidR="009A20B8" w:rsidRDefault="009A20B8" w:rsidP="009A20B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hospital costs are fixed;</w:t>
      </w:r>
      <w:r w:rsidRPr="009A20B8">
        <w:rPr>
          <w:rFonts w:cs="Arial"/>
        </w:rPr>
        <w:t xml:space="preserve"> </w:t>
      </w:r>
    </w:p>
    <w:p w:rsidR="00EE5F42" w:rsidRDefault="009A20B8" w:rsidP="009A20B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there is only one type of patient (inpatient);</w:t>
      </w:r>
    </w:p>
    <w:p w:rsidR="00566C0A" w:rsidRPr="009A20B8" w:rsidRDefault="00566C0A" w:rsidP="009A20B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speciality differences are ignored.</w:t>
      </w:r>
    </w:p>
    <w:p w:rsidR="00EE5F42" w:rsidRDefault="00EE5F42" w:rsidP="009A20B8">
      <w:pPr>
        <w:tabs>
          <w:tab w:val="clear" w:pos="720"/>
          <w:tab w:val="clear" w:pos="1440"/>
          <w:tab w:val="clear" w:pos="2160"/>
          <w:tab w:val="clear" w:pos="2880"/>
          <w:tab w:val="clear" w:pos="4680"/>
          <w:tab w:val="clear" w:pos="5400"/>
          <w:tab w:val="clear" w:pos="9000"/>
        </w:tabs>
        <w:spacing w:line="240" w:lineRule="auto"/>
        <w:rPr>
          <w:rFonts w:cs="Arial"/>
        </w:rPr>
      </w:pPr>
    </w:p>
    <w:p w:rsidR="00EE5F42" w:rsidRPr="00355456" w:rsidRDefault="003D2F14" w:rsidP="00355456">
      <w:pPr>
        <w:numPr>
          <w:ilvl w:val="0"/>
          <w:numId w:val="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w:t>
      </w:r>
      <w:r w:rsidR="009A20B8">
        <w:rPr>
          <w:rFonts w:cs="Arial"/>
        </w:rPr>
        <w:t>re</w:t>
      </w:r>
      <w:r>
        <w:rPr>
          <w:rFonts w:cs="Arial"/>
        </w:rPr>
        <w:t xml:space="preserve"> </w:t>
      </w:r>
      <w:r w:rsidR="009A20B8">
        <w:rPr>
          <w:rFonts w:cs="Arial"/>
        </w:rPr>
        <w:t>are two scenarios: first, the remote board treats all its own residents; second, the remote board sends patients to the central board for treatment.  Crucially in both cases the hospital costs are the same</w:t>
      </w:r>
      <w:r w:rsidR="00355456">
        <w:rPr>
          <w:rFonts w:cs="Arial"/>
        </w:rPr>
        <w:t xml:space="preserve"> (i.e. they are all fixed </w:t>
      </w:r>
      <w:r w:rsidR="00355456">
        <w:rPr>
          <w:rFonts w:cs="Arial"/>
        </w:rPr>
        <w:lastRenderedPageBreak/>
        <w:t xml:space="preserve">or de </w:t>
      </w:r>
      <w:proofErr w:type="spellStart"/>
      <w:r w:rsidR="00355456">
        <w:rPr>
          <w:rFonts w:cs="Arial"/>
        </w:rPr>
        <w:t>minimis</w:t>
      </w:r>
      <w:proofErr w:type="spellEnd"/>
      <w:r w:rsidR="00355456">
        <w:rPr>
          <w:rFonts w:cs="Arial"/>
        </w:rPr>
        <w:t>)</w:t>
      </w:r>
      <w:r w:rsidR="009A20B8">
        <w:rPr>
          <w:rFonts w:cs="Arial"/>
        </w:rPr>
        <w:t xml:space="preserve">.  The tables show how the </w:t>
      </w:r>
      <w:proofErr w:type="spellStart"/>
      <w:r w:rsidR="009A20B8">
        <w:rPr>
          <w:rFonts w:cs="Arial"/>
        </w:rPr>
        <w:t>UECA</w:t>
      </w:r>
      <w:proofErr w:type="spellEnd"/>
      <w:r w:rsidR="009A20B8">
        <w:rPr>
          <w:rFonts w:cs="Arial"/>
        </w:rPr>
        <w:t xml:space="preserve"> will ref</w:t>
      </w:r>
      <w:r w:rsidR="00355456">
        <w:rPr>
          <w:rFonts w:cs="Arial"/>
        </w:rPr>
        <w:t xml:space="preserve">lect the average costs of treatment in both cases.  </w:t>
      </w:r>
      <w:r w:rsidR="00EE5F42">
        <w:br w:type="page"/>
      </w:r>
    </w:p>
    <w:p w:rsidR="00CC1C82" w:rsidRDefault="00566C0A" w:rsidP="00E36759">
      <w:r>
        <w:lastRenderedPageBreak/>
        <w:t>Scenario</w:t>
      </w:r>
      <w:r w:rsidR="00BD3A75">
        <w:t xml:space="preserve"> </w:t>
      </w:r>
      <w:r w:rsidR="005633F1">
        <w:t>1</w:t>
      </w:r>
      <w:r w:rsidR="00BD3A75">
        <w:t xml:space="preserve">: </w:t>
      </w:r>
      <w:r w:rsidR="009A20B8">
        <w:t>Remote Board Treats All Resident Patients</w:t>
      </w:r>
    </w:p>
    <w:tbl>
      <w:tblPr>
        <w:tblW w:w="10424" w:type="dxa"/>
        <w:jc w:val="center"/>
        <w:tblInd w:w="93" w:type="dxa"/>
        <w:tblLayout w:type="fixed"/>
        <w:tblLook w:val="04A0" w:firstRow="1" w:lastRow="0" w:firstColumn="1" w:lastColumn="0" w:noHBand="0" w:noVBand="1"/>
      </w:tblPr>
      <w:tblGrid>
        <w:gridCol w:w="3705"/>
        <w:gridCol w:w="828"/>
        <w:gridCol w:w="979"/>
        <w:gridCol w:w="1134"/>
        <w:gridCol w:w="1134"/>
        <w:gridCol w:w="993"/>
        <w:gridCol w:w="992"/>
        <w:gridCol w:w="659"/>
      </w:tblGrid>
      <w:tr w:rsidR="00686FBB" w:rsidRPr="00686FBB" w:rsidTr="003D2F14">
        <w:trPr>
          <w:trHeight w:val="555"/>
          <w:jc w:val="center"/>
        </w:trPr>
        <w:tc>
          <w:tcPr>
            <w:tcW w:w="3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w:t>
            </w:r>
          </w:p>
        </w:tc>
        <w:tc>
          <w:tcPr>
            <w:tcW w:w="1807" w:type="dxa"/>
            <w:gridSpan w:val="2"/>
            <w:tcBorders>
              <w:top w:val="single" w:sz="4" w:space="0" w:color="auto"/>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686FBB">
              <w:rPr>
                <w:rFonts w:cs="Arial"/>
                <w:color w:val="000000"/>
                <w:sz w:val="20"/>
                <w:lang w:eastAsia="en-GB"/>
              </w:rPr>
              <w:t>Remote Board</w:t>
            </w:r>
          </w:p>
        </w:tc>
        <w:tc>
          <w:tcPr>
            <w:tcW w:w="3261" w:type="dxa"/>
            <w:gridSpan w:val="3"/>
            <w:tcBorders>
              <w:top w:val="single" w:sz="4" w:space="0" w:color="auto"/>
              <w:left w:val="nil"/>
              <w:bottom w:val="single" w:sz="4" w:space="0" w:color="auto"/>
              <w:right w:val="single" w:sz="4" w:space="0" w:color="000000"/>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686FBB">
              <w:rPr>
                <w:rFonts w:cs="Arial"/>
                <w:color w:val="000000"/>
                <w:sz w:val="20"/>
                <w:lang w:eastAsia="en-GB"/>
              </w:rPr>
              <w:t>Central Board</w:t>
            </w:r>
          </w:p>
        </w:tc>
        <w:tc>
          <w:tcPr>
            <w:tcW w:w="1651" w:type="dxa"/>
            <w:gridSpan w:val="2"/>
            <w:tcBorders>
              <w:top w:val="single" w:sz="4" w:space="0" w:color="auto"/>
              <w:left w:val="nil"/>
              <w:bottom w:val="single" w:sz="4" w:space="0" w:color="auto"/>
              <w:right w:val="single" w:sz="4" w:space="0" w:color="auto"/>
            </w:tcBorders>
            <w:shd w:val="clear" w:color="auto" w:fill="auto"/>
            <w:vAlign w:val="bottom"/>
            <w:hideMark/>
          </w:tcPr>
          <w:p w:rsidR="00BD3A75" w:rsidRDefault="00686FBB" w:rsidP="00686FBB">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proofErr w:type="spellStart"/>
            <w:r w:rsidRPr="00686FBB">
              <w:rPr>
                <w:rFonts w:cs="Arial"/>
                <w:color w:val="000000"/>
                <w:sz w:val="20"/>
                <w:lang w:eastAsia="en-GB"/>
              </w:rPr>
              <w:t>RB+CB</w:t>
            </w:r>
            <w:proofErr w:type="spellEnd"/>
            <w:r w:rsidRPr="00686FBB">
              <w:rPr>
                <w:rFonts w:cs="Arial"/>
                <w:color w:val="000000"/>
                <w:sz w:val="20"/>
                <w:lang w:eastAsia="en-GB"/>
              </w:rPr>
              <w:t xml:space="preserve"> </w:t>
            </w:r>
          </w:p>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686FBB">
              <w:rPr>
                <w:rFonts w:cs="Arial"/>
                <w:color w:val="000000"/>
                <w:sz w:val="20"/>
                <w:lang w:eastAsia="en-GB"/>
              </w:rPr>
              <w:t>(= "Scotland")</w:t>
            </w:r>
          </w:p>
        </w:tc>
      </w:tr>
      <w:tr w:rsidR="00686FBB" w:rsidRPr="00686FBB" w:rsidTr="003D2F14">
        <w:trPr>
          <w:trHeight w:val="510"/>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w:t>
            </w:r>
          </w:p>
        </w:tc>
        <w:tc>
          <w:tcPr>
            <w:tcW w:w="828" w:type="dxa"/>
            <w:tcBorders>
              <w:top w:val="nil"/>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686FBB">
              <w:rPr>
                <w:rFonts w:cs="Arial"/>
                <w:color w:val="000000"/>
                <w:sz w:val="20"/>
                <w:lang w:eastAsia="en-GB"/>
              </w:rPr>
              <w:t>RGH</w:t>
            </w:r>
            <w:proofErr w:type="spellEnd"/>
            <w:r w:rsidRPr="00686FBB">
              <w:rPr>
                <w:rFonts w:cs="Arial"/>
                <w:color w:val="000000"/>
                <w:sz w:val="20"/>
                <w:lang w:eastAsia="en-GB"/>
              </w:rPr>
              <w:t xml:space="preserve">  </w:t>
            </w:r>
          </w:p>
        </w:tc>
        <w:tc>
          <w:tcPr>
            <w:tcW w:w="979" w:type="dxa"/>
            <w:tcBorders>
              <w:top w:val="nil"/>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Board Total</w:t>
            </w:r>
          </w:p>
        </w:tc>
        <w:tc>
          <w:tcPr>
            <w:tcW w:w="1134" w:type="dxa"/>
            <w:tcBorders>
              <w:top w:val="nil"/>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686FBB">
              <w:rPr>
                <w:rFonts w:cs="Arial"/>
                <w:color w:val="000000"/>
                <w:sz w:val="20"/>
                <w:lang w:eastAsia="en-GB"/>
              </w:rPr>
              <w:t>CGH</w:t>
            </w:r>
            <w:proofErr w:type="spellEnd"/>
            <w:r w:rsidRPr="00686FBB">
              <w:rPr>
                <w:rFonts w:cs="Arial"/>
                <w:color w:val="000000"/>
                <w:sz w:val="20"/>
                <w:lang w:eastAsia="en-GB"/>
              </w:rPr>
              <w:t xml:space="preserve"> (CB residents)</w:t>
            </w:r>
          </w:p>
        </w:tc>
        <w:tc>
          <w:tcPr>
            <w:tcW w:w="1134" w:type="dxa"/>
            <w:tcBorders>
              <w:top w:val="nil"/>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686FBB">
              <w:rPr>
                <w:rFonts w:cs="Arial"/>
                <w:color w:val="000000"/>
                <w:sz w:val="20"/>
                <w:lang w:eastAsia="en-GB"/>
              </w:rPr>
              <w:t>CGH</w:t>
            </w:r>
            <w:proofErr w:type="spellEnd"/>
            <w:r w:rsidRPr="00686FBB">
              <w:rPr>
                <w:rFonts w:cs="Arial"/>
                <w:color w:val="000000"/>
                <w:sz w:val="20"/>
                <w:lang w:eastAsia="en-GB"/>
              </w:rPr>
              <w:t xml:space="preserve"> (</w:t>
            </w:r>
            <w:proofErr w:type="spellStart"/>
            <w:r w:rsidRPr="00686FBB">
              <w:rPr>
                <w:rFonts w:cs="Arial"/>
                <w:color w:val="000000"/>
                <w:sz w:val="20"/>
                <w:lang w:eastAsia="en-GB"/>
              </w:rPr>
              <w:t>RB</w:t>
            </w:r>
            <w:proofErr w:type="spellEnd"/>
            <w:r w:rsidRPr="00686FBB">
              <w:rPr>
                <w:rFonts w:cs="Arial"/>
                <w:color w:val="000000"/>
                <w:sz w:val="20"/>
                <w:lang w:eastAsia="en-GB"/>
              </w:rPr>
              <w:t xml:space="preserve"> residents)</w:t>
            </w:r>
          </w:p>
        </w:tc>
        <w:tc>
          <w:tcPr>
            <w:tcW w:w="993" w:type="dxa"/>
            <w:tcBorders>
              <w:top w:val="nil"/>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Board Total</w:t>
            </w:r>
          </w:p>
        </w:tc>
        <w:tc>
          <w:tcPr>
            <w:tcW w:w="992" w:type="dxa"/>
            <w:tcBorders>
              <w:top w:val="nil"/>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xml:space="preserve">Total </w:t>
            </w:r>
          </w:p>
        </w:tc>
        <w:tc>
          <w:tcPr>
            <w:tcW w:w="659" w:type="dxa"/>
            <w:tcBorders>
              <w:top w:val="nil"/>
              <w:left w:val="nil"/>
              <w:bottom w:val="single" w:sz="4" w:space="0" w:color="auto"/>
              <w:right w:val="single" w:sz="4" w:space="0" w:color="auto"/>
            </w:tcBorders>
            <w:shd w:val="clear" w:color="auto" w:fill="auto"/>
            <w:vAlign w:val="bottom"/>
            <w:hideMark/>
          </w:tcPr>
          <w:p w:rsidR="00686FBB" w:rsidRPr="00686FBB" w:rsidRDefault="00686FBB"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Ave.</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Health board residents</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30,000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300,000</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330,000</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Board inpatient episode by board of residence</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4,000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40,000</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xml:space="preserve">Board inpatient episode treated by hospital &amp; </w:t>
            </w:r>
            <w:proofErr w:type="spellStart"/>
            <w:r w:rsidRPr="00686FBB">
              <w:rPr>
                <w:rFonts w:cs="Arial"/>
                <w:color w:val="000000"/>
                <w:sz w:val="20"/>
                <w:lang w:eastAsia="en-GB"/>
              </w:rPr>
              <w:t>HB</w:t>
            </w:r>
            <w:proofErr w:type="spellEnd"/>
            <w:r w:rsidRPr="00686FBB">
              <w:rPr>
                <w:rFonts w:cs="Arial"/>
                <w:color w:val="000000"/>
                <w:sz w:val="20"/>
                <w:lang w:eastAsia="en-GB"/>
              </w:rPr>
              <w:t xml:space="preserve"> of treatment</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4,000</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4,000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40,000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0</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40,000</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44,000</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Total hospital treatment costs (£ 000)</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25,000</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25,000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100,000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0</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125,000</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150,000</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Net board costs (£ 000)</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25,000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125,000</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Unit cost of treatment episode (£ 000 )</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6.25</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6.25</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3.13</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3.41</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Ratio of cost</w:t>
            </w:r>
            <w:r w:rsidR="000C4F2E">
              <w:rPr>
                <w:rFonts w:cs="Arial"/>
                <w:color w:val="000000"/>
                <w:sz w:val="20"/>
                <w:lang w:eastAsia="en-GB"/>
              </w:rPr>
              <w:t xml:space="preserve"> – local to national</w:t>
            </w:r>
            <w:r w:rsidRPr="00686FBB">
              <w:rPr>
                <w:rFonts w:cs="Arial"/>
                <w:color w:val="000000"/>
                <w:sz w:val="20"/>
                <w:lang w:eastAsia="en-GB"/>
              </w:rPr>
              <w:t xml:space="preserve"> (</w:t>
            </w:r>
            <w:proofErr w:type="spellStart"/>
            <w:r w:rsidRPr="00686FBB">
              <w:rPr>
                <w:rFonts w:cs="Arial"/>
                <w:color w:val="000000"/>
                <w:sz w:val="20"/>
                <w:lang w:eastAsia="en-GB"/>
              </w:rPr>
              <w:t>UEC</w:t>
            </w:r>
            <w:proofErr w:type="spellEnd"/>
            <w:r w:rsidRPr="00686FBB">
              <w:rPr>
                <w:rFonts w:cs="Arial"/>
                <w:color w:val="000000"/>
                <w:sz w:val="20"/>
                <w:lang w:eastAsia="en-GB"/>
              </w:rPr>
              <w:t>)</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1.83</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0.92</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Weighted population</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55,000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275,000</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330,000</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Target share</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17%</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83%</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r w:rsidR="005633F1"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633F1" w:rsidRPr="00686FBB" w:rsidRDefault="005633F1" w:rsidP="00686FBB">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Implied funding (£ 000)</w:t>
            </w:r>
          </w:p>
        </w:tc>
        <w:tc>
          <w:tcPr>
            <w:tcW w:w="828"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25,000</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125,000</w:t>
            </w:r>
          </w:p>
        </w:tc>
        <w:tc>
          <w:tcPr>
            <w:tcW w:w="992" w:type="dxa"/>
            <w:tcBorders>
              <w:top w:val="nil"/>
              <w:left w:val="nil"/>
              <w:bottom w:val="single" w:sz="4" w:space="0" w:color="auto"/>
              <w:right w:val="single" w:sz="4" w:space="0" w:color="auto"/>
            </w:tcBorders>
            <w:shd w:val="clear" w:color="auto" w:fill="auto"/>
            <w:vAlign w:val="bottom"/>
            <w:hideMark/>
          </w:tcPr>
          <w:p w:rsidR="005633F1" w:rsidRDefault="005633F1" w:rsidP="005633F1">
            <w:pPr>
              <w:jc w:val="right"/>
              <w:rPr>
                <w:rFonts w:cs="Arial"/>
                <w:color w:val="000000"/>
                <w:sz w:val="20"/>
              </w:rPr>
            </w:pPr>
            <w:r>
              <w:rPr>
                <w:rFonts w:cs="Arial"/>
                <w:color w:val="000000"/>
                <w:sz w:val="20"/>
              </w:rPr>
              <w:t>150,000</w:t>
            </w:r>
          </w:p>
        </w:tc>
        <w:tc>
          <w:tcPr>
            <w:tcW w:w="659" w:type="dxa"/>
            <w:tcBorders>
              <w:top w:val="nil"/>
              <w:left w:val="nil"/>
              <w:bottom w:val="single" w:sz="4" w:space="0" w:color="auto"/>
              <w:right w:val="single" w:sz="4" w:space="0" w:color="auto"/>
            </w:tcBorders>
            <w:shd w:val="clear" w:color="auto" w:fill="auto"/>
            <w:vAlign w:val="bottom"/>
            <w:hideMark/>
          </w:tcPr>
          <w:p w:rsidR="005633F1" w:rsidRDefault="005633F1" w:rsidP="005633F1">
            <w:pPr>
              <w:rPr>
                <w:rFonts w:cs="Arial"/>
                <w:color w:val="000000"/>
                <w:sz w:val="20"/>
              </w:rPr>
            </w:pPr>
            <w:r>
              <w:rPr>
                <w:rFonts w:cs="Arial"/>
                <w:color w:val="000000"/>
                <w:sz w:val="20"/>
              </w:rPr>
              <w:t> </w:t>
            </w:r>
          </w:p>
        </w:tc>
      </w:tr>
    </w:tbl>
    <w:p w:rsidR="00CC1C82" w:rsidRDefault="00CC1C82" w:rsidP="00E36759"/>
    <w:p w:rsidR="00CC1C82" w:rsidRDefault="00CC1C82" w:rsidP="00E36759"/>
    <w:p w:rsidR="00BD3A75" w:rsidRDefault="004F5F64" w:rsidP="00E36759">
      <w:r>
        <w:t>Scenario</w:t>
      </w:r>
      <w:r w:rsidR="009A20B8">
        <w:t xml:space="preserve"> 2: Remote Board Sends Patients to Central Board</w:t>
      </w:r>
    </w:p>
    <w:tbl>
      <w:tblPr>
        <w:tblW w:w="10424" w:type="dxa"/>
        <w:jc w:val="center"/>
        <w:tblInd w:w="93" w:type="dxa"/>
        <w:tblLayout w:type="fixed"/>
        <w:tblLook w:val="04A0" w:firstRow="1" w:lastRow="0" w:firstColumn="1" w:lastColumn="0" w:noHBand="0" w:noVBand="1"/>
      </w:tblPr>
      <w:tblGrid>
        <w:gridCol w:w="3705"/>
        <w:gridCol w:w="828"/>
        <w:gridCol w:w="979"/>
        <w:gridCol w:w="1134"/>
        <w:gridCol w:w="1134"/>
        <w:gridCol w:w="993"/>
        <w:gridCol w:w="992"/>
        <w:gridCol w:w="659"/>
      </w:tblGrid>
      <w:tr w:rsidR="00BD3A75" w:rsidRPr="00686FBB" w:rsidTr="003D2F14">
        <w:trPr>
          <w:trHeight w:val="555"/>
          <w:jc w:val="center"/>
        </w:trPr>
        <w:tc>
          <w:tcPr>
            <w:tcW w:w="3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w:t>
            </w:r>
          </w:p>
        </w:tc>
        <w:tc>
          <w:tcPr>
            <w:tcW w:w="1807" w:type="dxa"/>
            <w:gridSpan w:val="2"/>
            <w:tcBorders>
              <w:top w:val="single" w:sz="4" w:space="0" w:color="auto"/>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686FBB">
              <w:rPr>
                <w:rFonts w:cs="Arial"/>
                <w:color w:val="000000"/>
                <w:sz w:val="20"/>
                <w:lang w:eastAsia="en-GB"/>
              </w:rPr>
              <w:t>Remote Board</w:t>
            </w:r>
          </w:p>
        </w:tc>
        <w:tc>
          <w:tcPr>
            <w:tcW w:w="3261" w:type="dxa"/>
            <w:gridSpan w:val="3"/>
            <w:tcBorders>
              <w:top w:val="single" w:sz="4" w:space="0" w:color="auto"/>
              <w:left w:val="nil"/>
              <w:bottom w:val="single" w:sz="4" w:space="0" w:color="auto"/>
              <w:right w:val="single" w:sz="4" w:space="0" w:color="000000"/>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686FBB">
              <w:rPr>
                <w:rFonts w:cs="Arial"/>
                <w:color w:val="000000"/>
                <w:sz w:val="20"/>
                <w:lang w:eastAsia="en-GB"/>
              </w:rPr>
              <w:t>Central Board</w:t>
            </w:r>
          </w:p>
        </w:tc>
        <w:tc>
          <w:tcPr>
            <w:tcW w:w="1651" w:type="dxa"/>
            <w:gridSpan w:val="2"/>
            <w:tcBorders>
              <w:top w:val="single" w:sz="4" w:space="0" w:color="auto"/>
              <w:left w:val="nil"/>
              <w:bottom w:val="single" w:sz="4" w:space="0" w:color="auto"/>
              <w:right w:val="single" w:sz="4" w:space="0" w:color="auto"/>
            </w:tcBorders>
            <w:shd w:val="clear" w:color="auto" w:fill="auto"/>
            <w:vAlign w:val="bottom"/>
            <w:hideMark/>
          </w:tcPr>
          <w:p w:rsidR="00BD3A75" w:rsidRDefault="00BD3A75" w:rsidP="005633F1">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proofErr w:type="spellStart"/>
            <w:r w:rsidRPr="00686FBB">
              <w:rPr>
                <w:rFonts w:cs="Arial"/>
                <w:color w:val="000000"/>
                <w:sz w:val="20"/>
                <w:lang w:eastAsia="en-GB"/>
              </w:rPr>
              <w:t>RB+CB</w:t>
            </w:r>
            <w:proofErr w:type="spellEnd"/>
            <w:r w:rsidRPr="00686FBB">
              <w:rPr>
                <w:rFonts w:cs="Arial"/>
                <w:color w:val="000000"/>
                <w:sz w:val="20"/>
                <w:lang w:eastAsia="en-GB"/>
              </w:rPr>
              <w:t xml:space="preserve"> </w:t>
            </w:r>
          </w:p>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686FBB">
              <w:rPr>
                <w:rFonts w:cs="Arial"/>
                <w:color w:val="000000"/>
                <w:sz w:val="20"/>
                <w:lang w:eastAsia="en-GB"/>
              </w:rPr>
              <w:t>(= "Scotland")</w:t>
            </w:r>
          </w:p>
        </w:tc>
      </w:tr>
      <w:tr w:rsidR="00BD3A75" w:rsidRPr="00686FBB" w:rsidTr="003D2F14">
        <w:trPr>
          <w:trHeight w:val="510"/>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w:t>
            </w:r>
          </w:p>
        </w:tc>
        <w:tc>
          <w:tcPr>
            <w:tcW w:w="828" w:type="dxa"/>
            <w:tcBorders>
              <w:top w:val="nil"/>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686FBB">
              <w:rPr>
                <w:rFonts w:cs="Arial"/>
                <w:color w:val="000000"/>
                <w:sz w:val="20"/>
                <w:lang w:eastAsia="en-GB"/>
              </w:rPr>
              <w:t>RGH</w:t>
            </w:r>
            <w:proofErr w:type="spellEnd"/>
            <w:r w:rsidRPr="00686FBB">
              <w:rPr>
                <w:rFonts w:cs="Arial"/>
                <w:color w:val="000000"/>
                <w:sz w:val="20"/>
                <w:lang w:eastAsia="en-GB"/>
              </w:rPr>
              <w:t xml:space="preserve">  </w:t>
            </w:r>
          </w:p>
        </w:tc>
        <w:tc>
          <w:tcPr>
            <w:tcW w:w="979" w:type="dxa"/>
            <w:tcBorders>
              <w:top w:val="nil"/>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Board Total</w:t>
            </w:r>
          </w:p>
        </w:tc>
        <w:tc>
          <w:tcPr>
            <w:tcW w:w="1134" w:type="dxa"/>
            <w:tcBorders>
              <w:top w:val="nil"/>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686FBB">
              <w:rPr>
                <w:rFonts w:cs="Arial"/>
                <w:color w:val="000000"/>
                <w:sz w:val="20"/>
                <w:lang w:eastAsia="en-GB"/>
              </w:rPr>
              <w:t>CGH</w:t>
            </w:r>
            <w:proofErr w:type="spellEnd"/>
            <w:r w:rsidRPr="00686FBB">
              <w:rPr>
                <w:rFonts w:cs="Arial"/>
                <w:color w:val="000000"/>
                <w:sz w:val="20"/>
                <w:lang w:eastAsia="en-GB"/>
              </w:rPr>
              <w:t xml:space="preserve"> (CB residents)</w:t>
            </w:r>
          </w:p>
        </w:tc>
        <w:tc>
          <w:tcPr>
            <w:tcW w:w="1134" w:type="dxa"/>
            <w:tcBorders>
              <w:top w:val="nil"/>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686FBB">
              <w:rPr>
                <w:rFonts w:cs="Arial"/>
                <w:color w:val="000000"/>
                <w:sz w:val="20"/>
                <w:lang w:eastAsia="en-GB"/>
              </w:rPr>
              <w:t>CGH</w:t>
            </w:r>
            <w:proofErr w:type="spellEnd"/>
            <w:r w:rsidRPr="00686FBB">
              <w:rPr>
                <w:rFonts w:cs="Arial"/>
                <w:color w:val="000000"/>
                <w:sz w:val="20"/>
                <w:lang w:eastAsia="en-GB"/>
              </w:rPr>
              <w:t xml:space="preserve"> (</w:t>
            </w:r>
            <w:proofErr w:type="spellStart"/>
            <w:r w:rsidRPr="00686FBB">
              <w:rPr>
                <w:rFonts w:cs="Arial"/>
                <w:color w:val="000000"/>
                <w:sz w:val="20"/>
                <w:lang w:eastAsia="en-GB"/>
              </w:rPr>
              <w:t>RB</w:t>
            </w:r>
            <w:proofErr w:type="spellEnd"/>
            <w:r w:rsidRPr="00686FBB">
              <w:rPr>
                <w:rFonts w:cs="Arial"/>
                <w:color w:val="000000"/>
                <w:sz w:val="20"/>
                <w:lang w:eastAsia="en-GB"/>
              </w:rPr>
              <w:t xml:space="preserve"> residents)</w:t>
            </w:r>
          </w:p>
        </w:tc>
        <w:tc>
          <w:tcPr>
            <w:tcW w:w="993" w:type="dxa"/>
            <w:tcBorders>
              <w:top w:val="nil"/>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Board Total</w:t>
            </w:r>
          </w:p>
        </w:tc>
        <w:tc>
          <w:tcPr>
            <w:tcW w:w="992" w:type="dxa"/>
            <w:tcBorders>
              <w:top w:val="nil"/>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xml:space="preserve">Total </w:t>
            </w:r>
          </w:p>
        </w:tc>
        <w:tc>
          <w:tcPr>
            <w:tcW w:w="659" w:type="dxa"/>
            <w:tcBorders>
              <w:top w:val="nil"/>
              <w:left w:val="nil"/>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Ave.</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Health board residents</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30,000</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300,000</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330,000</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Board inpatient episode by board of residence</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4,000</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40,000</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 xml:space="preserve">Board inpatient episode treated by hospital &amp; </w:t>
            </w:r>
            <w:proofErr w:type="spellStart"/>
            <w:r w:rsidRPr="00686FBB">
              <w:rPr>
                <w:rFonts w:cs="Arial"/>
                <w:color w:val="000000"/>
                <w:sz w:val="20"/>
                <w:lang w:eastAsia="en-GB"/>
              </w:rPr>
              <w:t>HB</w:t>
            </w:r>
            <w:proofErr w:type="spellEnd"/>
            <w:r w:rsidRPr="00686FBB">
              <w:rPr>
                <w:rFonts w:cs="Arial"/>
                <w:color w:val="000000"/>
                <w:sz w:val="20"/>
                <w:lang w:eastAsia="en-GB"/>
              </w:rPr>
              <w:t xml:space="preserve"> of treatment</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2,000</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2,000</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40,000</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2,000</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42,000</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44,000</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Total hospital treatment costs (£ 000)</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25,000</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25,000</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119,048</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5,952</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125,000</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150,000</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Net board costs (£ 000)</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30,952</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119,048</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150,000</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Unit cost of treatment episode (£ 000 )</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12.50</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7.74</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2.98</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2.98</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2.98</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3.41</w:t>
            </w:r>
          </w:p>
        </w:tc>
      </w:tr>
      <w:tr w:rsidR="000C4F2E"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0C4F2E" w:rsidRPr="00686FBB" w:rsidRDefault="000C4F2E" w:rsidP="00B80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Ratio of cost</w:t>
            </w:r>
            <w:r>
              <w:rPr>
                <w:rFonts w:cs="Arial"/>
                <w:color w:val="000000"/>
                <w:sz w:val="20"/>
                <w:lang w:eastAsia="en-GB"/>
              </w:rPr>
              <w:t xml:space="preserve"> – local to national</w:t>
            </w:r>
            <w:r w:rsidRPr="00686FBB">
              <w:rPr>
                <w:rFonts w:cs="Arial"/>
                <w:color w:val="000000"/>
                <w:sz w:val="20"/>
                <w:lang w:eastAsia="en-GB"/>
              </w:rPr>
              <w:t xml:space="preserve"> (</w:t>
            </w:r>
            <w:proofErr w:type="spellStart"/>
            <w:r w:rsidRPr="00686FBB">
              <w:rPr>
                <w:rFonts w:cs="Arial"/>
                <w:color w:val="000000"/>
                <w:sz w:val="20"/>
                <w:lang w:eastAsia="en-GB"/>
              </w:rPr>
              <w:t>UEC</w:t>
            </w:r>
            <w:proofErr w:type="spellEnd"/>
            <w:r w:rsidRPr="00686FBB">
              <w:rPr>
                <w:rFonts w:cs="Arial"/>
                <w:color w:val="000000"/>
                <w:sz w:val="20"/>
                <w:lang w:eastAsia="en-GB"/>
              </w:rPr>
              <w:t>)</w:t>
            </w:r>
          </w:p>
        </w:tc>
        <w:tc>
          <w:tcPr>
            <w:tcW w:w="828" w:type="dxa"/>
            <w:tcBorders>
              <w:top w:val="nil"/>
              <w:left w:val="nil"/>
              <w:bottom w:val="single" w:sz="4" w:space="0" w:color="auto"/>
              <w:right w:val="single" w:sz="4" w:space="0" w:color="auto"/>
            </w:tcBorders>
            <w:shd w:val="clear" w:color="auto" w:fill="auto"/>
            <w:vAlign w:val="bottom"/>
            <w:hideMark/>
          </w:tcPr>
          <w:p w:rsidR="000C4F2E" w:rsidRDefault="000C4F2E">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0C4F2E" w:rsidRDefault="000C4F2E">
            <w:pPr>
              <w:jc w:val="right"/>
              <w:rPr>
                <w:rFonts w:cs="Arial"/>
                <w:color w:val="000000"/>
                <w:sz w:val="20"/>
              </w:rPr>
            </w:pPr>
            <w:r>
              <w:rPr>
                <w:rFonts w:cs="Arial"/>
                <w:color w:val="000000"/>
                <w:sz w:val="20"/>
              </w:rPr>
              <w:t>2.27</w:t>
            </w:r>
          </w:p>
        </w:tc>
        <w:tc>
          <w:tcPr>
            <w:tcW w:w="1134" w:type="dxa"/>
            <w:tcBorders>
              <w:top w:val="nil"/>
              <w:left w:val="nil"/>
              <w:bottom w:val="single" w:sz="4" w:space="0" w:color="auto"/>
              <w:right w:val="single" w:sz="4" w:space="0" w:color="auto"/>
            </w:tcBorders>
            <w:shd w:val="clear" w:color="auto" w:fill="auto"/>
            <w:vAlign w:val="bottom"/>
            <w:hideMark/>
          </w:tcPr>
          <w:p w:rsidR="000C4F2E" w:rsidRDefault="000C4F2E">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0C4F2E" w:rsidRDefault="000C4F2E">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0C4F2E" w:rsidRDefault="000C4F2E">
            <w:pPr>
              <w:jc w:val="right"/>
              <w:rPr>
                <w:rFonts w:cs="Arial"/>
                <w:color w:val="000000"/>
                <w:sz w:val="20"/>
              </w:rPr>
            </w:pPr>
            <w:r>
              <w:rPr>
                <w:rFonts w:cs="Arial"/>
                <w:color w:val="000000"/>
                <w:sz w:val="20"/>
              </w:rPr>
              <w:t>0.87</w:t>
            </w:r>
          </w:p>
        </w:tc>
        <w:tc>
          <w:tcPr>
            <w:tcW w:w="992" w:type="dxa"/>
            <w:tcBorders>
              <w:top w:val="nil"/>
              <w:left w:val="nil"/>
              <w:bottom w:val="single" w:sz="4" w:space="0" w:color="auto"/>
              <w:right w:val="single" w:sz="4" w:space="0" w:color="auto"/>
            </w:tcBorders>
            <w:shd w:val="clear" w:color="auto" w:fill="auto"/>
            <w:vAlign w:val="bottom"/>
            <w:hideMark/>
          </w:tcPr>
          <w:p w:rsidR="000C4F2E" w:rsidRDefault="000C4F2E">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0C4F2E" w:rsidRDefault="000C4F2E">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Weighted population</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68,095</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261,905</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330,000</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Target share</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21%</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79%</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r w:rsidR="00BD3A75" w:rsidRPr="00686FBB" w:rsidTr="003D2F14">
        <w:trPr>
          <w:trHeight w:val="255"/>
          <w:jc w:val="center"/>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BD3A75" w:rsidRPr="00686FBB" w:rsidRDefault="00BD3A75" w:rsidP="005633F1">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686FBB">
              <w:rPr>
                <w:rFonts w:cs="Arial"/>
                <w:color w:val="000000"/>
                <w:sz w:val="20"/>
                <w:lang w:eastAsia="en-GB"/>
              </w:rPr>
              <w:t>Implied funding (£ 000)</w:t>
            </w:r>
          </w:p>
        </w:tc>
        <w:tc>
          <w:tcPr>
            <w:tcW w:w="828"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79"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30,952</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c>
          <w:tcPr>
            <w:tcW w:w="993"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119,048</w:t>
            </w:r>
          </w:p>
        </w:tc>
        <w:tc>
          <w:tcPr>
            <w:tcW w:w="992" w:type="dxa"/>
            <w:tcBorders>
              <w:top w:val="nil"/>
              <w:left w:val="nil"/>
              <w:bottom w:val="single" w:sz="4" w:space="0" w:color="auto"/>
              <w:right w:val="single" w:sz="4" w:space="0" w:color="auto"/>
            </w:tcBorders>
            <w:shd w:val="clear" w:color="auto" w:fill="auto"/>
            <w:vAlign w:val="bottom"/>
            <w:hideMark/>
          </w:tcPr>
          <w:p w:rsidR="00BD3A75" w:rsidRDefault="00BD3A75">
            <w:pPr>
              <w:jc w:val="right"/>
              <w:rPr>
                <w:rFonts w:cs="Arial"/>
                <w:color w:val="000000"/>
                <w:sz w:val="20"/>
              </w:rPr>
            </w:pPr>
            <w:r>
              <w:rPr>
                <w:rFonts w:cs="Arial"/>
                <w:color w:val="000000"/>
                <w:sz w:val="20"/>
              </w:rPr>
              <w:t>150,000</w:t>
            </w:r>
          </w:p>
        </w:tc>
        <w:tc>
          <w:tcPr>
            <w:tcW w:w="659" w:type="dxa"/>
            <w:tcBorders>
              <w:top w:val="nil"/>
              <w:left w:val="nil"/>
              <w:bottom w:val="single" w:sz="4" w:space="0" w:color="auto"/>
              <w:right w:val="single" w:sz="4" w:space="0" w:color="auto"/>
            </w:tcBorders>
            <w:shd w:val="clear" w:color="auto" w:fill="auto"/>
            <w:vAlign w:val="bottom"/>
            <w:hideMark/>
          </w:tcPr>
          <w:p w:rsidR="00BD3A75" w:rsidRDefault="00BD3A75">
            <w:pPr>
              <w:rPr>
                <w:rFonts w:cs="Arial"/>
                <w:color w:val="000000"/>
                <w:sz w:val="20"/>
              </w:rPr>
            </w:pPr>
            <w:r>
              <w:rPr>
                <w:rFonts w:cs="Arial"/>
                <w:color w:val="000000"/>
                <w:sz w:val="20"/>
              </w:rPr>
              <w:t> </w:t>
            </w:r>
          </w:p>
        </w:tc>
      </w:tr>
    </w:tbl>
    <w:p w:rsidR="00CC1C82" w:rsidRDefault="00CC1C82" w:rsidP="00E36759"/>
    <w:p w:rsidR="004F5F64" w:rsidRDefault="00355456" w:rsidP="00355456">
      <w:pPr>
        <w:pStyle w:val="ListParagraph"/>
        <w:numPr>
          <w:ilvl w:val="0"/>
          <w:numId w:val="5"/>
        </w:numPr>
      </w:pPr>
      <w:r>
        <w:t xml:space="preserve"> In scenario 2 half of the patients </w:t>
      </w:r>
      <w:r w:rsidR="0019729A">
        <w:t>in</w:t>
      </w:r>
      <w:r>
        <w:t xml:space="preserve"> the remote board are transferred to the central board</w:t>
      </w:r>
      <w:r w:rsidR="004F5F64">
        <w:t xml:space="preserve"> for treatment</w:t>
      </w:r>
      <w:r>
        <w:t xml:space="preserve">.  </w:t>
      </w:r>
      <w:r w:rsidR="004F5F64">
        <w:t xml:space="preserve">As all hospital costs are fixed this means that the average unit costs of treatment in </w:t>
      </w:r>
      <w:r w:rsidR="00B10540">
        <w:t>remote board</w:t>
      </w:r>
      <w:r w:rsidR="004F5F64">
        <w:t xml:space="preserve"> are higher</w:t>
      </w:r>
      <w:r w:rsidR="0019729A">
        <w:t xml:space="preserve"> than</w:t>
      </w:r>
      <w:r w:rsidR="004F5F64">
        <w:t xml:space="preserve"> (double) </w:t>
      </w:r>
      <w:r w:rsidR="00B10540">
        <w:t>the unit costs in scenario 1 (and the average unit cost</w:t>
      </w:r>
      <w:r w:rsidR="0019729A">
        <w:t>s</w:t>
      </w:r>
      <w:r w:rsidR="00B10540">
        <w:t xml:space="preserve"> in central board are lower).  The remote board must also reimburse the central board for the costs of treating remote board residents.  </w:t>
      </w:r>
    </w:p>
    <w:p w:rsidR="004F5F64" w:rsidRDefault="004F5F64" w:rsidP="00B10540">
      <w:pPr>
        <w:pStyle w:val="ListParagraph"/>
        <w:ind w:left="0"/>
      </w:pPr>
    </w:p>
    <w:p w:rsidR="00CC1C82" w:rsidRDefault="00355456" w:rsidP="00355456">
      <w:pPr>
        <w:pStyle w:val="ListParagraph"/>
        <w:numPr>
          <w:ilvl w:val="0"/>
          <w:numId w:val="5"/>
        </w:numPr>
      </w:pPr>
      <w:r>
        <w:t>The overall costs to the remote board are</w:t>
      </w:r>
      <w:r w:rsidR="00B10540">
        <w:t xml:space="preserve"> therefore</w:t>
      </w:r>
      <w:r>
        <w:t xml:space="preserve"> higher </w:t>
      </w:r>
      <w:r w:rsidR="00B10540">
        <w:t xml:space="preserve">than in scenario 1.  </w:t>
      </w:r>
      <w:r>
        <w:t xml:space="preserve">Note, however, costs of treating all its residents does not double as this is the </w:t>
      </w:r>
      <w:r w:rsidR="0019729A">
        <w:t xml:space="preserve">(patient) </w:t>
      </w:r>
      <w:r>
        <w:t xml:space="preserve">weighted average of its own and </w:t>
      </w:r>
      <w:r w:rsidR="00B10540">
        <w:t>central board</w:t>
      </w:r>
      <w:r>
        <w:t xml:space="preserve"> </w:t>
      </w:r>
      <w:r w:rsidR="00B10540">
        <w:t xml:space="preserve">average </w:t>
      </w:r>
      <w:r>
        <w:t>costs.</w:t>
      </w:r>
    </w:p>
    <w:p w:rsidR="00B10540" w:rsidRDefault="00B10540" w:rsidP="00B10540">
      <w:pPr>
        <w:pStyle w:val="ListParagraph"/>
        <w:ind w:left="0"/>
      </w:pPr>
    </w:p>
    <w:p w:rsidR="00355456" w:rsidRDefault="00B10540" w:rsidP="00355456">
      <w:pPr>
        <w:pStyle w:val="ListParagraph"/>
        <w:numPr>
          <w:ilvl w:val="0"/>
          <w:numId w:val="5"/>
        </w:numPr>
      </w:pPr>
      <w:r>
        <w:t xml:space="preserve">The key point is that in both cases the costs of treating residents feeds through the </w:t>
      </w:r>
      <w:proofErr w:type="spellStart"/>
      <w:r>
        <w:t>UECA</w:t>
      </w:r>
      <w:proofErr w:type="spellEnd"/>
      <w:r>
        <w:t xml:space="preserve"> to the population weights and thus into board target shares.  The target shares are thus commensurate with the board costs. </w:t>
      </w:r>
    </w:p>
    <w:p w:rsidR="00CC1C82" w:rsidRDefault="00CC1C82">
      <w:pPr>
        <w:tabs>
          <w:tab w:val="clear" w:pos="720"/>
          <w:tab w:val="clear" w:pos="1440"/>
          <w:tab w:val="clear" w:pos="2160"/>
          <w:tab w:val="clear" w:pos="2880"/>
          <w:tab w:val="clear" w:pos="4680"/>
          <w:tab w:val="clear" w:pos="5400"/>
          <w:tab w:val="clear" w:pos="9000"/>
        </w:tabs>
        <w:spacing w:line="240" w:lineRule="auto"/>
        <w:jc w:val="left"/>
      </w:pPr>
      <w:r>
        <w:br w:type="page"/>
      </w:r>
    </w:p>
    <w:p w:rsidR="00CC1C82" w:rsidRPr="00CC1C82" w:rsidRDefault="00CC1C82" w:rsidP="00E36759">
      <w:pPr>
        <w:rPr>
          <w:b/>
        </w:rPr>
      </w:pPr>
      <w:r w:rsidRPr="00CC1C82">
        <w:rPr>
          <w:b/>
        </w:rPr>
        <w:lastRenderedPageBreak/>
        <w:t>Annex 1: Overview of the Unavoidable Excess Costs Adjustment</w:t>
      </w:r>
    </w:p>
    <w:p w:rsidR="00CC1C82" w:rsidRDefault="00CC1C82" w:rsidP="00E36759"/>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four elements within the unavoidable excess cost adjustment are described below.  </w:t>
      </w:r>
    </w:p>
    <w:p w:rsidR="00CC1C82" w:rsidRDefault="00CC1C82" w:rsidP="00CC1C82">
      <w:pPr>
        <w:rPr>
          <w:rFonts w:cs="Arial"/>
        </w:rPr>
      </w:pPr>
    </w:p>
    <w:p w:rsidR="00CC1C82" w:rsidRPr="00B35243" w:rsidRDefault="00CC1C82" w:rsidP="00CC1C82">
      <w:pPr>
        <w:rPr>
          <w:rFonts w:cs="Arial"/>
          <w:b/>
        </w:rPr>
      </w:pPr>
      <w:r w:rsidRPr="00B35243">
        <w:rPr>
          <w:rFonts w:cs="Arial"/>
          <w:b/>
        </w:rPr>
        <w:t>Hospital Services:</w:t>
      </w: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 excess cost for hospital services is the cost ratio of local to national unit costs</w:t>
      </w:r>
      <w:r w:rsidRPr="008C5FCE">
        <w:rPr>
          <w:rFonts w:cs="Arial"/>
        </w:rPr>
        <w:t xml:space="preserve"> </w:t>
      </w:r>
      <w:r>
        <w:rPr>
          <w:rFonts w:cs="Arial"/>
        </w:rPr>
        <w:t xml:space="preserve">calculated at the </w:t>
      </w:r>
      <w:proofErr w:type="spellStart"/>
      <w:r>
        <w:rPr>
          <w:rFonts w:cs="Arial"/>
        </w:rPr>
        <w:t>datazone</w:t>
      </w:r>
      <w:proofErr w:type="spellEnd"/>
      <w:r>
        <w:rPr>
          <w:rFonts w:cs="Arial"/>
        </w:rPr>
        <w:t xml:space="preserve"> level.  Specifically it is the ratio of the cost of providing the required local services at local unit costs to the (notional) cost of providing those local services estimated at national unit costs.  Unit costs are calculated as the average cost per episode, or length of stay, (separately by inpatient/</w:t>
      </w:r>
      <w:proofErr w:type="spellStart"/>
      <w:r>
        <w:rPr>
          <w:rFonts w:cs="Arial"/>
        </w:rPr>
        <w:t>daycase</w:t>
      </w:r>
      <w:proofErr w:type="spellEnd"/>
      <w:r>
        <w:rPr>
          <w:rFonts w:cs="Arial"/>
        </w:rPr>
        <w:t xml:space="preserve">/outpatient) by speciality for the population of the data zone.  Note that the denominator in this ratio is the numerator of the ratio used to calculate the morbidity and life circumstances adjustment.  </w:t>
      </w:r>
    </w:p>
    <w:p w:rsidR="00CC1C82" w:rsidRDefault="00CC1C82" w:rsidP="00CC1C82">
      <w:pPr>
        <w:rPr>
          <w:rFonts w:cs="Arial"/>
        </w:rPr>
      </w:pP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This calculation is undertaken for each of the individual the care programmes: Acute, Care of the Elderly, Mental Health and Learning Difficulties, and Maternity.  </w:t>
      </w:r>
    </w:p>
    <w:p w:rsidR="00CC1C82" w:rsidRDefault="00CC1C82" w:rsidP="00CC1C82">
      <w:pPr>
        <w:rPr>
          <w:rFonts w:cs="Arial"/>
        </w:rPr>
      </w:pPr>
    </w:p>
    <w:p w:rsidR="00CC1C82" w:rsidRPr="00A94E73" w:rsidRDefault="00CC1C82" w:rsidP="00CC1C82">
      <w:pPr>
        <w:rPr>
          <w:rFonts w:cs="Arial"/>
          <w:b/>
        </w:rPr>
      </w:pPr>
      <w:r w:rsidRPr="00A94E73">
        <w:rPr>
          <w:rFonts w:cs="Arial"/>
          <w:b/>
        </w:rPr>
        <w:t>Travel-based Community Services:</w:t>
      </w: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 estimate of the variation in the cost of travel-based community services is based on a travel simulation model which assumes that professionals are based in settlements and must travel to patient’s homes.  The model is based on census output areas data (around 42,000 output areas) and data on the drive time to ‘small’ settlements (3,000 plus people) or ‘large’ settlements (10,000 people).  It includes assumptions about contact duration, setup time, island contact time, base location and proportion of home visits.</w:t>
      </w:r>
    </w:p>
    <w:p w:rsidR="00CC1C82" w:rsidRDefault="00CC1C82" w:rsidP="00CC1C82">
      <w:pPr>
        <w:rPr>
          <w:rFonts w:cs="Arial"/>
        </w:rPr>
      </w:pP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estimated time consumption is equal to: </w:t>
      </w:r>
    </w:p>
    <w:p w:rsidR="00CC1C82" w:rsidRDefault="00CC1C82" w:rsidP="00CC1C82">
      <w:pPr>
        <w:rPr>
          <w:rFonts w:cs="Arial"/>
        </w:rPr>
      </w:pPr>
    </w:p>
    <w:p w:rsidR="00CC1C82" w:rsidRDefault="00CC1C82" w:rsidP="00CC1C82">
      <w:pPr>
        <w:rPr>
          <w:rFonts w:cs="Arial"/>
        </w:rPr>
      </w:pPr>
      <w:r>
        <w:rPr>
          <w:rFonts w:cs="Arial"/>
        </w:rPr>
        <w:t>% home visits * (setup time + contact duration + driving time) + % non-home visits * (setup time + contact duration)</w:t>
      </w:r>
    </w:p>
    <w:p w:rsidR="00CC1C82" w:rsidRDefault="00CC1C82" w:rsidP="00CC1C82">
      <w:pPr>
        <w:rPr>
          <w:rFonts w:cs="Arial"/>
        </w:rPr>
      </w:pP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ratio of the data zone to the Scotland average is calculated for each community service and aggregated for the data zone using service expenditure shares.  The key determinant of the excess cost adjustment is the settlement size.  </w:t>
      </w:r>
    </w:p>
    <w:p w:rsidR="00CC1C82" w:rsidRDefault="00CC1C82" w:rsidP="00CC1C82">
      <w:pPr>
        <w:rPr>
          <w:rFonts w:cs="Arial"/>
        </w:rPr>
      </w:pPr>
    </w:p>
    <w:p w:rsidR="00CC1C82" w:rsidRPr="00B35243" w:rsidRDefault="00CC1C82" w:rsidP="00CC1C82">
      <w:pPr>
        <w:rPr>
          <w:rFonts w:cs="Arial"/>
          <w:b/>
        </w:rPr>
      </w:pPr>
      <w:r w:rsidRPr="00B35243">
        <w:rPr>
          <w:rFonts w:cs="Arial"/>
          <w:b/>
        </w:rPr>
        <w:t>Clinic-based Community Services:</w:t>
      </w: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 adjustment for clinic-based services is taken from the Scottish Allocation Formula (</w:t>
      </w:r>
      <w:proofErr w:type="spellStart"/>
      <w:r>
        <w:rPr>
          <w:rFonts w:cs="Arial"/>
        </w:rPr>
        <w:t>SAF</w:t>
      </w:r>
      <w:proofErr w:type="spellEnd"/>
      <w:r>
        <w:rPr>
          <w:rFonts w:cs="Arial"/>
        </w:rPr>
        <w:t xml:space="preserve">) for General Medical Services’ practice weighting for remote and rural areas.  The </w:t>
      </w:r>
      <w:proofErr w:type="spellStart"/>
      <w:r>
        <w:rPr>
          <w:rFonts w:cs="Arial"/>
        </w:rPr>
        <w:t>SAF</w:t>
      </w:r>
      <w:proofErr w:type="spellEnd"/>
      <w:r>
        <w:rPr>
          <w:rFonts w:cs="Arial"/>
        </w:rPr>
        <w:t xml:space="preserve"> weighting uses three practice variables: population density (number of hectares per resident); population </w:t>
      </w:r>
      <w:proofErr w:type="spellStart"/>
      <w:r>
        <w:rPr>
          <w:rFonts w:cs="Arial"/>
        </w:rPr>
        <w:t>sparsity</w:t>
      </w:r>
      <w:proofErr w:type="spellEnd"/>
      <w:r>
        <w:rPr>
          <w:rFonts w:cs="Arial"/>
        </w:rPr>
        <w:t xml:space="preserve"> (population in communities of less than 500); road mileage payments (proportion of people which attract road mileage payments).  The </w:t>
      </w:r>
      <w:proofErr w:type="spellStart"/>
      <w:r>
        <w:rPr>
          <w:rFonts w:cs="Arial"/>
        </w:rPr>
        <w:t>SAF</w:t>
      </w:r>
      <w:proofErr w:type="spellEnd"/>
      <w:r>
        <w:rPr>
          <w:rFonts w:cs="Arial"/>
        </w:rPr>
        <w:t xml:space="preserve"> weightings are mapped from GP practices to data zones and the excess cost adjustment reflects the ratio of individual data zone’s weighting to the national average.  The overall community excess cost adjustment assumes that the </w:t>
      </w:r>
      <w:r>
        <w:rPr>
          <w:rFonts w:cs="Arial"/>
        </w:rPr>
        <w:lastRenderedPageBreak/>
        <w:t xml:space="preserve">community services are split 2/3 to 1/3 between travel-based and clinic-based services respectively. </w:t>
      </w:r>
    </w:p>
    <w:p w:rsidR="00CC1C82" w:rsidRDefault="00CC1C82" w:rsidP="00CC1C82">
      <w:pPr>
        <w:rPr>
          <w:rFonts w:cs="Arial"/>
        </w:rPr>
      </w:pPr>
    </w:p>
    <w:p w:rsidR="00CC1C82" w:rsidRPr="00F14C48" w:rsidRDefault="00CC1C82" w:rsidP="00CC1C82">
      <w:pPr>
        <w:rPr>
          <w:rFonts w:cs="Arial"/>
          <w:b/>
        </w:rPr>
      </w:pPr>
      <w:r w:rsidRPr="00F14C48">
        <w:rPr>
          <w:rFonts w:cs="Arial"/>
          <w:b/>
        </w:rPr>
        <w:t xml:space="preserve">GP prescribing: </w:t>
      </w: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 excess cost adjustment relating to GP prescribing is set to 1 across all geographies as a national reimbursement rate applies for all drug prescriptions and dispensing costs are not covered by the resource allocation formula.</w:t>
      </w:r>
    </w:p>
    <w:p w:rsidR="00CC1C82" w:rsidRDefault="00CC1C82" w:rsidP="00CC1C82">
      <w:pPr>
        <w:rPr>
          <w:rFonts w:cs="Arial"/>
        </w:rPr>
      </w:pPr>
    </w:p>
    <w:p w:rsidR="00CC1C82" w:rsidRPr="00924FA7" w:rsidRDefault="00CC1C82" w:rsidP="00CC1C82">
      <w:pPr>
        <w:rPr>
          <w:rFonts w:cs="Arial"/>
          <w:b/>
        </w:rPr>
      </w:pPr>
      <w:r w:rsidRPr="00924FA7">
        <w:rPr>
          <w:rFonts w:cs="Arial"/>
          <w:b/>
        </w:rPr>
        <w:t xml:space="preserve">Aggregation: </w:t>
      </w:r>
    </w:p>
    <w:p w:rsidR="00CC1C82" w:rsidRDefault="00CC1C82" w:rsidP="00CC1C82">
      <w:pPr>
        <w:numPr>
          <w:ilvl w:val="0"/>
          <w:numId w:val="6"/>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separate elements of the excess cost adjustment are weighted together to yield the final excess cost adjustment for each data zone, using national programme weights as shown in Table 1 below </w:t>
      </w:r>
      <w:proofErr w:type="spellStart"/>
      <w:r>
        <w:rPr>
          <w:rFonts w:cs="Arial"/>
        </w:rPr>
        <w:t>below</w:t>
      </w:r>
      <w:proofErr w:type="spellEnd"/>
      <w:r>
        <w:rPr>
          <w:rFonts w:cs="Arial"/>
        </w:rPr>
        <w:t>.  The urban-rural categories for which the excess cost adjustment is calculated are shown in Table 2 and the (approximate) proportion of health board populations by category.</w:t>
      </w:r>
    </w:p>
    <w:p w:rsidR="00CC1C82" w:rsidRDefault="00CC1C82" w:rsidP="00CC1C82">
      <w:pPr>
        <w:rPr>
          <w:rFonts w:cs="Arial"/>
        </w:rPr>
      </w:pPr>
    </w:p>
    <w:p w:rsidR="00CC1C82" w:rsidRPr="006C79E3" w:rsidRDefault="00CC1C82" w:rsidP="00CC1C82">
      <w:pPr>
        <w:rPr>
          <w:rFonts w:cs="Arial"/>
          <w:b/>
        </w:rPr>
      </w:pPr>
      <w:r>
        <w:rPr>
          <w:rFonts w:cs="Arial"/>
          <w:b/>
        </w:rPr>
        <w:t xml:space="preserve">Table 1: </w:t>
      </w:r>
      <w:r w:rsidRPr="006C79E3">
        <w:rPr>
          <w:rFonts w:cs="Arial"/>
          <w:b/>
        </w:rPr>
        <w:t>Care Programme Expenditure Weightings:</w:t>
      </w:r>
    </w:p>
    <w:tbl>
      <w:tblPr>
        <w:tblStyle w:val="TableGrid"/>
        <w:tblW w:w="8601" w:type="dxa"/>
        <w:tblLook w:val="01E0" w:firstRow="1" w:lastRow="1" w:firstColumn="1" w:lastColumn="1" w:noHBand="0" w:noVBand="0"/>
      </w:tblPr>
      <w:tblGrid>
        <w:gridCol w:w="840"/>
        <w:gridCol w:w="889"/>
        <w:gridCol w:w="1219"/>
        <w:gridCol w:w="1121"/>
        <w:gridCol w:w="1329"/>
        <w:gridCol w:w="1329"/>
        <w:gridCol w:w="913"/>
        <w:gridCol w:w="1317"/>
      </w:tblGrid>
      <w:tr w:rsidR="00CC1C82" w:rsidRPr="006C79E3" w:rsidTr="00540FC9">
        <w:tc>
          <w:tcPr>
            <w:tcW w:w="828" w:type="dxa"/>
          </w:tcPr>
          <w:p w:rsidR="00CC1C82" w:rsidRPr="006C79E3" w:rsidRDefault="00CC1C82" w:rsidP="00540FC9">
            <w:pPr>
              <w:rPr>
                <w:rFonts w:ascii="Arial" w:hAnsi="Arial" w:cs="Arial"/>
                <w:sz w:val="22"/>
                <w:szCs w:val="22"/>
              </w:rPr>
            </w:pPr>
            <w:r w:rsidRPr="006C79E3">
              <w:rPr>
                <w:rFonts w:ascii="Arial" w:hAnsi="Arial" w:cs="Arial"/>
                <w:sz w:val="22"/>
                <w:szCs w:val="22"/>
              </w:rPr>
              <w:t>Acute</w:t>
            </w:r>
          </w:p>
        </w:tc>
        <w:tc>
          <w:tcPr>
            <w:tcW w:w="853" w:type="dxa"/>
          </w:tcPr>
          <w:p w:rsidR="00CC1C82" w:rsidRPr="006C79E3" w:rsidRDefault="00CC1C82" w:rsidP="00540FC9">
            <w:pPr>
              <w:rPr>
                <w:rFonts w:ascii="Arial" w:hAnsi="Arial" w:cs="Arial"/>
                <w:sz w:val="22"/>
                <w:szCs w:val="22"/>
              </w:rPr>
            </w:pPr>
            <w:r w:rsidRPr="006C79E3">
              <w:rPr>
                <w:rFonts w:ascii="Arial" w:hAnsi="Arial" w:cs="Arial"/>
                <w:sz w:val="22"/>
                <w:szCs w:val="22"/>
              </w:rPr>
              <w:t>Care of the Elderly</w:t>
            </w:r>
          </w:p>
        </w:tc>
        <w:tc>
          <w:tcPr>
            <w:tcW w:w="1167" w:type="dxa"/>
          </w:tcPr>
          <w:p w:rsidR="00CC1C82" w:rsidRPr="006C79E3" w:rsidRDefault="00CC1C82" w:rsidP="00540FC9">
            <w:pPr>
              <w:rPr>
                <w:rFonts w:ascii="Arial" w:hAnsi="Arial" w:cs="Arial"/>
                <w:sz w:val="22"/>
                <w:szCs w:val="22"/>
              </w:rPr>
            </w:pPr>
            <w:r w:rsidRPr="006C79E3">
              <w:rPr>
                <w:rFonts w:ascii="Arial" w:hAnsi="Arial" w:cs="Arial"/>
                <w:sz w:val="22"/>
                <w:szCs w:val="22"/>
              </w:rPr>
              <w:t>Mental Health &amp; Learning Difficulties</w:t>
            </w:r>
          </w:p>
        </w:tc>
        <w:tc>
          <w:tcPr>
            <w:tcW w:w="1074" w:type="dxa"/>
          </w:tcPr>
          <w:p w:rsidR="00CC1C82" w:rsidRPr="006C79E3" w:rsidRDefault="00CC1C82" w:rsidP="00540FC9">
            <w:pPr>
              <w:rPr>
                <w:rFonts w:ascii="Arial" w:hAnsi="Arial" w:cs="Arial"/>
                <w:sz w:val="22"/>
                <w:szCs w:val="22"/>
              </w:rPr>
            </w:pPr>
            <w:r w:rsidRPr="006C79E3">
              <w:rPr>
                <w:rFonts w:ascii="Arial" w:hAnsi="Arial" w:cs="Arial"/>
                <w:sz w:val="22"/>
                <w:szCs w:val="22"/>
              </w:rPr>
              <w:t>Maternity</w:t>
            </w:r>
          </w:p>
        </w:tc>
        <w:tc>
          <w:tcPr>
            <w:tcW w:w="1271" w:type="dxa"/>
          </w:tcPr>
          <w:p w:rsidR="00CC1C82" w:rsidRPr="006C79E3" w:rsidRDefault="00CC1C82" w:rsidP="00540FC9">
            <w:pPr>
              <w:rPr>
                <w:rFonts w:ascii="Arial" w:hAnsi="Arial" w:cs="Arial"/>
                <w:sz w:val="22"/>
                <w:szCs w:val="22"/>
              </w:rPr>
            </w:pPr>
            <w:r w:rsidRPr="006C79E3">
              <w:rPr>
                <w:rFonts w:ascii="Arial" w:hAnsi="Arial" w:cs="Arial"/>
                <w:sz w:val="22"/>
                <w:szCs w:val="22"/>
              </w:rPr>
              <w:t>Community Travel-based</w:t>
            </w:r>
          </w:p>
        </w:tc>
        <w:tc>
          <w:tcPr>
            <w:tcW w:w="1271" w:type="dxa"/>
          </w:tcPr>
          <w:p w:rsidR="00CC1C82" w:rsidRPr="006C79E3" w:rsidRDefault="00CC1C82" w:rsidP="00540FC9">
            <w:pPr>
              <w:rPr>
                <w:rFonts w:ascii="Arial" w:hAnsi="Arial" w:cs="Arial"/>
                <w:sz w:val="22"/>
                <w:szCs w:val="22"/>
              </w:rPr>
            </w:pPr>
            <w:r w:rsidRPr="006C79E3">
              <w:rPr>
                <w:rFonts w:ascii="Arial" w:hAnsi="Arial" w:cs="Arial"/>
                <w:sz w:val="22"/>
                <w:szCs w:val="22"/>
              </w:rPr>
              <w:t>Community Clinic-based</w:t>
            </w:r>
          </w:p>
        </w:tc>
        <w:tc>
          <w:tcPr>
            <w:tcW w:w="877" w:type="dxa"/>
          </w:tcPr>
          <w:p w:rsidR="00CC1C82" w:rsidRPr="006C79E3" w:rsidRDefault="00CC1C82" w:rsidP="00540FC9">
            <w:pPr>
              <w:rPr>
                <w:rFonts w:ascii="Arial" w:hAnsi="Arial" w:cs="Arial"/>
                <w:sz w:val="22"/>
                <w:szCs w:val="22"/>
              </w:rPr>
            </w:pPr>
            <w:r w:rsidRPr="006C79E3">
              <w:rPr>
                <w:rFonts w:ascii="Arial" w:hAnsi="Arial" w:cs="Arial"/>
                <w:sz w:val="22"/>
                <w:szCs w:val="22"/>
              </w:rPr>
              <w:t xml:space="preserve">Overall </w:t>
            </w:r>
            <w:proofErr w:type="spellStart"/>
            <w:r w:rsidRPr="006C79E3">
              <w:rPr>
                <w:rFonts w:ascii="Arial" w:hAnsi="Arial" w:cs="Arial"/>
                <w:sz w:val="22"/>
                <w:szCs w:val="22"/>
              </w:rPr>
              <w:t>HCHS</w:t>
            </w:r>
            <w:proofErr w:type="spellEnd"/>
          </w:p>
        </w:tc>
        <w:tc>
          <w:tcPr>
            <w:tcW w:w="1260" w:type="dxa"/>
          </w:tcPr>
          <w:p w:rsidR="00CC1C82" w:rsidRPr="006C79E3" w:rsidRDefault="00CC1C82" w:rsidP="00540FC9">
            <w:pPr>
              <w:rPr>
                <w:rFonts w:ascii="Arial" w:hAnsi="Arial" w:cs="Arial"/>
                <w:sz w:val="22"/>
                <w:szCs w:val="22"/>
              </w:rPr>
            </w:pPr>
            <w:r w:rsidRPr="006C79E3">
              <w:rPr>
                <w:rFonts w:ascii="Arial" w:hAnsi="Arial" w:cs="Arial"/>
                <w:sz w:val="22"/>
                <w:szCs w:val="22"/>
              </w:rPr>
              <w:t>GP Prescribing</w:t>
            </w:r>
          </w:p>
        </w:tc>
      </w:tr>
      <w:tr w:rsidR="00CC1C82" w:rsidRPr="006C79E3" w:rsidTr="00540FC9">
        <w:tc>
          <w:tcPr>
            <w:tcW w:w="828" w:type="dxa"/>
          </w:tcPr>
          <w:p w:rsidR="00CC1C82" w:rsidRPr="006C79E3" w:rsidRDefault="00CC1C82" w:rsidP="00540FC9">
            <w:pPr>
              <w:jc w:val="right"/>
              <w:rPr>
                <w:rFonts w:ascii="Arial" w:hAnsi="Arial" w:cs="Arial"/>
                <w:sz w:val="22"/>
                <w:szCs w:val="22"/>
              </w:rPr>
            </w:pPr>
            <w:r>
              <w:rPr>
                <w:rFonts w:ascii="Arial" w:hAnsi="Arial" w:cs="Arial"/>
                <w:sz w:val="22"/>
                <w:szCs w:val="22"/>
              </w:rPr>
              <w:t>50.8%</w:t>
            </w:r>
          </w:p>
        </w:tc>
        <w:tc>
          <w:tcPr>
            <w:tcW w:w="853" w:type="dxa"/>
          </w:tcPr>
          <w:p w:rsidR="00CC1C82" w:rsidRPr="006C79E3" w:rsidRDefault="00CC1C82" w:rsidP="00540FC9">
            <w:pPr>
              <w:jc w:val="right"/>
              <w:rPr>
                <w:rFonts w:ascii="Arial" w:hAnsi="Arial" w:cs="Arial"/>
                <w:sz w:val="22"/>
                <w:szCs w:val="22"/>
              </w:rPr>
            </w:pPr>
            <w:r>
              <w:rPr>
                <w:rFonts w:ascii="Arial" w:hAnsi="Arial" w:cs="Arial"/>
                <w:sz w:val="22"/>
                <w:szCs w:val="22"/>
              </w:rPr>
              <w:t>3.2%</w:t>
            </w:r>
          </w:p>
        </w:tc>
        <w:tc>
          <w:tcPr>
            <w:tcW w:w="1167" w:type="dxa"/>
          </w:tcPr>
          <w:p w:rsidR="00CC1C82" w:rsidRPr="006C79E3" w:rsidRDefault="00CC1C82" w:rsidP="00540FC9">
            <w:pPr>
              <w:jc w:val="right"/>
              <w:rPr>
                <w:rFonts w:ascii="Arial" w:hAnsi="Arial" w:cs="Arial"/>
                <w:sz w:val="22"/>
                <w:szCs w:val="22"/>
              </w:rPr>
            </w:pPr>
            <w:r>
              <w:rPr>
                <w:rFonts w:ascii="Arial" w:hAnsi="Arial" w:cs="Arial"/>
                <w:sz w:val="22"/>
                <w:szCs w:val="22"/>
              </w:rPr>
              <w:t>11.9%</w:t>
            </w:r>
          </w:p>
        </w:tc>
        <w:tc>
          <w:tcPr>
            <w:tcW w:w="1074" w:type="dxa"/>
          </w:tcPr>
          <w:p w:rsidR="00CC1C82" w:rsidRPr="006C79E3" w:rsidRDefault="00CC1C82" w:rsidP="00540FC9">
            <w:pPr>
              <w:jc w:val="right"/>
              <w:rPr>
                <w:rFonts w:ascii="Arial" w:hAnsi="Arial" w:cs="Arial"/>
                <w:sz w:val="22"/>
                <w:szCs w:val="22"/>
              </w:rPr>
            </w:pPr>
            <w:r>
              <w:rPr>
                <w:rFonts w:ascii="Arial" w:hAnsi="Arial" w:cs="Arial"/>
                <w:sz w:val="22"/>
                <w:szCs w:val="22"/>
              </w:rPr>
              <w:t>3.6%</w:t>
            </w:r>
          </w:p>
        </w:tc>
        <w:tc>
          <w:tcPr>
            <w:tcW w:w="1271" w:type="dxa"/>
          </w:tcPr>
          <w:p w:rsidR="00CC1C82" w:rsidRPr="006C79E3" w:rsidRDefault="00CC1C82" w:rsidP="00540FC9">
            <w:pPr>
              <w:jc w:val="right"/>
              <w:rPr>
                <w:rFonts w:ascii="Arial" w:hAnsi="Arial" w:cs="Arial"/>
                <w:sz w:val="22"/>
                <w:szCs w:val="22"/>
              </w:rPr>
            </w:pPr>
            <w:r>
              <w:rPr>
                <w:rFonts w:ascii="Arial" w:hAnsi="Arial" w:cs="Arial"/>
                <w:sz w:val="22"/>
                <w:szCs w:val="22"/>
              </w:rPr>
              <w:t>11.6%</w:t>
            </w:r>
          </w:p>
        </w:tc>
        <w:tc>
          <w:tcPr>
            <w:tcW w:w="1271" w:type="dxa"/>
          </w:tcPr>
          <w:p w:rsidR="00CC1C82" w:rsidRPr="006C79E3" w:rsidRDefault="00CC1C82" w:rsidP="00540FC9">
            <w:pPr>
              <w:jc w:val="right"/>
              <w:rPr>
                <w:rFonts w:ascii="Arial" w:hAnsi="Arial" w:cs="Arial"/>
                <w:sz w:val="22"/>
                <w:szCs w:val="22"/>
              </w:rPr>
            </w:pPr>
            <w:r>
              <w:rPr>
                <w:rFonts w:ascii="Arial" w:hAnsi="Arial" w:cs="Arial"/>
                <w:sz w:val="22"/>
                <w:szCs w:val="22"/>
              </w:rPr>
              <w:t>5.8%</w:t>
            </w:r>
          </w:p>
        </w:tc>
        <w:tc>
          <w:tcPr>
            <w:tcW w:w="877" w:type="dxa"/>
          </w:tcPr>
          <w:p w:rsidR="00CC1C82" w:rsidRPr="006C79E3" w:rsidRDefault="00CC1C82" w:rsidP="00540FC9">
            <w:pPr>
              <w:jc w:val="right"/>
              <w:rPr>
                <w:rFonts w:ascii="Arial" w:hAnsi="Arial" w:cs="Arial"/>
                <w:sz w:val="22"/>
                <w:szCs w:val="22"/>
              </w:rPr>
            </w:pPr>
            <w:r>
              <w:rPr>
                <w:rFonts w:ascii="Arial" w:hAnsi="Arial" w:cs="Arial"/>
                <w:sz w:val="22"/>
                <w:szCs w:val="22"/>
              </w:rPr>
              <w:t>87%</w:t>
            </w:r>
          </w:p>
        </w:tc>
        <w:tc>
          <w:tcPr>
            <w:tcW w:w="1260" w:type="dxa"/>
          </w:tcPr>
          <w:p w:rsidR="00CC1C82" w:rsidRPr="006C79E3" w:rsidRDefault="00CC1C82" w:rsidP="00540FC9">
            <w:pPr>
              <w:jc w:val="right"/>
              <w:rPr>
                <w:rFonts w:ascii="Arial" w:hAnsi="Arial" w:cs="Arial"/>
                <w:sz w:val="22"/>
                <w:szCs w:val="22"/>
              </w:rPr>
            </w:pPr>
            <w:r>
              <w:rPr>
                <w:rFonts w:ascii="Arial" w:hAnsi="Arial" w:cs="Arial"/>
                <w:sz w:val="22"/>
                <w:szCs w:val="22"/>
              </w:rPr>
              <w:t>13.0%</w:t>
            </w:r>
          </w:p>
        </w:tc>
      </w:tr>
    </w:tbl>
    <w:p w:rsidR="00CC1C82" w:rsidRDefault="00CC1C82" w:rsidP="00CC1C82">
      <w:pPr>
        <w:rPr>
          <w:rFonts w:cs="Arial"/>
          <w:sz w:val="22"/>
          <w:szCs w:val="22"/>
        </w:rPr>
      </w:pPr>
      <w:r w:rsidRPr="006C79E3">
        <w:rPr>
          <w:rFonts w:cs="Arial"/>
          <w:sz w:val="22"/>
          <w:szCs w:val="22"/>
        </w:rPr>
        <w:t>Source: ISD</w:t>
      </w:r>
      <w:r>
        <w:rPr>
          <w:rFonts w:cs="Arial"/>
          <w:sz w:val="22"/>
          <w:szCs w:val="22"/>
        </w:rPr>
        <w:t xml:space="preserve"> (relating to the 2011/12 calculations)</w:t>
      </w:r>
    </w:p>
    <w:p w:rsidR="00CC1C82" w:rsidRDefault="00CC1C82" w:rsidP="00CC1C82">
      <w:pPr>
        <w:rPr>
          <w:rFonts w:cs="Arial"/>
          <w:szCs w:val="22"/>
        </w:rPr>
      </w:pPr>
    </w:p>
    <w:p w:rsidR="00CC1C82" w:rsidRPr="00712042" w:rsidRDefault="00CC1C82" w:rsidP="00CC1C82">
      <w:pPr>
        <w:rPr>
          <w:rFonts w:cs="Arial"/>
          <w:b/>
          <w:szCs w:val="22"/>
        </w:rPr>
      </w:pPr>
      <w:r w:rsidRPr="00712042">
        <w:rPr>
          <w:rFonts w:cs="Arial"/>
          <w:b/>
          <w:szCs w:val="22"/>
        </w:rPr>
        <w:t>Table 2: Urban-Rural Categories:</w:t>
      </w:r>
    </w:p>
    <w:p w:rsidR="00CC1C82" w:rsidRPr="001D3D68"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r>
        <w:rPr>
          <w:rFonts w:cs="Arial"/>
          <w:szCs w:val="22"/>
        </w:rPr>
        <w:t>Large urban areas</w:t>
      </w:r>
    </w:p>
    <w:p w:rsidR="00CC1C82" w:rsidRPr="001D3D68"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r>
        <w:rPr>
          <w:rFonts w:cs="Arial"/>
          <w:szCs w:val="22"/>
        </w:rPr>
        <w:t>Other urban areas</w:t>
      </w:r>
    </w:p>
    <w:p w:rsidR="00CC1C82" w:rsidRPr="001D3D68"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r>
        <w:rPr>
          <w:rFonts w:cs="Arial"/>
          <w:szCs w:val="22"/>
        </w:rPr>
        <w:t>Accessible small towns</w:t>
      </w:r>
    </w:p>
    <w:p w:rsidR="00CC1C82" w:rsidRPr="001D3D68"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r>
        <w:rPr>
          <w:rFonts w:cs="Arial"/>
          <w:szCs w:val="22"/>
        </w:rPr>
        <w:t>Remote small towns</w:t>
      </w:r>
    </w:p>
    <w:p w:rsidR="00CC1C82" w:rsidRPr="001D3D68"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r>
        <w:rPr>
          <w:rFonts w:cs="Arial"/>
          <w:szCs w:val="22"/>
        </w:rPr>
        <w:t>Very remote mainland areas and non-</w:t>
      </w:r>
      <w:proofErr w:type="spellStart"/>
      <w:r>
        <w:rPr>
          <w:rFonts w:cs="Arial"/>
          <w:szCs w:val="22"/>
        </w:rPr>
        <w:t>SDIA</w:t>
      </w:r>
      <w:proofErr w:type="spellEnd"/>
      <w:r>
        <w:rPr>
          <w:rFonts w:cs="Arial"/>
          <w:szCs w:val="22"/>
        </w:rPr>
        <w:t xml:space="preserve"> islands</w:t>
      </w:r>
    </w:p>
    <w:p w:rsidR="00CC1C82" w:rsidRPr="001D3D68"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r>
        <w:rPr>
          <w:rFonts w:cs="Arial"/>
          <w:szCs w:val="22"/>
        </w:rPr>
        <w:t>Accessible rural areas</w:t>
      </w:r>
    </w:p>
    <w:p w:rsidR="00CC1C82" w:rsidRPr="001D3D68"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r>
        <w:rPr>
          <w:rFonts w:cs="Arial"/>
          <w:szCs w:val="22"/>
        </w:rPr>
        <w:t>Remote rural areas</w:t>
      </w:r>
    </w:p>
    <w:p w:rsidR="00CC1C82" w:rsidRDefault="00A616B7" w:rsidP="00DF43D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2"/>
        </w:rPr>
      </w:pPr>
      <w:proofErr w:type="spellStart"/>
      <w:r>
        <w:rPr>
          <w:rFonts w:cs="Arial"/>
          <w:szCs w:val="22"/>
        </w:rPr>
        <w:t>SDIA</w:t>
      </w:r>
      <w:proofErr w:type="spellEnd"/>
      <w:r>
        <w:rPr>
          <w:rFonts w:cs="Arial"/>
          <w:szCs w:val="22"/>
        </w:rPr>
        <w:t xml:space="preserve"> islands</w:t>
      </w:r>
    </w:p>
    <w:p w:rsidR="00CC1C82" w:rsidRDefault="00CC1C82" w:rsidP="00CC1C82">
      <w:pPr>
        <w:rPr>
          <w:rFonts w:cs="Arial"/>
          <w:szCs w:val="22"/>
        </w:rPr>
      </w:pPr>
    </w:p>
    <w:p w:rsidR="00CC1C82" w:rsidRDefault="00CC1C82" w:rsidP="00CC1C82">
      <w:pPr>
        <w:rPr>
          <w:rFonts w:cs="Arial"/>
          <w:szCs w:val="22"/>
        </w:rPr>
        <w:sectPr w:rsidR="00CC1C82">
          <w:headerReference w:type="default" r:id="rId10"/>
          <w:pgSz w:w="11906" w:h="16838"/>
          <w:pgMar w:top="1440" w:right="1800" w:bottom="1440" w:left="1800" w:header="708" w:footer="708" w:gutter="0"/>
          <w:cols w:space="708"/>
          <w:docGrid w:linePitch="360"/>
        </w:sectPr>
      </w:pPr>
    </w:p>
    <w:p w:rsidR="00540FC9" w:rsidRDefault="00540FC9" w:rsidP="00540FC9">
      <w:pPr>
        <w:rPr>
          <w:rFonts w:cs="Arial"/>
          <w:b/>
        </w:rPr>
      </w:pPr>
      <w:r w:rsidRPr="00357CBA">
        <w:rPr>
          <w:rFonts w:cs="Arial"/>
          <w:b/>
        </w:rPr>
        <w:lastRenderedPageBreak/>
        <w:t>Annex</w:t>
      </w:r>
      <w:r>
        <w:rPr>
          <w:rFonts w:cs="Arial"/>
          <w:b/>
        </w:rPr>
        <w:t xml:space="preserve"> 2</w:t>
      </w:r>
      <w:r w:rsidRPr="00357CBA">
        <w:rPr>
          <w:rFonts w:cs="Arial"/>
          <w:b/>
        </w:rPr>
        <w:t>: NRAC Technical Report E – extract relating to cost ratios.</w:t>
      </w:r>
    </w:p>
    <w:p w:rsidR="00540FC9" w:rsidRDefault="00540FC9" w:rsidP="00540FC9">
      <w:pPr>
        <w:rPr>
          <w:rFonts w:cs="Arial"/>
        </w:rPr>
      </w:pPr>
      <w:r>
        <w:rPr>
          <w:rFonts w:cs="Arial"/>
          <w:noProof/>
          <w:lang w:eastAsia="en-GB"/>
        </w:rPr>
        <w:drawing>
          <wp:inline distT="0" distB="0" distL="0" distR="0">
            <wp:extent cx="5495925" cy="417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4171950"/>
                    </a:xfrm>
                    <a:prstGeom prst="rect">
                      <a:avLst/>
                    </a:prstGeom>
                    <a:noFill/>
                    <a:ln>
                      <a:noFill/>
                    </a:ln>
                  </pic:spPr>
                </pic:pic>
              </a:graphicData>
            </a:graphic>
          </wp:inline>
        </w:drawing>
      </w:r>
      <w:r>
        <w:rPr>
          <w:rFonts w:cs="Arial"/>
          <w:noProof/>
          <w:lang w:eastAsia="en-GB"/>
        </w:rPr>
        <w:drawing>
          <wp:inline distT="0" distB="0" distL="0" distR="0">
            <wp:extent cx="527685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4572000"/>
                    </a:xfrm>
                    <a:prstGeom prst="rect">
                      <a:avLst/>
                    </a:prstGeom>
                    <a:noFill/>
                    <a:ln>
                      <a:noFill/>
                    </a:ln>
                  </pic:spPr>
                </pic:pic>
              </a:graphicData>
            </a:graphic>
          </wp:inline>
        </w:drawing>
      </w:r>
    </w:p>
    <w:p w:rsidR="00540FC9" w:rsidRPr="00357CBA" w:rsidRDefault="00540FC9" w:rsidP="00540FC9">
      <w:pPr>
        <w:rPr>
          <w:rFonts w:cs="Arial"/>
        </w:rPr>
      </w:pPr>
      <w:r>
        <w:rPr>
          <w:rFonts w:cs="Arial"/>
          <w:noProof/>
          <w:lang w:eastAsia="en-GB"/>
        </w:rPr>
        <w:lastRenderedPageBreak/>
        <w:drawing>
          <wp:inline distT="0" distB="0" distL="0" distR="0">
            <wp:extent cx="527685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133475"/>
                    </a:xfrm>
                    <a:prstGeom prst="rect">
                      <a:avLst/>
                    </a:prstGeom>
                    <a:noFill/>
                    <a:ln>
                      <a:noFill/>
                    </a:ln>
                  </pic:spPr>
                </pic:pic>
              </a:graphicData>
            </a:graphic>
          </wp:inline>
        </w:drawing>
      </w:r>
    </w:p>
    <w:p w:rsidR="00540FC9" w:rsidRPr="00357CBA" w:rsidRDefault="00540FC9" w:rsidP="00540FC9">
      <w:pPr>
        <w:rPr>
          <w:rFonts w:cs="Arial"/>
        </w:rPr>
      </w:pPr>
    </w:p>
    <w:p w:rsidR="00CC1C82" w:rsidRDefault="00CC1C82" w:rsidP="00E36759"/>
    <w:sectPr w:rsidR="00CC1C82" w:rsidSect="00540FC9">
      <w:headerReference w:type="default" r:id="rId14"/>
      <w:pgSz w:w="11906" w:h="16838"/>
      <w:pgMar w:top="1078"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AC" w:rsidRDefault="00952EAC">
      <w:pPr>
        <w:spacing w:line="240" w:lineRule="auto"/>
      </w:pPr>
      <w:r>
        <w:separator/>
      </w:r>
    </w:p>
  </w:endnote>
  <w:endnote w:type="continuationSeparator" w:id="0">
    <w:p w:rsidR="00952EAC" w:rsidRDefault="00952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AC" w:rsidRDefault="00952EAC">
      <w:pPr>
        <w:spacing w:line="240" w:lineRule="auto"/>
      </w:pPr>
      <w:r>
        <w:separator/>
      </w:r>
    </w:p>
  </w:footnote>
  <w:footnote w:type="continuationSeparator" w:id="0">
    <w:p w:rsidR="00952EAC" w:rsidRDefault="00952EAC">
      <w:pPr>
        <w:spacing w:line="240" w:lineRule="auto"/>
      </w:pPr>
      <w:r>
        <w:continuationSeparator/>
      </w:r>
    </w:p>
  </w:footnote>
  <w:footnote w:id="1">
    <w:p w:rsidR="00426CA2" w:rsidRDefault="00426CA2" w:rsidP="00540FC9">
      <w:pPr>
        <w:pStyle w:val="FootnoteText"/>
      </w:pPr>
      <w:r>
        <w:rPr>
          <w:rStyle w:val="FootnoteReference"/>
        </w:rPr>
        <w:footnoteRef/>
      </w:r>
      <w:r>
        <w:t xml:space="preserve"> Note that for the calculation of the ratio the same (volume of) health care is used in the numerator and denominator – but with actual unit costs or national unit costs of those treatments applied.  Differences in the level (i.e. volume) of treatments per person are captured by the MLC and the age-sex elements of the formula. </w:t>
      </w:r>
    </w:p>
  </w:footnote>
  <w:footnote w:id="2">
    <w:p w:rsidR="00426CA2" w:rsidRDefault="00426CA2" w:rsidP="00540FC9">
      <w:pPr>
        <w:pStyle w:val="FootnoteText"/>
      </w:pPr>
      <w:r>
        <w:rPr>
          <w:rStyle w:val="FootnoteReference"/>
        </w:rPr>
        <w:footnoteRef/>
      </w:r>
      <w:r>
        <w:t xml:space="preserve"> All costs relevant to the NRAC formula – i.e. not including capital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C30" w:rsidRPr="001E3EBB" w:rsidRDefault="00AE4C30" w:rsidP="00AE4C30">
    <w:pPr>
      <w:pStyle w:val="Header"/>
      <w:tabs>
        <w:tab w:val="clear" w:pos="4153"/>
        <w:tab w:val="clear" w:pos="8306"/>
        <w:tab w:val="center" w:pos="4500"/>
        <w:tab w:val="right" w:pos="9000"/>
      </w:tabs>
      <w:jc w:val="left"/>
      <w:rPr>
        <w:rFonts w:ascii="Times New Roman" w:hAnsi="Times New Roman"/>
        <w:sz w:val="20"/>
      </w:rPr>
    </w:pPr>
    <w:r w:rsidRPr="001E3EBB">
      <w:rPr>
        <w:rFonts w:ascii="Times New Roman" w:hAnsi="Times New Roman"/>
        <w:i/>
      </w:rPr>
      <w:t>Fair Shares for Health in Scotland</w:t>
    </w:r>
    <w:r w:rsidRPr="001E3EBB">
      <w:rPr>
        <w:rFonts w:ascii="Times New Roman" w:hAnsi="Times New Roman"/>
      </w:rPr>
      <w:tab/>
    </w:r>
    <w:r w:rsidRPr="001E3EBB">
      <w:rPr>
        <w:rFonts w:ascii="Times New Roman" w:hAnsi="Times New Roman"/>
      </w:rPr>
      <w:tab/>
    </w:r>
    <w:r w:rsidRPr="001E3EBB">
      <w:rPr>
        <w:rFonts w:ascii="Times New Roman" w:hAnsi="Times New Roman"/>
        <w:i/>
      </w:rPr>
      <w:t>TAGRA(2013)</w:t>
    </w:r>
    <w:r>
      <w:rPr>
        <w:rFonts w:ascii="Times New Roman" w:hAnsi="Times New Roman"/>
        <w:i/>
      </w:rPr>
      <w:t>1</w:t>
    </w:r>
    <w:r>
      <w:rPr>
        <w:rFonts w:ascii="Times New Roman" w:hAnsi="Times New Roman"/>
        <w:i/>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A2" w:rsidRPr="00773BAA" w:rsidRDefault="00426CA2" w:rsidP="00540FC9">
    <w:pPr>
      <w:pStyle w:val="Header"/>
      <w:jc w:val="right"/>
      <w:rPr>
        <w:rFonts w:cs="Arial"/>
      </w:rPr>
    </w:pPr>
    <w:r>
      <w:rPr>
        <w:rFonts w:cs="Arial"/>
      </w:rPr>
      <w:t xml:space="preserve">Paper </w:t>
    </w:r>
    <w:proofErr w:type="spellStart"/>
    <w:r>
      <w:rPr>
        <w:rFonts w:cs="Arial"/>
      </w:rPr>
      <w:t>TRR22</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C6D707B"/>
    <w:multiLevelType w:val="hybridMultilevel"/>
    <w:tmpl w:val="6C3CBAD0"/>
    <w:lvl w:ilvl="0" w:tplc="E9B08D5A">
      <w:start w:val="1"/>
      <w:numFmt w:val="decimal"/>
      <w:lvlText w:val="%1."/>
      <w:lvlJc w:val="left"/>
      <w:pPr>
        <w:tabs>
          <w:tab w:val="num" w:pos="340"/>
        </w:tabs>
        <w:ind w:left="0" w:firstLine="0"/>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D10295E"/>
    <w:multiLevelType w:val="hybridMultilevel"/>
    <w:tmpl w:val="0F6863CC"/>
    <w:lvl w:ilvl="0" w:tplc="E9B08D5A">
      <w:start w:val="1"/>
      <w:numFmt w:val="decimal"/>
      <w:lvlText w:val="%1."/>
      <w:lvlJc w:val="left"/>
      <w:pPr>
        <w:tabs>
          <w:tab w:val="num" w:pos="340"/>
        </w:tabs>
        <w:ind w:left="0" w:firstLine="0"/>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044597C"/>
    <w:multiLevelType w:val="hybridMultilevel"/>
    <w:tmpl w:val="38940426"/>
    <w:lvl w:ilvl="0" w:tplc="E9B08D5A">
      <w:start w:val="1"/>
      <w:numFmt w:val="decimal"/>
      <w:lvlText w:val="%1."/>
      <w:lvlJc w:val="left"/>
      <w:pPr>
        <w:tabs>
          <w:tab w:val="num" w:pos="340"/>
        </w:tabs>
        <w:ind w:left="0" w:firstLine="0"/>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E151C17"/>
    <w:multiLevelType w:val="hybridMultilevel"/>
    <w:tmpl w:val="CAB4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82"/>
    <w:rsid w:val="000C4F2E"/>
    <w:rsid w:val="00100021"/>
    <w:rsid w:val="001267F7"/>
    <w:rsid w:val="00157346"/>
    <w:rsid w:val="00192DC7"/>
    <w:rsid w:val="0019729A"/>
    <w:rsid w:val="00240AFC"/>
    <w:rsid w:val="002F3688"/>
    <w:rsid w:val="00355456"/>
    <w:rsid w:val="003D2F14"/>
    <w:rsid w:val="003F2479"/>
    <w:rsid w:val="00411FC4"/>
    <w:rsid w:val="00426CA2"/>
    <w:rsid w:val="004F5F64"/>
    <w:rsid w:val="00540FC9"/>
    <w:rsid w:val="005633F1"/>
    <w:rsid w:val="00566C0A"/>
    <w:rsid w:val="0059193A"/>
    <w:rsid w:val="005A33DD"/>
    <w:rsid w:val="0067486A"/>
    <w:rsid w:val="00686FBB"/>
    <w:rsid w:val="006D26F7"/>
    <w:rsid w:val="0089719D"/>
    <w:rsid w:val="009329E7"/>
    <w:rsid w:val="00952710"/>
    <w:rsid w:val="00952EAC"/>
    <w:rsid w:val="009A20B8"/>
    <w:rsid w:val="009F71B8"/>
    <w:rsid w:val="00A56EBA"/>
    <w:rsid w:val="00A616B7"/>
    <w:rsid w:val="00A90A53"/>
    <w:rsid w:val="00AB54FF"/>
    <w:rsid w:val="00AC310B"/>
    <w:rsid w:val="00AE01CB"/>
    <w:rsid w:val="00AE4C30"/>
    <w:rsid w:val="00B10540"/>
    <w:rsid w:val="00BD3A75"/>
    <w:rsid w:val="00C86FBA"/>
    <w:rsid w:val="00CC1C82"/>
    <w:rsid w:val="00D37F31"/>
    <w:rsid w:val="00DF43D2"/>
    <w:rsid w:val="00E3599D"/>
    <w:rsid w:val="00E36759"/>
    <w:rsid w:val="00EE5F42"/>
    <w:rsid w:val="00F343A7"/>
    <w:rsid w:val="00F4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CC1C82"/>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82"/>
    <w:rPr>
      <w:rFonts w:ascii="Tahoma" w:hAnsi="Tahoma" w:cs="Tahoma"/>
      <w:sz w:val="16"/>
      <w:szCs w:val="16"/>
      <w:lang w:eastAsia="en-US"/>
    </w:rPr>
  </w:style>
  <w:style w:type="paragraph" w:styleId="FootnoteText">
    <w:name w:val="footnote text"/>
    <w:basedOn w:val="Normal"/>
    <w:link w:val="FootnoteTextChar"/>
    <w:semiHidden/>
    <w:rsid w:val="00540FC9"/>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lang w:eastAsia="en-GB"/>
    </w:rPr>
  </w:style>
  <w:style w:type="character" w:customStyle="1" w:styleId="FootnoteTextChar">
    <w:name w:val="Footnote Text Char"/>
    <w:basedOn w:val="DefaultParagraphFont"/>
    <w:link w:val="FootnoteText"/>
    <w:semiHidden/>
    <w:rsid w:val="00540FC9"/>
    <w:rPr>
      <w:rFonts w:ascii="Times New Roman" w:hAnsi="Times New Roman"/>
      <w:sz w:val="20"/>
    </w:rPr>
  </w:style>
  <w:style w:type="character" w:styleId="FootnoteReference">
    <w:name w:val="footnote reference"/>
    <w:basedOn w:val="DefaultParagraphFont"/>
    <w:semiHidden/>
    <w:rsid w:val="00540FC9"/>
    <w:rPr>
      <w:vertAlign w:val="superscript"/>
    </w:rPr>
  </w:style>
  <w:style w:type="character" w:styleId="Hyperlink">
    <w:name w:val="Hyperlink"/>
    <w:basedOn w:val="DefaultParagraphFont"/>
    <w:rsid w:val="00540FC9"/>
    <w:rPr>
      <w:color w:val="0000FF"/>
      <w:u w:val="single"/>
    </w:rPr>
  </w:style>
  <w:style w:type="paragraph" w:styleId="ListParagraph">
    <w:name w:val="List Paragraph"/>
    <w:basedOn w:val="Normal"/>
    <w:uiPriority w:val="34"/>
    <w:qFormat/>
    <w:rsid w:val="00D37F31"/>
    <w:pPr>
      <w:ind w:left="720"/>
      <w:contextualSpacing/>
    </w:pPr>
  </w:style>
  <w:style w:type="character" w:customStyle="1" w:styleId="HeaderChar">
    <w:name w:val="Header Char"/>
    <w:basedOn w:val="DefaultParagraphFont"/>
    <w:link w:val="Header"/>
    <w:uiPriority w:val="99"/>
    <w:rsid w:val="00AE4C3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CC1C82"/>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82"/>
    <w:rPr>
      <w:rFonts w:ascii="Tahoma" w:hAnsi="Tahoma" w:cs="Tahoma"/>
      <w:sz w:val="16"/>
      <w:szCs w:val="16"/>
      <w:lang w:eastAsia="en-US"/>
    </w:rPr>
  </w:style>
  <w:style w:type="paragraph" w:styleId="FootnoteText">
    <w:name w:val="footnote text"/>
    <w:basedOn w:val="Normal"/>
    <w:link w:val="FootnoteTextChar"/>
    <w:semiHidden/>
    <w:rsid w:val="00540FC9"/>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lang w:eastAsia="en-GB"/>
    </w:rPr>
  </w:style>
  <w:style w:type="character" w:customStyle="1" w:styleId="FootnoteTextChar">
    <w:name w:val="Footnote Text Char"/>
    <w:basedOn w:val="DefaultParagraphFont"/>
    <w:link w:val="FootnoteText"/>
    <w:semiHidden/>
    <w:rsid w:val="00540FC9"/>
    <w:rPr>
      <w:rFonts w:ascii="Times New Roman" w:hAnsi="Times New Roman"/>
      <w:sz w:val="20"/>
    </w:rPr>
  </w:style>
  <w:style w:type="character" w:styleId="FootnoteReference">
    <w:name w:val="footnote reference"/>
    <w:basedOn w:val="DefaultParagraphFont"/>
    <w:semiHidden/>
    <w:rsid w:val="00540FC9"/>
    <w:rPr>
      <w:vertAlign w:val="superscript"/>
    </w:rPr>
  </w:style>
  <w:style w:type="character" w:styleId="Hyperlink">
    <w:name w:val="Hyperlink"/>
    <w:basedOn w:val="DefaultParagraphFont"/>
    <w:rsid w:val="00540FC9"/>
    <w:rPr>
      <w:color w:val="0000FF"/>
      <w:u w:val="single"/>
    </w:rPr>
  </w:style>
  <w:style w:type="paragraph" w:styleId="ListParagraph">
    <w:name w:val="List Paragraph"/>
    <w:basedOn w:val="Normal"/>
    <w:uiPriority w:val="34"/>
    <w:qFormat/>
    <w:rsid w:val="00D37F31"/>
    <w:pPr>
      <w:ind w:left="720"/>
      <w:contextualSpacing/>
    </w:pPr>
  </w:style>
  <w:style w:type="character" w:customStyle="1" w:styleId="HeaderChar">
    <w:name w:val="Header Char"/>
    <w:basedOn w:val="DefaultParagraphFont"/>
    <w:link w:val="Header"/>
    <w:uiPriority w:val="99"/>
    <w:rsid w:val="00AE4C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5611">
      <w:bodyDiv w:val="1"/>
      <w:marLeft w:val="0"/>
      <w:marRight w:val="0"/>
      <w:marTop w:val="0"/>
      <w:marBottom w:val="0"/>
      <w:divBdr>
        <w:top w:val="none" w:sz="0" w:space="0" w:color="auto"/>
        <w:left w:val="none" w:sz="0" w:space="0" w:color="auto"/>
        <w:bottom w:val="none" w:sz="0" w:space="0" w:color="auto"/>
        <w:right w:val="none" w:sz="0" w:space="0" w:color="auto"/>
      </w:divBdr>
    </w:div>
    <w:div w:id="1149515990">
      <w:bodyDiv w:val="1"/>
      <w:marLeft w:val="0"/>
      <w:marRight w:val="0"/>
      <w:marTop w:val="0"/>
      <w:marBottom w:val="0"/>
      <w:divBdr>
        <w:top w:val="none" w:sz="0" w:space="0" w:color="auto"/>
        <w:left w:val="none" w:sz="0" w:space="0" w:color="auto"/>
        <w:bottom w:val="none" w:sz="0" w:space="0" w:color="auto"/>
        <w:right w:val="none" w:sz="0" w:space="0" w:color="auto"/>
      </w:divBdr>
    </w:div>
    <w:div w:id="1667129948">
      <w:bodyDiv w:val="1"/>
      <w:marLeft w:val="0"/>
      <w:marRight w:val="0"/>
      <w:marTop w:val="0"/>
      <w:marBottom w:val="0"/>
      <w:divBdr>
        <w:top w:val="none" w:sz="0" w:space="0" w:color="auto"/>
        <w:left w:val="none" w:sz="0" w:space="0" w:color="auto"/>
        <w:bottom w:val="none" w:sz="0" w:space="0" w:color="auto"/>
        <w:right w:val="none" w:sz="0" w:space="0" w:color="auto"/>
      </w:divBdr>
    </w:div>
    <w:div w:id="16913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dscotland.org/Health-Topics/Finance/Costs/Reference-Information.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8397-34FD-4C86-A3D2-CAADE283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u414337</dc:creator>
  <cp:lastModifiedBy>u207787</cp:lastModifiedBy>
  <cp:revision>17</cp:revision>
  <cp:lastPrinted>2013-07-09T12:47:00Z</cp:lastPrinted>
  <dcterms:created xsi:type="dcterms:W3CDTF">2013-07-05T14:31:00Z</dcterms:created>
  <dcterms:modified xsi:type="dcterms:W3CDTF">2013-07-24T09:12:00Z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A6424779</vt:lpwstr>
  </property>
  <property fmtid="{D5CDD505-2E9C-101B-9397-08002B2CF9AE}" pid="4" name="Objective-Title">
    <vt:lpwstr>ASDHD \ 2013 \ TAGRA \ Meeting 2 \ Paper TAGRA(2013)11 De Minimis</vt:lpwstr>
  </property>
  <property fmtid="{D5CDD505-2E9C-101B-9397-08002B2CF9AE}" pid="5" name="Objective-Comment">
    <vt:lpwstr>
    </vt:lpwstr>
  </property>
  <property fmtid="{D5CDD505-2E9C-101B-9397-08002B2CF9AE}" pid="6" name="Objective-CreationStamp">
    <vt:filetime>2013-07-23T16:24:11Z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2013-07-24T09:12:43Z</vt:filetime>
  </property>
  <property fmtid="{D5CDD505-2E9C-101B-9397-08002B2CF9AE}" pid="10" name="Objective-ModificationStamp">
    <vt:filetime>2013-07-24T09:12:48Z</vt:filetime>
  </property>
  <property fmtid="{D5CDD505-2E9C-101B-9397-08002B2CF9AE}" pid="11" name="Objective-Owner">
    <vt:lpwstr>Lynch, Ellen E (u207787)</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Committees and groups: NHS Management: 2013-2018:</vt:lpwstr>
  </property>
  <property fmtid="{D5CDD505-2E9C-101B-9397-08002B2CF9AE}" pid="13" name="Objective-Parent">
    <vt:lpwstr>Analytical: NHS Scotland Resource Allocation Committee: Restricted working papers: Implementation: Committees and groups: NHS Management: 2013-2018</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