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FE" w:rsidRDefault="00644DFE" w:rsidP="00F741D3">
      <w:pPr>
        <w:pStyle w:val="NameofDocument"/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 zone re</w:t>
      </w:r>
      <w:r w:rsidR="00F741D3">
        <w:rPr>
          <w:rFonts w:ascii="Arial" w:hAnsi="Arial"/>
          <w:sz w:val="24"/>
        </w:rPr>
        <w:t>VIEW</w:t>
      </w:r>
    </w:p>
    <w:p w:rsidR="00F741D3" w:rsidRPr="00F741D3" w:rsidRDefault="00832EC6" w:rsidP="00F741D3">
      <w:pPr>
        <w:pStyle w:val="TAGRAPAPERNUMBER"/>
        <w:rPr>
          <w:rFonts w:ascii="Arial" w:hAnsi="Arial"/>
          <w:b/>
        </w:rPr>
      </w:pPr>
      <w:r>
        <w:rPr>
          <w:rFonts w:ascii="Arial" w:hAnsi="Arial"/>
          <w:b/>
        </w:rPr>
        <w:t xml:space="preserve">Paper </w:t>
      </w:r>
      <w:r w:rsidR="00F741D3">
        <w:rPr>
          <w:rFonts w:ascii="Arial" w:hAnsi="Arial"/>
          <w:b/>
        </w:rPr>
        <w:t>TAGRA(2013)12</w:t>
      </w:r>
    </w:p>
    <w:p w:rsidR="00F236B6" w:rsidRDefault="00F236B6" w:rsidP="00644DFE">
      <w:pPr>
        <w:pStyle w:val="NameofDocument"/>
        <w:spacing w:after="0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>purpose</w:t>
      </w:r>
    </w:p>
    <w:p w:rsidR="00F236B6" w:rsidRDefault="00F236B6" w:rsidP="00644DFE">
      <w:pPr>
        <w:pStyle w:val="NameofDocument"/>
        <w:spacing w:after="0"/>
        <w:rPr>
          <w:rFonts w:ascii="Arial" w:hAnsi="Arial"/>
          <w:sz w:val="24"/>
        </w:rPr>
      </w:pPr>
    </w:p>
    <w:p w:rsidR="00F236B6" w:rsidRPr="00F236B6" w:rsidRDefault="00F236B6" w:rsidP="00F236B6">
      <w:r>
        <w:t xml:space="preserve">To inform TAGRA members about the planned data zone boundary redraw and accompanying public consultation. </w:t>
      </w:r>
      <w:r w:rsidR="00BE5F9F">
        <w:t xml:space="preserve">The planned data zone redraw is of interest to TAGRA </w:t>
      </w:r>
      <w:r w:rsidR="00BE5F9F" w:rsidRPr="00BE5F9F">
        <w:rPr>
          <w:szCs w:val="24"/>
        </w:rPr>
        <w:t>as t</w:t>
      </w:r>
      <w:r w:rsidR="00BE5F9F" w:rsidRPr="00BE5F9F">
        <w:rPr>
          <w:rFonts w:cs="Arial"/>
          <w:szCs w:val="24"/>
        </w:rPr>
        <w:t xml:space="preserve">he NRAC formula is derived from calculations at data zone level for </w:t>
      </w:r>
      <w:r w:rsidR="00BE5F9F" w:rsidRPr="00BE5F9F">
        <w:rPr>
          <w:szCs w:val="24"/>
        </w:rPr>
        <w:t>Hospital &amp; Community Health Services (</w:t>
      </w:r>
      <w:proofErr w:type="spellStart"/>
      <w:r w:rsidR="00BE5F9F" w:rsidRPr="00BE5F9F">
        <w:rPr>
          <w:rFonts w:cs="Arial"/>
          <w:szCs w:val="24"/>
        </w:rPr>
        <w:t>HCHS</w:t>
      </w:r>
      <w:proofErr w:type="spellEnd"/>
      <w:r w:rsidR="00BE5F9F" w:rsidRPr="00BE5F9F">
        <w:rPr>
          <w:rFonts w:cs="Arial"/>
          <w:szCs w:val="24"/>
        </w:rPr>
        <w:t>).</w:t>
      </w:r>
    </w:p>
    <w:p w:rsidR="00F236B6" w:rsidRDefault="00F236B6" w:rsidP="00644DFE">
      <w:pPr>
        <w:pStyle w:val="NameofDocument"/>
        <w:spacing w:after="0"/>
        <w:rPr>
          <w:rFonts w:ascii="Arial" w:hAnsi="Arial"/>
          <w:sz w:val="24"/>
        </w:rPr>
      </w:pPr>
    </w:p>
    <w:p w:rsidR="00644DFE" w:rsidRDefault="00644DFE" w:rsidP="00644DFE">
      <w:pPr>
        <w:pStyle w:val="NameofDocument"/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introduction</w:t>
      </w:r>
    </w:p>
    <w:p w:rsidR="00644DFE" w:rsidRDefault="00644DFE" w:rsidP="00BC5FE4">
      <w:pPr>
        <w:jc w:val="center"/>
        <w:rPr>
          <w:b/>
        </w:rPr>
      </w:pPr>
    </w:p>
    <w:p w:rsidR="00B47A28" w:rsidRDefault="00BC5FE4" w:rsidP="00E36759">
      <w:r w:rsidRPr="00BC5FE4">
        <w:t xml:space="preserve">Data zones are a statistical geography used for the dissemination of small area statistics.  </w:t>
      </w:r>
      <w:r w:rsidR="00A93DBD">
        <w:t>Data zone boundaries have remained static sinc</w:t>
      </w:r>
      <w:r w:rsidR="00B47A28">
        <w:t>e th</w:t>
      </w:r>
      <w:r w:rsidR="0050397D">
        <w:t xml:space="preserve">ey were introduced in 2004 and </w:t>
      </w:r>
      <w:r w:rsidR="00A93DBD">
        <w:t xml:space="preserve">there has been considerable population change and a number of </w:t>
      </w:r>
      <w:r>
        <w:t xml:space="preserve"> </w:t>
      </w:r>
      <w:r w:rsidR="00A93DBD">
        <w:t>Loc</w:t>
      </w:r>
      <w:r w:rsidR="00B47A28">
        <w:t>al Authority boundary changes</w:t>
      </w:r>
      <w:r w:rsidR="0050397D">
        <w:t xml:space="preserve"> since their introduction</w:t>
      </w:r>
      <w:r w:rsidR="00B47A28">
        <w:t xml:space="preserve">.  </w:t>
      </w:r>
    </w:p>
    <w:p w:rsidR="00B47A28" w:rsidRDefault="00B47A28" w:rsidP="00E36759"/>
    <w:p w:rsidR="00A93DBD" w:rsidRDefault="00B47A28" w:rsidP="00E36759">
      <w:r>
        <w:t>Data zones will be redrawn with t</w:t>
      </w:r>
      <w:r w:rsidR="00DE6321">
        <w:t xml:space="preserve">he </w:t>
      </w:r>
      <w:r>
        <w:rPr>
          <w:b/>
        </w:rPr>
        <w:t>key</w:t>
      </w:r>
      <w:r w:rsidR="00DE6321" w:rsidRPr="00B47A28">
        <w:rPr>
          <w:b/>
        </w:rPr>
        <w:t xml:space="preserve"> </w:t>
      </w:r>
      <w:r>
        <w:rPr>
          <w:b/>
        </w:rPr>
        <w:t>aims</w:t>
      </w:r>
      <w:r w:rsidR="00C00271">
        <w:t xml:space="preserve"> </w:t>
      </w:r>
      <w:r w:rsidR="00400EBA">
        <w:t>of</w:t>
      </w:r>
      <w:r>
        <w:t>:</w:t>
      </w:r>
    </w:p>
    <w:p w:rsidR="00A93DBD" w:rsidRDefault="00A93DBD" w:rsidP="00A93DBD">
      <w:pPr>
        <w:pStyle w:val="ListParagraph"/>
        <w:numPr>
          <w:ilvl w:val="0"/>
          <w:numId w:val="8"/>
        </w:numPr>
      </w:pPr>
      <w:r>
        <w:t>Sta</w:t>
      </w:r>
      <w:r w:rsidR="00400EBA">
        <w:t>ndardising</w:t>
      </w:r>
      <w:r>
        <w:t xml:space="preserve"> data zone populations, i.e. all data zones should have a population of between 375 and 1,125;</w:t>
      </w:r>
    </w:p>
    <w:p w:rsidR="00A93DBD" w:rsidRDefault="00400EBA" w:rsidP="00A93DBD">
      <w:pPr>
        <w:pStyle w:val="ListParagraph"/>
        <w:numPr>
          <w:ilvl w:val="0"/>
          <w:numId w:val="8"/>
        </w:numPr>
      </w:pPr>
      <w:r>
        <w:t>Rea</w:t>
      </w:r>
      <w:r w:rsidR="00A93DBD">
        <w:t>lign</w:t>
      </w:r>
      <w:r>
        <w:t>ing data zones</w:t>
      </w:r>
      <w:r w:rsidR="00A93DBD">
        <w:t xml:space="preserve"> to Local Authority boundaries;</w:t>
      </w:r>
    </w:p>
    <w:p w:rsidR="00DE6321" w:rsidRDefault="00DE6321" w:rsidP="00A93DBD">
      <w:pPr>
        <w:pStyle w:val="ListParagraph"/>
        <w:numPr>
          <w:ilvl w:val="0"/>
          <w:numId w:val="8"/>
        </w:numPr>
      </w:pPr>
      <w:r>
        <w:t>Align</w:t>
      </w:r>
      <w:r w:rsidR="00400EBA">
        <w:t>ing data zones</w:t>
      </w:r>
      <w:r>
        <w:t xml:space="preserve"> to</w:t>
      </w:r>
      <w:r w:rsidR="00B47A28">
        <w:t xml:space="preserve"> 2011 Census Output Areas.</w:t>
      </w:r>
    </w:p>
    <w:p w:rsidR="00DE6321" w:rsidRDefault="00DE6321" w:rsidP="00DE6321"/>
    <w:p w:rsidR="00DE6321" w:rsidRDefault="00B47A28" w:rsidP="00DE6321">
      <w:r>
        <w:t>Other</w:t>
      </w:r>
      <w:r w:rsidR="00DE6321">
        <w:t xml:space="preserve"> aims</w:t>
      </w:r>
      <w:r>
        <w:t>, in order of importance</w:t>
      </w:r>
      <w:r w:rsidR="00DE6321">
        <w:t>:</w:t>
      </w:r>
    </w:p>
    <w:p w:rsidR="00C00271" w:rsidRDefault="00C00271" w:rsidP="00C00271">
      <w:pPr>
        <w:pStyle w:val="ListParagraph"/>
        <w:numPr>
          <w:ilvl w:val="0"/>
          <w:numId w:val="8"/>
        </w:numPr>
      </w:pPr>
      <w:r>
        <w:t>Allow comparisons over time;</w:t>
      </w:r>
    </w:p>
    <w:p w:rsidR="00B47A28" w:rsidRDefault="00C00271" w:rsidP="00C00271">
      <w:pPr>
        <w:pStyle w:val="ListParagraph"/>
        <w:numPr>
          <w:ilvl w:val="0"/>
          <w:numId w:val="8"/>
        </w:numPr>
      </w:pPr>
      <w:r>
        <w:t>Align to settlement and other boundaries of local significance</w:t>
      </w:r>
      <w:r w:rsidR="00B47A28">
        <w:t>;</w:t>
      </w:r>
    </w:p>
    <w:p w:rsidR="00A93DBD" w:rsidRDefault="00B47A28" w:rsidP="00C00271">
      <w:pPr>
        <w:pStyle w:val="ListParagraph"/>
        <w:numPr>
          <w:ilvl w:val="0"/>
          <w:numId w:val="8"/>
        </w:numPr>
      </w:pPr>
      <w:r>
        <w:t>Compactness of shape</w:t>
      </w:r>
      <w:r w:rsidR="00C00271">
        <w:t>.</w:t>
      </w:r>
    </w:p>
    <w:p w:rsidR="00EB7042" w:rsidRDefault="00EB7042" w:rsidP="00E36759"/>
    <w:p w:rsidR="00C00271" w:rsidRDefault="00EB7042" w:rsidP="00E36759">
      <w:r>
        <w:t>Due to population growth since 2001, i</w:t>
      </w:r>
      <w:r w:rsidRPr="00EB7042">
        <w:t xml:space="preserve">t is anticipated that </w:t>
      </w:r>
      <w:r w:rsidRPr="00EB7042">
        <w:rPr>
          <w:b/>
        </w:rPr>
        <w:t>the redraw will increase the number of data zones</w:t>
      </w:r>
      <w:r w:rsidRPr="00EB7042">
        <w:t xml:space="preserve"> from 6,505 to around 6,800.</w:t>
      </w:r>
    </w:p>
    <w:p w:rsidR="00EB7042" w:rsidRDefault="00EB7042" w:rsidP="00E36759"/>
    <w:p w:rsidR="00A93DBD" w:rsidRPr="00A93DBD" w:rsidRDefault="00644DFE" w:rsidP="00E36759">
      <w:pPr>
        <w:rPr>
          <w:b/>
        </w:rPr>
      </w:pPr>
      <w:r>
        <w:rPr>
          <w:b/>
        </w:rPr>
        <w:t>TIMETABLE</w:t>
      </w:r>
    </w:p>
    <w:p w:rsidR="00A93DBD" w:rsidRDefault="00A93DBD" w:rsidP="00E36759"/>
    <w:p w:rsidR="00A93DBD" w:rsidRDefault="00BC5FE4" w:rsidP="00DE6321">
      <w:r>
        <w:t xml:space="preserve">Once the Small Area Census data become available, work will begin to </w:t>
      </w:r>
      <w:r w:rsidR="00A93DBD">
        <w:t>produce draft</w:t>
      </w:r>
      <w:r>
        <w:t xml:space="preserve"> </w:t>
      </w:r>
      <w:r w:rsidR="00A93DBD">
        <w:t xml:space="preserve">2011 </w:t>
      </w:r>
      <w:r>
        <w:t xml:space="preserve">data zone boundaries.  This will be followed by a </w:t>
      </w:r>
      <w:r w:rsidRPr="00EB7042">
        <w:rPr>
          <w:b/>
        </w:rPr>
        <w:t>3 month public consultation</w:t>
      </w:r>
      <w:r w:rsidR="00644DFE">
        <w:rPr>
          <w:b/>
        </w:rPr>
        <w:t xml:space="preserve"> </w:t>
      </w:r>
      <w:r w:rsidR="00644DFE" w:rsidRPr="00644DFE">
        <w:t>(subject to Ministerial approval)</w:t>
      </w:r>
      <w:r w:rsidR="00EB7042" w:rsidRPr="00644DFE">
        <w:t xml:space="preserve"> </w:t>
      </w:r>
      <w:r w:rsidR="00EB7042">
        <w:t>on the draft boundaries</w:t>
      </w:r>
      <w:r>
        <w:t xml:space="preserve"> before </w:t>
      </w:r>
      <w:r w:rsidR="00A93DBD">
        <w:t>making manual adjustments</w:t>
      </w:r>
      <w:r w:rsidR="002B36CC">
        <w:t xml:space="preserve"> </w:t>
      </w:r>
      <w:r w:rsidR="0050397D">
        <w:t>and finalising</w:t>
      </w:r>
      <w:r w:rsidR="002B36CC">
        <w:t xml:space="preserve"> the boundaries</w:t>
      </w:r>
      <w:r w:rsidR="00A93DBD">
        <w:t xml:space="preserve">.  </w:t>
      </w:r>
      <w:r w:rsidR="00DE6321">
        <w:t xml:space="preserve">It is expected that the </w:t>
      </w:r>
      <w:r w:rsidR="00DE6321" w:rsidRPr="00DE6321">
        <w:rPr>
          <w:b/>
        </w:rPr>
        <w:t>consultation will begin in October 2013</w:t>
      </w:r>
      <w:r w:rsidR="00DE6321">
        <w:t xml:space="preserve"> and finalised data zone boundaries will be published in February 2014.</w:t>
      </w:r>
    </w:p>
    <w:p w:rsidR="00DE6321" w:rsidRDefault="00DE6321" w:rsidP="00DE6321"/>
    <w:p w:rsidR="00A93DBD" w:rsidRDefault="00A93DBD" w:rsidP="00A93DBD">
      <w:r>
        <w:t xml:space="preserve">Work cannot begin until the </w:t>
      </w:r>
      <w:r w:rsidR="00DE6321">
        <w:t xml:space="preserve">2011 </w:t>
      </w:r>
      <w:r>
        <w:t>Small Area Census data become available and the timetable is subject to change.</w:t>
      </w:r>
    </w:p>
    <w:p w:rsidR="00A93DBD" w:rsidRDefault="00A93DBD" w:rsidP="00E36759"/>
    <w:p w:rsidR="00BC5FE4" w:rsidRPr="00A93DBD" w:rsidRDefault="00644DFE" w:rsidP="00E36759">
      <w:pPr>
        <w:rPr>
          <w:b/>
        </w:rPr>
      </w:pPr>
      <w:r>
        <w:rPr>
          <w:b/>
        </w:rPr>
        <w:t>METHODOLOGY</w:t>
      </w:r>
    </w:p>
    <w:p w:rsidR="00A93DBD" w:rsidRDefault="00A93DBD" w:rsidP="00E36759"/>
    <w:p w:rsidR="00BC5FE4" w:rsidRDefault="00A93DBD" w:rsidP="00BC5FE4">
      <w:r>
        <w:t xml:space="preserve">A consultation was carried out in 2011 on the methodology used to produce data zone boundaries. </w:t>
      </w:r>
      <w:r w:rsidR="00BC5FE4">
        <w:t xml:space="preserve"> Outline of the process is:</w:t>
      </w:r>
    </w:p>
    <w:p w:rsidR="00BC5FE4" w:rsidRDefault="00BC5FE4" w:rsidP="00BC5FE4">
      <w:pPr>
        <w:pStyle w:val="ListParagraph"/>
        <w:numPr>
          <w:ilvl w:val="0"/>
          <w:numId w:val="6"/>
        </w:numPr>
      </w:pPr>
      <w:r>
        <w:t>Best fit 2011 Census Output Areas (COA) to existing data zones;</w:t>
      </w:r>
    </w:p>
    <w:p w:rsidR="00BC5FE4" w:rsidRDefault="00BC5FE4" w:rsidP="00BC5FE4">
      <w:pPr>
        <w:pStyle w:val="ListParagraph"/>
        <w:numPr>
          <w:ilvl w:val="0"/>
          <w:numId w:val="6"/>
        </w:numPr>
      </w:pPr>
      <w:r>
        <w:lastRenderedPageBreak/>
        <w:t xml:space="preserve">Split or merge data zones along COA boundaries where data zones are </w:t>
      </w:r>
      <w:proofErr w:type="spellStart"/>
      <w:r>
        <w:t>outwith</w:t>
      </w:r>
      <w:proofErr w:type="spellEnd"/>
      <w:r>
        <w:t xml:space="preserve"> recommended population ranges</w:t>
      </w:r>
      <w:r w:rsidR="00EB7042">
        <w:t xml:space="preserve"> of</w:t>
      </w:r>
      <w:r>
        <w:t xml:space="preserve"> 375-1,125;</w:t>
      </w:r>
    </w:p>
    <w:p w:rsidR="00BC5FE4" w:rsidRDefault="00BC5FE4" w:rsidP="00BC5FE4">
      <w:pPr>
        <w:pStyle w:val="ListParagraph"/>
        <w:numPr>
          <w:ilvl w:val="0"/>
          <w:numId w:val="6"/>
        </w:numPr>
      </w:pPr>
      <w:r>
        <w:t>Best fit new data zones to existing intermediate geographies;</w:t>
      </w:r>
    </w:p>
    <w:p w:rsidR="00BC5FE4" w:rsidRDefault="00BC5FE4" w:rsidP="00BC5FE4">
      <w:pPr>
        <w:pStyle w:val="ListParagraph"/>
        <w:numPr>
          <w:ilvl w:val="0"/>
          <w:numId w:val="6"/>
        </w:numPr>
      </w:pPr>
      <w:r>
        <w:t xml:space="preserve">Split or merge </w:t>
      </w:r>
      <w:proofErr w:type="spellStart"/>
      <w:r>
        <w:t>IG</w:t>
      </w:r>
      <w:proofErr w:type="spellEnd"/>
      <w:r>
        <w:t xml:space="preserve"> along </w:t>
      </w:r>
      <w:proofErr w:type="spellStart"/>
      <w:r>
        <w:t>DZ</w:t>
      </w:r>
      <w:proofErr w:type="spellEnd"/>
      <w:r>
        <w:t xml:space="preserve"> boundaries in only the most extreme cases of population change</w:t>
      </w:r>
      <w:r w:rsidR="00EB7042">
        <w:t>.</w:t>
      </w:r>
    </w:p>
    <w:p w:rsidR="0050397D" w:rsidRDefault="0050397D" w:rsidP="00BC5FE4"/>
    <w:p w:rsidR="006D7251" w:rsidRDefault="006D7251" w:rsidP="00BC5FE4">
      <w:r>
        <w:t>There is strong user demand for exact data on new data zones and this means that alignment to 2011 Census Output Areas is a key constraint.</w:t>
      </w:r>
      <w:r w:rsidR="0050397D">
        <w:t xml:space="preserve">  Aligning to COA</w:t>
      </w:r>
      <w:r w:rsidR="00EB7042">
        <w:t xml:space="preserve"> allow</w:t>
      </w:r>
      <w:r w:rsidR="0050397D">
        <w:t>s</w:t>
      </w:r>
      <w:r w:rsidR="00EB7042">
        <w:t xml:space="preserve"> for </w:t>
      </w:r>
      <w:r w:rsidR="0050397D">
        <w:t xml:space="preserve">accurate </w:t>
      </w:r>
      <w:r w:rsidR="00EB7042">
        <w:t>Small Area Census results on the new boundaries</w:t>
      </w:r>
      <w:r w:rsidR="0050397D">
        <w:t xml:space="preserve"> to be produced quickly and easily</w:t>
      </w:r>
      <w:r w:rsidR="00EB7042">
        <w:t>.</w:t>
      </w:r>
    </w:p>
    <w:p w:rsidR="00BC5FE4" w:rsidRDefault="00BC5FE4" w:rsidP="00BC5FE4"/>
    <w:p w:rsidR="00644DFE" w:rsidRPr="00DA5D18" w:rsidRDefault="00644DFE" w:rsidP="00644DFE">
      <w:pPr>
        <w:pStyle w:val="Numberedparagraphs"/>
        <w:numPr>
          <w:ilvl w:val="0"/>
          <w:numId w:val="0"/>
        </w:numPr>
        <w:ind w:left="567" w:hanging="567"/>
        <w:rPr>
          <w:rFonts w:ascii="Arial" w:hAnsi="Arial"/>
          <w:b/>
        </w:rPr>
      </w:pPr>
      <w:r w:rsidRPr="00DA5D18">
        <w:rPr>
          <w:rFonts w:ascii="Arial" w:hAnsi="Arial"/>
          <w:b/>
        </w:rPr>
        <w:t>CONCLUSION</w:t>
      </w:r>
    </w:p>
    <w:p w:rsidR="00644DFE" w:rsidRDefault="00644DFE" w:rsidP="00BC5FE4">
      <w:r>
        <w:t>TAGRA members are invited to note the forthcoming consultation on data zone boundaries (subject to Ministerial approval). The Analytical Support Team will provide a response to the consultation on behalf of TAGRA.</w:t>
      </w:r>
      <w:r w:rsidR="00BE5F9F">
        <w:t xml:space="preserve"> </w:t>
      </w:r>
      <w:r w:rsidR="00BE5F9F" w:rsidRPr="00F741D3">
        <w:t>To assist with this, the Analytical Support Team will carry out impact analysis around the effect of the data zone boundary redraw on the target shares.</w:t>
      </w:r>
    </w:p>
    <w:p w:rsidR="00BE5F9F" w:rsidRDefault="00BE5F9F" w:rsidP="00BC5FE4"/>
    <w:p w:rsidR="00BE5F9F" w:rsidRDefault="00BE5F9F" w:rsidP="00BC5FE4"/>
    <w:p w:rsidR="00BE5F9F" w:rsidRDefault="00BE5F9F" w:rsidP="00BC5FE4"/>
    <w:p w:rsidR="00BE5F9F" w:rsidRDefault="00BE5F9F" w:rsidP="00BC5FE4"/>
    <w:p w:rsidR="00BE5F9F" w:rsidRDefault="00BE5F9F" w:rsidP="00BC5FE4">
      <w:r>
        <w:t>TAGRA Analytical Support Team</w:t>
      </w:r>
    </w:p>
    <w:p w:rsidR="00BE5F9F" w:rsidRDefault="00BE5F9F" w:rsidP="00BC5FE4">
      <w:r>
        <w:t>July 2013</w:t>
      </w:r>
    </w:p>
    <w:sectPr w:rsidR="00BE5F9F" w:rsidSect="00AB54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AB" w:rsidRDefault="00BB4DAB">
      <w:pPr>
        <w:spacing w:line="240" w:lineRule="auto"/>
      </w:pPr>
      <w:r>
        <w:separator/>
      </w:r>
    </w:p>
  </w:endnote>
  <w:endnote w:type="continuationSeparator" w:id="0">
    <w:p w:rsidR="00BB4DAB" w:rsidRDefault="00BB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CC" w:rsidRPr="0067486A" w:rsidRDefault="002B36CC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AB" w:rsidRDefault="00BB4DAB">
      <w:pPr>
        <w:spacing w:line="240" w:lineRule="auto"/>
      </w:pPr>
      <w:r>
        <w:separator/>
      </w:r>
    </w:p>
  </w:footnote>
  <w:footnote w:type="continuationSeparator" w:id="0">
    <w:p w:rsidR="00BB4DAB" w:rsidRDefault="00BB4D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FE" w:rsidRPr="001E3EBB" w:rsidRDefault="00644DFE" w:rsidP="00644DFE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rFonts w:ascii="Times New Roman" w:hAnsi="Times New Roman"/>
        <w:sz w:val="20"/>
      </w:rPr>
    </w:pPr>
    <w:r w:rsidRPr="001E3EBB">
      <w:rPr>
        <w:rFonts w:ascii="Times New Roman" w:hAnsi="Times New Roman"/>
        <w:i/>
      </w:rPr>
      <w:t>Fair Shares for Health in Scotland</w:t>
    </w:r>
    <w:r w:rsidRPr="001E3EBB">
      <w:rPr>
        <w:rFonts w:ascii="Times New Roman" w:hAnsi="Times New Roman"/>
      </w:rPr>
      <w:tab/>
    </w:r>
    <w:r w:rsidRPr="001E3EBB">
      <w:rPr>
        <w:rFonts w:ascii="Times New Roman" w:hAnsi="Times New Roman"/>
      </w:rPr>
      <w:tab/>
    </w:r>
    <w:r w:rsidRPr="001E3EBB">
      <w:rPr>
        <w:rFonts w:ascii="Times New Roman" w:hAnsi="Times New Roman"/>
        <w:i/>
      </w:rPr>
      <w:t>TAGRA(2013)</w:t>
    </w:r>
    <w:r w:rsidR="00F741D3">
      <w:rPr>
        <w:rFonts w:ascii="Times New Roman" w:hAnsi="Times New Roman"/>
        <w:i/>
      </w:rPr>
      <w:t>12</w:t>
    </w:r>
  </w:p>
  <w:p w:rsidR="00644DFE" w:rsidRDefault="00644DFE">
    <w:pPr>
      <w:pStyle w:val="Header"/>
    </w:pPr>
  </w:p>
  <w:p w:rsidR="002B36CC" w:rsidRPr="0067486A" w:rsidRDefault="002B36CC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22B10CFB"/>
    <w:multiLevelType w:val="hybridMultilevel"/>
    <w:tmpl w:val="0756CC68"/>
    <w:lvl w:ilvl="0" w:tplc="FFFFFFFF">
      <w:start w:val="1"/>
      <w:numFmt w:val="decimal"/>
      <w:pStyle w:val="Numberedparagraph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bullet"/>
      <w:pStyle w:val="StyleLatinArialComplexArialComplex12ptLef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E1E78"/>
    <w:multiLevelType w:val="hybridMultilevel"/>
    <w:tmpl w:val="17E64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775B8"/>
    <w:multiLevelType w:val="hybridMultilevel"/>
    <w:tmpl w:val="E5E8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E0172"/>
    <w:multiLevelType w:val="hybridMultilevel"/>
    <w:tmpl w:val="3BD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F35CD"/>
    <w:multiLevelType w:val="hybridMultilevel"/>
    <w:tmpl w:val="6260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98D6E1A"/>
    <w:multiLevelType w:val="hybridMultilevel"/>
    <w:tmpl w:val="68027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E4"/>
    <w:rsid w:val="00100021"/>
    <w:rsid w:val="001267F7"/>
    <w:rsid w:val="00157346"/>
    <w:rsid w:val="00192DC7"/>
    <w:rsid w:val="002B36CC"/>
    <w:rsid w:val="002F3688"/>
    <w:rsid w:val="003F2479"/>
    <w:rsid w:val="00400EBA"/>
    <w:rsid w:val="00411FC4"/>
    <w:rsid w:val="00476939"/>
    <w:rsid w:val="0050397D"/>
    <w:rsid w:val="00644DFE"/>
    <w:rsid w:val="0067486A"/>
    <w:rsid w:val="006D26F7"/>
    <w:rsid w:val="006D7251"/>
    <w:rsid w:val="00832EC6"/>
    <w:rsid w:val="00907DDC"/>
    <w:rsid w:val="00952710"/>
    <w:rsid w:val="009F71B8"/>
    <w:rsid w:val="00A56EBA"/>
    <w:rsid w:val="00A90A53"/>
    <w:rsid w:val="00A93DBD"/>
    <w:rsid w:val="00AB54FF"/>
    <w:rsid w:val="00AC310B"/>
    <w:rsid w:val="00AE01CB"/>
    <w:rsid w:val="00B47A28"/>
    <w:rsid w:val="00BB4DAB"/>
    <w:rsid w:val="00BC5FE4"/>
    <w:rsid w:val="00BE5F9F"/>
    <w:rsid w:val="00C00271"/>
    <w:rsid w:val="00C86FBA"/>
    <w:rsid w:val="00DE6321"/>
    <w:rsid w:val="00E3599D"/>
    <w:rsid w:val="00E36759"/>
    <w:rsid w:val="00EB7042"/>
    <w:rsid w:val="00F236B6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C5FE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4DF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FE"/>
    <w:rPr>
      <w:rFonts w:ascii="Tahoma" w:hAnsi="Tahoma" w:cs="Tahoma"/>
      <w:sz w:val="16"/>
      <w:szCs w:val="16"/>
      <w:lang w:eastAsia="en-US"/>
    </w:rPr>
  </w:style>
  <w:style w:type="paragraph" w:customStyle="1" w:styleId="NameofDocument">
    <w:name w:val="Name of Document"/>
    <w:rsid w:val="00644DFE"/>
    <w:pPr>
      <w:spacing w:after="480"/>
    </w:pPr>
    <w:rPr>
      <w:rFonts w:ascii="Times New Roman" w:hAnsi="Times New Roman" w:cs="Arial"/>
      <w:b/>
      <w:bCs/>
      <w:caps/>
      <w:kern w:val="32"/>
      <w:sz w:val="32"/>
      <w:szCs w:val="32"/>
    </w:rPr>
  </w:style>
  <w:style w:type="paragraph" w:customStyle="1" w:styleId="TAGRAPAPERNUMBER">
    <w:name w:val="TAGRA PAPER NUMBER"/>
    <w:basedOn w:val="Normal"/>
    <w:rsid w:val="00644DFE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40" w:line="240" w:lineRule="auto"/>
    </w:pPr>
    <w:rPr>
      <w:rFonts w:ascii="Times New Roman" w:hAnsi="Times New Roman"/>
      <w:lang w:eastAsia="en-GB"/>
    </w:rPr>
  </w:style>
  <w:style w:type="paragraph" w:customStyle="1" w:styleId="Numberedparagraphs">
    <w:name w:val="Numbered paragraphs"/>
    <w:basedOn w:val="Normal"/>
    <w:rsid w:val="00644DFE"/>
    <w:pPr>
      <w:numPr>
        <w:numId w:val="10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40" w:line="240" w:lineRule="auto"/>
    </w:pPr>
    <w:rPr>
      <w:rFonts w:ascii="Times New Roman" w:hAnsi="Times New Roman"/>
      <w:szCs w:val="24"/>
      <w:lang w:eastAsia="en-GB"/>
    </w:rPr>
  </w:style>
  <w:style w:type="paragraph" w:customStyle="1" w:styleId="StyleLatinArialComplexArialComplex12ptLeft">
    <w:name w:val="Style (Latin) Arial (Complex) Arial (Complex) 12 pt Left"/>
    <w:basedOn w:val="Normal"/>
    <w:rsid w:val="00644DFE"/>
    <w:pPr>
      <w:numPr>
        <w:ilvl w:val="1"/>
        <w:numId w:val="10"/>
      </w:numPr>
      <w:tabs>
        <w:tab w:val="clear" w:pos="720"/>
        <w:tab w:val="clear" w:pos="2160"/>
        <w:tab w:val="clear" w:pos="2880"/>
        <w:tab w:val="clear" w:pos="4680"/>
        <w:tab w:val="clear" w:pos="5400"/>
        <w:tab w:val="clear" w:pos="9000"/>
      </w:tabs>
      <w:spacing w:after="240" w:line="240" w:lineRule="auto"/>
    </w:pPr>
    <w:rPr>
      <w:rFonts w:ascii="Times New Roman" w:hAnsi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C5FE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4DF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FE"/>
    <w:rPr>
      <w:rFonts w:ascii="Tahoma" w:hAnsi="Tahoma" w:cs="Tahoma"/>
      <w:sz w:val="16"/>
      <w:szCs w:val="16"/>
      <w:lang w:eastAsia="en-US"/>
    </w:rPr>
  </w:style>
  <w:style w:type="paragraph" w:customStyle="1" w:styleId="NameofDocument">
    <w:name w:val="Name of Document"/>
    <w:rsid w:val="00644DFE"/>
    <w:pPr>
      <w:spacing w:after="480"/>
    </w:pPr>
    <w:rPr>
      <w:rFonts w:ascii="Times New Roman" w:hAnsi="Times New Roman" w:cs="Arial"/>
      <w:b/>
      <w:bCs/>
      <w:caps/>
      <w:kern w:val="32"/>
      <w:sz w:val="32"/>
      <w:szCs w:val="32"/>
    </w:rPr>
  </w:style>
  <w:style w:type="paragraph" w:customStyle="1" w:styleId="TAGRAPAPERNUMBER">
    <w:name w:val="TAGRA PAPER NUMBER"/>
    <w:basedOn w:val="Normal"/>
    <w:rsid w:val="00644DFE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40" w:line="240" w:lineRule="auto"/>
    </w:pPr>
    <w:rPr>
      <w:rFonts w:ascii="Times New Roman" w:hAnsi="Times New Roman"/>
      <w:lang w:eastAsia="en-GB"/>
    </w:rPr>
  </w:style>
  <w:style w:type="paragraph" w:customStyle="1" w:styleId="Numberedparagraphs">
    <w:name w:val="Numbered paragraphs"/>
    <w:basedOn w:val="Normal"/>
    <w:rsid w:val="00644DFE"/>
    <w:pPr>
      <w:numPr>
        <w:numId w:val="10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40" w:line="240" w:lineRule="auto"/>
    </w:pPr>
    <w:rPr>
      <w:rFonts w:ascii="Times New Roman" w:hAnsi="Times New Roman"/>
      <w:szCs w:val="24"/>
      <w:lang w:eastAsia="en-GB"/>
    </w:rPr>
  </w:style>
  <w:style w:type="paragraph" w:customStyle="1" w:styleId="StyleLatinArialComplexArialComplex12ptLeft">
    <w:name w:val="Style (Latin) Arial (Complex) Arial (Complex) 12 pt Left"/>
    <w:basedOn w:val="Normal"/>
    <w:rsid w:val="00644DFE"/>
    <w:pPr>
      <w:numPr>
        <w:ilvl w:val="1"/>
        <w:numId w:val="10"/>
      </w:numPr>
      <w:tabs>
        <w:tab w:val="clear" w:pos="720"/>
        <w:tab w:val="clear" w:pos="2160"/>
        <w:tab w:val="clear" w:pos="2880"/>
        <w:tab w:val="clear" w:pos="4680"/>
        <w:tab w:val="clear" w:pos="5400"/>
        <w:tab w:val="clear" w:pos="9000"/>
      </w:tabs>
      <w:spacing w:after="240" w:line="240" w:lineRule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u205068</dc:creator>
  <cp:lastModifiedBy>u207787</cp:lastModifiedBy>
  <cp:revision>5</cp:revision>
  <dcterms:created xsi:type="dcterms:W3CDTF">2013-07-15T09:02:00Z</dcterms:created>
  <dcterms:modified xsi:type="dcterms:W3CDTF">2013-07-24T09:01:00Z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A6367101</vt:lpwstr>
  </property>
  <property fmtid="{D5CDD505-2E9C-101B-9397-08002B2CF9AE}" pid="4" name="Objective-Title">
    <vt:lpwstr>ASDHD \ 2013 \ TAGRA \ Meeting 2 \ Paper TAGRA(2013)12 Data Zone Redraw paper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2013-07-15T09:02:50Z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2013-07-24T09:01:08Z</vt:filetime>
  </property>
  <property fmtid="{D5CDD505-2E9C-101B-9397-08002B2CF9AE}" pid="10" name="Objective-ModificationStamp">
    <vt:filetime>2013-07-24T09:01:13Z</vt:filetime>
  </property>
  <property fmtid="{D5CDD505-2E9C-101B-9397-08002B2CF9AE}" pid="11" name="Objective-Owner">
    <vt:lpwstr>Lynch, Ellen E (u207787)</vt:lpwstr>
  </property>
  <property fmtid="{D5CDD505-2E9C-101B-9397-08002B2CF9AE}" pid="12" name="Objective-Path">
    <vt:lpwstr>Objective Global Folder:SG File Plan:Health, nutrition and care:National Health Service (NHS):NHS management:Committees and groups: NHS management:Analytical: NHS Scotland Resource Allocation Committee: Restricted working papers: Implementation: Committees and groups: NHS Management: 2013-2018:</vt:lpwstr>
  </property>
  <property fmtid="{D5CDD505-2E9C-101B-9397-08002B2CF9AE}" pid="13" name="Objective-Parent">
    <vt:lpwstr>Analytical: NHS Scotland Resource Allocation Committee: Restricted working papers: Implementation: Committees and groups: NHS Management: 2013-2018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Restricted]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