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7D" w:rsidRDefault="00723A7D" w:rsidP="008A7773">
      <w:pPr>
        <w:pStyle w:val="NameofDocument"/>
        <w:spacing w:after="0"/>
        <w:rPr>
          <w:rFonts w:ascii="Arial" w:hAnsi="Arial"/>
          <w:sz w:val="24"/>
          <w:lang w:val="fr-FR"/>
        </w:rPr>
      </w:pPr>
      <w:r w:rsidRPr="00FE2768">
        <w:rPr>
          <w:rFonts w:ascii="Arial" w:hAnsi="Arial"/>
          <w:sz w:val="24"/>
          <w:lang w:val="fr-FR"/>
        </w:rPr>
        <w:t xml:space="preserve">Population estimates </w:t>
      </w:r>
      <w:proofErr w:type="spellStart"/>
      <w:r w:rsidRPr="00FE2768">
        <w:rPr>
          <w:rFonts w:ascii="Arial" w:hAnsi="Arial"/>
          <w:sz w:val="24"/>
          <w:lang w:val="fr-FR"/>
        </w:rPr>
        <w:t>Comparison</w:t>
      </w:r>
      <w:proofErr w:type="spellEnd"/>
      <w:r w:rsidRPr="00FE2768">
        <w:rPr>
          <w:rFonts w:ascii="Arial" w:hAnsi="Arial"/>
          <w:sz w:val="24"/>
          <w:lang w:val="fr-FR"/>
        </w:rPr>
        <w:t xml:space="preserve"> project update</w:t>
      </w:r>
    </w:p>
    <w:p w:rsidR="008A7773" w:rsidRPr="008A7773" w:rsidRDefault="008A7773" w:rsidP="008A7773">
      <w:pPr>
        <w:pStyle w:val="TAGRAPAPERNUMBER"/>
        <w:rPr>
          <w:rFonts w:ascii="Arial" w:hAnsi="Arial"/>
          <w:b/>
          <w:lang w:val="fr-FR"/>
        </w:rPr>
      </w:pPr>
      <w:r>
        <w:rPr>
          <w:rFonts w:ascii="Arial" w:hAnsi="Arial"/>
          <w:b/>
          <w:lang w:val="fr-FR"/>
        </w:rPr>
        <w:t>TAGRA(2013)14</w:t>
      </w:r>
    </w:p>
    <w:p w:rsidR="00723A7D" w:rsidRDefault="00723A7D" w:rsidP="00746747">
      <w:pPr>
        <w:pStyle w:val="NameofDocument"/>
        <w:spacing w:after="0"/>
        <w:rPr>
          <w:rFonts w:ascii="Arial" w:hAnsi="Arial"/>
          <w:sz w:val="24"/>
        </w:rPr>
      </w:pPr>
      <w:bookmarkStart w:id="0" w:name="_GoBack"/>
      <w:bookmarkEnd w:id="0"/>
      <w:r>
        <w:rPr>
          <w:rFonts w:ascii="Arial" w:hAnsi="Arial"/>
          <w:sz w:val="24"/>
        </w:rPr>
        <w:t>introduction</w:t>
      </w:r>
    </w:p>
    <w:p w:rsidR="00723A7D" w:rsidRDefault="00723A7D" w:rsidP="00746747">
      <w:pPr>
        <w:pStyle w:val="NameofDocument"/>
        <w:spacing w:after="0"/>
        <w:rPr>
          <w:rFonts w:ascii="Arial" w:hAnsi="Arial"/>
          <w:sz w:val="24"/>
        </w:rPr>
      </w:pPr>
    </w:p>
    <w:p w:rsidR="00723A7D" w:rsidRDefault="00723A7D" w:rsidP="00CF7DC7">
      <w:pPr>
        <w:pStyle w:val="Default"/>
        <w:jc w:val="both"/>
      </w:pPr>
      <w:r>
        <w:t xml:space="preserve">This paper provides a progress update on the ‘Population estimates comparison project’. The project is being undertaken in two phases: </w:t>
      </w:r>
    </w:p>
    <w:p w:rsidR="00723A7D" w:rsidRDefault="00723A7D" w:rsidP="00CF7DC7">
      <w:pPr>
        <w:pStyle w:val="Default"/>
        <w:jc w:val="both"/>
      </w:pPr>
    </w:p>
    <w:p w:rsidR="00723A7D" w:rsidRPr="00FE2768" w:rsidRDefault="00723A7D" w:rsidP="00CF7DC7">
      <w:pPr>
        <w:pStyle w:val="Default"/>
        <w:jc w:val="both"/>
      </w:pPr>
      <w:r>
        <w:rPr>
          <w:bCs/>
        </w:rPr>
        <w:t>Phase 1</w:t>
      </w:r>
      <w:r w:rsidRPr="00FE2768">
        <w:rPr>
          <w:b/>
          <w:bCs/>
        </w:rPr>
        <w:t xml:space="preserve"> </w:t>
      </w:r>
      <w:r w:rsidRPr="00FE2768">
        <w:t xml:space="preserve">will concentrate on investigating different population estimates for NHS </w:t>
      </w:r>
      <w:proofErr w:type="spellStart"/>
      <w:r w:rsidRPr="00FE2768">
        <w:t>GG&amp;C</w:t>
      </w:r>
      <w:proofErr w:type="spellEnd"/>
      <w:r w:rsidRPr="00FE2768">
        <w:t xml:space="preserve"> and comparing them to equivalent population estimates for the rest of </w:t>
      </w:r>
      <w:smartTag w:uri="urn:schemas-microsoft-com:office:smarttags" w:element="country-region">
        <w:smartTag w:uri="urn:schemas-microsoft-com:office:smarttags" w:element="place">
          <w:r w:rsidRPr="00FE2768">
            <w:t>Scotland</w:t>
          </w:r>
        </w:smartTag>
      </w:smartTag>
      <w:r w:rsidRPr="00FE2768">
        <w:t>.</w:t>
      </w:r>
      <w:r>
        <w:t xml:space="preserve"> </w:t>
      </w:r>
      <w:r w:rsidRPr="00357DB4">
        <w:rPr>
          <w:bCs/>
        </w:rPr>
        <w:t>Phase 2</w:t>
      </w:r>
      <w:r w:rsidRPr="00FE2768">
        <w:rPr>
          <w:b/>
          <w:bCs/>
        </w:rPr>
        <w:t xml:space="preserve"> </w:t>
      </w:r>
      <w:r w:rsidRPr="00FE2768">
        <w:t xml:space="preserve">will </w:t>
      </w:r>
      <w:r>
        <w:t xml:space="preserve">make recommendations for potential future work and </w:t>
      </w:r>
      <w:r w:rsidRPr="00FE2768">
        <w:t xml:space="preserve">extend the project further to support the Beyond 2011 Programme. </w:t>
      </w:r>
    </w:p>
    <w:p w:rsidR="00723A7D" w:rsidRDefault="00723A7D" w:rsidP="001E3EBB"/>
    <w:p w:rsidR="00723A7D" w:rsidRDefault="00723A7D" w:rsidP="001E3EBB"/>
    <w:p w:rsidR="00723A7D" w:rsidRPr="00357DB4" w:rsidRDefault="00723A7D" w:rsidP="001E3EBB">
      <w:pPr>
        <w:rPr>
          <w:b/>
        </w:rPr>
      </w:pPr>
      <w:r w:rsidRPr="007E4FF1">
        <w:rPr>
          <w:b/>
        </w:rPr>
        <w:t>OBJECTIVES</w:t>
      </w:r>
    </w:p>
    <w:p w:rsidR="00723A7D" w:rsidRPr="00357DB4" w:rsidRDefault="00723A7D" w:rsidP="00357DB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rsidR="00723A7D" w:rsidRPr="00357DB4" w:rsidRDefault="00723A7D" w:rsidP="00CF7DC7">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57DB4">
        <w:rPr>
          <w:rFonts w:cs="Arial"/>
          <w:color w:val="000000"/>
          <w:szCs w:val="24"/>
          <w:lang w:eastAsia="en-GB"/>
        </w:rPr>
        <w:t xml:space="preserve">to provide a better understanding of the differences between population estimates in Scotland calculated by NRS (the Census and the Mid-Year-Estimates) and estimates derived from administrative data sources, such as the CHI, </w:t>
      </w:r>
      <w:proofErr w:type="spellStart"/>
      <w:r w:rsidRPr="00357DB4">
        <w:rPr>
          <w:rFonts w:cs="Arial"/>
          <w:color w:val="000000"/>
          <w:szCs w:val="24"/>
          <w:lang w:eastAsia="en-GB"/>
        </w:rPr>
        <w:t>NHSCR</w:t>
      </w:r>
      <w:proofErr w:type="spellEnd"/>
      <w:r w:rsidRPr="00357DB4">
        <w:rPr>
          <w:rFonts w:cs="Arial"/>
          <w:color w:val="000000"/>
          <w:szCs w:val="24"/>
          <w:lang w:eastAsia="en-GB"/>
        </w:rPr>
        <w:t xml:space="preserve">, Local Authority (LA) data, etc. </w:t>
      </w:r>
    </w:p>
    <w:p w:rsidR="00723A7D" w:rsidRPr="00357DB4" w:rsidRDefault="00723A7D" w:rsidP="00CF7DC7">
      <w:pPr>
        <w:numPr>
          <w:ilvl w:val="0"/>
          <w:numId w:val="1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p>
    <w:p w:rsidR="00723A7D" w:rsidRPr="00357DB4" w:rsidRDefault="00723A7D" w:rsidP="00CF7DC7">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57DB4">
        <w:rPr>
          <w:rFonts w:cs="Arial"/>
          <w:color w:val="000000"/>
          <w:szCs w:val="24"/>
          <w:lang w:eastAsia="en-GB"/>
        </w:rPr>
        <w:t xml:space="preserve">to review and document available data sources and assess whether the data quality of administrative data sources can be improved </w:t>
      </w:r>
    </w:p>
    <w:p w:rsidR="00723A7D" w:rsidRPr="00357DB4" w:rsidRDefault="00723A7D" w:rsidP="00CF7DC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p>
    <w:p w:rsidR="00723A7D" w:rsidRPr="00357DB4" w:rsidRDefault="00723A7D" w:rsidP="00CF7DC7">
      <w:pPr>
        <w:numPr>
          <w:ilvl w:val="0"/>
          <w:numId w:val="16"/>
        </w:numPr>
        <w:tabs>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57DB4">
        <w:rPr>
          <w:rFonts w:cs="Arial"/>
          <w:color w:val="000000"/>
          <w:szCs w:val="24"/>
          <w:lang w:eastAsia="en-GB"/>
        </w:rPr>
        <w:t xml:space="preserve">to establish the suitability and accuracy of relevant data sources and determine whether it is possible to use them to contribute to population </w:t>
      </w:r>
      <w:r>
        <w:rPr>
          <w:rFonts w:cs="Arial"/>
          <w:color w:val="000000"/>
          <w:szCs w:val="24"/>
          <w:lang w:eastAsia="en-GB"/>
        </w:rPr>
        <w:t>estimates.</w:t>
      </w:r>
    </w:p>
    <w:p w:rsidR="00723A7D" w:rsidRPr="00357DB4" w:rsidRDefault="00723A7D" w:rsidP="00CF7DC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p>
    <w:p w:rsidR="00723A7D" w:rsidRPr="00357DB4" w:rsidRDefault="00723A7D" w:rsidP="00CF7DC7">
      <w:pPr>
        <w:numPr>
          <w:ilvl w:val="0"/>
          <w:numId w:val="17"/>
        </w:numPr>
        <w:tabs>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57DB4">
        <w:rPr>
          <w:rFonts w:cs="Arial"/>
          <w:color w:val="000000"/>
          <w:szCs w:val="24"/>
          <w:lang w:eastAsia="en-GB"/>
        </w:rPr>
        <w:t xml:space="preserve">to assess whether the population of NHS service users in </w:t>
      </w:r>
      <w:proofErr w:type="spellStart"/>
      <w:r w:rsidRPr="00357DB4">
        <w:rPr>
          <w:rFonts w:cs="Arial"/>
          <w:color w:val="000000"/>
          <w:szCs w:val="24"/>
          <w:lang w:eastAsia="en-GB"/>
        </w:rPr>
        <w:t>GG&amp;C</w:t>
      </w:r>
      <w:proofErr w:type="spellEnd"/>
      <w:r w:rsidRPr="00357DB4">
        <w:rPr>
          <w:rFonts w:cs="Arial"/>
          <w:color w:val="000000"/>
          <w:szCs w:val="24"/>
          <w:lang w:eastAsia="en-GB"/>
        </w:rPr>
        <w:t xml:space="preserve"> Health Board area is significantly different to the population estimates produced by NRS, particularly given the significance of the </w:t>
      </w:r>
      <w:proofErr w:type="spellStart"/>
      <w:r w:rsidRPr="00357DB4">
        <w:rPr>
          <w:rFonts w:cs="Arial"/>
          <w:color w:val="000000"/>
          <w:szCs w:val="24"/>
          <w:lang w:eastAsia="en-GB"/>
        </w:rPr>
        <w:t>MYE</w:t>
      </w:r>
      <w:proofErr w:type="spellEnd"/>
      <w:r w:rsidRPr="00357DB4">
        <w:rPr>
          <w:rFonts w:cs="Arial"/>
          <w:color w:val="000000"/>
          <w:szCs w:val="24"/>
          <w:lang w:eastAsia="en-GB"/>
        </w:rPr>
        <w:t xml:space="preserve"> in determining the allocation of NHS resources </w:t>
      </w:r>
    </w:p>
    <w:p w:rsidR="00723A7D" w:rsidRPr="00357DB4" w:rsidRDefault="00723A7D" w:rsidP="00CF7DC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p>
    <w:p w:rsidR="00723A7D" w:rsidRPr="00357DB4" w:rsidRDefault="00723A7D" w:rsidP="00CF7DC7">
      <w:pPr>
        <w:numPr>
          <w:ilvl w:val="0"/>
          <w:numId w:val="18"/>
        </w:numPr>
        <w:tabs>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57DB4">
        <w:rPr>
          <w:rFonts w:cs="Arial"/>
          <w:color w:val="000000"/>
          <w:szCs w:val="24"/>
          <w:lang w:eastAsia="en-GB"/>
        </w:rPr>
        <w:t xml:space="preserve">to identify any potential disparities in the population estimates for particular geographical areas or subsets of the population, with the intention of documenting, explaining and assessing the implications of these differences where possible. </w:t>
      </w:r>
    </w:p>
    <w:p w:rsidR="00723A7D" w:rsidRDefault="00723A7D" w:rsidP="00CF5AFE">
      <w:pPr>
        <w:pStyle w:val="NameofDocument"/>
        <w:spacing w:after="100" w:afterAutospacing="1"/>
        <w:rPr>
          <w:rFonts w:ascii="Arial" w:hAnsi="Arial"/>
          <w:sz w:val="24"/>
        </w:rPr>
      </w:pPr>
    </w:p>
    <w:p w:rsidR="00723A7D" w:rsidRDefault="00723A7D" w:rsidP="00746747">
      <w:pPr>
        <w:pStyle w:val="NameofDocument"/>
        <w:spacing w:after="0"/>
        <w:rPr>
          <w:rFonts w:ascii="Arial" w:hAnsi="Arial"/>
          <w:sz w:val="24"/>
        </w:rPr>
      </w:pPr>
      <w:r>
        <w:rPr>
          <w:rFonts w:ascii="Arial" w:hAnsi="Arial"/>
          <w:sz w:val="24"/>
        </w:rPr>
        <w:t>Progress to date</w:t>
      </w:r>
    </w:p>
    <w:p w:rsidR="00723A7D" w:rsidRDefault="00723A7D" w:rsidP="00746747">
      <w:pPr>
        <w:pStyle w:val="NameofDocument"/>
        <w:spacing w:after="0"/>
        <w:rPr>
          <w:rFonts w:ascii="Arial" w:hAnsi="Arial"/>
          <w:sz w:val="24"/>
        </w:rPr>
      </w:pPr>
    </w:p>
    <w:p w:rsidR="00723A7D" w:rsidRPr="00357DB4" w:rsidRDefault="00723A7D" w:rsidP="00CF7DC7">
      <w:pPr>
        <w:tabs>
          <w:tab w:val="clear" w:pos="720"/>
          <w:tab w:val="clear" w:pos="1440"/>
          <w:tab w:val="clear" w:pos="2160"/>
          <w:tab w:val="clear" w:pos="2880"/>
          <w:tab w:val="clear" w:pos="4680"/>
          <w:tab w:val="clear" w:pos="5400"/>
          <w:tab w:val="clear" w:pos="9000"/>
        </w:tabs>
        <w:autoSpaceDE w:val="0"/>
        <w:autoSpaceDN w:val="0"/>
        <w:adjustRightInd w:val="0"/>
        <w:spacing w:before="100" w:after="100" w:line="240" w:lineRule="auto"/>
        <w:rPr>
          <w:rFonts w:cs="Arial"/>
          <w:szCs w:val="24"/>
          <w:lang w:eastAsia="en-GB"/>
        </w:rPr>
      </w:pPr>
      <w:r>
        <w:rPr>
          <w:rFonts w:cs="Arial"/>
          <w:szCs w:val="24"/>
          <w:lang w:eastAsia="en-GB"/>
        </w:rPr>
        <w:t xml:space="preserve">An application </w:t>
      </w:r>
      <w:r w:rsidRPr="00357DB4">
        <w:rPr>
          <w:rFonts w:cs="Arial"/>
          <w:szCs w:val="24"/>
          <w:lang w:eastAsia="en-GB"/>
        </w:rPr>
        <w:t>to the CHIAG to be given access to CHI records so they can be examined in more detail has been approved. A meeting is scheduled for Friday 26</w:t>
      </w:r>
      <w:r w:rsidRPr="00357DB4">
        <w:rPr>
          <w:rFonts w:cs="Arial"/>
          <w:szCs w:val="24"/>
          <w:vertAlign w:val="superscript"/>
          <w:lang w:eastAsia="en-GB"/>
        </w:rPr>
        <w:t>th</w:t>
      </w:r>
      <w:r w:rsidRPr="00357DB4">
        <w:rPr>
          <w:rFonts w:cs="Arial"/>
          <w:szCs w:val="24"/>
          <w:lang w:eastAsia="en-GB"/>
        </w:rPr>
        <w:t xml:space="preserve"> July to discuss what information will be available and how it can be used.</w:t>
      </w:r>
    </w:p>
    <w:p w:rsidR="00723A7D" w:rsidRPr="00357DB4"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CF5AFE">
        <w:rPr>
          <w:rFonts w:cs="Arial"/>
          <w:color w:val="000000"/>
          <w:szCs w:val="24"/>
          <w:lang w:eastAsia="en-GB"/>
        </w:rPr>
        <w:t>National Records of Scotland (NRS) and G</w:t>
      </w:r>
      <w:r>
        <w:rPr>
          <w:rFonts w:cs="Arial"/>
          <w:color w:val="000000"/>
          <w:szCs w:val="24"/>
          <w:lang w:eastAsia="en-GB"/>
        </w:rPr>
        <w:t xml:space="preserve">lasgow </w:t>
      </w:r>
      <w:r w:rsidRPr="00CF5AFE">
        <w:rPr>
          <w:rFonts w:cs="Arial"/>
          <w:color w:val="000000"/>
          <w:szCs w:val="24"/>
          <w:lang w:eastAsia="en-GB"/>
        </w:rPr>
        <w:t>C</w:t>
      </w:r>
      <w:r>
        <w:rPr>
          <w:rFonts w:cs="Arial"/>
          <w:color w:val="000000"/>
          <w:szCs w:val="24"/>
          <w:lang w:eastAsia="en-GB"/>
        </w:rPr>
        <w:t xml:space="preserve">ity </w:t>
      </w:r>
      <w:r w:rsidRPr="00CF5AFE">
        <w:rPr>
          <w:rFonts w:cs="Arial"/>
          <w:color w:val="000000"/>
          <w:szCs w:val="24"/>
          <w:lang w:eastAsia="en-GB"/>
        </w:rPr>
        <w:t>C</w:t>
      </w:r>
      <w:r>
        <w:rPr>
          <w:rFonts w:cs="Arial"/>
          <w:color w:val="000000"/>
          <w:szCs w:val="24"/>
          <w:lang w:eastAsia="en-GB"/>
        </w:rPr>
        <w:t>ouncil (</w:t>
      </w:r>
      <w:proofErr w:type="spellStart"/>
      <w:r>
        <w:rPr>
          <w:rFonts w:cs="Arial"/>
          <w:color w:val="000000"/>
          <w:szCs w:val="24"/>
          <w:lang w:eastAsia="en-GB"/>
        </w:rPr>
        <w:t>GCC</w:t>
      </w:r>
      <w:proofErr w:type="spellEnd"/>
      <w:r>
        <w:rPr>
          <w:rFonts w:cs="Arial"/>
          <w:color w:val="000000"/>
          <w:szCs w:val="24"/>
          <w:lang w:eastAsia="en-GB"/>
        </w:rPr>
        <w:t>)</w:t>
      </w:r>
      <w:r w:rsidRPr="00CF5AFE">
        <w:rPr>
          <w:rFonts w:cs="Arial"/>
          <w:color w:val="000000"/>
          <w:szCs w:val="24"/>
          <w:lang w:eastAsia="en-GB"/>
        </w:rPr>
        <w:t xml:space="preserve"> are </w:t>
      </w:r>
      <w:r>
        <w:rPr>
          <w:rFonts w:cs="Arial"/>
          <w:color w:val="000000"/>
          <w:szCs w:val="24"/>
          <w:lang w:eastAsia="en-GB"/>
        </w:rPr>
        <w:t xml:space="preserve">still </w:t>
      </w:r>
      <w:r w:rsidRPr="00CF5AFE">
        <w:rPr>
          <w:rFonts w:cs="Arial"/>
          <w:color w:val="000000"/>
          <w:szCs w:val="24"/>
          <w:lang w:eastAsia="en-GB"/>
        </w:rPr>
        <w:t>in discussion to enable a NRS statistician</w:t>
      </w:r>
      <w:r>
        <w:rPr>
          <w:rFonts w:cs="Arial"/>
          <w:color w:val="000000"/>
          <w:szCs w:val="24"/>
          <w:lang w:eastAsia="en-GB"/>
        </w:rPr>
        <w:t>s</w:t>
      </w:r>
      <w:r w:rsidRPr="00CF5AFE">
        <w:rPr>
          <w:rFonts w:cs="Arial"/>
          <w:color w:val="000000"/>
          <w:szCs w:val="24"/>
          <w:lang w:eastAsia="en-GB"/>
        </w:rPr>
        <w:t xml:space="preserve"> to gain access to </w:t>
      </w:r>
      <w:proofErr w:type="spellStart"/>
      <w:r w:rsidRPr="00CF5AFE">
        <w:rPr>
          <w:rFonts w:cs="Arial"/>
          <w:color w:val="000000"/>
          <w:szCs w:val="24"/>
          <w:lang w:eastAsia="en-GB"/>
        </w:rPr>
        <w:t>GCC</w:t>
      </w:r>
      <w:proofErr w:type="spellEnd"/>
      <w:r w:rsidRPr="00CF5AFE">
        <w:rPr>
          <w:rFonts w:cs="Arial"/>
          <w:color w:val="000000"/>
          <w:szCs w:val="24"/>
          <w:lang w:eastAsia="en-GB"/>
        </w:rPr>
        <w:t xml:space="preserve"> Council Tax and Benefits data which can be used for further population comparisons.</w:t>
      </w:r>
      <w:r>
        <w:rPr>
          <w:rFonts w:cs="Arial"/>
          <w:color w:val="000000"/>
          <w:szCs w:val="24"/>
          <w:lang w:eastAsia="en-GB"/>
        </w:rPr>
        <w:t xml:space="preserve"> A Data Access Agreement was sent to </w:t>
      </w:r>
      <w:proofErr w:type="spellStart"/>
      <w:r>
        <w:rPr>
          <w:rFonts w:cs="Arial"/>
          <w:color w:val="000000"/>
          <w:szCs w:val="24"/>
          <w:lang w:eastAsia="en-GB"/>
        </w:rPr>
        <w:t>GCC</w:t>
      </w:r>
      <w:proofErr w:type="spellEnd"/>
      <w:r>
        <w:rPr>
          <w:rFonts w:cs="Arial"/>
          <w:color w:val="000000"/>
          <w:szCs w:val="24"/>
          <w:lang w:eastAsia="en-GB"/>
        </w:rPr>
        <w:t xml:space="preserve"> for approval in May.</w:t>
      </w:r>
    </w:p>
    <w:p w:rsidR="00723A7D" w:rsidRDefault="00723A7D" w:rsidP="00CF5AFE">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723A7D" w:rsidRDefault="00723A7D" w:rsidP="00570013">
      <w:r>
        <w:t xml:space="preserve">The Improvement Service proposal around a pilot Data Cleansing Exercise in </w:t>
      </w:r>
      <w:proofErr w:type="spellStart"/>
      <w:r>
        <w:t>GCC</w:t>
      </w:r>
      <w:proofErr w:type="spellEnd"/>
      <w:r>
        <w:t xml:space="preserve"> (Customer First) and </w:t>
      </w:r>
      <w:proofErr w:type="spellStart"/>
      <w:r>
        <w:t>NHSCR</w:t>
      </w:r>
      <w:proofErr w:type="spellEnd"/>
      <w:r>
        <w:t xml:space="preserve"> is still being considered. </w:t>
      </w:r>
      <w:proofErr w:type="spellStart"/>
      <w:r>
        <w:rPr>
          <w:rFonts w:cs="Arial"/>
          <w:szCs w:val="24"/>
        </w:rPr>
        <w:t>GCC</w:t>
      </w:r>
      <w:proofErr w:type="spellEnd"/>
      <w:r>
        <w:rPr>
          <w:rFonts w:cs="Arial"/>
          <w:szCs w:val="24"/>
        </w:rPr>
        <w:t xml:space="preserve"> are also</w:t>
      </w:r>
      <w:r w:rsidRPr="00C620F4">
        <w:rPr>
          <w:rFonts w:cs="Arial"/>
          <w:szCs w:val="24"/>
        </w:rPr>
        <w:t xml:space="preserve"> assessing options around adoption of the Citizen’s Account Service as part of the wider Digital Glasgow Strategy work streams.</w:t>
      </w:r>
      <w:r w:rsidRPr="00C620F4">
        <w:rPr>
          <w:szCs w:val="24"/>
        </w:rPr>
        <w:t xml:space="preserve"> </w:t>
      </w:r>
      <w:r>
        <w:t xml:space="preserve">The Improvement Service have also successfully conducted a Customer Data Matching and cleansing pilot exercise with the Glasgow Housing Association. </w:t>
      </w:r>
    </w:p>
    <w:p w:rsidR="00723A7D" w:rsidRDefault="00723A7D" w:rsidP="00357DB4">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CF7DC7" w:rsidRDefault="00CF7DC7" w:rsidP="00746747">
      <w:pPr>
        <w:pStyle w:val="NameofDocument"/>
        <w:spacing w:after="0"/>
        <w:rPr>
          <w:rFonts w:ascii="Arial" w:hAnsi="Arial"/>
          <w:sz w:val="24"/>
        </w:rPr>
      </w:pPr>
    </w:p>
    <w:p w:rsidR="00723A7D" w:rsidRDefault="00723A7D" w:rsidP="00746747">
      <w:pPr>
        <w:pStyle w:val="NameofDocument"/>
        <w:spacing w:after="0"/>
        <w:rPr>
          <w:rFonts w:ascii="Arial" w:hAnsi="Arial"/>
          <w:sz w:val="24"/>
        </w:rPr>
      </w:pPr>
      <w:r>
        <w:rPr>
          <w:rFonts w:ascii="Arial" w:hAnsi="Arial"/>
          <w:sz w:val="24"/>
        </w:rPr>
        <w:t>Current work</w:t>
      </w:r>
    </w:p>
    <w:p w:rsidR="00723A7D" w:rsidRDefault="00723A7D" w:rsidP="00746747">
      <w:pPr>
        <w:pStyle w:val="NameofDocument"/>
        <w:spacing w:after="0"/>
        <w:rPr>
          <w:rFonts w:ascii="Arial" w:hAnsi="Arial"/>
          <w:sz w:val="24"/>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Pr>
          <w:rFonts w:cs="Arial"/>
          <w:color w:val="000000"/>
          <w:szCs w:val="24"/>
          <w:lang w:eastAsia="en-GB"/>
        </w:rPr>
        <w:t xml:space="preserve">First results from the 2011 Census were published in December 2012. The </w:t>
      </w:r>
      <w:smartTag w:uri="urn:schemas-microsoft-com:office:smarttags" w:element="place">
        <w:smartTag w:uri="urn:schemas-microsoft-com:office:smarttags" w:element="country-region">
          <w:r>
            <w:rPr>
              <w:rFonts w:cs="Arial"/>
              <w:color w:val="000000"/>
              <w:szCs w:val="24"/>
              <w:lang w:eastAsia="en-GB"/>
            </w:rPr>
            <w:t>Scotland</w:t>
          </w:r>
        </w:smartTag>
      </w:smartTag>
      <w:r>
        <w:rPr>
          <w:rFonts w:cs="Arial"/>
          <w:color w:val="000000"/>
          <w:szCs w:val="24"/>
          <w:lang w:eastAsia="en-GB"/>
        </w:rPr>
        <w:t xml:space="preserve"> level results showed an increase of 0.9% against previously published 2011 </w:t>
      </w:r>
      <w:proofErr w:type="spellStart"/>
      <w:r>
        <w:rPr>
          <w:rFonts w:cs="Arial"/>
          <w:color w:val="000000"/>
          <w:szCs w:val="24"/>
          <w:lang w:eastAsia="en-GB"/>
        </w:rPr>
        <w:t>mid year</w:t>
      </w:r>
      <w:proofErr w:type="spellEnd"/>
      <w:r>
        <w:rPr>
          <w:rFonts w:cs="Arial"/>
          <w:color w:val="000000"/>
          <w:szCs w:val="24"/>
          <w:lang w:eastAsia="en-GB"/>
        </w:rPr>
        <w:t xml:space="preserve"> estimates. 27 Local Authorities showed an increase against published figures, whilst 5 Local Authorities (Glasgow City, Edinburgh City, Fife, Argyll &amp; Bute and Perth &amp; Kinross) showed a decrease on most recent estimates.</w:t>
      </w: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723A7D" w:rsidRPr="00357DB4"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Pr>
          <w:rFonts w:cs="Arial"/>
          <w:color w:val="000000"/>
          <w:szCs w:val="24"/>
          <w:lang w:eastAsia="en-GB"/>
        </w:rPr>
        <w:t>Population statistics due to be published over the next month are</w:t>
      </w:r>
      <w:r w:rsidRPr="00357DB4">
        <w:rPr>
          <w:rFonts w:cs="Arial"/>
          <w:color w:val="000000"/>
          <w:szCs w:val="24"/>
          <w:lang w:eastAsia="en-GB"/>
        </w:rPr>
        <w:t>:</w:t>
      </w:r>
    </w:p>
    <w:p w:rsidR="00723A7D" w:rsidRPr="00357DB4"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CF7DC7" w:rsidRDefault="00723A7D" w:rsidP="00CF7DC7">
      <w:pPr>
        <w:tabs>
          <w:tab w:val="clear" w:pos="720"/>
          <w:tab w:val="clear" w:pos="1440"/>
          <w:tab w:val="clear" w:pos="2160"/>
          <w:tab w:val="clear" w:pos="2880"/>
          <w:tab w:val="clear" w:pos="4680"/>
          <w:tab w:val="clear" w:pos="5400"/>
          <w:tab w:val="clear" w:pos="9000"/>
        </w:tabs>
        <w:spacing w:line="240" w:lineRule="auto"/>
        <w:jc w:val="left"/>
        <w:rPr>
          <w:rStyle w:val="Strong"/>
          <w:rFonts w:cs="Arial"/>
          <w:bCs/>
          <w:color w:val="000000"/>
          <w:szCs w:val="24"/>
        </w:rPr>
      </w:pPr>
      <w:r>
        <w:rPr>
          <w:rStyle w:val="Strong"/>
          <w:rFonts w:cs="Arial"/>
          <w:bCs/>
          <w:color w:val="000000"/>
          <w:szCs w:val="24"/>
        </w:rPr>
        <w:t xml:space="preserve">Census </w:t>
      </w:r>
      <w:proofErr w:type="spellStart"/>
      <w:r w:rsidRPr="00357DB4">
        <w:rPr>
          <w:rStyle w:val="Strong"/>
          <w:rFonts w:cs="Arial"/>
          <w:bCs/>
          <w:color w:val="000000"/>
          <w:szCs w:val="24"/>
        </w:rPr>
        <w:t>1C</w:t>
      </w:r>
      <w:proofErr w:type="spellEnd"/>
      <w:r w:rsidRPr="00357DB4">
        <w:rPr>
          <w:rStyle w:val="Strong"/>
          <w:rFonts w:cs="Arial"/>
          <w:bCs/>
          <w:color w:val="000000"/>
          <w:szCs w:val="24"/>
        </w:rPr>
        <w:t xml:space="preserve"> (part I) 23 July 2013</w:t>
      </w:r>
    </w:p>
    <w:p w:rsidR="00CF7DC7"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357DB4">
        <w:rPr>
          <w:rFonts w:cs="Arial"/>
          <w:color w:val="000000"/>
          <w:szCs w:val="24"/>
        </w:rPr>
        <w:br/>
        <w:t xml:space="preserve">Population estimates by single year of age and sex for </w:t>
      </w:r>
      <w:smartTag w:uri="urn:schemas-microsoft-com:office:smarttags" w:element="place">
        <w:smartTag w:uri="urn:schemas-microsoft-com:office:smarttags" w:element="country-region">
          <w:r w:rsidRPr="00357DB4">
            <w:rPr>
              <w:rFonts w:cs="Arial"/>
              <w:color w:val="000000"/>
              <w:szCs w:val="24"/>
            </w:rPr>
            <w:t>Scotland</w:t>
          </w:r>
        </w:smartTag>
      </w:smartTag>
      <w:r w:rsidRPr="00357DB4">
        <w:rPr>
          <w:rFonts w:cs="Arial"/>
          <w:color w:val="000000"/>
          <w:szCs w:val="24"/>
        </w:rPr>
        <w:t>, Council Areas and Health Boards</w:t>
      </w:r>
      <w:r w:rsidR="00CF7DC7">
        <w:rPr>
          <w:rFonts w:cs="Arial"/>
          <w:color w:val="000000"/>
          <w:szCs w:val="24"/>
        </w:rPr>
        <w:t>.</w:t>
      </w: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b/>
          <w:color w:val="000000"/>
          <w:szCs w:val="24"/>
        </w:rPr>
      </w:pPr>
      <w:proofErr w:type="spellStart"/>
      <w:r>
        <w:rPr>
          <w:rFonts w:cs="Arial"/>
          <w:b/>
          <w:color w:val="000000"/>
          <w:szCs w:val="24"/>
        </w:rPr>
        <w:t>Mid Year</w:t>
      </w:r>
      <w:proofErr w:type="spellEnd"/>
      <w:r>
        <w:rPr>
          <w:rFonts w:cs="Arial"/>
          <w:b/>
          <w:color w:val="000000"/>
          <w:szCs w:val="24"/>
        </w:rPr>
        <w:t xml:space="preserve"> Population Estimates 8 August 2013</w:t>
      </w:r>
    </w:p>
    <w:p w:rsidR="00CF7DC7" w:rsidRDefault="00CF7DC7" w:rsidP="00CF7DC7">
      <w:pPr>
        <w:tabs>
          <w:tab w:val="clear" w:pos="720"/>
          <w:tab w:val="clear" w:pos="1440"/>
          <w:tab w:val="clear" w:pos="2160"/>
          <w:tab w:val="clear" w:pos="2880"/>
          <w:tab w:val="clear" w:pos="4680"/>
          <w:tab w:val="clear" w:pos="5400"/>
          <w:tab w:val="clear" w:pos="9000"/>
        </w:tabs>
        <w:spacing w:line="240" w:lineRule="auto"/>
        <w:rPr>
          <w:rFonts w:cs="Arial"/>
          <w:b/>
          <w:color w:val="000000"/>
          <w:szCs w:val="24"/>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Pr>
          <w:rFonts w:cs="Arial"/>
          <w:color w:val="000000"/>
          <w:szCs w:val="24"/>
        </w:rPr>
        <w:t xml:space="preserve">Mid 2012 population estimates (and re-based 2011 </w:t>
      </w:r>
      <w:proofErr w:type="spellStart"/>
      <w:r>
        <w:rPr>
          <w:rFonts w:cs="Arial"/>
          <w:color w:val="000000"/>
          <w:szCs w:val="24"/>
        </w:rPr>
        <w:t>mid year</w:t>
      </w:r>
      <w:proofErr w:type="spellEnd"/>
      <w:r>
        <w:rPr>
          <w:rFonts w:cs="Arial"/>
          <w:color w:val="000000"/>
          <w:szCs w:val="24"/>
        </w:rPr>
        <w:t xml:space="preserve"> estimates) based on the Census figures to be published on 23 July. A report will be published at the same time explaining the difference between the Census and the </w:t>
      </w:r>
      <w:proofErr w:type="spellStart"/>
      <w:r>
        <w:rPr>
          <w:rFonts w:cs="Arial"/>
          <w:color w:val="000000"/>
          <w:szCs w:val="24"/>
        </w:rPr>
        <w:t>mid year</w:t>
      </w:r>
      <w:proofErr w:type="spellEnd"/>
      <w:r>
        <w:rPr>
          <w:rFonts w:cs="Arial"/>
          <w:color w:val="000000"/>
          <w:szCs w:val="24"/>
        </w:rPr>
        <w:t xml:space="preserve"> estimates. The re-based </w:t>
      </w:r>
      <w:proofErr w:type="spellStart"/>
      <w:r>
        <w:rPr>
          <w:rFonts w:cs="Arial"/>
          <w:color w:val="000000"/>
          <w:szCs w:val="24"/>
        </w:rPr>
        <w:t>mid year</w:t>
      </w:r>
      <w:proofErr w:type="spellEnd"/>
      <w:r>
        <w:rPr>
          <w:rFonts w:cs="Arial"/>
          <w:color w:val="000000"/>
          <w:szCs w:val="24"/>
        </w:rPr>
        <w:t xml:space="preserve"> estimates will feed into the NRAC exercise for 2013/14.</w:t>
      </w:r>
    </w:p>
    <w:p w:rsidR="00CF7DC7" w:rsidRDefault="00723A7D" w:rsidP="00CF7DC7">
      <w:pPr>
        <w:tabs>
          <w:tab w:val="clear" w:pos="720"/>
          <w:tab w:val="clear" w:pos="1440"/>
          <w:tab w:val="clear" w:pos="2160"/>
          <w:tab w:val="clear" w:pos="2880"/>
          <w:tab w:val="clear" w:pos="4680"/>
          <w:tab w:val="clear" w:pos="5400"/>
          <w:tab w:val="clear" w:pos="9000"/>
        </w:tabs>
        <w:spacing w:line="240" w:lineRule="auto"/>
        <w:rPr>
          <w:rStyle w:val="Strong"/>
          <w:rFonts w:cs="Arial"/>
          <w:bCs/>
          <w:color w:val="000000"/>
          <w:szCs w:val="24"/>
        </w:rPr>
      </w:pPr>
      <w:r w:rsidRPr="00357DB4">
        <w:rPr>
          <w:rFonts w:cs="Arial"/>
          <w:color w:val="000000"/>
          <w:szCs w:val="24"/>
        </w:rPr>
        <w:br/>
      </w:r>
      <w:r w:rsidRPr="00C620F4">
        <w:rPr>
          <w:rFonts w:cs="Arial"/>
          <w:b/>
          <w:color w:val="000000"/>
          <w:szCs w:val="24"/>
        </w:rPr>
        <w:t>Census</w:t>
      </w:r>
      <w:r>
        <w:rPr>
          <w:rFonts w:cs="Arial"/>
          <w:color w:val="000000"/>
          <w:szCs w:val="24"/>
        </w:rPr>
        <w:t xml:space="preserve"> </w:t>
      </w:r>
      <w:proofErr w:type="spellStart"/>
      <w:r w:rsidRPr="00357DB4">
        <w:rPr>
          <w:rStyle w:val="Strong"/>
          <w:rFonts w:cs="Arial"/>
          <w:bCs/>
          <w:color w:val="000000"/>
          <w:szCs w:val="24"/>
        </w:rPr>
        <w:t>1C</w:t>
      </w:r>
      <w:proofErr w:type="spellEnd"/>
      <w:r w:rsidRPr="00357DB4">
        <w:rPr>
          <w:rStyle w:val="Strong"/>
          <w:rFonts w:cs="Arial"/>
          <w:bCs/>
          <w:color w:val="000000"/>
          <w:szCs w:val="24"/>
        </w:rPr>
        <w:t xml:space="preserve"> (part II) 15 August 2013</w:t>
      </w:r>
    </w:p>
    <w:p w:rsidR="00723A7D" w:rsidRPr="00357DB4"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357DB4">
        <w:rPr>
          <w:rFonts w:cs="Arial"/>
          <w:color w:val="000000"/>
          <w:szCs w:val="24"/>
        </w:rPr>
        <w:br/>
        <w:t>Population estimates and household estimates by Postcodes, Output Areas and Datazones. Geography products will also be made available on 15 August. These include the 2011 Census Output Area (OA) boundaries (</w:t>
      </w:r>
      <w:proofErr w:type="spellStart"/>
      <w:r w:rsidRPr="00357DB4">
        <w:rPr>
          <w:rFonts w:cs="Arial"/>
          <w:color w:val="000000"/>
          <w:szCs w:val="24"/>
        </w:rPr>
        <w:t>shapefiles</w:t>
      </w:r>
      <w:proofErr w:type="spellEnd"/>
      <w:r w:rsidRPr="00357DB4">
        <w:rPr>
          <w:rFonts w:cs="Arial"/>
          <w:color w:val="000000"/>
          <w:szCs w:val="24"/>
        </w:rPr>
        <w:t>), Postcode to OA and OA to other geography look-up files as well as other supporting information.</w:t>
      </w:r>
    </w:p>
    <w:p w:rsidR="00723A7D" w:rsidRDefault="00723A7D" w:rsidP="00CF7DC7">
      <w:pPr>
        <w:pStyle w:val="NameofDocument"/>
        <w:spacing w:after="0"/>
        <w:jc w:val="both"/>
        <w:rPr>
          <w:rFonts w:ascii="Arial" w:hAnsi="Arial"/>
          <w:sz w:val="24"/>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357DB4">
        <w:rPr>
          <w:rFonts w:cs="Arial"/>
          <w:color w:val="000000"/>
          <w:szCs w:val="24"/>
          <w:lang w:eastAsia="en-GB"/>
        </w:rPr>
        <w:t xml:space="preserve">The summary report on Aggregate Comparisons, presented at the </w:t>
      </w:r>
      <w:r>
        <w:rPr>
          <w:rFonts w:cs="Arial"/>
          <w:color w:val="000000"/>
          <w:szCs w:val="24"/>
          <w:lang w:eastAsia="en-GB"/>
        </w:rPr>
        <w:t xml:space="preserve">Population Estimates Comparison </w:t>
      </w:r>
      <w:r w:rsidRPr="00357DB4">
        <w:rPr>
          <w:rFonts w:cs="Arial"/>
          <w:color w:val="000000"/>
          <w:szCs w:val="24"/>
          <w:lang w:eastAsia="en-GB"/>
        </w:rPr>
        <w:t>Project Board meeting on the 7</w:t>
      </w:r>
      <w:r w:rsidRPr="00357DB4">
        <w:rPr>
          <w:rFonts w:cs="Arial"/>
          <w:color w:val="000000"/>
          <w:szCs w:val="24"/>
          <w:vertAlign w:val="superscript"/>
          <w:lang w:eastAsia="en-GB"/>
        </w:rPr>
        <w:t>th</w:t>
      </w:r>
      <w:r w:rsidRPr="00357DB4">
        <w:rPr>
          <w:rFonts w:cs="Arial"/>
          <w:color w:val="000000"/>
          <w:szCs w:val="24"/>
          <w:lang w:eastAsia="en-GB"/>
        </w:rPr>
        <w:t xml:space="preserve"> May will be updated to include fur</w:t>
      </w:r>
      <w:r>
        <w:rPr>
          <w:rFonts w:cs="Arial"/>
          <w:color w:val="000000"/>
          <w:szCs w:val="24"/>
          <w:lang w:eastAsia="en-GB"/>
        </w:rPr>
        <w:t>ther analysis suggested by the Project B</w:t>
      </w:r>
      <w:r w:rsidRPr="00357DB4">
        <w:rPr>
          <w:rFonts w:cs="Arial"/>
          <w:color w:val="000000"/>
          <w:szCs w:val="24"/>
          <w:lang w:eastAsia="en-GB"/>
        </w:rPr>
        <w:t>oard. Census data will also be included in an updated r</w:t>
      </w:r>
      <w:r>
        <w:rPr>
          <w:rFonts w:cs="Arial"/>
          <w:color w:val="000000"/>
          <w:szCs w:val="24"/>
          <w:lang w:eastAsia="en-GB"/>
        </w:rPr>
        <w:t xml:space="preserve">eport once Release </w:t>
      </w:r>
      <w:proofErr w:type="spellStart"/>
      <w:r>
        <w:rPr>
          <w:rFonts w:cs="Arial"/>
          <w:color w:val="000000"/>
          <w:szCs w:val="24"/>
          <w:lang w:eastAsia="en-GB"/>
        </w:rPr>
        <w:t>1C</w:t>
      </w:r>
      <w:proofErr w:type="spellEnd"/>
      <w:r>
        <w:rPr>
          <w:rFonts w:cs="Arial"/>
          <w:color w:val="000000"/>
          <w:szCs w:val="24"/>
          <w:lang w:eastAsia="en-GB"/>
        </w:rPr>
        <w:t xml:space="preserve"> (part II) and the </w:t>
      </w:r>
      <w:proofErr w:type="spellStart"/>
      <w:r>
        <w:rPr>
          <w:rFonts w:cs="Arial"/>
          <w:color w:val="000000"/>
          <w:szCs w:val="24"/>
          <w:lang w:eastAsia="en-GB"/>
        </w:rPr>
        <w:t>mid year</w:t>
      </w:r>
      <w:proofErr w:type="spellEnd"/>
      <w:r>
        <w:rPr>
          <w:rFonts w:cs="Arial"/>
          <w:color w:val="000000"/>
          <w:szCs w:val="24"/>
          <w:lang w:eastAsia="en-GB"/>
        </w:rPr>
        <w:t xml:space="preserve"> estimates have been released. The updated report will be presented at the next Project Board meeting in September.</w:t>
      </w:r>
    </w:p>
    <w:p w:rsidR="00723A7D" w:rsidRPr="00CF5AFE" w:rsidRDefault="00723A7D" w:rsidP="00CF7DC7">
      <w:pPr>
        <w:pStyle w:val="NameofDocument"/>
        <w:spacing w:after="0"/>
        <w:jc w:val="both"/>
        <w:rPr>
          <w:rFonts w:ascii="Arial" w:hAnsi="Arial"/>
          <w:sz w:val="24"/>
        </w:rPr>
      </w:pPr>
    </w:p>
    <w:p w:rsidR="00723A7D"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B52B43">
        <w:rPr>
          <w:rFonts w:cs="Arial"/>
          <w:color w:val="000000"/>
          <w:szCs w:val="24"/>
          <w:lang w:eastAsia="en-GB"/>
        </w:rPr>
        <w:t xml:space="preserve">NRS </w:t>
      </w:r>
      <w:r>
        <w:rPr>
          <w:rFonts w:cs="Arial"/>
          <w:color w:val="000000"/>
          <w:szCs w:val="24"/>
          <w:lang w:eastAsia="en-GB"/>
        </w:rPr>
        <w:t>are</w:t>
      </w:r>
      <w:r w:rsidRPr="00B52B43">
        <w:rPr>
          <w:rFonts w:cs="Arial"/>
          <w:color w:val="000000"/>
          <w:szCs w:val="24"/>
          <w:lang w:eastAsia="en-GB"/>
        </w:rPr>
        <w:t xml:space="preserve"> documenting the different sources of population data, including how they are collected. This will be useful to help explain differences in population estimates between different sources.</w:t>
      </w:r>
      <w:r>
        <w:rPr>
          <w:rFonts w:cs="Arial"/>
          <w:color w:val="000000"/>
          <w:szCs w:val="24"/>
          <w:lang w:eastAsia="en-GB"/>
        </w:rPr>
        <w:t xml:space="preserve"> This is an </w:t>
      </w:r>
      <w:proofErr w:type="spellStart"/>
      <w:r>
        <w:rPr>
          <w:rFonts w:cs="Arial"/>
          <w:color w:val="000000"/>
          <w:szCs w:val="24"/>
          <w:lang w:eastAsia="en-GB"/>
        </w:rPr>
        <w:t>ongoing</w:t>
      </w:r>
      <w:proofErr w:type="spellEnd"/>
      <w:r>
        <w:rPr>
          <w:rFonts w:cs="Arial"/>
          <w:color w:val="000000"/>
          <w:szCs w:val="24"/>
          <w:lang w:eastAsia="en-GB"/>
        </w:rPr>
        <w:t xml:space="preserve"> piece of work which is due to be completed in December 2013.</w:t>
      </w:r>
    </w:p>
    <w:p w:rsidR="00723A7D" w:rsidRPr="00357DB4" w:rsidRDefault="00723A7D" w:rsidP="00CF7DC7">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723A7D" w:rsidRPr="00357DB4" w:rsidRDefault="00723A7D" w:rsidP="00CF7DC7">
      <w:pPr>
        <w:spacing w:line="240" w:lineRule="auto"/>
        <w:rPr>
          <w:rFonts w:cs="Arial"/>
          <w:color w:val="000000"/>
          <w:szCs w:val="24"/>
          <w:lang w:eastAsia="en-GB"/>
        </w:rPr>
      </w:pPr>
      <w:r w:rsidRPr="00357DB4">
        <w:rPr>
          <w:rFonts w:cs="Arial"/>
          <w:color w:val="000000"/>
          <w:szCs w:val="24"/>
          <w:lang w:eastAsia="en-GB"/>
        </w:rPr>
        <w:lastRenderedPageBreak/>
        <w:t xml:space="preserve">Linkage of the </w:t>
      </w:r>
      <w:proofErr w:type="spellStart"/>
      <w:r w:rsidRPr="00357DB4">
        <w:rPr>
          <w:rFonts w:cs="Arial"/>
          <w:color w:val="000000"/>
          <w:szCs w:val="24"/>
          <w:lang w:eastAsia="en-GB"/>
        </w:rPr>
        <w:t>NHSCR</w:t>
      </w:r>
      <w:proofErr w:type="spellEnd"/>
      <w:r w:rsidRPr="00357DB4">
        <w:rPr>
          <w:rFonts w:cs="Arial"/>
          <w:color w:val="000000"/>
          <w:szCs w:val="24"/>
          <w:lang w:eastAsia="en-GB"/>
        </w:rPr>
        <w:t xml:space="preserve"> extract with Census data is </w:t>
      </w:r>
      <w:proofErr w:type="spellStart"/>
      <w:r w:rsidRPr="00357DB4">
        <w:rPr>
          <w:rFonts w:cs="Arial"/>
          <w:color w:val="000000"/>
          <w:szCs w:val="24"/>
          <w:lang w:eastAsia="en-GB"/>
        </w:rPr>
        <w:t>ongoing</w:t>
      </w:r>
      <w:proofErr w:type="spellEnd"/>
      <w:r w:rsidRPr="00357DB4">
        <w:rPr>
          <w:rFonts w:cs="Arial"/>
          <w:color w:val="000000"/>
          <w:szCs w:val="24"/>
          <w:lang w:eastAsia="en-GB"/>
        </w:rPr>
        <w:t xml:space="preserve"> and producing encouraging results. </w:t>
      </w:r>
    </w:p>
    <w:p w:rsidR="00723A7D" w:rsidRDefault="00723A7D" w:rsidP="00B52B43">
      <w:pPr>
        <w:pStyle w:val="NameofDocument"/>
        <w:spacing w:after="0"/>
        <w:rPr>
          <w:rFonts w:ascii="Arial" w:hAnsi="Arial"/>
          <w:sz w:val="24"/>
        </w:rPr>
      </w:pPr>
    </w:p>
    <w:p w:rsidR="00723A7D" w:rsidRDefault="00723A7D" w:rsidP="00B52B43">
      <w:pPr>
        <w:pStyle w:val="NameofDocument"/>
        <w:spacing w:after="0"/>
        <w:rPr>
          <w:rFonts w:ascii="Arial" w:hAnsi="Arial"/>
          <w:sz w:val="24"/>
        </w:rPr>
      </w:pPr>
    </w:p>
    <w:p w:rsidR="00723A7D" w:rsidRPr="00CF5AFE" w:rsidRDefault="00723A7D" w:rsidP="00746747">
      <w:pPr>
        <w:pStyle w:val="NameofDocument"/>
        <w:spacing w:after="0"/>
        <w:rPr>
          <w:rFonts w:ascii="Arial" w:hAnsi="Arial"/>
          <w:sz w:val="24"/>
        </w:rPr>
      </w:pPr>
      <w:r>
        <w:rPr>
          <w:rFonts w:ascii="Arial" w:hAnsi="Arial"/>
          <w:sz w:val="24"/>
        </w:rPr>
        <w:t>milestones</w:t>
      </w:r>
    </w:p>
    <w:p w:rsidR="00723A7D" w:rsidRPr="00B52B43" w:rsidRDefault="00723A7D" w:rsidP="00B52B43">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1980"/>
        <w:gridCol w:w="3060"/>
        <w:gridCol w:w="1800"/>
      </w:tblGrid>
      <w:tr w:rsidR="00723A7D" w:rsidRPr="00994DA8" w:rsidTr="0069153C">
        <w:tc>
          <w:tcPr>
            <w:tcW w:w="540" w:type="dxa"/>
            <w:shd w:val="clear" w:color="auto" w:fill="CCCCFF"/>
          </w:tcPr>
          <w:p w:rsidR="00723A7D" w:rsidRPr="00994DA8" w:rsidRDefault="00723A7D" w:rsidP="006E140F">
            <w:pPr>
              <w:rPr>
                <w:rFonts w:cs="Arial"/>
                <w:b/>
                <w:sz w:val="20"/>
              </w:rPr>
            </w:pPr>
            <w:r w:rsidRPr="00994DA8">
              <w:rPr>
                <w:rFonts w:cs="Arial"/>
                <w:b/>
                <w:sz w:val="20"/>
              </w:rPr>
              <w:t>Ref</w:t>
            </w:r>
          </w:p>
        </w:tc>
        <w:tc>
          <w:tcPr>
            <w:tcW w:w="2700" w:type="dxa"/>
            <w:shd w:val="clear" w:color="auto" w:fill="CCCCFF"/>
          </w:tcPr>
          <w:p w:rsidR="00723A7D" w:rsidRPr="00994DA8" w:rsidRDefault="00723A7D" w:rsidP="006E140F">
            <w:pPr>
              <w:rPr>
                <w:rFonts w:cs="Arial"/>
                <w:b/>
                <w:sz w:val="20"/>
              </w:rPr>
            </w:pPr>
            <w:r w:rsidRPr="00994DA8">
              <w:rPr>
                <w:rFonts w:cs="Arial"/>
                <w:b/>
                <w:sz w:val="20"/>
              </w:rPr>
              <w:t>Description</w:t>
            </w:r>
          </w:p>
        </w:tc>
        <w:tc>
          <w:tcPr>
            <w:tcW w:w="1980" w:type="dxa"/>
            <w:shd w:val="clear" w:color="auto" w:fill="CCCCFF"/>
          </w:tcPr>
          <w:p w:rsidR="00723A7D" w:rsidRPr="00994DA8" w:rsidRDefault="00723A7D" w:rsidP="006E140F">
            <w:pPr>
              <w:jc w:val="left"/>
              <w:rPr>
                <w:rFonts w:cs="Arial"/>
                <w:b/>
                <w:sz w:val="20"/>
              </w:rPr>
            </w:pPr>
            <w:r>
              <w:rPr>
                <w:rFonts w:cs="Arial"/>
                <w:b/>
                <w:sz w:val="20"/>
              </w:rPr>
              <w:t>Delivery</w:t>
            </w:r>
            <w:r w:rsidRPr="00994DA8">
              <w:rPr>
                <w:rFonts w:cs="Arial"/>
                <w:b/>
                <w:sz w:val="20"/>
              </w:rPr>
              <w:t xml:space="preserve"> Date</w:t>
            </w:r>
            <w:r>
              <w:rPr>
                <w:rFonts w:cs="Arial"/>
                <w:b/>
                <w:sz w:val="20"/>
              </w:rPr>
              <w:t xml:space="preserve"> </w:t>
            </w:r>
          </w:p>
        </w:tc>
        <w:tc>
          <w:tcPr>
            <w:tcW w:w="3060" w:type="dxa"/>
            <w:shd w:val="clear" w:color="auto" w:fill="CCCCFF"/>
          </w:tcPr>
          <w:p w:rsidR="00723A7D" w:rsidRPr="00994DA8" w:rsidRDefault="00723A7D" w:rsidP="006E140F">
            <w:pPr>
              <w:rPr>
                <w:rFonts w:cs="Arial"/>
                <w:b/>
                <w:sz w:val="20"/>
              </w:rPr>
            </w:pPr>
            <w:r>
              <w:rPr>
                <w:rFonts w:cs="Arial"/>
                <w:b/>
                <w:sz w:val="20"/>
              </w:rPr>
              <w:t>Comment</w:t>
            </w:r>
          </w:p>
        </w:tc>
        <w:tc>
          <w:tcPr>
            <w:tcW w:w="1800" w:type="dxa"/>
            <w:shd w:val="clear" w:color="auto" w:fill="CCCCFF"/>
          </w:tcPr>
          <w:p w:rsidR="00723A7D" w:rsidRPr="00994DA8" w:rsidRDefault="00723A7D" w:rsidP="006E140F">
            <w:pPr>
              <w:rPr>
                <w:rFonts w:cs="Arial"/>
                <w:b/>
                <w:sz w:val="20"/>
              </w:rPr>
            </w:pPr>
            <w:r w:rsidRPr="00994DA8">
              <w:rPr>
                <w:rFonts w:cs="Arial"/>
                <w:b/>
                <w:sz w:val="20"/>
              </w:rPr>
              <w:t>RAG</w:t>
            </w:r>
          </w:p>
          <w:p w:rsidR="00723A7D" w:rsidRPr="00994DA8" w:rsidRDefault="00723A7D" w:rsidP="006E140F">
            <w:pPr>
              <w:rPr>
                <w:rFonts w:cs="Arial"/>
                <w:b/>
                <w:sz w:val="20"/>
              </w:rPr>
            </w:pPr>
            <w:r w:rsidRPr="00994DA8">
              <w:rPr>
                <w:rFonts w:cs="Arial"/>
                <w:b/>
                <w:sz w:val="20"/>
              </w:rPr>
              <w:t>Status</w:t>
            </w:r>
          </w:p>
        </w:tc>
      </w:tr>
      <w:tr w:rsidR="00723A7D"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41636A" w:rsidRDefault="00723A7D"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41636A">
              <w:rPr>
                <w:rFonts w:cs="Arial"/>
                <w:sz w:val="20"/>
                <w:lang w:eastAsia="en-GB"/>
              </w:rPr>
              <w:t>P</w:t>
            </w:r>
            <w:r>
              <w:rPr>
                <w:rFonts w:cs="Arial"/>
                <w:sz w:val="20"/>
                <w:lang w:eastAsia="en-GB"/>
              </w:rPr>
              <w:t xml:space="preserve">roject </w:t>
            </w:r>
            <w:r w:rsidRPr="0041636A">
              <w:rPr>
                <w:rFonts w:cs="Arial"/>
                <w:sz w:val="20"/>
                <w:lang w:eastAsia="en-GB"/>
              </w:rPr>
              <w:t>I</w:t>
            </w:r>
            <w:r>
              <w:rPr>
                <w:rFonts w:cs="Arial"/>
                <w:sz w:val="20"/>
                <w:lang w:eastAsia="en-GB"/>
              </w:rPr>
              <w:t xml:space="preserve">nitiation </w:t>
            </w:r>
            <w:r w:rsidRPr="0041636A">
              <w:rPr>
                <w:rFonts w:cs="Arial"/>
                <w:sz w:val="20"/>
                <w:lang w:eastAsia="en-GB"/>
              </w:rPr>
              <w:t>D</w:t>
            </w:r>
            <w:r>
              <w:rPr>
                <w:rFonts w:cs="Arial"/>
                <w:sz w:val="20"/>
                <w:lang w:eastAsia="en-GB"/>
              </w:rPr>
              <w:t>ocument</w:t>
            </w:r>
          </w:p>
        </w:tc>
        <w:tc>
          <w:tcPr>
            <w:tcW w:w="1980" w:type="dxa"/>
            <w:shd w:val="clear" w:color="auto" w:fill="FFFF99"/>
          </w:tcPr>
          <w:p w:rsidR="00723A7D" w:rsidRDefault="00723A7D" w:rsidP="006E140F">
            <w:pPr>
              <w:jc w:val="left"/>
              <w:rPr>
                <w:rFonts w:cs="Arial"/>
                <w:sz w:val="20"/>
              </w:rPr>
            </w:pPr>
            <w:r>
              <w:rPr>
                <w:rFonts w:cs="Arial"/>
                <w:sz w:val="20"/>
              </w:rPr>
              <w:t>15/07/2013</w:t>
            </w:r>
          </w:p>
        </w:tc>
        <w:tc>
          <w:tcPr>
            <w:tcW w:w="3060" w:type="dxa"/>
            <w:shd w:val="clear" w:color="auto" w:fill="FFFF99"/>
          </w:tcPr>
          <w:p w:rsidR="00723A7D" w:rsidRPr="00C65C05" w:rsidRDefault="00723A7D" w:rsidP="00C65C05">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65C05">
              <w:rPr>
                <w:rFonts w:cs="Arial"/>
                <w:color w:val="000000"/>
                <w:sz w:val="20"/>
                <w:lang w:eastAsia="en-GB"/>
              </w:rPr>
              <w:t>After the previous meeting further changes were suggested</w:t>
            </w:r>
            <w:r>
              <w:rPr>
                <w:rFonts w:cs="Arial"/>
                <w:color w:val="000000"/>
                <w:sz w:val="20"/>
                <w:lang w:eastAsia="en-GB"/>
              </w:rPr>
              <w:t xml:space="preserve">. </w:t>
            </w:r>
            <w:r w:rsidRPr="00C65C05">
              <w:rPr>
                <w:rFonts w:cs="Arial"/>
                <w:color w:val="000000"/>
                <w:sz w:val="20"/>
                <w:lang w:eastAsia="en-GB"/>
              </w:rPr>
              <w:t xml:space="preserve">These changes have been taken into account and the final version of the </w:t>
            </w:r>
            <w:proofErr w:type="spellStart"/>
            <w:r w:rsidRPr="00C65C05">
              <w:rPr>
                <w:rFonts w:cs="Arial"/>
                <w:color w:val="000000"/>
                <w:sz w:val="20"/>
                <w:lang w:eastAsia="en-GB"/>
              </w:rPr>
              <w:t>PID</w:t>
            </w:r>
            <w:proofErr w:type="spellEnd"/>
            <w:r w:rsidRPr="00C65C05">
              <w:rPr>
                <w:rFonts w:cs="Arial"/>
                <w:color w:val="000000"/>
                <w:sz w:val="20"/>
                <w:lang w:eastAsia="en-GB"/>
              </w:rPr>
              <w:t xml:space="preserve"> has been sent round the Project Board.</w:t>
            </w:r>
          </w:p>
          <w:p w:rsidR="00723A7D" w:rsidRDefault="00723A7D" w:rsidP="006E140F">
            <w:pPr>
              <w:jc w:val="left"/>
              <w:rPr>
                <w:rFonts w:cs="Arial"/>
                <w:sz w:val="20"/>
              </w:rPr>
            </w:pPr>
          </w:p>
        </w:tc>
        <w:tc>
          <w:tcPr>
            <w:tcW w:w="1800" w:type="dxa"/>
            <w:shd w:val="clear" w:color="auto" w:fill="00FF00"/>
          </w:tcPr>
          <w:p w:rsidR="00723A7D" w:rsidRDefault="00723A7D" w:rsidP="006E140F">
            <w:pPr>
              <w:jc w:val="center"/>
            </w:pPr>
            <w:r w:rsidRPr="00AE082E">
              <w:rPr>
                <w:rFonts w:cs="Arial"/>
                <w:b/>
                <w:sz w:val="20"/>
              </w:rPr>
              <w:t>Green</w:t>
            </w:r>
          </w:p>
        </w:tc>
      </w:tr>
      <w:tr w:rsidR="00723A7D"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6B5F53">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 xml:space="preserve">Re-based </w:t>
            </w:r>
            <w:proofErr w:type="spellStart"/>
            <w:r>
              <w:rPr>
                <w:rFonts w:cs="Arial"/>
                <w:sz w:val="20"/>
                <w:lang w:eastAsia="en-GB"/>
              </w:rPr>
              <w:t>MYEs</w:t>
            </w:r>
            <w:proofErr w:type="spellEnd"/>
            <w:r>
              <w:rPr>
                <w:rFonts w:cs="Arial"/>
                <w:sz w:val="20"/>
                <w:lang w:eastAsia="en-GB"/>
              </w:rPr>
              <w:t xml:space="preserve"> for 2011 and 2012 </w:t>
            </w:r>
            <w:proofErr w:type="spellStart"/>
            <w:r>
              <w:rPr>
                <w:rFonts w:cs="Arial"/>
                <w:sz w:val="20"/>
                <w:lang w:eastAsia="en-GB"/>
              </w:rPr>
              <w:t>MYEs</w:t>
            </w:r>
            <w:proofErr w:type="spellEnd"/>
          </w:p>
        </w:tc>
        <w:tc>
          <w:tcPr>
            <w:tcW w:w="1980" w:type="dxa"/>
            <w:shd w:val="clear" w:color="auto" w:fill="FFFF99"/>
          </w:tcPr>
          <w:p w:rsidR="00723A7D" w:rsidRDefault="00723A7D" w:rsidP="006B5F53">
            <w:pPr>
              <w:jc w:val="left"/>
              <w:rPr>
                <w:rFonts w:cs="Arial"/>
                <w:sz w:val="20"/>
              </w:rPr>
            </w:pPr>
            <w:r>
              <w:rPr>
                <w:rFonts w:cs="Arial"/>
                <w:sz w:val="20"/>
              </w:rPr>
              <w:t>08/08/2013</w:t>
            </w:r>
          </w:p>
        </w:tc>
        <w:tc>
          <w:tcPr>
            <w:tcW w:w="3060" w:type="dxa"/>
            <w:shd w:val="clear" w:color="auto" w:fill="FFFF99"/>
          </w:tcPr>
          <w:p w:rsidR="00723A7D" w:rsidRDefault="00723A7D" w:rsidP="00CA332E">
            <w:pPr>
              <w:jc w:val="left"/>
              <w:rPr>
                <w:rFonts w:cs="Arial"/>
                <w:sz w:val="20"/>
              </w:rPr>
            </w:pPr>
          </w:p>
        </w:tc>
        <w:tc>
          <w:tcPr>
            <w:tcW w:w="1800" w:type="dxa"/>
            <w:shd w:val="clear" w:color="auto" w:fill="00FF00"/>
          </w:tcPr>
          <w:p w:rsidR="00723A7D" w:rsidRDefault="00723A7D" w:rsidP="006E140F">
            <w:pPr>
              <w:jc w:val="center"/>
            </w:pPr>
            <w:r w:rsidRPr="00AE082E">
              <w:rPr>
                <w:rFonts w:cs="Arial"/>
                <w:b/>
                <w:sz w:val="20"/>
              </w:rPr>
              <w:t>Green</w:t>
            </w:r>
          </w:p>
        </w:tc>
      </w:tr>
      <w:tr w:rsidR="00723A7D"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41636A" w:rsidRDefault="00723A7D" w:rsidP="00B162C5">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Next Project Board meeting</w:t>
            </w:r>
          </w:p>
        </w:tc>
        <w:tc>
          <w:tcPr>
            <w:tcW w:w="1980" w:type="dxa"/>
            <w:shd w:val="clear" w:color="auto" w:fill="FFFF99"/>
          </w:tcPr>
          <w:p w:rsidR="00723A7D" w:rsidRDefault="00723A7D" w:rsidP="00B162C5">
            <w:pPr>
              <w:jc w:val="left"/>
              <w:rPr>
                <w:rFonts w:cs="Arial"/>
                <w:sz w:val="20"/>
              </w:rPr>
            </w:pPr>
            <w:r>
              <w:rPr>
                <w:rFonts w:cs="Arial"/>
                <w:sz w:val="20"/>
              </w:rPr>
              <w:t>September 2013</w:t>
            </w:r>
          </w:p>
        </w:tc>
        <w:tc>
          <w:tcPr>
            <w:tcW w:w="3060" w:type="dxa"/>
            <w:shd w:val="clear" w:color="auto" w:fill="FFFF99"/>
          </w:tcPr>
          <w:p w:rsidR="00723A7D" w:rsidRDefault="00723A7D" w:rsidP="00B162C5">
            <w:pPr>
              <w:jc w:val="left"/>
              <w:rPr>
                <w:rFonts w:cs="Arial"/>
                <w:sz w:val="20"/>
              </w:rPr>
            </w:pPr>
            <w:r>
              <w:rPr>
                <w:rFonts w:cs="Arial"/>
                <w:sz w:val="20"/>
              </w:rPr>
              <w:t>Either the 3</w:t>
            </w:r>
            <w:r w:rsidRPr="004729EC">
              <w:rPr>
                <w:rFonts w:cs="Arial"/>
                <w:sz w:val="20"/>
                <w:vertAlign w:val="superscript"/>
              </w:rPr>
              <w:t>rd</w:t>
            </w:r>
            <w:r>
              <w:rPr>
                <w:rFonts w:cs="Arial"/>
                <w:sz w:val="20"/>
              </w:rPr>
              <w:t xml:space="preserve"> or the 5</w:t>
            </w:r>
            <w:r w:rsidRPr="004729EC">
              <w:rPr>
                <w:rFonts w:cs="Arial"/>
                <w:sz w:val="20"/>
                <w:vertAlign w:val="superscript"/>
              </w:rPr>
              <w:t>th</w:t>
            </w:r>
            <w:r>
              <w:rPr>
                <w:rFonts w:cs="Arial"/>
                <w:sz w:val="20"/>
              </w:rPr>
              <w:t xml:space="preserve"> September. </w:t>
            </w:r>
            <w:proofErr w:type="spellStart"/>
            <w:r>
              <w:rPr>
                <w:rFonts w:cs="Arial"/>
                <w:sz w:val="20"/>
              </w:rPr>
              <w:t>TBC</w:t>
            </w:r>
            <w:proofErr w:type="spellEnd"/>
            <w:r>
              <w:rPr>
                <w:rFonts w:cs="Arial"/>
                <w:sz w:val="20"/>
              </w:rPr>
              <w:t>.</w:t>
            </w:r>
          </w:p>
        </w:tc>
        <w:tc>
          <w:tcPr>
            <w:tcW w:w="1800" w:type="dxa"/>
            <w:shd w:val="clear" w:color="auto" w:fill="00FF00"/>
          </w:tcPr>
          <w:p w:rsidR="00723A7D" w:rsidRPr="00AE082E" w:rsidRDefault="00723A7D" w:rsidP="006E140F">
            <w:pPr>
              <w:jc w:val="center"/>
              <w:rPr>
                <w:rFonts w:cs="Arial"/>
                <w:b/>
                <w:sz w:val="20"/>
              </w:rPr>
            </w:pPr>
            <w:r w:rsidRPr="00AE082E">
              <w:rPr>
                <w:rFonts w:cs="Arial"/>
                <w:b/>
                <w:sz w:val="20"/>
              </w:rPr>
              <w:t>Green</w:t>
            </w:r>
          </w:p>
        </w:tc>
      </w:tr>
      <w:tr w:rsidR="00723A7D"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2B40D0">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Interim Report</w:t>
            </w:r>
            <w:r>
              <w:rPr>
                <w:rFonts w:cs="Arial"/>
                <w:sz w:val="20"/>
                <w:lang w:eastAsia="en-GB"/>
              </w:rPr>
              <w:t>: Analysis 2</w:t>
            </w:r>
          </w:p>
        </w:tc>
        <w:tc>
          <w:tcPr>
            <w:tcW w:w="1980" w:type="dxa"/>
            <w:shd w:val="clear" w:color="auto" w:fill="FFFF99"/>
          </w:tcPr>
          <w:p w:rsidR="00723A7D" w:rsidRDefault="00723A7D" w:rsidP="002B40D0">
            <w:pPr>
              <w:jc w:val="left"/>
              <w:rPr>
                <w:rFonts w:cs="Arial"/>
                <w:sz w:val="20"/>
              </w:rPr>
            </w:pPr>
            <w:r>
              <w:rPr>
                <w:rFonts w:cs="Arial"/>
                <w:sz w:val="20"/>
              </w:rPr>
              <w:t>September 2013</w:t>
            </w:r>
          </w:p>
        </w:tc>
        <w:tc>
          <w:tcPr>
            <w:tcW w:w="3060" w:type="dxa"/>
            <w:shd w:val="clear" w:color="auto" w:fill="FFFF99"/>
          </w:tcPr>
          <w:p w:rsidR="00723A7D" w:rsidRDefault="00723A7D" w:rsidP="002B40D0">
            <w:pPr>
              <w:jc w:val="left"/>
              <w:rPr>
                <w:rFonts w:cs="Arial"/>
                <w:sz w:val="20"/>
              </w:rPr>
            </w:pPr>
            <w:r>
              <w:rPr>
                <w:rFonts w:cs="Arial"/>
                <w:sz w:val="20"/>
              </w:rPr>
              <w:t>More detailed update on Analysis 1 report (Aggregate Comparisons – presented at Project Board in May)</w:t>
            </w:r>
          </w:p>
        </w:tc>
        <w:tc>
          <w:tcPr>
            <w:tcW w:w="1800" w:type="dxa"/>
            <w:shd w:val="clear" w:color="auto" w:fill="00FF00"/>
          </w:tcPr>
          <w:p w:rsidR="00723A7D" w:rsidRDefault="00723A7D" w:rsidP="006E140F">
            <w:pPr>
              <w:jc w:val="center"/>
            </w:pPr>
            <w:r w:rsidRPr="00AE082E">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41636A" w:rsidRDefault="00723A7D" w:rsidP="004D022E">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41636A">
              <w:rPr>
                <w:rFonts w:cs="Arial"/>
                <w:sz w:val="20"/>
                <w:lang w:eastAsia="en-GB"/>
              </w:rPr>
              <w:t>P</w:t>
            </w:r>
            <w:r>
              <w:rPr>
                <w:rFonts w:cs="Arial"/>
                <w:sz w:val="20"/>
                <w:lang w:eastAsia="en-GB"/>
              </w:rPr>
              <w:t xml:space="preserve">rivacy </w:t>
            </w:r>
            <w:r w:rsidRPr="0041636A">
              <w:rPr>
                <w:rFonts w:cs="Arial"/>
                <w:sz w:val="20"/>
                <w:lang w:eastAsia="en-GB"/>
              </w:rPr>
              <w:t>I</w:t>
            </w:r>
            <w:r>
              <w:rPr>
                <w:rFonts w:cs="Arial"/>
                <w:sz w:val="20"/>
                <w:lang w:eastAsia="en-GB"/>
              </w:rPr>
              <w:t xml:space="preserve">mpact </w:t>
            </w:r>
            <w:r w:rsidRPr="0041636A">
              <w:rPr>
                <w:rFonts w:cs="Arial"/>
                <w:sz w:val="20"/>
                <w:lang w:eastAsia="en-GB"/>
              </w:rPr>
              <w:t>A</w:t>
            </w:r>
            <w:r>
              <w:rPr>
                <w:rFonts w:cs="Arial"/>
                <w:sz w:val="20"/>
                <w:lang w:eastAsia="en-GB"/>
              </w:rPr>
              <w:t>ssessment</w:t>
            </w:r>
          </w:p>
        </w:tc>
        <w:tc>
          <w:tcPr>
            <w:tcW w:w="1980" w:type="dxa"/>
            <w:shd w:val="clear" w:color="auto" w:fill="FFFF99"/>
          </w:tcPr>
          <w:p w:rsidR="00723A7D" w:rsidRDefault="00723A7D" w:rsidP="004D022E">
            <w:pPr>
              <w:jc w:val="left"/>
              <w:rPr>
                <w:rFonts w:cs="Arial"/>
                <w:sz w:val="20"/>
              </w:rPr>
            </w:pPr>
            <w:r>
              <w:rPr>
                <w:rFonts w:cs="Arial"/>
                <w:sz w:val="20"/>
              </w:rPr>
              <w:t>Autumn 2013</w:t>
            </w:r>
          </w:p>
        </w:tc>
        <w:tc>
          <w:tcPr>
            <w:tcW w:w="3060" w:type="dxa"/>
            <w:shd w:val="clear" w:color="auto" w:fill="FFFF99"/>
          </w:tcPr>
          <w:p w:rsidR="00723A7D" w:rsidRDefault="00723A7D" w:rsidP="004D022E">
            <w:pPr>
              <w:jc w:val="left"/>
              <w:rPr>
                <w:rFonts w:cs="Arial"/>
                <w:sz w:val="20"/>
              </w:rPr>
            </w:pPr>
            <w:r>
              <w:rPr>
                <w:rFonts w:cs="Arial"/>
                <w:sz w:val="20"/>
              </w:rPr>
              <w:t xml:space="preserve">This will follow on from the Beyond 2011 </w:t>
            </w:r>
            <w:proofErr w:type="spellStart"/>
            <w:r>
              <w:rPr>
                <w:rFonts w:cs="Arial"/>
                <w:sz w:val="20"/>
              </w:rPr>
              <w:t>PIA</w:t>
            </w:r>
            <w:proofErr w:type="spellEnd"/>
            <w:r>
              <w:rPr>
                <w:rFonts w:cs="Arial"/>
                <w:sz w:val="20"/>
              </w:rPr>
              <w:t xml:space="preserve"> which will be written in two documents – one general descriptive document and one specific Privacy document.</w:t>
            </w:r>
          </w:p>
        </w:tc>
        <w:tc>
          <w:tcPr>
            <w:tcW w:w="1800" w:type="dxa"/>
            <w:shd w:val="clear" w:color="auto" w:fill="00FF00"/>
          </w:tcPr>
          <w:p w:rsidR="00723A7D" w:rsidRPr="00AE082E" w:rsidRDefault="00723A7D" w:rsidP="006E140F">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075DE0">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 xml:space="preserve">Re-based </w:t>
            </w:r>
            <w:proofErr w:type="spellStart"/>
            <w:r>
              <w:rPr>
                <w:rFonts w:cs="Arial"/>
                <w:sz w:val="20"/>
                <w:lang w:eastAsia="en-GB"/>
              </w:rPr>
              <w:t>MYEs</w:t>
            </w:r>
            <w:proofErr w:type="spellEnd"/>
            <w:r>
              <w:rPr>
                <w:rFonts w:cs="Arial"/>
                <w:sz w:val="20"/>
                <w:lang w:eastAsia="en-GB"/>
              </w:rPr>
              <w:t xml:space="preserve"> for 2002 to 2010</w:t>
            </w:r>
          </w:p>
        </w:tc>
        <w:tc>
          <w:tcPr>
            <w:tcW w:w="1980" w:type="dxa"/>
            <w:shd w:val="clear" w:color="auto" w:fill="FFFF99"/>
          </w:tcPr>
          <w:p w:rsidR="00723A7D" w:rsidRDefault="00723A7D" w:rsidP="00075DE0">
            <w:pPr>
              <w:jc w:val="left"/>
              <w:rPr>
                <w:rFonts w:cs="Arial"/>
                <w:sz w:val="20"/>
              </w:rPr>
            </w:pPr>
            <w:r>
              <w:rPr>
                <w:rFonts w:cs="Arial"/>
                <w:sz w:val="20"/>
              </w:rPr>
              <w:t>November 2013</w:t>
            </w:r>
          </w:p>
        </w:tc>
        <w:tc>
          <w:tcPr>
            <w:tcW w:w="3060" w:type="dxa"/>
            <w:shd w:val="clear" w:color="auto" w:fill="FFFF99"/>
          </w:tcPr>
          <w:p w:rsidR="00723A7D" w:rsidRDefault="00723A7D" w:rsidP="008224F9">
            <w:pPr>
              <w:jc w:val="left"/>
              <w:rPr>
                <w:rFonts w:cs="Arial"/>
                <w:sz w:val="20"/>
              </w:rPr>
            </w:pPr>
          </w:p>
        </w:tc>
        <w:tc>
          <w:tcPr>
            <w:tcW w:w="1800" w:type="dxa"/>
            <w:shd w:val="clear" w:color="auto" w:fill="00FF00"/>
          </w:tcPr>
          <w:p w:rsidR="00723A7D" w:rsidRPr="00AE082E" w:rsidRDefault="00723A7D" w:rsidP="006E140F">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CF3766">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 xml:space="preserve">Report on possible / </w:t>
            </w:r>
            <w:r w:rsidRPr="00907D25">
              <w:rPr>
                <w:rFonts w:cs="Arial"/>
                <w:sz w:val="20"/>
                <w:lang w:eastAsia="en-GB"/>
              </w:rPr>
              <w:t>suitable data sources</w:t>
            </w:r>
          </w:p>
        </w:tc>
        <w:tc>
          <w:tcPr>
            <w:tcW w:w="1980" w:type="dxa"/>
            <w:shd w:val="clear" w:color="auto" w:fill="FFFF99"/>
          </w:tcPr>
          <w:p w:rsidR="00723A7D" w:rsidRDefault="00723A7D" w:rsidP="00CF3766">
            <w:pPr>
              <w:jc w:val="left"/>
              <w:rPr>
                <w:rFonts w:cs="Arial"/>
                <w:sz w:val="20"/>
              </w:rPr>
            </w:pPr>
            <w:r>
              <w:rPr>
                <w:rFonts w:cs="Arial"/>
                <w:sz w:val="20"/>
              </w:rPr>
              <w:t>December 2013</w:t>
            </w:r>
          </w:p>
        </w:tc>
        <w:tc>
          <w:tcPr>
            <w:tcW w:w="3060" w:type="dxa"/>
            <w:shd w:val="clear" w:color="auto" w:fill="FFFF99"/>
          </w:tcPr>
          <w:p w:rsidR="00723A7D" w:rsidRDefault="00723A7D" w:rsidP="00CF3766">
            <w:pPr>
              <w:jc w:val="left"/>
              <w:rPr>
                <w:rFonts w:cs="Arial"/>
                <w:sz w:val="20"/>
              </w:rPr>
            </w:pPr>
            <w:proofErr w:type="spellStart"/>
            <w:r>
              <w:rPr>
                <w:rFonts w:cs="Arial"/>
                <w:sz w:val="20"/>
              </w:rPr>
              <w:t>Ongoing</w:t>
            </w:r>
            <w:proofErr w:type="spellEnd"/>
            <w:r>
              <w:rPr>
                <w:rFonts w:cs="Arial"/>
                <w:sz w:val="20"/>
              </w:rPr>
              <w:t xml:space="preserve"> development of drafts</w:t>
            </w:r>
          </w:p>
        </w:tc>
        <w:tc>
          <w:tcPr>
            <w:tcW w:w="1800" w:type="dxa"/>
            <w:shd w:val="clear" w:color="auto" w:fill="00FF00"/>
          </w:tcPr>
          <w:p w:rsidR="00723A7D" w:rsidRPr="00AE082E" w:rsidRDefault="00723A7D" w:rsidP="006E140F">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211E3B">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 xml:space="preserve">Report on </w:t>
            </w:r>
            <w:r w:rsidRPr="00907D25">
              <w:rPr>
                <w:rFonts w:cs="Arial"/>
                <w:sz w:val="20"/>
                <w:lang w:eastAsia="en-GB"/>
              </w:rPr>
              <w:t>Record level linkage work</w:t>
            </w:r>
          </w:p>
        </w:tc>
        <w:tc>
          <w:tcPr>
            <w:tcW w:w="1980" w:type="dxa"/>
            <w:shd w:val="clear" w:color="auto" w:fill="FFFF99"/>
          </w:tcPr>
          <w:p w:rsidR="00723A7D" w:rsidRDefault="00723A7D" w:rsidP="00211E3B">
            <w:pPr>
              <w:jc w:val="left"/>
              <w:rPr>
                <w:rFonts w:cs="Arial"/>
                <w:sz w:val="20"/>
              </w:rPr>
            </w:pPr>
            <w:r>
              <w:rPr>
                <w:rFonts w:cs="Arial"/>
                <w:sz w:val="20"/>
              </w:rPr>
              <w:t>December 2013</w:t>
            </w:r>
          </w:p>
        </w:tc>
        <w:tc>
          <w:tcPr>
            <w:tcW w:w="3060" w:type="dxa"/>
            <w:shd w:val="clear" w:color="auto" w:fill="FFFF99"/>
          </w:tcPr>
          <w:p w:rsidR="00723A7D" w:rsidRDefault="00723A7D" w:rsidP="00211E3B">
            <w:pPr>
              <w:jc w:val="left"/>
              <w:rPr>
                <w:rFonts w:cs="Arial"/>
                <w:sz w:val="20"/>
              </w:rPr>
            </w:pPr>
            <w:proofErr w:type="spellStart"/>
            <w:r>
              <w:rPr>
                <w:rFonts w:cs="Arial"/>
                <w:sz w:val="20"/>
              </w:rPr>
              <w:t>Ongoing</w:t>
            </w:r>
            <w:proofErr w:type="spellEnd"/>
            <w:r>
              <w:rPr>
                <w:rFonts w:cs="Arial"/>
                <w:sz w:val="20"/>
              </w:rPr>
              <w:t xml:space="preserve"> development of drafts</w:t>
            </w:r>
          </w:p>
        </w:tc>
        <w:tc>
          <w:tcPr>
            <w:tcW w:w="1800" w:type="dxa"/>
            <w:shd w:val="clear" w:color="auto" w:fill="00FF00"/>
          </w:tcPr>
          <w:p w:rsidR="00723A7D" w:rsidRPr="00AE082E" w:rsidRDefault="00723A7D" w:rsidP="006E140F">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4A6C0D">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Inventory report of data sets contributing to project objectives</w:t>
            </w:r>
          </w:p>
        </w:tc>
        <w:tc>
          <w:tcPr>
            <w:tcW w:w="1980" w:type="dxa"/>
            <w:shd w:val="clear" w:color="auto" w:fill="FFFF99"/>
          </w:tcPr>
          <w:p w:rsidR="00723A7D" w:rsidRDefault="00723A7D" w:rsidP="004A6C0D">
            <w:pPr>
              <w:jc w:val="left"/>
              <w:rPr>
                <w:rFonts w:cs="Arial"/>
                <w:sz w:val="20"/>
              </w:rPr>
            </w:pPr>
            <w:r>
              <w:rPr>
                <w:rFonts w:cs="Arial"/>
                <w:sz w:val="20"/>
              </w:rPr>
              <w:t>December 2013</w:t>
            </w:r>
          </w:p>
        </w:tc>
        <w:tc>
          <w:tcPr>
            <w:tcW w:w="3060" w:type="dxa"/>
            <w:shd w:val="clear" w:color="auto" w:fill="FFFF99"/>
          </w:tcPr>
          <w:p w:rsidR="00723A7D" w:rsidRDefault="00723A7D" w:rsidP="004A6C0D">
            <w:pPr>
              <w:jc w:val="left"/>
              <w:rPr>
                <w:rFonts w:cs="Arial"/>
                <w:sz w:val="20"/>
              </w:rPr>
            </w:pPr>
            <w:proofErr w:type="spellStart"/>
            <w:r>
              <w:rPr>
                <w:rFonts w:cs="Arial"/>
                <w:sz w:val="20"/>
              </w:rPr>
              <w:t>Ongoing</w:t>
            </w:r>
            <w:proofErr w:type="spellEnd"/>
            <w:r>
              <w:rPr>
                <w:rFonts w:cs="Arial"/>
                <w:sz w:val="20"/>
              </w:rPr>
              <w:t xml:space="preserve"> development of drafts</w:t>
            </w:r>
          </w:p>
        </w:tc>
        <w:tc>
          <w:tcPr>
            <w:tcW w:w="1800" w:type="dxa"/>
            <w:shd w:val="clear" w:color="auto" w:fill="00FF00"/>
          </w:tcPr>
          <w:p w:rsidR="00723A7D" w:rsidRPr="00AE082E" w:rsidRDefault="00723A7D" w:rsidP="006E140F">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58042D">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Phase 1 report to TAGRA</w:t>
            </w:r>
          </w:p>
        </w:tc>
        <w:tc>
          <w:tcPr>
            <w:tcW w:w="1980" w:type="dxa"/>
            <w:shd w:val="clear" w:color="auto" w:fill="FFFF99"/>
          </w:tcPr>
          <w:p w:rsidR="00723A7D" w:rsidRDefault="00723A7D" w:rsidP="0058042D">
            <w:pPr>
              <w:jc w:val="left"/>
              <w:rPr>
                <w:rFonts w:cs="Arial"/>
                <w:sz w:val="20"/>
              </w:rPr>
            </w:pPr>
            <w:r>
              <w:rPr>
                <w:rFonts w:cs="Arial"/>
                <w:sz w:val="20"/>
              </w:rPr>
              <w:t>December 2013</w:t>
            </w:r>
          </w:p>
        </w:tc>
        <w:tc>
          <w:tcPr>
            <w:tcW w:w="3060" w:type="dxa"/>
            <w:shd w:val="clear" w:color="auto" w:fill="FFFF99"/>
          </w:tcPr>
          <w:p w:rsidR="00723A7D" w:rsidRDefault="00723A7D" w:rsidP="0058042D">
            <w:pPr>
              <w:jc w:val="left"/>
              <w:rPr>
                <w:rFonts w:cs="Arial"/>
                <w:sz w:val="20"/>
              </w:rPr>
            </w:pPr>
          </w:p>
        </w:tc>
        <w:tc>
          <w:tcPr>
            <w:tcW w:w="1800" w:type="dxa"/>
            <w:shd w:val="clear" w:color="auto" w:fill="00FF00"/>
          </w:tcPr>
          <w:p w:rsidR="00723A7D" w:rsidRPr="00AE082E" w:rsidRDefault="00723A7D" w:rsidP="0058042D">
            <w:pPr>
              <w:jc w:val="center"/>
              <w:rPr>
                <w:rFonts w:cs="Arial"/>
                <w:b/>
                <w:sz w:val="20"/>
              </w:rPr>
            </w:pPr>
            <w:r>
              <w:rPr>
                <w:rFonts w:cs="Arial"/>
                <w:b/>
                <w:sz w:val="20"/>
              </w:rPr>
              <w:t>Green</w:t>
            </w:r>
          </w:p>
        </w:tc>
      </w:tr>
      <w:tr w:rsidR="00723A7D" w:rsidRPr="00AE082E" w:rsidTr="0069153C">
        <w:tc>
          <w:tcPr>
            <w:tcW w:w="540" w:type="dxa"/>
            <w:shd w:val="clear" w:color="auto" w:fill="FFFF99"/>
          </w:tcPr>
          <w:p w:rsidR="00723A7D" w:rsidRPr="00B96FA8" w:rsidRDefault="00723A7D" w:rsidP="006E140F">
            <w:pPr>
              <w:jc w:val="left"/>
              <w:rPr>
                <w:rFonts w:cs="Arial"/>
                <w:sz w:val="20"/>
              </w:rPr>
            </w:pPr>
          </w:p>
        </w:tc>
        <w:tc>
          <w:tcPr>
            <w:tcW w:w="2700" w:type="dxa"/>
            <w:shd w:val="clear" w:color="auto" w:fill="FFFF99"/>
            <w:vAlign w:val="center"/>
          </w:tcPr>
          <w:p w:rsidR="00723A7D" w:rsidRPr="00907D25" w:rsidRDefault="00723A7D" w:rsidP="0058042D">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Phase 2 report</w:t>
            </w:r>
          </w:p>
        </w:tc>
        <w:tc>
          <w:tcPr>
            <w:tcW w:w="1980" w:type="dxa"/>
            <w:shd w:val="clear" w:color="auto" w:fill="FFFF99"/>
          </w:tcPr>
          <w:p w:rsidR="00723A7D" w:rsidRDefault="00723A7D" w:rsidP="0058042D">
            <w:pPr>
              <w:jc w:val="left"/>
              <w:rPr>
                <w:rFonts w:cs="Arial"/>
                <w:sz w:val="20"/>
              </w:rPr>
            </w:pPr>
            <w:r>
              <w:rPr>
                <w:rFonts w:cs="Arial"/>
                <w:sz w:val="20"/>
              </w:rPr>
              <w:t>March 2014</w:t>
            </w:r>
          </w:p>
        </w:tc>
        <w:tc>
          <w:tcPr>
            <w:tcW w:w="3060" w:type="dxa"/>
            <w:shd w:val="clear" w:color="auto" w:fill="FFFF99"/>
          </w:tcPr>
          <w:p w:rsidR="00723A7D" w:rsidRDefault="00723A7D" w:rsidP="0058042D">
            <w:pPr>
              <w:jc w:val="left"/>
              <w:rPr>
                <w:rFonts w:cs="Arial"/>
                <w:sz w:val="20"/>
              </w:rPr>
            </w:pPr>
          </w:p>
        </w:tc>
        <w:tc>
          <w:tcPr>
            <w:tcW w:w="1800" w:type="dxa"/>
            <w:shd w:val="clear" w:color="auto" w:fill="00FF00"/>
          </w:tcPr>
          <w:p w:rsidR="00723A7D" w:rsidRDefault="00723A7D" w:rsidP="0058042D">
            <w:pPr>
              <w:jc w:val="center"/>
              <w:rPr>
                <w:rFonts w:cs="Arial"/>
                <w:b/>
                <w:sz w:val="20"/>
              </w:rPr>
            </w:pPr>
            <w:r>
              <w:rPr>
                <w:rFonts w:cs="Arial"/>
                <w:b/>
                <w:sz w:val="20"/>
              </w:rPr>
              <w:t>Green</w:t>
            </w:r>
          </w:p>
        </w:tc>
      </w:tr>
    </w:tbl>
    <w:p w:rsidR="00723A7D" w:rsidRPr="00234A51" w:rsidRDefault="00723A7D" w:rsidP="008A08C8">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723A7D" w:rsidRPr="00DA5D18" w:rsidRDefault="00723A7D" w:rsidP="00746747">
      <w:pPr>
        <w:pStyle w:val="Numberedparagraphs"/>
        <w:numPr>
          <w:ilvl w:val="0"/>
          <w:numId w:val="0"/>
        </w:numPr>
        <w:ind w:left="567" w:hanging="567"/>
        <w:rPr>
          <w:rFonts w:ascii="Arial" w:hAnsi="Arial"/>
          <w:b/>
        </w:rPr>
      </w:pPr>
      <w:r w:rsidRPr="00DA5D18">
        <w:rPr>
          <w:rFonts w:ascii="Arial" w:hAnsi="Arial"/>
          <w:b/>
        </w:rPr>
        <w:t>CONCLUSION</w:t>
      </w:r>
    </w:p>
    <w:p w:rsidR="00723A7D" w:rsidRDefault="00723A7D" w:rsidP="00746747">
      <w:pPr>
        <w:pStyle w:val="Numberedparagraphs"/>
        <w:numPr>
          <w:ilvl w:val="0"/>
          <w:numId w:val="0"/>
        </w:numPr>
        <w:rPr>
          <w:rFonts w:ascii="Arial" w:hAnsi="Arial"/>
        </w:rPr>
      </w:pPr>
      <w:r>
        <w:rPr>
          <w:rFonts w:ascii="Arial" w:hAnsi="Arial"/>
        </w:rPr>
        <w:t xml:space="preserve">TAGRA members are invited to note </w:t>
      </w:r>
      <w:r w:rsidRPr="00746747">
        <w:rPr>
          <w:rFonts w:ascii="Arial" w:hAnsi="Arial" w:cs="Arial"/>
        </w:rPr>
        <w:t>the progress update on the ‘Population estimates comparison project’</w:t>
      </w:r>
      <w:r>
        <w:rPr>
          <w:rFonts w:ascii="Arial" w:hAnsi="Arial"/>
        </w:rPr>
        <w:t>. A further update will be available for the next TAGRA meeting.</w:t>
      </w:r>
    </w:p>
    <w:p w:rsidR="00723A7D" w:rsidRDefault="00723A7D" w:rsidP="001E3EBB">
      <w:pPr>
        <w:pStyle w:val="NameofDocument"/>
        <w:rPr>
          <w:rFonts w:ascii="Arial" w:hAnsi="Arial"/>
          <w:sz w:val="24"/>
        </w:rPr>
      </w:pPr>
    </w:p>
    <w:p w:rsidR="00723A7D" w:rsidRPr="001E3EBB" w:rsidRDefault="00723A7D" w:rsidP="001E3EBB"/>
    <w:sectPr w:rsidR="00723A7D" w:rsidRPr="001E3EBB"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EC" w:rsidRDefault="004F57EC">
      <w:pPr>
        <w:spacing w:line="240" w:lineRule="auto"/>
      </w:pPr>
      <w:r>
        <w:separator/>
      </w:r>
    </w:p>
  </w:endnote>
  <w:endnote w:type="continuationSeparator" w:id="0">
    <w:p w:rsidR="004F57EC" w:rsidRDefault="004F5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C7" w:rsidRDefault="00CF7DC7">
    <w:pPr>
      <w:pStyle w:val="Footer"/>
      <w:jc w:val="right"/>
    </w:pPr>
    <w:r>
      <w:t xml:space="preserve">Page | </w:t>
    </w:r>
    <w:r>
      <w:fldChar w:fldCharType="begin"/>
    </w:r>
    <w:r>
      <w:instrText xml:space="preserve"> PAGE   \* MERGEFORMAT </w:instrText>
    </w:r>
    <w:r>
      <w:fldChar w:fldCharType="separate"/>
    </w:r>
    <w:r w:rsidR="008A7773">
      <w:rPr>
        <w:noProof/>
      </w:rPr>
      <w:t>1</w:t>
    </w:r>
    <w:r>
      <w:rPr>
        <w:noProof/>
      </w:rPr>
      <w:fldChar w:fldCharType="end"/>
    </w:r>
    <w:r>
      <w:t xml:space="preserve"> </w:t>
    </w:r>
  </w:p>
  <w:p w:rsidR="00723A7D" w:rsidRPr="0067486A" w:rsidRDefault="00723A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EC" w:rsidRDefault="004F57EC">
      <w:pPr>
        <w:spacing w:line="240" w:lineRule="auto"/>
      </w:pPr>
      <w:r>
        <w:separator/>
      </w:r>
    </w:p>
  </w:footnote>
  <w:footnote w:type="continuationSeparator" w:id="0">
    <w:p w:rsidR="004F57EC" w:rsidRDefault="004F57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7D" w:rsidRPr="004729EC" w:rsidRDefault="00723A7D" w:rsidP="0067486A">
    <w:pPr>
      <w:pStyle w:val="Header"/>
      <w:tabs>
        <w:tab w:val="clear" w:pos="4153"/>
        <w:tab w:val="clear" w:pos="8306"/>
        <w:tab w:val="center" w:pos="4500"/>
        <w:tab w:val="right" w:pos="9000"/>
      </w:tabs>
      <w:jc w:val="left"/>
      <w:rPr>
        <w:rFonts w:ascii="Times New Roman" w:hAnsi="Times New Roman"/>
        <w:i/>
      </w:rPr>
    </w:pPr>
    <w:r w:rsidRPr="001E3EBB">
      <w:rPr>
        <w:rFonts w:ascii="Times New Roman" w:hAnsi="Times New Roman"/>
        <w:i/>
      </w:rPr>
      <w:t xml:space="preserve">Fair Shares for Health in </w:t>
    </w:r>
    <w:smartTag w:uri="urn:schemas-microsoft-com:office:smarttags" w:element="country-region">
      <w:smartTag w:uri="urn:schemas-microsoft-com:office:smarttags" w:element="place">
        <w:r w:rsidRPr="001E3EBB">
          <w:rPr>
            <w:rFonts w:ascii="Times New Roman" w:hAnsi="Times New Roman"/>
            <w:i/>
          </w:rPr>
          <w:t>Scotland</w:t>
        </w:r>
      </w:smartTag>
    </w:smartTag>
    <w:r w:rsidRPr="001E3EBB">
      <w:rPr>
        <w:rFonts w:ascii="Times New Roman" w:hAnsi="Times New Roman"/>
      </w:rPr>
      <w:tab/>
    </w:r>
    <w:r w:rsidRPr="001E3EBB">
      <w:rPr>
        <w:rFonts w:ascii="Times New Roman" w:hAnsi="Times New Roman"/>
      </w:rPr>
      <w:tab/>
    </w:r>
    <w:r w:rsidR="008A7773">
      <w:rPr>
        <w:rFonts w:ascii="Times New Roman" w:hAnsi="Times New Roman"/>
        <w:i/>
      </w:rPr>
      <w:t>TAGRA(2013)14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A4314"/>
    <w:multiLevelType w:val="hybridMultilevel"/>
    <w:tmpl w:val="5398135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nsid w:val="03878AFD"/>
    <w:multiLevelType w:val="hybridMultilevel"/>
    <w:tmpl w:val="F204F0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C8A1A8"/>
    <w:multiLevelType w:val="hybridMultilevel"/>
    <w:tmpl w:val="59325E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8316076"/>
    <w:multiLevelType w:val="hybridMultilevel"/>
    <w:tmpl w:val="45FC5102"/>
    <w:lvl w:ilvl="0" w:tplc="08090001">
      <w:start w:val="1"/>
      <w:numFmt w:val="bullet"/>
      <w:lvlText w:val=""/>
      <w:lvlJc w:val="left"/>
      <w:pPr>
        <w:tabs>
          <w:tab w:val="num" w:pos="720"/>
        </w:tabs>
        <w:ind w:left="720" w:hanging="360"/>
      </w:pPr>
      <w:rPr>
        <w:rFonts w:ascii="Symbol" w:hAnsi="Symbol" w:hint="default"/>
      </w:rPr>
    </w:lvl>
    <w:lvl w:ilvl="1" w:tplc="0978A082">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C36218"/>
    <w:multiLevelType w:val="hybridMultilevel"/>
    <w:tmpl w:val="E976E9E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2B10CFB"/>
    <w:multiLevelType w:val="hybridMultilevel"/>
    <w:tmpl w:val="0756CC68"/>
    <w:lvl w:ilvl="0" w:tplc="FFFFFFFF">
      <w:start w:val="1"/>
      <w:numFmt w:val="decimal"/>
      <w:pStyle w:val="Numberedparagraphs"/>
      <w:lvlText w:val="%1."/>
      <w:lvlJc w:val="left"/>
      <w:pPr>
        <w:tabs>
          <w:tab w:val="num" w:pos="567"/>
        </w:tabs>
        <w:ind w:left="567" w:hanging="567"/>
      </w:pPr>
      <w:rPr>
        <w:rFonts w:cs="Times New Roman" w:hint="default"/>
      </w:rPr>
    </w:lvl>
    <w:lvl w:ilvl="1" w:tplc="FFFFFFFF">
      <w:start w:val="1"/>
      <w:numFmt w:val="bullet"/>
      <w:pStyle w:val="StyleLatinArialComplexArialComplex12ptLeft"/>
      <w:lvlText w:val=""/>
      <w:lvlJc w:val="left"/>
      <w:pPr>
        <w:tabs>
          <w:tab w:val="num" w:pos="142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8E64088"/>
    <w:multiLevelType w:val="hybridMultilevel"/>
    <w:tmpl w:val="AFC42D0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DDF10EF"/>
    <w:multiLevelType w:val="hybridMultilevel"/>
    <w:tmpl w:val="9B7EC8C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DE1150D"/>
    <w:multiLevelType w:val="hybridMultilevel"/>
    <w:tmpl w:val="5564CF2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E4D71B7"/>
    <w:multiLevelType w:val="hybridMultilevel"/>
    <w:tmpl w:val="7BCE2F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53373DF4"/>
    <w:multiLevelType w:val="hybridMultilevel"/>
    <w:tmpl w:val="100DBE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9316FB8"/>
    <w:multiLevelType w:val="hybridMultilevel"/>
    <w:tmpl w:val="987A0EB0"/>
    <w:lvl w:ilvl="0" w:tplc="F5B4BF9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3">
    <w:nsid w:val="5C1961BE"/>
    <w:multiLevelType w:val="hybridMultilevel"/>
    <w:tmpl w:val="75303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nsid w:val="7F4F592E"/>
    <w:multiLevelType w:val="hybridMultilevel"/>
    <w:tmpl w:val="E07C82A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1"/>
  </w:num>
  <w:num w:numId="3">
    <w:abstractNumId w:val="1"/>
  </w:num>
  <w:num w:numId="4">
    <w:abstractNumId w:val="1"/>
  </w:num>
  <w:num w:numId="5">
    <w:abstractNumId w:val="4"/>
  </w:num>
  <w:num w:numId="6">
    <w:abstractNumId w:val="12"/>
  </w:num>
  <w:num w:numId="7">
    <w:abstractNumId w:val="6"/>
  </w:num>
  <w:num w:numId="8">
    <w:abstractNumId w:val="0"/>
  </w:num>
  <w:num w:numId="9">
    <w:abstractNumId w:val="10"/>
  </w:num>
  <w:num w:numId="10">
    <w:abstractNumId w:val="9"/>
  </w:num>
  <w:num w:numId="11">
    <w:abstractNumId w:val="7"/>
  </w:num>
  <w:num w:numId="12">
    <w:abstractNumId w:val="11"/>
  </w:num>
  <w:num w:numId="13">
    <w:abstractNumId w:val="3"/>
  </w:num>
  <w:num w:numId="14">
    <w:abstractNumId w:val="2"/>
  </w:num>
  <w:num w:numId="15">
    <w:abstractNumId w:val="13"/>
  </w:num>
  <w:num w:numId="16">
    <w:abstractNumId w:val="8"/>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BB"/>
    <w:rsid w:val="00075DE0"/>
    <w:rsid w:val="000D761F"/>
    <w:rsid w:val="000F6C2D"/>
    <w:rsid w:val="00100021"/>
    <w:rsid w:val="001267F7"/>
    <w:rsid w:val="00157346"/>
    <w:rsid w:val="001809E0"/>
    <w:rsid w:val="00192DC7"/>
    <w:rsid w:val="001E3EBB"/>
    <w:rsid w:val="001E6A35"/>
    <w:rsid w:val="00211E3B"/>
    <w:rsid w:val="00234A51"/>
    <w:rsid w:val="00257630"/>
    <w:rsid w:val="002B40D0"/>
    <w:rsid w:val="002C5248"/>
    <w:rsid w:val="002F3688"/>
    <w:rsid w:val="00357DB4"/>
    <w:rsid w:val="003E2F5C"/>
    <w:rsid w:val="003F2479"/>
    <w:rsid w:val="00411FC4"/>
    <w:rsid w:val="0041636A"/>
    <w:rsid w:val="004171B8"/>
    <w:rsid w:val="004729EC"/>
    <w:rsid w:val="004A6C0D"/>
    <w:rsid w:val="004D022E"/>
    <w:rsid w:val="004F57EC"/>
    <w:rsid w:val="00570013"/>
    <w:rsid w:val="0058042D"/>
    <w:rsid w:val="005C43DB"/>
    <w:rsid w:val="006420C1"/>
    <w:rsid w:val="006720FF"/>
    <w:rsid w:val="0067486A"/>
    <w:rsid w:val="0069153C"/>
    <w:rsid w:val="00691B55"/>
    <w:rsid w:val="00694F7C"/>
    <w:rsid w:val="006B5F53"/>
    <w:rsid w:val="006D26F7"/>
    <w:rsid w:val="006E140F"/>
    <w:rsid w:val="00723A7D"/>
    <w:rsid w:val="00746747"/>
    <w:rsid w:val="007730DC"/>
    <w:rsid w:val="007E4FF1"/>
    <w:rsid w:val="008224F9"/>
    <w:rsid w:val="00823B73"/>
    <w:rsid w:val="008A08C8"/>
    <w:rsid w:val="008A7773"/>
    <w:rsid w:val="008B2E24"/>
    <w:rsid w:val="00907D25"/>
    <w:rsid w:val="00932443"/>
    <w:rsid w:val="00952710"/>
    <w:rsid w:val="00994DA8"/>
    <w:rsid w:val="009C033E"/>
    <w:rsid w:val="009F71B8"/>
    <w:rsid w:val="00A56EBA"/>
    <w:rsid w:val="00A90A53"/>
    <w:rsid w:val="00AB54FF"/>
    <w:rsid w:val="00AC310B"/>
    <w:rsid w:val="00AC6AD5"/>
    <w:rsid w:val="00AE01CB"/>
    <w:rsid w:val="00AE082E"/>
    <w:rsid w:val="00B05CDD"/>
    <w:rsid w:val="00B162C5"/>
    <w:rsid w:val="00B27A62"/>
    <w:rsid w:val="00B52B43"/>
    <w:rsid w:val="00B96FA8"/>
    <w:rsid w:val="00C1560E"/>
    <w:rsid w:val="00C620F4"/>
    <w:rsid w:val="00C65C05"/>
    <w:rsid w:val="00C86FBA"/>
    <w:rsid w:val="00C94630"/>
    <w:rsid w:val="00CA332E"/>
    <w:rsid w:val="00CB7495"/>
    <w:rsid w:val="00CF3766"/>
    <w:rsid w:val="00CF5AFE"/>
    <w:rsid w:val="00CF7DC7"/>
    <w:rsid w:val="00D326B5"/>
    <w:rsid w:val="00DA5D18"/>
    <w:rsid w:val="00E07142"/>
    <w:rsid w:val="00E3599D"/>
    <w:rsid w:val="00E36759"/>
    <w:rsid w:val="00E6266D"/>
    <w:rsid w:val="00E6673F"/>
    <w:rsid w:val="00F30633"/>
    <w:rsid w:val="00F67A25"/>
    <w:rsid w:val="00F753A4"/>
    <w:rsid w:val="00FE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3E2F5C"/>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link w:val="Heading2"/>
    <w:uiPriority w:val="99"/>
    <w:semiHidden/>
    <w:locked/>
    <w:rsid w:val="003E2F5C"/>
    <w:rPr>
      <w:rFonts w:ascii="Cambria" w:hAnsi="Cambria" w:cs="Times New Roman"/>
      <w:b/>
      <w:bCs/>
      <w:i/>
      <w:iCs/>
      <w:sz w:val="28"/>
      <w:szCs w:val="28"/>
      <w:lang w:eastAsia="en-US"/>
    </w:rPr>
  </w:style>
  <w:style w:type="character" w:customStyle="1" w:styleId="Heading3Char">
    <w:name w:val="Heading 3 Char"/>
    <w:aliases w:val="Outline3 Char"/>
    <w:basedOn w:val="DefaultParagraphFont"/>
    <w:link w:val="Heading3"/>
    <w:uiPriority w:val="99"/>
    <w:semiHidden/>
    <w:locked/>
    <w:rsid w:val="003E2F5C"/>
    <w:rPr>
      <w:rFonts w:ascii="Cambria" w:hAnsi="Cambria" w:cs="Times New Roman"/>
      <w:b/>
      <w:bCs/>
      <w:sz w:val="26"/>
      <w:szCs w:val="26"/>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locked/>
    <w:rsid w:val="001E3EBB"/>
    <w:rPr>
      <w:rFonts w:cs="Times New Roman"/>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locked/>
    <w:rsid w:val="003E2F5C"/>
    <w:rPr>
      <w:rFonts w:cs="Times New Roman"/>
      <w:sz w:val="20"/>
      <w:szCs w:val="20"/>
      <w:lang w:eastAsia="en-US"/>
    </w:rPr>
  </w:style>
  <w:style w:type="paragraph" w:styleId="BalloonText">
    <w:name w:val="Balloon Text"/>
    <w:basedOn w:val="Normal"/>
    <w:link w:val="BalloonTextChar"/>
    <w:uiPriority w:val="99"/>
    <w:semiHidden/>
    <w:rsid w:val="001E3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EBB"/>
    <w:rPr>
      <w:rFonts w:ascii="Tahoma" w:hAnsi="Tahoma" w:cs="Tahoma"/>
      <w:sz w:val="16"/>
      <w:szCs w:val="16"/>
      <w:lang w:eastAsia="en-US"/>
    </w:rPr>
  </w:style>
  <w:style w:type="paragraph" w:customStyle="1" w:styleId="NameofDocument">
    <w:name w:val="Name of Document"/>
    <w:uiPriority w:val="99"/>
    <w:rsid w:val="001E3EBB"/>
    <w:pPr>
      <w:spacing w:after="480"/>
    </w:pPr>
    <w:rPr>
      <w:rFonts w:ascii="Times New Roman" w:hAnsi="Times New Roman" w:cs="Arial"/>
      <w:b/>
      <w:bCs/>
      <w:caps/>
      <w:kern w:val="32"/>
      <w:sz w:val="32"/>
      <w:szCs w:val="32"/>
    </w:rPr>
  </w:style>
  <w:style w:type="paragraph" w:customStyle="1" w:styleId="TAGRAPAPERNUMBER">
    <w:name w:val="TAGRA PAPER NUMBER"/>
    <w:basedOn w:val="Normal"/>
    <w:uiPriority w:val="99"/>
    <w:rsid w:val="001E3EBB"/>
    <w:p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lang w:eastAsia="en-GB"/>
    </w:rPr>
  </w:style>
  <w:style w:type="paragraph" w:customStyle="1" w:styleId="Numberedparagraphs">
    <w:name w:val="Numbered paragraphs"/>
    <w:basedOn w:val="Normal"/>
    <w:uiPriority w:val="99"/>
    <w:rsid w:val="00746747"/>
    <w:pPr>
      <w:numPr>
        <w:numId w:val="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StyleLatinArialComplexArialComplex12ptLeft">
    <w:name w:val="Style (Latin) Arial (Complex) Arial (Complex) 12 pt Left"/>
    <w:basedOn w:val="Normal"/>
    <w:uiPriority w:val="99"/>
    <w:rsid w:val="00746747"/>
    <w:pPr>
      <w:numPr>
        <w:ilvl w:val="1"/>
        <w:numId w:val="7"/>
      </w:numPr>
      <w:tabs>
        <w:tab w:val="clear" w:pos="72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Default">
    <w:name w:val="Default"/>
    <w:uiPriority w:val="99"/>
    <w:rsid w:val="00FE2768"/>
    <w:pPr>
      <w:autoSpaceDE w:val="0"/>
      <w:autoSpaceDN w:val="0"/>
      <w:adjustRightInd w:val="0"/>
    </w:pPr>
    <w:rPr>
      <w:rFonts w:cs="Arial"/>
      <w:color w:val="000000"/>
      <w:sz w:val="24"/>
      <w:szCs w:val="24"/>
    </w:rPr>
  </w:style>
  <w:style w:type="character" w:styleId="Strong">
    <w:name w:val="Strong"/>
    <w:basedOn w:val="DefaultParagraphFont"/>
    <w:uiPriority w:val="99"/>
    <w:qFormat/>
    <w:locked/>
    <w:rsid w:val="00357DB4"/>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3E2F5C"/>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link w:val="Heading2"/>
    <w:uiPriority w:val="99"/>
    <w:semiHidden/>
    <w:locked/>
    <w:rsid w:val="003E2F5C"/>
    <w:rPr>
      <w:rFonts w:ascii="Cambria" w:hAnsi="Cambria" w:cs="Times New Roman"/>
      <w:b/>
      <w:bCs/>
      <w:i/>
      <w:iCs/>
      <w:sz w:val="28"/>
      <w:szCs w:val="28"/>
      <w:lang w:eastAsia="en-US"/>
    </w:rPr>
  </w:style>
  <w:style w:type="character" w:customStyle="1" w:styleId="Heading3Char">
    <w:name w:val="Heading 3 Char"/>
    <w:aliases w:val="Outline3 Char"/>
    <w:basedOn w:val="DefaultParagraphFont"/>
    <w:link w:val="Heading3"/>
    <w:uiPriority w:val="99"/>
    <w:semiHidden/>
    <w:locked/>
    <w:rsid w:val="003E2F5C"/>
    <w:rPr>
      <w:rFonts w:ascii="Cambria" w:hAnsi="Cambria" w:cs="Times New Roman"/>
      <w:b/>
      <w:bCs/>
      <w:sz w:val="26"/>
      <w:szCs w:val="26"/>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locked/>
    <w:rsid w:val="001E3EBB"/>
    <w:rPr>
      <w:rFonts w:cs="Times New Roman"/>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locked/>
    <w:rsid w:val="003E2F5C"/>
    <w:rPr>
      <w:rFonts w:cs="Times New Roman"/>
      <w:sz w:val="20"/>
      <w:szCs w:val="20"/>
      <w:lang w:eastAsia="en-US"/>
    </w:rPr>
  </w:style>
  <w:style w:type="paragraph" w:styleId="BalloonText">
    <w:name w:val="Balloon Text"/>
    <w:basedOn w:val="Normal"/>
    <w:link w:val="BalloonTextChar"/>
    <w:uiPriority w:val="99"/>
    <w:semiHidden/>
    <w:rsid w:val="001E3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EBB"/>
    <w:rPr>
      <w:rFonts w:ascii="Tahoma" w:hAnsi="Tahoma" w:cs="Tahoma"/>
      <w:sz w:val="16"/>
      <w:szCs w:val="16"/>
      <w:lang w:eastAsia="en-US"/>
    </w:rPr>
  </w:style>
  <w:style w:type="paragraph" w:customStyle="1" w:styleId="NameofDocument">
    <w:name w:val="Name of Document"/>
    <w:uiPriority w:val="99"/>
    <w:rsid w:val="001E3EBB"/>
    <w:pPr>
      <w:spacing w:after="480"/>
    </w:pPr>
    <w:rPr>
      <w:rFonts w:ascii="Times New Roman" w:hAnsi="Times New Roman" w:cs="Arial"/>
      <w:b/>
      <w:bCs/>
      <w:caps/>
      <w:kern w:val="32"/>
      <w:sz w:val="32"/>
      <w:szCs w:val="32"/>
    </w:rPr>
  </w:style>
  <w:style w:type="paragraph" w:customStyle="1" w:styleId="TAGRAPAPERNUMBER">
    <w:name w:val="TAGRA PAPER NUMBER"/>
    <w:basedOn w:val="Normal"/>
    <w:uiPriority w:val="99"/>
    <w:rsid w:val="001E3EBB"/>
    <w:p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lang w:eastAsia="en-GB"/>
    </w:rPr>
  </w:style>
  <w:style w:type="paragraph" w:customStyle="1" w:styleId="Numberedparagraphs">
    <w:name w:val="Numbered paragraphs"/>
    <w:basedOn w:val="Normal"/>
    <w:uiPriority w:val="99"/>
    <w:rsid w:val="00746747"/>
    <w:pPr>
      <w:numPr>
        <w:numId w:val="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StyleLatinArialComplexArialComplex12ptLeft">
    <w:name w:val="Style (Latin) Arial (Complex) Arial (Complex) 12 pt Left"/>
    <w:basedOn w:val="Normal"/>
    <w:uiPriority w:val="99"/>
    <w:rsid w:val="00746747"/>
    <w:pPr>
      <w:numPr>
        <w:ilvl w:val="1"/>
        <w:numId w:val="7"/>
      </w:numPr>
      <w:tabs>
        <w:tab w:val="clear" w:pos="72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Default">
    <w:name w:val="Default"/>
    <w:uiPriority w:val="99"/>
    <w:rsid w:val="00FE2768"/>
    <w:pPr>
      <w:autoSpaceDE w:val="0"/>
      <w:autoSpaceDN w:val="0"/>
      <w:adjustRightInd w:val="0"/>
    </w:pPr>
    <w:rPr>
      <w:rFonts w:cs="Arial"/>
      <w:color w:val="000000"/>
      <w:sz w:val="24"/>
      <w:szCs w:val="24"/>
    </w:rPr>
  </w:style>
  <w:style w:type="character" w:styleId="Strong">
    <w:name w:val="Strong"/>
    <w:basedOn w:val="DefaultParagraphFont"/>
    <w:uiPriority w:val="99"/>
    <w:qFormat/>
    <w:locked/>
    <w:rsid w:val="00357DB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4201">
      <w:marLeft w:val="0"/>
      <w:marRight w:val="0"/>
      <w:marTop w:val="0"/>
      <w:marBottom w:val="0"/>
      <w:divBdr>
        <w:top w:val="none" w:sz="0" w:space="0" w:color="auto"/>
        <w:left w:val="none" w:sz="0" w:space="0" w:color="auto"/>
        <w:bottom w:val="none" w:sz="0" w:space="0" w:color="auto"/>
        <w:right w:val="none" w:sz="0" w:space="0" w:color="auto"/>
      </w:divBdr>
    </w:div>
    <w:div w:id="48636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TAGRA(2013)07</vt:lpstr>
    </vt:vector>
  </TitlesOfParts>
  <Company>Scottish Government</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TAGRA(2013)07</dc:title>
  <dc:creator>u207787</dc:creator>
  <cp:lastModifiedBy>u207787</cp:lastModifiedBy>
  <cp:revision>3</cp:revision>
  <dcterms:created xsi:type="dcterms:W3CDTF">2013-07-19T10:28:00Z</dcterms:created>
  <dcterms:modified xsi:type="dcterms:W3CDTF">2013-07-24T09:14:00Z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A6401906</vt:lpwstr>
  </property>
  <property fmtid="{D5CDD505-2E9C-101B-9397-08002B2CF9AE}" pid="4" name="Objective-Title">
    <vt:lpwstr>ASDHD \ 2013 \ TAGRA \ Meeting 2 \ Paper TAGRA(2013)14 Population estimates update</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Lynch, Ellen E (u207787)</vt:lpwstr>
  </property>
  <property fmtid="{D5CDD505-2E9C-101B-9397-08002B2CF9AE}" pid="9"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2013-2018:</vt:lpwstr>
  </property>
  <property fmtid="{D5CDD505-2E9C-101B-9397-08002B2CF9AE}" pid="10" name="Objective-Parent">
    <vt:lpwstr>Analytical: NHS Scotland Resource Allocation Committee: Restricted working papers: Implementation: Committees and groups: NHS Management: 2013-2018</vt:lpwstr>
  </property>
  <property fmtid="{D5CDD505-2E9C-101B-9397-08002B2CF9AE}" pid="11" name="Objective-State">
    <vt:lpwstr>Published</vt:lpwstr>
  </property>
  <property fmtid="{D5CDD505-2E9C-101B-9397-08002B2CF9AE}" pid="12" name="Objective-Version">
    <vt:lpwstr>2.0</vt:lpwstr>
  </property>
  <property fmtid="{D5CDD505-2E9C-101B-9397-08002B2CF9AE}" pid="13" name="Objective-VersionNumber">
    <vt:i4>2</vt:i4>
  </property>
  <property fmtid="{D5CDD505-2E9C-101B-9397-08002B2CF9AE}" pid="14" name="Objective-VersionComment">
    <vt:lpwstr>
    </vt:lpwstr>
  </property>
  <property fmtid="{D5CDD505-2E9C-101B-9397-08002B2CF9AE}" pid="15" name="Objective-FileNumber">
    <vt:lpwstr>
    </vt:lpwstr>
  </property>
  <property fmtid="{D5CDD505-2E9C-101B-9397-08002B2CF9AE}" pid="16" name="Objective-Classification">
    <vt:lpwstr>[Inherited - Restricted]</vt:lpwstr>
  </property>
  <property fmtid="{D5CDD505-2E9C-101B-9397-08002B2CF9AE}" pid="17" name="Objective-Caveats">
    <vt:lpwstr>
    </vt:lpwstr>
  </property>
  <property fmtid="{D5CDD505-2E9C-101B-9397-08002B2CF9AE}" pid="18" name="Objective-Date of Original [system]">
    <vt:lpwstr>
    </vt:lpwstr>
  </property>
  <property fmtid="{D5CDD505-2E9C-101B-9397-08002B2CF9AE}" pid="19" name="Objective-Date Received [system]">
    <vt:lpwstr>
    </vt:lpwstr>
  </property>
  <property fmtid="{D5CDD505-2E9C-101B-9397-08002B2CF9AE}" pid="20" name="Objective-SG Web Publication - Category [system]">
    <vt:lpwstr>
    </vt:lpwstr>
  </property>
  <property fmtid="{D5CDD505-2E9C-101B-9397-08002B2CF9AE}" pid="21" name="Objective-SG Web Publication - Category 2 Classification [system]">
    <vt:lpwstr>
    </vt:lpwstr>
  </property>
  <property fmtid="{D5CDD505-2E9C-101B-9397-08002B2CF9AE}" pid="22" name="Objective-CreationStamp">
    <vt:filetime>2013-07-19T10:42:49Z</vt:filetime>
  </property>
  <property fmtid="{D5CDD505-2E9C-101B-9397-08002B2CF9AE}" pid="23" name="Objective-DatePublished">
    <vt:filetime>2013-07-24T09:14:23Z</vt:filetime>
  </property>
  <property fmtid="{D5CDD505-2E9C-101B-9397-08002B2CF9AE}" pid="24" name="Objective-ModificationStamp">
    <vt:filetime>2013-07-24T09:14:27Z</vt:filetime>
  </property>
</Properties>
</file>